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D2CE0" w14:textId="77777777" w:rsidR="009B58A7" w:rsidRPr="00A1728C" w:rsidRDefault="009B58A7" w:rsidP="00A1728C">
      <w:pPr>
        <w:pStyle w:val="NormalWeb"/>
        <w:spacing w:before="0" w:beforeAutospacing="0" w:after="0" w:afterAutospacing="0"/>
        <w:rPr>
          <w:color w:val="auto"/>
        </w:rPr>
      </w:pPr>
      <w:r w:rsidRPr="00A1728C">
        <w:rPr>
          <w:b/>
          <w:bCs/>
          <w:color w:val="auto"/>
        </w:rPr>
        <w:t>TITLE:</w:t>
      </w:r>
    </w:p>
    <w:p w14:paraId="30AF717B" w14:textId="5879C9F4" w:rsidR="009B58A7" w:rsidRPr="000F1CEB" w:rsidRDefault="009B58A7" w:rsidP="00A1728C">
      <w:pPr>
        <w:rPr>
          <w:b/>
          <w:bCs/>
          <w:color w:val="auto"/>
        </w:rPr>
      </w:pPr>
      <w:r w:rsidRPr="000F1CEB">
        <w:rPr>
          <w:b/>
          <w:bCs/>
          <w:color w:val="auto"/>
        </w:rPr>
        <w:t xml:space="preserve">Silencing the </w:t>
      </w:r>
      <w:r w:rsidR="0088463F" w:rsidRPr="000F1CEB">
        <w:rPr>
          <w:b/>
          <w:bCs/>
          <w:color w:val="auto"/>
        </w:rPr>
        <w:t>S</w:t>
      </w:r>
      <w:r w:rsidRPr="000F1CEB">
        <w:rPr>
          <w:b/>
          <w:bCs/>
          <w:color w:val="auto"/>
        </w:rPr>
        <w:t xml:space="preserve">park: CRISPR/Cas9 </w:t>
      </w:r>
      <w:r w:rsidR="0088463F" w:rsidRPr="000F1CEB">
        <w:rPr>
          <w:b/>
          <w:bCs/>
          <w:color w:val="auto"/>
        </w:rPr>
        <w:t>Genome Editing in Weakly Electric Fish</w:t>
      </w:r>
    </w:p>
    <w:p w14:paraId="55A148EF" w14:textId="77777777" w:rsidR="009B58A7" w:rsidRPr="00A1728C" w:rsidRDefault="009B58A7" w:rsidP="00A1728C">
      <w:pPr>
        <w:rPr>
          <w:b/>
          <w:bCs/>
          <w:color w:val="auto"/>
        </w:rPr>
      </w:pPr>
    </w:p>
    <w:p w14:paraId="2777DD15" w14:textId="77777777" w:rsidR="009B58A7" w:rsidRPr="00A1728C" w:rsidRDefault="009B58A7" w:rsidP="00A1728C">
      <w:pPr>
        <w:rPr>
          <w:bCs/>
          <w:color w:val="auto"/>
        </w:rPr>
      </w:pPr>
      <w:r w:rsidRPr="00A1728C">
        <w:rPr>
          <w:b/>
          <w:bCs/>
          <w:color w:val="auto"/>
        </w:rPr>
        <w:t>AUTHORS AND AFFILIATIONS:</w:t>
      </w:r>
    </w:p>
    <w:p w14:paraId="3C692374" w14:textId="1C4AA9FF" w:rsidR="009B58A7" w:rsidRDefault="009B58A7" w:rsidP="00A1728C">
      <w:pPr>
        <w:rPr>
          <w:color w:val="auto"/>
          <w:vertAlign w:val="superscript"/>
        </w:rPr>
      </w:pPr>
      <w:proofErr w:type="spellStart"/>
      <w:r w:rsidRPr="00A1728C">
        <w:rPr>
          <w:color w:val="auto"/>
        </w:rPr>
        <w:t>Savvas</w:t>
      </w:r>
      <w:proofErr w:type="spellEnd"/>
      <w:r w:rsidRPr="00A1728C">
        <w:rPr>
          <w:color w:val="auto"/>
        </w:rPr>
        <w:t xml:space="preserve"> J. Constantinou</w:t>
      </w:r>
      <w:r w:rsidRPr="00A1728C">
        <w:rPr>
          <w:color w:val="auto"/>
          <w:vertAlign w:val="superscript"/>
        </w:rPr>
        <w:t>1</w:t>
      </w:r>
      <w:r w:rsidRPr="00A1728C">
        <w:rPr>
          <w:color w:val="auto"/>
        </w:rPr>
        <w:t>, Linh Nguyen</w:t>
      </w:r>
      <w:r w:rsidR="008066F6">
        <w:rPr>
          <w:color w:val="auto"/>
          <w:vertAlign w:val="superscript"/>
        </w:rPr>
        <w:t>2</w:t>
      </w:r>
      <w:r w:rsidRPr="00A1728C">
        <w:rPr>
          <w:color w:val="auto"/>
        </w:rPr>
        <w:t>, Frank Kirschbaum</w:t>
      </w:r>
      <w:r w:rsidR="008066F6">
        <w:rPr>
          <w:color w:val="auto"/>
          <w:vertAlign w:val="superscript"/>
        </w:rPr>
        <w:t>2</w:t>
      </w:r>
      <w:r w:rsidRPr="00A1728C">
        <w:rPr>
          <w:color w:val="auto"/>
        </w:rPr>
        <w:t xml:space="preserve">, </w:t>
      </w:r>
      <w:proofErr w:type="spellStart"/>
      <w:r w:rsidRPr="00A1728C">
        <w:rPr>
          <w:color w:val="auto"/>
        </w:rPr>
        <w:t>Vielka</w:t>
      </w:r>
      <w:proofErr w:type="spellEnd"/>
      <w:r w:rsidRPr="00A1728C">
        <w:rPr>
          <w:color w:val="auto"/>
        </w:rPr>
        <w:t xml:space="preserve"> L. Salazar</w:t>
      </w:r>
      <w:r w:rsidR="008066F6">
        <w:rPr>
          <w:color w:val="auto"/>
          <w:vertAlign w:val="superscript"/>
        </w:rPr>
        <w:t>3</w:t>
      </w:r>
      <w:r w:rsidRPr="00A1728C">
        <w:rPr>
          <w:color w:val="auto"/>
        </w:rPr>
        <w:t>, Jason R. Gallant</w:t>
      </w:r>
      <w:r w:rsidRPr="00A1728C">
        <w:rPr>
          <w:color w:val="auto"/>
          <w:vertAlign w:val="superscript"/>
        </w:rPr>
        <w:t>1</w:t>
      </w:r>
    </w:p>
    <w:p w14:paraId="77685B3F" w14:textId="77777777" w:rsidR="008066F6" w:rsidRPr="008066F6" w:rsidRDefault="008066F6" w:rsidP="00A1728C">
      <w:pPr>
        <w:rPr>
          <w:color w:val="auto"/>
        </w:rPr>
      </w:pPr>
    </w:p>
    <w:p w14:paraId="1CA6B51C" w14:textId="2E5DAC44" w:rsidR="009B58A7" w:rsidRPr="008066F6" w:rsidRDefault="009B58A7" w:rsidP="00A1728C">
      <w:pPr>
        <w:rPr>
          <w:color w:val="auto"/>
        </w:rPr>
      </w:pPr>
      <w:r w:rsidRPr="00A1728C">
        <w:rPr>
          <w:color w:val="auto"/>
          <w:vertAlign w:val="superscript"/>
        </w:rPr>
        <w:t>1</w:t>
      </w:r>
      <w:r w:rsidRPr="00A1728C">
        <w:rPr>
          <w:color w:val="auto"/>
        </w:rPr>
        <w:t>Department of Integrative Biology, Michigan State University, East Lansing, MI, USA</w:t>
      </w:r>
    </w:p>
    <w:p w14:paraId="427EA1C7" w14:textId="1020B70F" w:rsidR="009B58A7" w:rsidRPr="00A1728C" w:rsidRDefault="008066F6" w:rsidP="00A1728C">
      <w:pPr>
        <w:rPr>
          <w:bCs/>
          <w:color w:val="auto"/>
        </w:rPr>
      </w:pPr>
      <w:r w:rsidRPr="008066F6">
        <w:rPr>
          <w:rStyle w:val="affiliationdepartment"/>
          <w:color w:val="auto"/>
          <w:shd w:val="clear" w:color="auto" w:fill="FCFCFC"/>
          <w:vertAlign w:val="superscript"/>
        </w:rPr>
        <w:t>2</w:t>
      </w:r>
      <w:r w:rsidR="009B58A7" w:rsidRPr="00A1728C">
        <w:rPr>
          <w:rStyle w:val="affiliationdepartment"/>
          <w:color w:val="auto"/>
          <w:shd w:val="clear" w:color="auto" w:fill="FCFCFC"/>
        </w:rPr>
        <w:t xml:space="preserve">Faculty of Life Sciences, Unit of Biology and Ecology of Fishes, </w:t>
      </w:r>
      <w:r w:rsidR="009B58A7" w:rsidRPr="00A1728C">
        <w:rPr>
          <w:rStyle w:val="affiliationname"/>
          <w:color w:val="auto"/>
          <w:shd w:val="clear" w:color="auto" w:fill="FCFCFC"/>
        </w:rPr>
        <w:t xml:space="preserve">Humboldt University, </w:t>
      </w:r>
      <w:r w:rsidR="009B58A7" w:rsidRPr="00A1728C">
        <w:rPr>
          <w:rStyle w:val="affiliationcity"/>
          <w:color w:val="auto"/>
          <w:shd w:val="clear" w:color="auto" w:fill="FCFCFC"/>
        </w:rPr>
        <w:t xml:space="preserve">Berlin, </w:t>
      </w:r>
      <w:r w:rsidR="009B58A7" w:rsidRPr="00A1728C">
        <w:rPr>
          <w:rStyle w:val="affiliationcountry"/>
          <w:color w:val="auto"/>
          <w:shd w:val="clear" w:color="auto" w:fill="FCFCFC"/>
        </w:rPr>
        <w:t>Germany</w:t>
      </w:r>
    </w:p>
    <w:p w14:paraId="0F112863" w14:textId="221CCD6D" w:rsidR="009B58A7" w:rsidRDefault="008066F6" w:rsidP="00A1728C">
      <w:pPr>
        <w:rPr>
          <w:bCs/>
          <w:color w:val="auto"/>
        </w:rPr>
      </w:pPr>
      <w:r w:rsidRPr="008066F6">
        <w:rPr>
          <w:bCs/>
          <w:color w:val="auto"/>
          <w:vertAlign w:val="superscript"/>
        </w:rPr>
        <w:t>3</w:t>
      </w:r>
      <w:r w:rsidRPr="00A1728C">
        <w:rPr>
          <w:bCs/>
          <w:color w:val="auto"/>
        </w:rPr>
        <w:t>Department of Biology, Cape Breton University, Nova Scotia, Canada</w:t>
      </w:r>
    </w:p>
    <w:p w14:paraId="14E43989" w14:textId="77777777" w:rsidR="008066F6" w:rsidRPr="00A1728C" w:rsidRDefault="008066F6" w:rsidP="00A1728C">
      <w:pPr>
        <w:rPr>
          <w:bCs/>
          <w:color w:val="auto"/>
        </w:rPr>
      </w:pPr>
    </w:p>
    <w:p w14:paraId="20471052" w14:textId="77777777" w:rsidR="009B58A7" w:rsidRPr="000F1CEB" w:rsidRDefault="009B58A7" w:rsidP="00A1728C">
      <w:pPr>
        <w:rPr>
          <w:b/>
          <w:color w:val="auto"/>
        </w:rPr>
      </w:pPr>
      <w:r w:rsidRPr="000F1CEB">
        <w:rPr>
          <w:b/>
          <w:color w:val="auto"/>
        </w:rPr>
        <w:t>Corresponding Author:</w:t>
      </w:r>
    </w:p>
    <w:p w14:paraId="77DB27C3" w14:textId="755007E0" w:rsidR="009B58A7" w:rsidRPr="00A1728C" w:rsidRDefault="009B58A7" w:rsidP="00A1728C">
      <w:pPr>
        <w:rPr>
          <w:bCs/>
          <w:color w:val="auto"/>
        </w:rPr>
      </w:pPr>
      <w:r w:rsidRPr="00A1728C">
        <w:rPr>
          <w:bCs/>
          <w:color w:val="auto"/>
        </w:rPr>
        <w:t>Jason R. Gallant</w:t>
      </w:r>
      <w:r w:rsidR="008066F6">
        <w:rPr>
          <w:bCs/>
          <w:color w:val="auto"/>
        </w:rPr>
        <w:tab/>
      </w:r>
      <w:r w:rsidR="008E0F56">
        <w:rPr>
          <w:bCs/>
          <w:color w:val="auto"/>
        </w:rPr>
        <w:tab/>
      </w:r>
      <w:r w:rsidR="008066F6">
        <w:rPr>
          <w:bCs/>
          <w:color w:val="auto"/>
        </w:rPr>
        <w:t>(</w:t>
      </w:r>
      <w:r w:rsidRPr="008066F6">
        <w:t>jgallant@msu.edu</w:t>
      </w:r>
      <w:r w:rsidR="008066F6">
        <w:t>)</w:t>
      </w:r>
    </w:p>
    <w:p w14:paraId="6AE4C2EB" w14:textId="26790BE4" w:rsidR="00A1728C" w:rsidRDefault="00A1728C" w:rsidP="00A1728C">
      <w:pPr>
        <w:rPr>
          <w:bCs/>
          <w:color w:val="auto"/>
        </w:rPr>
      </w:pPr>
    </w:p>
    <w:p w14:paraId="0CC9E8B2" w14:textId="4FD639BE" w:rsidR="008066F6" w:rsidRPr="000F1CEB" w:rsidRDefault="008066F6" w:rsidP="00A1728C">
      <w:pPr>
        <w:rPr>
          <w:b/>
          <w:color w:val="auto"/>
        </w:rPr>
      </w:pPr>
      <w:r w:rsidRPr="000F1CEB">
        <w:rPr>
          <w:b/>
          <w:color w:val="auto"/>
        </w:rPr>
        <w:t>Email Addresses of Co-</w:t>
      </w:r>
      <w:r w:rsidR="008E0F56" w:rsidRPr="00623A4C">
        <w:rPr>
          <w:b/>
          <w:color w:val="auto"/>
        </w:rPr>
        <w:t>authors</w:t>
      </w:r>
      <w:r w:rsidRPr="000F1CEB">
        <w:rPr>
          <w:b/>
          <w:color w:val="auto"/>
        </w:rPr>
        <w:t>:</w:t>
      </w:r>
    </w:p>
    <w:p w14:paraId="5A1A9245" w14:textId="03A705AE" w:rsidR="008066F6" w:rsidRDefault="008066F6" w:rsidP="00A1728C">
      <w:pPr>
        <w:rPr>
          <w:bCs/>
          <w:color w:val="auto"/>
        </w:rPr>
      </w:pPr>
      <w:proofErr w:type="spellStart"/>
      <w:r w:rsidRPr="00A1728C">
        <w:rPr>
          <w:color w:val="auto"/>
        </w:rPr>
        <w:t>Savvas</w:t>
      </w:r>
      <w:proofErr w:type="spellEnd"/>
      <w:r w:rsidRPr="00A1728C">
        <w:rPr>
          <w:color w:val="auto"/>
        </w:rPr>
        <w:t xml:space="preserve"> J. Constantinou</w:t>
      </w:r>
      <w:r w:rsidRPr="00A1728C">
        <w:rPr>
          <w:bCs/>
          <w:color w:val="auto"/>
        </w:rPr>
        <w:t xml:space="preserve"> </w:t>
      </w:r>
      <w:r w:rsidR="008E0F56">
        <w:rPr>
          <w:bCs/>
          <w:color w:val="auto"/>
        </w:rPr>
        <w:tab/>
      </w:r>
      <w:r>
        <w:rPr>
          <w:bCs/>
          <w:color w:val="auto"/>
        </w:rPr>
        <w:t>(</w:t>
      </w:r>
      <w:r w:rsidR="00A1728C" w:rsidRPr="00A1728C">
        <w:rPr>
          <w:bCs/>
          <w:color w:val="auto"/>
        </w:rPr>
        <w:t>consta64@msu.edu</w:t>
      </w:r>
      <w:r>
        <w:rPr>
          <w:bCs/>
          <w:color w:val="auto"/>
        </w:rPr>
        <w:t>)</w:t>
      </w:r>
    </w:p>
    <w:p w14:paraId="3475ABE4" w14:textId="0B60FD2C" w:rsidR="008066F6" w:rsidRDefault="008066F6" w:rsidP="00A1728C">
      <w:pPr>
        <w:rPr>
          <w:bCs/>
          <w:color w:val="auto"/>
        </w:rPr>
      </w:pPr>
      <w:r w:rsidRPr="00A1728C">
        <w:rPr>
          <w:color w:val="auto"/>
        </w:rPr>
        <w:t>Linh Nguyen</w:t>
      </w:r>
      <w:r>
        <w:rPr>
          <w:color w:val="auto"/>
        </w:rPr>
        <w:t xml:space="preserve"> </w:t>
      </w:r>
      <w:r w:rsidR="008E0F56">
        <w:rPr>
          <w:color w:val="auto"/>
        </w:rPr>
        <w:tab/>
      </w:r>
      <w:r w:rsidR="008E0F56">
        <w:rPr>
          <w:color w:val="auto"/>
        </w:rPr>
        <w:tab/>
      </w:r>
      <w:r w:rsidR="008E0F56">
        <w:rPr>
          <w:color w:val="auto"/>
        </w:rPr>
        <w:tab/>
      </w:r>
      <w:r>
        <w:rPr>
          <w:color w:val="auto"/>
        </w:rPr>
        <w:t>(</w:t>
      </w:r>
      <w:r w:rsidRPr="00A1728C">
        <w:rPr>
          <w:bCs/>
          <w:color w:val="auto"/>
        </w:rPr>
        <w:t>nguyenmdlinh12@gmail.com</w:t>
      </w:r>
      <w:r>
        <w:rPr>
          <w:bCs/>
          <w:color w:val="auto"/>
        </w:rPr>
        <w:t>)</w:t>
      </w:r>
    </w:p>
    <w:p w14:paraId="51189716" w14:textId="2536FF37" w:rsidR="008066F6" w:rsidRDefault="008066F6" w:rsidP="00A1728C">
      <w:pPr>
        <w:rPr>
          <w:color w:val="auto"/>
        </w:rPr>
      </w:pPr>
      <w:r w:rsidRPr="00A1728C">
        <w:rPr>
          <w:color w:val="auto"/>
        </w:rPr>
        <w:t xml:space="preserve">Frank </w:t>
      </w:r>
      <w:proofErr w:type="spellStart"/>
      <w:r w:rsidRPr="00A1728C">
        <w:rPr>
          <w:color w:val="auto"/>
        </w:rPr>
        <w:t>Kirschbaum</w:t>
      </w:r>
      <w:proofErr w:type="spellEnd"/>
      <w:r>
        <w:rPr>
          <w:color w:val="auto"/>
        </w:rPr>
        <w:t xml:space="preserve"> </w:t>
      </w:r>
      <w:r w:rsidR="008E0F56">
        <w:rPr>
          <w:color w:val="auto"/>
        </w:rPr>
        <w:tab/>
      </w:r>
      <w:r w:rsidR="008E0F56">
        <w:rPr>
          <w:color w:val="auto"/>
        </w:rPr>
        <w:tab/>
      </w:r>
      <w:r>
        <w:rPr>
          <w:color w:val="auto"/>
        </w:rPr>
        <w:t>(</w:t>
      </w:r>
      <w:r w:rsidRPr="00A1728C">
        <w:rPr>
          <w:bCs/>
          <w:color w:val="auto"/>
        </w:rPr>
        <w:t>frank.kirschbaum@staff.hu-berlin.de</w:t>
      </w:r>
      <w:r>
        <w:rPr>
          <w:bCs/>
          <w:color w:val="auto"/>
        </w:rPr>
        <w:t>)</w:t>
      </w:r>
    </w:p>
    <w:p w14:paraId="561DBD4E" w14:textId="09574AEF" w:rsidR="00A1728C" w:rsidRPr="00A1728C" w:rsidRDefault="008066F6" w:rsidP="00A1728C">
      <w:pPr>
        <w:rPr>
          <w:bCs/>
          <w:color w:val="auto"/>
        </w:rPr>
      </w:pPr>
      <w:proofErr w:type="spellStart"/>
      <w:r w:rsidRPr="00A1728C">
        <w:rPr>
          <w:color w:val="auto"/>
        </w:rPr>
        <w:t>Vielka</w:t>
      </w:r>
      <w:proofErr w:type="spellEnd"/>
      <w:r w:rsidRPr="00A1728C">
        <w:rPr>
          <w:color w:val="auto"/>
        </w:rPr>
        <w:t xml:space="preserve"> L. Salazar</w:t>
      </w:r>
      <w:r>
        <w:rPr>
          <w:bCs/>
          <w:color w:val="auto"/>
        </w:rPr>
        <w:t xml:space="preserve"> </w:t>
      </w:r>
      <w:r w:rsidR="008E0F56">
        <w:rPr>
          <w:bCs/>
          <w:color w:val="auto"/>
        </w:rPr>
        <w:tab/>
      </w:r>
      <w:r w:rsidR="008E0F56">
        <w:rPr>
          <w:bCs/>
          <w:color w:val="auto"/>
        </w:rPr>
        <w:tab/>
      </w:r>
      <w:r>
        <w:rPr>
          <w:bCs/>
          <w:color w:val="auto"/>
        </w:rPr>
        <w:t>(</w:t>
      </w:r>
      <w:r w:rsidR="00A1728C" w:rsidRPr="00A1728C">
        <w:rPr>
          <w:bCs/>
          <w:color w:val="auto"/>
        </w:rPr>
        <w:t>Vielka_Salazar@cbu.ca</w:t>
      </w:r>
      <w:r>
        <w:rPr>
          <w:bCs/>
          <w:color w:val="auto"/>
        </w:rPr>
        <w:t>)</w:t>
      </w:r>
    </w:p>
    <w:p w14:paraId="3898C9F6" w14:textId="77777777" w:rsidR="00A1728C" w:rsidRPr="00A1728C" w:rsidRDefault="00A1728C" w:rsidP="00A1728C">
      <w:pPr>
        <w:rPr>
          <w:bCs/>
          <w:color w:val="auto"/>
        </w:rPr>
      </w:pPr>
    </w:p>
    <w:p w14:paraId="3DC62B06" w14:textId="77777777" w:rsidR="009B58A7" w:rsidRPr="00A1728C" w:rsidRDefault="009B58A7" w:rsidP="00A1728C">
      <w:pPr>
        <w:pStyle w:val="NormalWeb"/>
        <w:spacing w:before="0" w:beforeAutospacing="0" w:after="0" w:afterAutospacing="0"/>
        <w:rPr>
          <w:color w:val="auto"/>
        </w:rPr>
      </w:pPr>
      <w:r w:rsidRPr="00A1728C">
        <w:rPr>
          <w:b/>
          <w:bCs/>
          <w:color w:val="auto"/>
        </w:rPr>
        <w:t>KEYWORDS:</w:t>
      </w:r>
    </w:p>
    <w:p w14:paraId="766D49F6" w14:textId="119AA81A" w:rsidR="009B58A7" w:rsidRPr="00A1728C" w:rsidRDefault="009B58A7" w:rsidP="00A1728C">
      <w:pPr>
        <w:rPr>
          <w:color w:val="auto"/>
        </w:rPr>
      </w:pPr>
      <w:r w:rsidRPr="00A1728C">
        <w:rPr>
          <w:color w:val="auto"/>
        </w:rPr>
        <w:t xml:space="preserve">CRISPR/Cas9, electric fish, single cell microinjection, </w:t>
      </w:r>
      <w:r w:rsidRPr="00A1728C">
        <w:rPr>
          <w:i/>
          <w:color w:val="auto"/>
        </w:rPr>
        <w:t>scn4aa</w:t>
      </w:r>
      <w:r w:rsidRPr="00A1728C">
        <w:rPr>
          <w:color w:val="auto"/>
        </w:rPr>
        <w:t xml:space="preserve">, </w:t>
      </w:r>
      <w:r w:rsidR="008E0F56" w:rsidRPr="00A1728C">
        <w:rPr>
          <w:color w:val="auto"/>
        </w:rPr>
        <w:t>electric organ discharge</w:t>
      </w:r>
      <w:r w:rsidRPr="00A1728C">
        <w:rPr>
          <w:color w:val="auto"/>
        </w:rPr>
        <w:t>, genome modification, mormyrid, gymnotiform</w:t>
      </w:r>
    </w:p>
    <w:p w14:paraId="59BB58D4" w14:textId="77777777" w:rsidR="009B58A7" w:rsidRPr="00A1728C" w:rsidRDefault="009B58A7" w:rsidP="00A1728C">
      <w:pPr>
        <w:pStyle w:val="NormalWeb"/>
        <w:spacing w:before="0" w:beforeAutospacing="0" w:after="0" w:afterAutospacing="0"/>
        <w:rPr>
          <w:color w:val="auto"/>
        </w:rPr>
      </w:pPr>
    </w:p>
    <w:p w14:paraId="08F215E0" w14:textId="5EA606C2" w:rsidR="00A1728C" w:rsidRDefault="00A1728C" w:rsidP="00A1728C">
      <w:pPr>
        <w:rPr>
          <w:b/>
          <w:bCs/>
          <w:color w:val="auto"/>
        </w:rPr>
      </w:pPr>
      <w:r>
        <w:rPr>
          <w:b/>
          <w:bCs/>
          <w:color w:val="auto"/>
        </w:rPr>
        <w:t>SUMMARY:</w:t>
      </w:r>
    </w:p>
    <w:p w14:paraId="225E1B84" w14:textId="1DD9E23D" w:rsidR="00A1728C" w:rsidRDefault="00A1728C" w:rsidP="00A1728C">
      <w:pPr>
        <w:rPr>
          <w:b/>
          <w:bCs/>
          <w:color w:val="auto"/>
        </w:rPr>
      </w:pPr>
      <w:r w:rsidRPr="00A1728C">
        <w:rPr>
          <w:color w:val="auto"/>
        </w:rPr>
        <w:t>Here</w:t>
      </w:r>
      <w:r w:rsidR="00A51289">
        <w:rPr>
          <w:color w:val="auto"/>
        </w:rPr>
        <w:t>,</w:t>
      </w:r>
      <w:r w:rsidRPr="00A1728C">
        <w:rPr>
          <w:color w:val="auto"/>
        </w:rPr>
        <w:t xml:space="preserve"> a protocol </w:t>
      </w:r>
      <w:r w:rsidR="00A51289">
        <w:rPr>
          <w:color w:val="auto"/>
        </w:rPr>
        <w:t xml:space="preserve">is presented </w:t>
      </w:r>
      <w:r w:rsidRPr="00A1728C">
        <w:rPr>
          <w:color w:val="auto"/>
        </w:rPr>
        <w:t xml:space="preserve">to produce and rear CRISPR/Cas9 genome knockout electric fish. </w:t>
      </w:r>
      <w:r w:rsidR="00A51289" w:rsidRPr="00A1728C">
        <w:rPr>
          <w:color w:val="auto"/>
        </w:rPr>
        <w:t>Outline</w:t>
      </w:r>
      <w:r w:rsidR="00A51289">
        <w:rPr>
          <w:color w:val="auto"/>
        </w:rPr>
        <w:t>d in detail are</w:t>
      </w:r>
      <w:r w:rsidR="00A51289" w:rsidRPr="00A1728C">
        <w:rPr>
          <w:color w:val="auto"/>
        </w:rPr>
        <w:t xml:space="preserve"> </w:t>
      </w:r>
      <w:r w:rsidRPr="00A1728C">
        <w:rPr>
          <w:color w:val="auto"/>
        </w:rPr>
        <w:t>the required molecular biology, breeding</w:t>
      </w:r>
      <w:r w:rsidR="00A51289">
        <w:rPr>
          <w:color w:val="auto"/>
        </w:rPr>
        <w:t>,</w:t>
      </w:r>
      <w:r w:rsidRPr="00A1728C">
        <w:rPr>
          <w:color w:val="auto"/>
        </w:rPr>
        <w:t xml:space="preserve"> and husbandry requirements for both a </w:t>
      </w:r>
      <w:r w:rsidR="00F94BA1" w:rsidRPr="00A1728C">
        <w:rPr>
          <w:color w:val="auto"/>
        </w:rPr>
        <w:t xml:space="preserve">gymnotiform </w:t>
      </w:r>
      <w:r w:rsidRPr="00A1728C">
        <w:rPr>
          <w:color w:val="auto"/>
        </w:rPr>
        <w:t>and a mormyrid, and injection techniques to produce Cas9</w:t>
      </w:r>
      <w:r w:rsidR="00A51289">
        <w:rPr>
          <w:color w:val="auto"/>
        </w:rPr>
        <w:t>-</w:t>
      </w:r>
      <w:r w:rsidRPr="00A1728C">
        <w:rPr>
          <w:color w:val="auto"/>
        </w:rPr>
        <w:t>induced indel F</w:t>
      </w:r>
      <w:r w:rsidRPr="00A1728C">
        <w:rPr>
          <w:color w:val="auto"/>
          <w:vertAlign w:val="subscript"/>
        </w:rPr>
        <w:t>0</w:t>
      </w:r>
      <w:r w:rsidRPr="00A1728C">
        <w:rPr>
          <w:color w:val="auto"/>
        </w:rPr>
        <w:t xml:space="preserve"> larvae.</w:t>
      </w:r>
    </w:p>
    <w:p w14:paraId="027D457A" w14:textId="77777777" w:rsidR="00A1728C" w:rsidRDefault="00A1728C" w:rsidP="00A1728C">
      <w:pPr>
        <w:rPr>
          <w:b/>
          <w:bCs/>
          <w:color w:val="auto"/>
        </w:rPr>
      </w:pPr>
    </w:p>
    <w:p w14:paraId="034B9D9A" w14:textId="44D3B5CB" w:rsidR="009B58A7" w:rsidRPr="00A1728C" w:rsidRDefault="009B58A7" w:rsidP="00A1728C">
      <w:pPr>
        <w:rPr>
          <w:color w:val="auto"/>
        </w:rPr>
      </w:pPr>
      <w:r w:rsidRPr="00A1728C">
        <w:rPr>
          <w:b/>
          <w:bCs/>
          <w:color w:val="auto"/>
        </w:rPr>
        <w:t>ABSTRACT:</w:t>
      </w:r>
      <w:r w:rsidRPr="00A1728C">
        <w:rPr>
          <w:color w:val="auto"/>
        </w:rPr>
        <w:t xml:space="preserve"> </w:t>
      </w:r>
    </w:p>
    <w:p w14:paraId="06E9D598" w14:textId="4FE9DB20" w:rsidR="00A20A30" w:rsidRDefault="00A20A30" w:rsidP="00A1728C">
      <w:pPr>
        <w:rPr>
          <w:color w:val="auto"/>
        </w:rPr>
      </w:pPr>
      <w:r w:rsidRPr="00A1728C">
        <w:rPr>
          <w:color w:val="auto"/>
        </w:rPr>
        <w:t xml:space="preserve">Electroreception and electrogenesis have </w:t>
      </w:r>
      <w:r w:rsidR="00BB0679" w:rsidRPr="00A1728C">
        <w:rPr>
          <w:color w:val="auto"/>
        </w:rPr>
        <w:t>changed</w:t>
      </w:r>
      <w:r w:rsidRPr="00A1728C">
        <w:rPr>
          <w:color w:val="auto"/>
        </w:rPr>
        <w:t xml:space="preserve"> in the evolutionary history of vertebrates. There is a striking degree of convergence in these independently derived phenotypes, which share a common genetic architecture. This is perhaps best exemplified by the numerous convergent features of gymnotiforms and mormyrids, two species-rich teleost clades </w:t>
      </w:r>
      <w:r w:rsidR="00BB0679" w:rsidRPr="00623A4C">
        <w:rPr>
          <w:color w:val="auto"/>
        </w:rPr>
        <w:t>that</w:t>
      </w:r>
      <w:r w:rsidR="00BB0679" w:rsidRPr="00A1728C">
        <w:rPr>
          <w:color w:val="auto"/>
        </w:rPr>
        <w:t xml:space="preserve"> </w:t>
      </w:r>
      <w:r w:rsidRPr="00A1728C">
        <w:rPr>
          <w:color w:val="auto"/>
        </w:rPr>
        <w:t xml:space="preserve">produce and detect weak electric fields and are </w:t>
      </w:r>
      <w:r w:rsidR="00755C89">
        <w:rPr>
          <w:color w:val="auto"/>
        </w:rPr>
        <w:t>called</w:t>
      </w:r>
      <w:r w:rsidRPr="00A1728C">
        <w:rPr>
          <w:color w:val="auto"/>
        </w:rPr>
        <w:t xml:space="preserve"> weakly electric fish. In the 50 years since the discovery that weakly electric fish use electricity to sense their surroundings and communicate, a growing community of scientists has gained tremendous insights into evolution of development, systems and circuits neuroscience, cellular physiology, ecology, evolutionary biology, and behavior. More recently, there has been a proliferation of genomic resources for electric fish. Use of these resources has already facilitated important insights with regards to the connection between genotype and phenotype in these species.</w:t>
      </w:r>
      <w:r w:rsidR="00F94BA1">
        <w:rPr>
          <w:color w:val="auto"/>
        </w:rPr>
        <w:t xml:space="preserve"> </w:t>
      </w:r>
      <w:r w:rsidRPr="00A1728C">
        <w:rPr>
          <w:color w:val="auto"/>
        </w:rPr>
        <w:t xml:space="preserve">A major obstacle to integrating genomics data with phenotypic data of weakly electric fish is a present lack of functional genomics tools. </w:t>
      </w:r>
      <w:r w:rsidR="009B58A7" w:rsidRPr="00A1728C">
        <w:rPr>
          <w:color w:val="auto"/>
        </w:rPr>
        <w:t xml:space="preserve">We report here a </w:t>
      </w:r>
      <w:r w:rsidRPr="00A1728C">
        <w:rPr>
          <w:color w:val="auto"/>
        </w:rPr>
        <w:t>full</w:t>
      </w:r>
      <w:r w:rsidR="009B58A7" w:rsidRPr="00A1728C">
        <w:rPr>
          <w:color w:val="auto"/>
        </w:rPr>
        <w:t xml:space="preserve"> protocol </w:t>
      </w:r>
      <w:r w:rsidRPr="00A1728C">
        <w:rPr>
          <w:color w:val="auto"/>
        </w:rPr>
        <w:t xml:space="preserve">for performing </w:t>
      </w:r>
      <w:r w:rsidR="009B58A7" w:rsidRPr="00A1728C">
        <w:rPr>
          <w:color w:val="auto"/>
        </w:rPr>
        <w:t xml:space="preserve">CRISPR/Cas9 mutagenesis that </w:t>
      </w:r>
      <w:r w:rsidR="009B58A7" w:rsidRPr="00A1728C">
        <w:rPr>
          <w:color w:val="auto"/>
        </w:rPr>
        <w:lastRenderedPageBreak/>
        <w:t xml:space="preserve">utilizes endogenous </w:t>
      </w:r>
      <w:r w:rsidR="003A47E6" w:rsidRPr="00A1728C">
        <w:rPr>
          <w:color w:val="auto"/>
        </w:rPr>
        <w:t xml:space="preserve">DNA </w:t>
      </w:r>
      <w:r w:rsidR="009B58A7" w:rsidRPr="00A1728C">
        <w:rPr>
          <w:color w:val="auto"/>
        </w:rPr>
        <w:t>repair mechanisms</w:t>
      </w:r>
      <w:r w:rsidRPr="00A1728C">
        <w:rPr>
          <w:color w:val="auto"/>
        </w:rPr>
        <w:t xml:space="preserve"> in weakly electric fish.</w:t>
      </w:r>
      <w:r w:rsidR="00F94BA1">
        <w:rPr>
          <w:color w:val="auto"/>
        </w:rPr>
        <w:t xml:space="preserve"> </w:t>
      </w:r>
      <w:r w:rsidRPr="00A1728C">
        <w:rPr>
          <w:color w:val="auto"/>
        </w:rPr>
        <w:t>We demonstrate</w:t>
      </w:r>
      <w:r w:rsidR="00F94BA1">
        <w:rPr>
          <w:color w:val="auto"/>
        </w:rPr>
        <w:t xml:space="preserve"> </w:t>
      </w:r>
      <w:r w:rsidR="00755C89">
        <w:rPr>
          <w:color w:val="auto"/>
        </w:rPr>
        <w:t xml:space="preserve">that </w:t>
      </w:r>
      <w:r w:rsidRPr="00A1728C">
        <w:rPr>
          <w:color w:val="auto"/>
        </w:rPr>
        <w:t>this</w:t>
      </w:r>
      <w:r w:rsidR="009B58A7" w:rsidRPr="00A1728C">
        <w:rPr>
          <w:color w:val="auto"/>
        </w:rPr>
        <w:t xml:space="preserve"> protocol is equally effective in both the mormyrid </w:t>
      </w:r>
      <w:r w:rsidRPr="00A1728C">
        <w:rPr>
          <w:color w:val="auto"/>
        </w:rPr>
        <w:t xml:space="preserve">species </w:t>
      </w:r>
      <w:proofErr w:type="spellStart"/>
      <w:r w:rsidR="009B58A7" w:rsidRPr="00A1728C">
        <w:rPr>
          <w:i/>
          <w:color w:val="auto"/>
        </w:rPr>
        <w:t>Brienomyrus</w:t>
      </w:r>
      <w:proofErr w:type="spellEnd"/>
      <w:r w:rsidR="009B58A7" w:rsidRPr="00A1728C">
        <w:rPr>
          <w:i/>
          <w:color w:val="auto"/>
        </w:rPr>
        <w:t xml:space="preserve"> </w:t>
      </w:r>
      <w:proofErr w:type="spellStart"/>
      <w:r w:rsidR="009B58A7" w:rsidRPr="00A1728C">
        <w:rPr>
          <w:i/>
          <w:color w:val="auto"/>
        </w:rPr>
        <w:t>brachyistius</w:t>
      </w:r>
      <w:proofErr w:type="spellEnd"/>
      <w:r w:rsidR="009B58A7" w:rsidRPr="00A1728C">
        <w:rPr>
          <w:i/>
          <w:color w:val="auto"/>
        </w:rPr>
        <w:t xml:space="preserve"> </w:t>
      </w:r>
      <w:r w:rsidR="009B58A7" w:rsidRPr="00A1728C">
        <w:rPr>
          <w:color w:val="auto"/>
        </w:rPr>
        <w:t xml:space="preserve">and the gymnotiform </w:t>
      </w:r>
      <w:proofErr w:type="spellStart"/>
      <w:r w:rsidR="009B58A7" w:rsidRPr="00A1728C">
        <w:rPr>
          <w:i/>
          <w:color w:val="auto"/>
        </w:rPr>
        <w:t>Brachyhypopomus</w:t>
      </w:r>
      <w:proofErr w:type="spellEnd"/>
      <w:r w:rsidR="009B58A7" w:rsidRPr="00A1728C">
        <w:rPr>
          <w:i/>
          <w:color w:val="auto"/>
        </w:rPr>
        <w:t xml:space="preserve"> </w:t>
      </w:r>
      <w:proofErr w:type="spellStart"/>
      <w:r w:rsidR="009B58A7" w:rsidRPr="00A1728C">
        <w:rPr>
          <w:i/>
          <w:color w:val="auto"/>
        </w:rPr>
        <w:t>gauderio</w:t>
      </w:r>
      <w:proofErr w:type="spellEnd"/>
      <w:r w:rsidR="009B58A7" w:rsidRPr="00A1728C">
        <w:rPr>
          <w:color w:val="auto"/>
        </w:rPr>
        <w:t xml:space="preserve"> by using CRISPR/Cas9 to target indels and point mutations in the first exon of the sodium channel gene </w:t>
      </w:r>
      <w:r w:rsidR="009B58A7" w:rsidRPr="00A1728C">
        <w:rPr>
          <w:i/>
          <w:color w:val="auto"/>
        </w:rPr>
        <w:t>scn4aa</w:t>
      </w:r>
      <w:r w:rsidR="009B58A7" w:rsidRPr="00A1728C">
        <w:rPr>
          <w:color w:val="auto"/>
        </w:rPr>
        <w:t xml:space="preserve">. </w:t>
      </w:r>
      <w:r w:rsidR="003B19E3" w:rsidRPr="00A1728C">
        <w:rPr>
          <w:color w:val="auto"/>
        </w:rPr>
        <w:t>Using</w:t>
      </w:r>
      <w:r w:rsidR="009B58A7" w:rsidRPr="00A1728C">
        <w:rPr>
          <w:color w:val="auto"/>
        </w:rPr>
        <w:t xml:space="preserve"> this protocol, embryos from both species </w:t>
      </w:r>
      <w:r w:rsidR="00755C89">
        <w:rPr>
          <w:color w:val="auto"/>
        </w:rPr>
        <w:t xml:space="preserve">were </w:t>
      </w:r>
      <w:r w:rsidR="00755C89" w:rsidRPr="00A1728C">
        <w:rPr>
          <w:color w:val="auto"/>
        </w:rPr>
        <w:t xml:space="preserve">obtained </w:t>
      </w:r>
      <w:r w:rsidR="009B58A7" w:rsidRPr="00A1728C">
        <w:rPr>
          <w:color w:val="auto"/>
        </w:rPr>
        <w:t xml:space="preserve">and genotyped to confirm that the predicted mutations in the first exon of the sodium channel </w:t>
      </w:r>
      <w:r w:rsidR="009B58A7" w:rsidRPr="00A1728C">
        <w:rPr>
          <w:i/>
          <w:color w:val="auto"/>
        </w:rPr>
        <w:t>scn4aa</w:t>
      </w:r>
      <w:r w:rsidR="009B58A7" w:rsidRPr="00A1728C">
        <w:rPr>
          <w:color w:val="auto"/>
        </w:rPr>
        <w:t xml:space="preserve"> were present. The knock-out success phenotype was confirmed with recordings showing reduced electric organ discharge </w:t>
      </w:r>
      <w:r w:rsidR="009B58A7" w:rsidRPr="003D419B">
        <w:rPr>
          <w:color w:val="auto"/>
        </w:rPr>
        <w:t>amplitudes</w:t>
      </w:r>
      <w:r w:rsidR="009B58A7" w:rsidRPr="00A1728C">
        <w:rPr>
          <w:color w:val="auto"/>
        </w:rPr>
        <w:t xml:space="preserve"> when compared to </w:t>
      </w:r>
      <w:proofErr w:type="spellStart"/>
      <w:r w:rsidR="009B58A7" w:rsidRPr="00A1728C">
        <w:rPr>
          <w:color w:val="auto"/>
        </w:rPr>
        <w:t>uninjected</w:t>
      </w:r>
      <w:proofErr w:type="spellEnd"/>
      <w:r w:rsidR="009B58A7" w:rsidRPr="00A1728C">
        <w:rPr>
          <w:color w:val="auto"/>
        </w:rPr>
        <w:t xml:space="preserve"> size-matched controls.</w:t>
      </w:r>
    </w:p>
    <w:p w14:paraId="000A6593" w14:textId="77777777" w:rsidR="00A1728C" w:rsidRPr="00A1728C" w:rsidRDefault="00A1728C" w:rsidP="00A1728C">
      <w:pPr>
        <w:rPr>
          <w:color w:val="auto"/>
        </w:rPr>
      </w:pPr>
    </w:p>
    <w:p w14:paraId="53B3E7FC" w14:textId="77777777" w:rsidR="009B58A7" w:rsidRPr="00A1728C" w:rsidRDefault="009B58A7" w:rsidP="00A1728C">
      <w:pPr>
        <w:rPr>
          <w:color w:val="auto"/>
        </w:rPr>
      </w:pPr>
      <w:r w:rsidRPr="00A1728C">
        <w:rPr>
          <w:b/>
          <w:color w:val="auto"/>
        </w:rPr>
        <w:t>INTRODUCTION</w:t>
      </w:r>
      <w:r w:rsidRPr="00A1728C">
        <w:rPr>
          <w:b/>
          <w:bCs/>
          <w:color w:val="auto"/>
        </w:rPr>
        <w:t>:</w:t>
      </w:r>
      <w:r w:rsidRPr="00A1728C">
        <w:rPr>
          <w:color w:val="auto"/>
        </w:rPr>
        <w:t xml:space="preserve"> </w:t>
      </w:r>
    </w:p>
    <w:p w14:paraId="1D17384A" w14:textId="533A38AD" w:rsidR="002106AB" w:rsidRDefault="009B58A7" w:rsidP="00A1728C">
      <w:pPr>
        <w:rPr>
          <w:color w:val="auto"/>
        </w:rPr>
      </w:pPr>
      <w:r w:rsidRPr="00A1728C">
        <w:rPr>
          <w:color w:val="auto"/>
        </w:rPr>
        <w:t xml:space="preserve">Electroreception and electrogenesis have </w:t>
      </w:r>
      <w:r w:rsidR="00755C89">
        <w:rPr>
          <w:color w:val="auto"/>
        </w:rPr>
        <w:t>changed</w:t>
      </w:r>
      <w:r w:rsidR="00755C89" w:rsidRPr="00A1728C">
        <w:rPr>
          <w:color w:val="auto"/>
        </w:rPr>
        <w:t xml:space="preserve"> </w:t>
      </w:r>
      <w:r w:rsidRPr="00A1728C">
        <w:rPr>
          <w:color w:val="auto"/>
        </w:rPr>
        <w:t xml:space="preserve">in the evolutionary history of vertebrates. Two lineages of teleost fish, </w:t>
      </w:r>
      <w:proofErr w:type="spellStart"/>
      <w:r w:rsidRPr="00A1728C">
        <w:rPr>
          <w:color w:val="auto"/>
        </w:rPr>
        <w:t>osteoglossiformes</w:t>
      </w:r>
      <w:proofErr w:type="spellEnd"/>
      <w:r w:rsidRPr="00A1728C">
        <w:rPr>
          <w:color w:val="auto"/>
        </w:rPr>
        <w:t xml:space="preserve"> and </w:t>
      </w:r>
      <w:proofErr w:type="spellStart"/>
      <w:r w:rsidRPr="00A1728C">
        <w:rPr>
          <w:color w:val="auto"/>
        </w:rPr>
        <w:t>siluriformes</w:t>
      </w:r>
      <w:proofErr w:type="spellEnd"/>
      <w:r w:rsidRPr="00A1728C">
        <w:rPr>
          <w:color w:val="auto"/>
        </w:rPr>
        <w:t xml:space="preserve">, evolved electroreception in parallel, and five lineages of </w:t>
      </w:r>
      <w:proofErr w:type="spellStart"/>
      <w:r w:rsidRPr="00A1728C">
        <w:rPr>
          <w:color w:val="auto"/>
        </w:rPr>
        <w:t>teleosts</w:t>
      </w:r>
      <w:proofErr w:type="spellEnd"/>
      <w:r w:rsidRPr="00A1728C">
        <w:rPr>
          <w:color w:val="auto"/>
        </w:rPr>
        <w:t xml:space="preserve"> (</w:t>
      </w:r>
      <w:proofErr w:type="spellStart"/>
      <w:r w:rsidR="00755C89" w:rsidRPr="00A1728C">
        <w:rPr>
          <w:color w:val="auto"/>
        </w:rPr>
        <w:t>gymnotiformes</w:t>
      </w:r>
      <w:proofErr w:type="spellEnd"/>
      <w:r w:rsidRPr="00A1728C">
        <w:rPr>
          <w:color w:val="auto"/>
        </w:rPr>
        <w:t xml:space="preserve">, mormyrids, and the genera </w:t>
      </w:r>
      <w:proofErr w:type="spellStart"/>
      <w:r w:rsidRPr="00A1728C">
        <w:rPr>
          <w:i/>
          <w:color w:val="auto"/>
        </w:rPr>
        <w:t>Astroscopus</w:t>
      </w:r>
      <w:proofErr w:type="spellEnd"/>
      <w:r w:rsidRPr="00A1728C">
        <w:rPr>
          <w:color w:val="auto"/>
        </w:rPr>
        <w:t xml:space="preserve">, </w:t>
      </w:r>
      <w:proofErr w:type="spellStart"/>
      <w:r w:rsidRPr="00A1728C">
        <w:rPr>
          <w:i/>
          <w:color w:val="auto"/>
        </w:rPr>
        <w:t>Malapterurus</w:t>
      </w:r>
      <w:proofErr w:type="spellEnd"/>
      <w:r w:rsidRPr="00A1728C">
        <w:rPr>
          <w:i/>
          <w:color w:val="auto"/>
        </w:rPr>
        <w:t xml:space="preserve">, </w:t>
      </w:r>
      <w:r w:rsidRPr="00A1728C">
        <w:rPr>
          <w:color w:val="auto"/>
        </w:rPr>
        <w:t xml:space="preserve">and </w:t>
      </w:r>
      <w:proofErr w:type="spellStart"/>
      <w:r w:rsidRPr="00A1728C">
        <w:rPr>
          <w:i/>
          <w:color w:val="auto"/>
        </w:rPr>
        <w:t>Synodontis</w:t>
      </w:r>
      <w:proofErr w:type="spellEnd"/>
      <w:r w:rsidRPr="00A1728C">
        <w:rPr>
          <w:color w:val="auto"/>
        </w:rPr>
        <w:t>) evolved electrogenesis in parallel.</w:t>
      </w:r>
      <w:r w:rsidR="00F94BA1">
        <w:rPr>
          <w:color w:val="auto"/>
        </w:rPr>
        <w:t xml:space="preserve"> </w:t>
      </w:r>
      <w:r w:rsidRPr="00A1728C">
        <w:rPr>
          <w:color w:val="auto"/>
        </w:rPr>
        <w:t>There is a striking degree of convergence in these independently derived phenotypes, which share a common genetic architecture</w:t>
      </w:r>
      <w:r w:rsidRPr="00A1728C">
        <w:rPr>
          <w:noProof/>
          <w:color w:val="auto"/>
          <w:vertAlign w:val="superscript"/>
        </w:rPr>
        <w:t>1-3</w:t>
      </w:r>
      <w:r w:rsidRPr="00A1728C">
        <w:rPr>
          <w:color w:val="auto"/>
        </w:rPr>
        <w:t>.</w:t>
      </w:r>
    </w:p>
    <w:p w14:paraId="37D78F1F" w14:textId="092778BB" w:rsidR="009B58A7" w:rsidRPr="00A1728C" w:rsidRDefault="009B58A7" w:rsidP="00A1728C">
      <w:pPr>
        <w:rPr>
          <w:color w:val="auto"/>
        </w:rPr>
      </w:pPr>
    </w:p>
    <w:p w14:paraId="09164905" w14:textId="7AD7CE88" w:rsidR="002106AB" w:rsidRDefault="009B58A7" w:rsidP="00A1728C">
      <w:pPr>
        <w:rPr>
          <w:color w:val="auto"/>
        </w:rPr>
      </w:pPr>
      <w:r w:rsidRPr="00A1728C">
        <w:rPr>
          <w:color w:val="auto"/>
        </w:rPr>
        <w:t xml:space="preserve">This is perhaps best exemplified by the numerous convergent features of gymnotiforms and mormyrids, two species-rich teleost clades, which produce and detect weak electric fields and are </w:t>
      </w:r>
      <w:r w:rsidR="00755C89">
        <w:rPr>
          <w:color w:val="auto"/>
        </w:rPr>
        <w:t>called</w:t>
      </w:r>
      <w:r w:rsidRPr="00A1728C">
        <w:rPr>
          <w:color w:val="auto"/>
        </w:rPr>
        <w:t xml:space="preserve"> weakly electric fish. In the 50 years since the discovery that weakly electric fish use electricity to sense their surroundings and communicate</w:t>
      </w:r>
      <w:r w:rsidRPr="00A1728C">
        <w:rPr>
          <w:noProof/>
          <w:color w:val="auto"/>
          <w:vertAlign w:val="superscript"/>
        </w:rPr>
        <w:t>4</w:t>
      </w:r>
      <w:r w:rsidRPr="00A1728C">
        <w:rPr>
          <w:color w:val="auto"/>
        </w:rPr>
        <w:t>, a growing community of scientists has gained tremendous insights into evolution of development</w:t>
      </w:r>
      <w:r w:rsidRPr="00A1728C">
        <w:rPr>
          <w:noProof/>
          <w:color w:val="auto"/>
          <w:vertAlign w:val="superscript"/>
        </w:rPr>
        <w:t>1,5,6</w:t>
      </w:r>
      <w:r w:rsidRPr="00A1728C">
        <w:rPr>
          <w:color w:val="auto"/>
        </w:rPr>
        <w:t>, systems and circuits neuroscience</w:t>
      </w:r>
      <w:r w:rsidRPr="00A1728C">
        <w:rPr>
          <w:noProof/>
          <w:color w:val="auto"/>
          <w:vertAlign w:val="superscript"/>
        </w:rPr>
        <w:t>7-10</w:t>
      </w:r>
      <w:r w:rsidRPr="00A1728C">
        <w:rPr>
          <w:color w:val="auto"/>
        </w:rPr>
        <w:t>, cellular physiology</w:t>
      </w:r>
      <w:r w:rsidRPr="00A1728C">
        <w:rPr>
          <w:noProof/>
          <w:color w:val="auto"/>
          <w:vertAlign w:val="superscript"/>
        </w:rPr>
        <w:t>11,12</w:t>
      </w:r>
      <w:r w:rsidRPr="00A1728C">
        <w:rPr>
          <w:color w:val="auto"/>
        </w:rPr>
        <w:t>, ecology and energetics</w:t>
      </w:r>
      <w:r w:rsidRPr="00A1728C">
        <w:rPr>
          <w:noProof/>
          <w:color w:val="auto"/>
          <w:vertAlign w:val="superscript"/>
        </w:rPr>
        <w:t>13-17</w:t>
      </w:r>
      <w:r w:rsidRPr="00A1728C">
        <w:rPr>
          <w:color w:val="auto"/>
        </w:rPr>
        <w:t>, behavior</w:t>
      </w:r>
      <w:r w:rsidRPr="00A1728C">
        <w:rPr>
          <w:noProof/>
          <w:color w:val="auto"/>
          <w:vertAlign w:val="superscript"/>
        </w:rPr>
        <w:t>18,19</w:t>
      </w:r>
      <w:r w:rsidRPr="00A1728C">
        <w:rPr>
          <w:color w:val="auto"/>
        </w:rPr>
        <w:t>, and macroevolution</w:t>
      </w:r>
      <w:r w:rsidRPr="00A1728C">
        <w:rPr>
          <w:noProof/>
          <w:color w:val="auto"/>
          <w:vertAlign w:val="superscript"/>
        </w:rPr>
        <w:t>3,20,21</w:t>
      </w:r>
      <w:r w:rsidRPr="00A1728C">
        <w:rPr>
          <w:color w:val="auto"/>
        </w:rPr>
        <w:t>.</w:t>
      </w:r>
    </w:p>
    <w:p w14:paraId="639A67FC" w14:textId="0DD78503" w:rsidR="009B58A7" w:rsidRPr="00A1728C" w:rsidRDefault="009B58A7" w:rsidP="00A1728C">
      <w:pPr>
        <w:rPr>
          <w:color w:val="auto"/>
        </w:rPr>
      </w:pPr>
    </w:p>
    <w:p w14:paraId="35941294" w14:textId="27A9D242" w:rsidR="009B58A7" w:rsidRPr="00A1728C" w:rsidRDefault="009B58A7" w:rsidP="00A1728C">
      <w:pPr>
        <w:rPr>
          <w:color w:val="auto"/>
        </w:rPr>
      </w:pPr>
      <w:r w:rsidRPr="00A1728C">
        <w:rPr>
          <w:color w:val="auto"/>
        </w:rPr>
        <w:t>More recently, there has been a proliferation of genomic</w:t>
      </w:r>
      <w:r w:rsidR="00A235EC" w:rsidRPr="00A1728C">
        <w:rPr>
          <w:color w:val="auto"/>
        </w:rPr>
        <w:t>, transcriptomic, and proteomic</w:t>
      </w:r>
      <w:r w:rsidRPr="00A1728C">
        <w:rPr>
          <w:color w:val="auto"/>
        </w:rPr>
        <w:t xml:space="preserve"> resources for electric fish</w:t>
      </w:r>
      <w:r w:rsidRPr="00A1728C">
        <w:rPr>
          <w:noProof/>
          <w:color w:val="auto"/>
          <w:vertAlign w:val="superscript"/>
        </w:rPr>
        <w:t>1,22-28</w:t>
      </w:r>
      <w:r w:rsidRPr="00A1728C">
        <w:rPr>
          <w:color w:val="auto"/>
        </w:rPr>
        <w:t xml:space="preserve">. Use of these resources has already </w:t>
      </w:r>
      <w:r w:rsidR="00755C89">
        <w:rPr>
          <w:color w:val="auto"/>
        </w:rPr>
        <w:t>produced</w:t>
      </w:r>
      <w:r w:rsidR="00755C89" w:rsidRPr="00A1728C">
        <w:rPr>
          <w:color w:val="auto"/>
        </w:rPr>
        <w:t xml:space="preserve"> </w:t>
      </w:r>
      <w:r w:rsidRPr="00A1728C">
        <w:rPr>
          <w:color w:val="auto"/>
        </w:rPr>
        <w:t>important insights regard</w:t>
      </w:r>
      <w:r w:rsidR="00755C89">
        <w:rPr>
          <w:color w:val="auto"/>
        </w:rPr>
        <w:t>ing</w:t>
      </w:r>
      <w:r w:rsidRPr="00A1728C">
        <w:rPr>
          <w:color w:val="auto"/>
        </w:rPr>
        <w:t xml:space="preserve"> the connection between genotype and phenotype in these species</w:t>
      </w:r>
      <w:r w:rsidRPr="00A1728C">
        <w:rPr>
          <w:noProof/>
          <w:color w:val="auto"/>
          <w:vertAlign w:val="superscript"/>
        </w:rPr>
        <w:t>1-3,28-30</w:t>
      </w:r>
      <w:r w:rsidRPr="00A1728C">
        <w:rPr>
          <w:color w:val="auto"/>
        </w:rPr>
        <w:t>.</w:t>
      </w:r>
      <w:r w:rsidR="00F94BA1">
        <w:rPr>
          <w:color w:val="auto"/>
        </w:rPr>
        <w:t xml:space="preserve"> </w:t>
      </w:r>
      <w:r w:rsidRPr="00A1728C">
        <w:rPr>
          <w:color w:val="auto"/>
        </w:rPr>
        <w:t>A major obstacle to integrating genomics data with phenotypic data of weakly electric fish is a present lack of functional genomics tools</w:t>
      </w:r>
      <w:r w:rsidRPr="00A1728C">
        <w:rPr>
          <w:noProof/>
          <w:color w:val="auto"/>
          <w:vertAlign w:val="superscript"/>
        </w:rPr>
        <w:t>31</w:t>
      </w:r>
      <w:r w:rsidRPr="00A1728C">
        <w:rPr>
          <w:color w:val="auto"/>
        </w:rPr>
        <w:t>.</w:t>
      </w:r>
    </w:p>
    <w:p w14:paraId="15DE2D6D" w14:textId="77777777" w:rsidR="002106AB" w:rsidRDefault="002106AB" w:rsidP="00A1728C">
      <w:pPr>
        <w:rPr>
          <w:color w:val="auto"/>
          <w:shd w:val="clear" w:color="auto" w:fill="FFFFFF"/>
        </w:rPr>
      </w:pPr>
    </w:p>
    <w:p w14:paraId="6B3C5FBB" w14:textId="0E9DD417" w:rsidR="002106AB" w:rsidRDefault="009B58A7" w:rsidP="00A1728C">
      <w:pPr>
        <w:rPr>
          <w:color w:val="auto"/>
          <w:shd w:val="clear" w:color="auto" w:fill="FFFFFF"/>
        </w:rPr>
      </w:pPr>
      <w:r w:rsidRPr="00A1728C">
        <w:rPr>
          <w:color w:val="auto"/>
          <w:shd w:val="clear" w:color="auto" w:fill="FFFFFF"/>
        </w:rPr>
        <w:t xml:space="preserve">One such tool is the recently developed Clustered Regularly Interspaced Short Palindromic Repeats paired with Cas9 endonuclease (CRISPR/Cas9, CRISPR) technique. CRISPR/Cas9 </w:t>
      </w:r>
      <w:r w:rsidRPr="00A1728C">
        <w:rPr>
          <w:color w:val="auto"/>
        </w:rPr>
        <w:t>is a genome editing tool that has entered widespread use in both model</w:t>
      </w:r>
      <w:r w:rsidRPr="00A1728C">
        <w:rPr>
          <w:noProof/>
          <w:color w:val="auto"/>
          <w:vertAlign w:val="superscript"/>
        </w:rPr>
        <w:t>32-34</w:t>
      </w:r>
      <w:r w:rsidRPr="00A1728C">
        <w:rPr>
          <w:color w:val="auto"/>
        </w:rPr>
        <w:t xml:space="preserve"> and non-model organisms</w:t>
      </w:r>
      <w:r w:rsidRPr="00A1728C">
        <w:rPr>
          <w:noProof/>
          <w:color w:val="auto"/>
          <w:vertAlign w:val="superscript"/>
        </w:rPr>
        <w:t>35-37</w:t>
      </w:r>
      <w:r w:rsidRPr="00A1728C">
        <w:rPr>
          <w:color w:val="auto"/>
        </w:rPr>
        <w:t xml:space="preserve"> alike.</w:t>
      </w:r>
      <w:r w:rsidR="00F94BA1">
        <w:rPr>
          <w:color w:val="auto"/>
        </w:rPr>
        <w:t xml:space="preserve"> </w:t>
      </w:r>
      <w:r w:rsidRPr="00A1728C">
        <w:rPr>
          <w:color w:val="auto"/>
        </w:rPr>
        <w:t xml:space="preserve">CRISPR/Cas9 technology has progressed to a point where a </w:t>
      </w:r>
      <w:r w:rsidR="00755C89" w:rsidRPr="00623A4C">
        <w:rPr>
          <w:color w:val="auto"/>
        </w:rPr>
        <w:t>laboratory</w:t>
      </w:r>
      <w:r w:rsidR="00755C89" w:rsidRPr="00A1728C">
        <w:rPr>
          <w:color w:val="auto"/>
        </w:rPr>
        <w:t xml:space="preserve"> </w:t>
      </w:r>
      <w:r w:rsidRPr="00A1728C">
        <w:rPr>
          <w:color w:val="auto"/>
        </w:rPr>
        <w:t>capable of basic molecular biology can easily generate gene</w:t>
      </w:r>
      <w:r w:rsidR="00755C89">
        <w:rPr>
          <w:color w:val="auto"/>
        </w:rPr>
        <w:t>-</w:t>
      </w:r>
      <w:r w:rsidRPr="00A1728C">
        <w:rPr>
          <w:color w:val="auto"/>
        </w:rPr>
        <w:t>specific probes called short guide RNAs (sgRNAs)</w:t>
      </w:r>
      <w:r w:rsidR="00755C89">
        <w:rPr>
          <w:color w:val="auto"/>
        </w:rPr>
        <w:t>,</w:t>
      </w:r>
      <w:r w:rsidRPr="00A1728C">
        <w:rPr>
          <w:color w:val="auto"/>
        </w:rPr>
        <w:t xml:space="preserve"> </w:t>
      </w:r>
      <w:r w:rsidR="0078744C">
        <w:rPr>
          <w:color w:val="auto"/>
        </w:rPr>
        <w:t>at a</w:t>
      </w:r>
      <w:r w:rsidRPr="00A1728C">
        <w:rPr>
          <w:color w:val="auto"/>
        </w:rPr>
        <w:t xml:space="preserve"> </w:t>
      </w:r>
      <w:r w:rsidRPr="0078744C">
        <w:rPr>
          <w:color w:val="auto"/>
        </w:rPr>
        <w:t>low cost using a non</w:t>
      </w:r>
      <w:r w:rsidRPr="00A1728C">
        <w:rPr>
          <w:color w:val="auto"/>
        </w:rPr>
        <w:t>-cloning method</w:t>
      </w:r>
      <w:r w:rsidRPr="00A1728C">
        <w:rPr>
          <w:noProof/>
          <w:color w:val="auto"/>
          <w:vertAlign w:val="superscript"/>
        </w:rPr>
        <w:t>38</w:t>
      </w:r>
      <w:r w:rsidRPr="00A1728C">
        <w:rPr>
          <w:color w:val="auto"/>
        </w:rPr>
        <w:t>. CRISPR has advantages over other knockout/knockdown strategies, such as morpholinos</w:t>
      </w:r>
      <w:r w:rsidRPr="00A1728C">
        <w:rPr>
          <w:noProof/>
          <w:color w:val="auto"/>
          <w:vertAlign w:val="superscript"/>
        </w:rPr>
        <w:t>39,40</w:t>
      </w:r>
      <w:r w:rsidRPr="00A1728C">
        <w:rPr>
          <w:color w:val="auto"/>
        </w:rPr>
        <w:t xml:space="preserve">, </w:t>
      </w:r>
      <w:r w:rsidRPr="00A1728C">
        <w:rPr>
          <w:color w:val="auto"/>
          <w:shd w:val="clear" w:color="auto" w:fill="FFFFFF"/>
        </w:rPr>
        <w:t>transcription activator-like effector nucleases (TALENs), and zinc finger nucleases (ZFNs)</w:t>
      </w:r>
      <w:r w:rsidR="00755C89">
        <w:rPr>
          <w:color w:val="auto"/>
          <w:shd w:val="clear" w:color="auto" w:fill="FFFFFF"/>
        </w:rPr>
        <w:t>,</w:t>
      </w:r>
      <w:r w:rsidRPr="00A1728C">
        <w:rPr>
          <w:color w:val="auto"/>
          <w:shd w:val="clear" w:color="auto" w:fill="FFFFFF"/>
        </w:rPr>
        <w:t xml:space="preserve"> which are costly and time-consuming to generate for every target gene. </w:t>
      </w:r>
    </w:p>
    <w:p w14:paraId="0C997E0D" w14:textId="482852B5" w:rsidR="009B58A7" w:rsidRPr="00A1728C" w:rsidRDefault="009B58A7" w:rsidP="00A1728C">
      <w:pPr>
        <w:rPr>
          <w:color w:val="auto"/>
        </w:rPr>
      </w:pPr>
    </w:p>
    <w:p w14:paraId="77857ABB" w14:textId="4BE09EA7" w:rsidR="009B58A7" w:rsidRPr="00A1728C" w:rsidRDefault="009B58A7" w:rsidP="00A1728C">
      <w:pPr>
        <w:rPr>
          <w:color w:val="auto"/>
          <w:shd w:val="clear" w:color="auto" w:fill="FFFFFF"/>
          <w:vertAlign w:val="subscript"/>
        </w:rPr>
      </w:pPr>
      <w:r w:rsidRPr="00A1728C">
        <w:rPr>
          <w:color w:val="auto"/>
        </w:rPr>
        <w:t xml:space="preserve">The CRISPR/Cas9 system functions to create gene knockouts by targeting a specific region of the genome, directed by the sgRNA sequence, and causing a </w:t>
      </w:r>
      <w:r w:rsidR="00755C89">
        <w:rPr>
          <w:color w:val="auto"/>
        </w:rPr>
        <w:t>double-stranded</w:t>
      </w:r>
      <w:r w:rsidRPr="00A1728C">
        <w:rPr>
          <w:color w:val="auto"/>
        </w:rPr>
        <w:t xml:space="preserve"> break. The double-stranded break is detected by the cell and triggers endogenous DNA repair mechanisms </w:t>
      </w:r>
      <w:r w:rsidRPr="00A1728C">
        <w:rPr>
          <w:color w:val="auto"/>
        </w:rPr>
        <w:lastRenderedPageBreak/>
        <w:t xml:space="preserve">preferentially using the non-homologous end joining (NHEJ) pathway. This pathway is highly error-prone: during the repair process, the DNA molecule will often incorporate insertions or deletions (indels) at the </w:t>
      </w:r>
      <w:r w:rsidR="00755C89">
        <w:rPr>
          <w:color w:val="auto"/>
        </w:rPr>
        <w:t>double-stranded</w:t>
      </w:r>
      <w:r w:rsidRPr="00A1728C">
        <w:rPr>
          <w:color w:val="auto"/>
        </w:rPr>
        <w:t xml:space="preserve"> break site. These indels can result in a loss of function due to either (1) shifts in the open reading frame, (2) insertion of a premature stop codon, or (3) shifts in </w:t>
      </w:r>
      <w:r w:rsidR="0078744C">
        <w:rPr>
          <w:color w:val="auto"/>
        </w:rPr>
        <w:t xml:space="preserve">the </w:t>
      </w:r>
      <w:r w:rsidRPr="00A1728C">
        <w:rPr>
          <w:color w:val="auto"/>
        </w:rPr>
        <w:t xml:space="preserve">critical primary structure of the gene product. In this protocol, we utilize CRISPR/Cas9 editing to target point mutations in target genes using </w:t>
      </w:r>
      <w:r w:rsidR="0078744C">
        <w:rPr>
          <w:color w:val="auto"/>
        </w:rPr>
        <w:t xml:space="preserve">the </w:t>
      </w:r>
      <w:r w:rsidRPr="00A1728C">
        <w:rPr>
          <w:color w:val="auto"/>
        </w:rPr>
        <w:t>NHEJ in weakly electric fish species.</w:t>
      </w:r>
      <w:r w:rsidR="005E3DD0" w:rsidRPr="00A1728C">
        <w:rPr>
          <w:color w:val="auto"/>
        </w:rPr>
        <w:t xml:space="preserve"> </w:t>
      </w:r>
      <w:r w:rsidR="00755C89" w:rsidRPr="00A1728C">
        <w:rPr>
          <w:color w:val="auto"/>
        </w:rPr>
        <w:t>While simple</w:t>
      </w:r>
      <w:r w:rsidR="00755C89">
        <w:rPr>
          <w:color w:val="auto"/>
        </w:rPr>
        <w:t>r</w:t>
      </w:r>
      <w:r w:rsidR="00755C89" w:rsidRPr="00A1728C">
        <w:rPr>
          <w:color w:val="auto"/>
        </w:rPr>
        <w:t xml:space="preserve"> and </w:t>
      </w:r>
      <w:r w:rsidR="00755C89">
        <w:rPr>
          <w:color w:val="auto"/>
        </w:rPr>
        <w:t xml:space="preserve">more </w:t>
      </w:r>
      <w:r w:rsidR="00755C89" w:rsidRPr="00A1728C">
        <w:rPr>
          <w:color w:val="auto"/>
        </w:rPr>
        <w:t xml:space="preserve">efficient than other techniques, </w:t>
      </w:r>
      <w:r w:rsidR="00755C89">
        <w:rPr>
          <w:color w:val="auto"/>
        </w:rPr>
        <w:t>t</w:t>
      </w:r>
      <w:r w:rsidR="005E3DD0" w:rsidRPr="00A1728C">
        <w:rPr>
          <w:color w:val="auto"/>
        </w:rPr>
        <w:t xml:space="preserve">his </w:t>
      </w:r>
      <w:r w:rsidR="008F3EC5" w:rsidRPr="00A1728C">
        <w:rPr>
          <w:color w:val="auto"/>
        </w:rPr>
        <w:t>method of mutagenesis is expected to</w:t>
      </w:r>
      <w:r w:rsidR="005E3DD0" w:rsidRPr="00A1728C">
        <w:rPr>
          <w:color w:val="auto"/>
        </w:rPr>
        <w:t xml:space="preserve"> </w:t>
      </w:r>
      <w:r w:rsidR="008F3EC5" w:rsidRPr="00A1728C">
        <w:rPr>
          <w:color w:val="auto"/>
        </w:rPr>
        <w:t>result in a range of phenotypic severities in</w:t>
      </w:r>
      <w:r w:rsidR="00F94BA1">
        <w:rPr>
          <w:color w:val="auto"/>
        </w:rPr>
        <w:t xml:space="preserve"> </w:t>
      </w:r>
      <w:r w:rsidR="005E3DD0" w:rsidRPr="00A1728C">
        <w:rPr>
          <w:color w:val="auto"/>
        </w:rPr>
        <w:t>F</w:t>
      </w:r>
      <w:proofErr w:type="gramStart"/>
      <w:r w:rsidR="005E3DD0" w:rsidRPr="00A1728C">
        <w:rPr>
          <w:color w:val="auto"/>
          <w:vertAlign w:val="subscript"/>
        </w:rPr>
        <w:t xml:space="preserve">0 </w:t>
      </w:r>
      <w:r w:rsidR="008F3EC5" w:rsidRPr="00A1728C">
        <w:rPr>
          <w:color w:val="auto"/>
          <w:vertAlign w:val="subscript"/>
        </w:rPr>
        <w:t>,</w:t>
      </w:r>
      <w:proofErr w:type="gramEnd"/>
      <w:r w:rsidR="008F3EC5" w:rsidRPr="00A1728C">
        <w:rPr>
          <w:color w:val="auto"/>
          <w:vertAlign w:val="subscript"/>
        </w:rPr>
        <w:t xml:space="preserve"> </w:t>
      </w:r>
      <w:r w:rsidR="008F3EC5" w:rsidRPr="00A1728C">
        <w:rPr>
          <w:color w:val="auto"/>
        </w:rPr>
        <w:t>which</w:t>
      </w:r>
      <w:r w:rsidR="005E3DD0" w:rsidRPr="00A1728C">
        <w:rPr>
          <w:color w:val="auto"/>
        </w:rPr>
        <w:t xml:space="preserve"> </w:t>
      </w:r>
      <w:r w:rsidR="008F3EC5" w:rsidRPr="00A1728C">
        <w:rPr>
          <w:color w:val="auto"/>
        </w:rPr>
        <w:t xml:space="preserve">is attributed to </w:t>
      </w:r>
      <w:r w:rsidR="005E3DD0" w:rsidRPr="00A1728C">
        <w:rPr>
          <w:color w:val="auto"/>
        </w:rPr>
        <w:t>genetic mosaicism</w:t>
      </w:r>
      <w:r w:rsidR="001F7253" w:rsidRPr="00A1728C">
        <w:rPr>
          <w:color w:val="auto"/>
          <w:vertAlign w:val="superscript"/>
        </w:rPr>
        <w:t>41-44</w:t>
      </w:r>
      <w:r w:rsidR="005E3DD0" w:rsidRPr="00A1728C">
        <w:rPr>
          <w:color w:val="auto"/>
        </w:rPr>
        <w:t>.</w:t>
      </w:r>
    </w:p>
    <w:p w14:paraId="56C2591C" w14:textId="77777777" w:rsidR="009B58A7" w:rsidRPr="00A1728C" w:rsidRDefault="009B58A7" w:rsidP="00A1728C">
      <w:pPr>
        <w:shd w:val="clear" w:color="auto" w:fill="FFFFFF"/>
        <w:rPr>
          <w:i/>
          <w:color w:val="auto"/>
        </w:rPr>
      </w:pPr>
    </w:p>
    <w:p w14:paraId="78E166B4" w14:textId="77777777" w:rsidR="009B58A7" w:rsidRPr="000F1CEB" w:rsidRDefault="009B58A7" w:rsidP="00A1728C">
      <w:pPr>
        <w:shd w:val="clear" w:color="auto" w:fill="FFFFFF"/>
        <w:rPr>
          <w:b/>
          <w:bCs/>
          <w:iCs/>
          <w:color w:val="auto"/>
        </w:rPr>
      </w:pPr>
      <w:r w:rsidRPr="000F1CEB">
        <w:rPr>
          <w:b/>
          <w:bCs/>
          <w:iCs/>
          <w:color w:val="auto"/>
        </w:rPr>
        <w:t>Selection of Organisms</w:t>
      </w:r>
    </w:p>
    <w:p w14:paraId="7A2DF7EE" w14:textId="61EE78BA" w:rsidR="009B58A7" w:rsidRPr="00A1728C" w:rsidRDefault="009B58A7" w:rsidP="00A1728C">
      <w:pPr>
        <w:shd w:val="clear" w:color="auto" w:fill="FFFFFF"/>
        <w:rPr>
          <w:color w:val="auto"/>
        </w:rPr>
      </w:pPr>
      <w:r w:rsidRPr="00A1728C">
        <w:rPr>
          <w:color w:val="auto"/>
        </w:rPr>
        <w:t>For the purposes of facilitating future studies on the comparative genomics of weakly electric fish, a representative species for both gymnotiforms and mormyrids for protocol development</w:t>
      </w:r>
      <w:r w:rsidR="0078744C">
        <w:rPr>
          <w:color w:val="auto"/>
        </w:rPr>
        <w:t xml:space="preserve"> needed to be selected</w:t>
      </w:r>
      <w:r w:rsidRPr="00A1728C">
        <w:rPr>
          <w:color w:val="auto"/>
        </w:rPr>
        <w:t xml:space="preserve">. </w:t>
      </w:r>
      <w:r w:rsidR="001F72F1" w:rsidRPr="00A1728C">
        <w:rPr>
          <w:color w:val="auto"/>
        </w:rPr>
        <w:t xml:space="preserve">Following discussions during the 2016 </w:t>
      </w:r>
      <w:r w:rsidR="008F3EC5" w:rsidRPr="00A1728C">
        <w:rPr>
          <w:color w:val="auto"/>
        </w:rPr>
        <w:t>E</w:t>
      </w:r>
      <w:r w:rsidR="001F72F1" w:rsidRPr="00A1728C">
        <w:rPr>
          <w:color w:val="auto"/>
        </w:rPr>
        <w:t xml:space="preserve">lectric </w:t>
      </w:r>
      <w:r w:rsidR="008F3EC5" w:rsidRPr="00A1728C">
        <w:rPr>
          <w:color w:val="auto"/>
        </w:rPr>
        <w:t>F</w:t>
      </w:r>
      <w:r w:rsidR="001F72F1" w:rsidRPr="00A1728C">
        <w:rPr>
          <w:color w:val="auto"/>
        </w:rPr>
        <w:t>ish meeting</w:t>
      </w:r>
      <w:r w:rsidR="008F3EC5" w:rsidRPr="00A1728C">
        <w:rPr>
          <w:color w:val="auto"/>
        </w:rPr>
        <w:t xml:space="preserve"> in Montevideo, Uruguay</w:t>
      </w:r>
      <w:r w:rsidR="001F72F1" w:rsidRPr="00A1728C">
        <w:rPr>
          <w:color w:val="auto"/>
        </w:rPr>
        <w:t xml:space="preserve">, there was </w:t>
      </w:r>
      <w:r w:rsidR="008F3EC5" w:rsidRPr="00A1728C">
        <w:rPr>
          <w:color w:val="auto"/>
        </w:rPr>
        <w:t>community</w:t>
      </w:r>
      <w:r w:rsidR="001F72F1" w:rsidRPr="00A1728C">
        <w:rPr>
          <w:color w:val="auto"/>
        </w:rPr>
        <w:t xml:space="preserve"> consensus to utilize species that already could be bred in the laboratory and that had genomic resources available. T</w:t>
      </w:r>
      <w:r w:rsidRPr="00A1728C">
        <w:rPr>
          <w:color w:val="auto"/>
        </w:rPr>
        <w:t xml:space="preserve">he gymnotiform </w:t>
      </w:r>
      <w:proofErr w:type="spellStart"/>
      <w:r w:rsidRPr="00A1728C">
        <w:rPr>
          <w:i/>
          <w:color w:val="auto"/>
        </w:rPr>
        <w:t>Brachyhypopomus</w:t>
      </w:r>
      <w:proofErr w:type="spellEnd"/>
      <w:r w:rsidRPr="00A1728C">
        <w:rPr>
          <w:i/>
          <w:color w:val="auto"/>
        </w:rPr>
        <w:t xml:space="preserve"> </w:t>
      </w:r>
      <w:proofErr w:type="spellStart"/>
      <w:r w:rsidRPr="00A1728C">
        <w:rPr>
          <w:i/>
          <w:color w:val="auto"/>
        </w:rPr>
        <w:t>gauderio</w:t>
      </w:r>
      <w:proofErr w:type="spellEnd"/>
      <w:r w:rsidRPr="00A1728C">
        <w:rPr>
          <w:i/>
          <w:color w:val="auto"/>
        </w:rPr>
        <w:t xml:space="preserve"> </w:t>
      </w:r>
      <w:r w:rsidRPr="00A1728C">
        <w:rPr>
          <w:color w:val="auto"/>
        </w:rPr>
        <w:t>and the</w:t>
      </w:r>
      <w:r w:rsidRPr="00A1728C">
        <w:rPr>
          <w:i/>
          <w:color w:val="auto"/>
        </w:rPr>
        <w:t xml:space="preserve"> </w:t>
      </w:r>
      <w:r w:rsidRPr="00A1728C">
        <w:rPr>
          <w:color w:val="auto"/>
        </w:rPr>
        <w:t xml:space="preserve">mormyrid </w:t>
      </w:r>
      <w:proofErr w:type="spellStart"/>
      <w:r w:rsidRPr="00A1728C">
        <w:rPr>
          <w:i/>
          <w:color w:val="auto"/>
        </w:rPr>
        <w:t>Brienomyrus</w:t>
      </w:r>
      <w:proofErr w:type="spellEnd"/>
      <w:r w:rsidRPr="00A1728C">
        <w:rPr>
          <w:i/>
          <w:color w:val="auto"/>
        </w:rPr>
        <w:t xml:space="preserve"> </w:t>
      </w:r>
      <w:proofErr w:type="spellStart"/>
      <w:r w:rsidRPr="00A1728C">
        <w:rPr>
          <w:i/>
          <w:color w:val="auto"/>
        </w:rPr>
        <w:t>brachyistius</w:t>
      </w:r>
      <w:proofErr w:type="spellEnd"/>
      <w:r w:rsidR="001F72F1" w:rsidRPr="00A1728C">
        <w:rPr>
          <w:i/>
          <w:color w:val="auto"/>
        </w:rPr>
        <w:t xml:space="preserve"> </w:t>
      </w:r>
      <w:r w:rsidR="001F72F1" w:rsidRPr="00A1728C">
        <w:rPr>
          <w:iCs/>
          <w:color w:val="auto"/>
        </w:rPr>
        <w:t>were selected as species that fit these criteria</w:t>
      </w:r>
      <w:r w:rsidRPr="00A1728C">
        <w:rPr>
          <w:i/>
          <w:color w:val="auto"/>
        </w:rPr>
        <w:t xml:space="preserve">. </w:t>
      </w:r>
      <w:r w:rsidRPr="00A1728C">
        <w:rPr>
          <w:color w:val="auto"/>
        </w:rPr>
        <w:t>In both species, natural cues to induce and maintain breeding condition</w:t>
      </w:r>
      <w:r w:rsidR="00755C89">
        <w:rPr>
          <w:color w:val="auto"/>
        </w:rPr>
        <w:t>s</w:t>
      </w:r>
      <w:r w:rsidRPr="00A1728C">
        <w:rPr>
          <w:color w:val="auto"/>
        </w:rPr>
        <w:t xml:space="preserve"> are easy to mimic in captivity.</w:t>
      </w:r>
      <w:r w:rsidRPr="00A1728C">
        <w:rPr>
          <w:i/>
          <w:color w:val="auto"/>
        </w:rPr>
        <w:t xml:space="preserve"> B. </w:t>
      </w:r>
      <w:proofErr w:type="spellStart"/>
      <w:r w:rsidRPr="00A1728C">
        <w:rPr>
          <w:i/>
          <w:color w:val="auto"/>
        </w:rPr>
        <w:t>gauderio</w:t>
      </w:r>
      <w:proofErr w:type="spellEnd"/>
      <w:r w:rsidRPr="00A1728C">
        <w:rPr>
          <w:color w:val="auto"/>
        </w:rPr>
        <w:t>, a gymnotiform species from South America, has the advantage of low husbandry requirements: fish can be kept at relatively high density in relatively small (4</w:t>
      </w:r>
      <w:r w:rsidR="00852F9B">
        <w:rPr>
          <w:color w:val="auto"/>
        </w:rPr>
        <w:t xml:space="preserve"> </w:t>
      </w:r>
      <w:r w:rsidRPr="00A1728C">
        <w:rPr>
          <w:color w:val="auto"/>
        </w:rPr>
        <w:t xml:space="preserve">L) tanks. </w:t>
      </w:r>
      <w:r w:rsidRPr="00A1728C">
        <w:rPr>
          <w:i/>
          <w:color w:val="auto"/>
        </w:rPr>
        <w:t xml:space="preserve">B. </w:t>
      </w:r>
      <w:proofErr w:type="spellStart"/>
      <w:r w:rsidRPr="00A1728C">
        <w:rPr>
          <w:i/>
          <w:color w:val="auto"/>
        </w:rPr>
        <w:t>gauderio</w:t>
      </w:r>
      <w:proofErr w:type="spellEnd"/>
      <w:r w:rsidRPr="00A1728C">
        <w:rPr>
          <w:color w:val="auto"/>
        </w:rPr>
        <w:t xml:space="preserve"> also has fast generational turnover under captive conditions</w:t>
      </w:r>
      <w:r w:rsidRPr="00A1728C">
        <w:rPr>
          <w:i/>
          <w:color w:val="auto"/>
        </w:rPr>
        <w:t xml:space="preserve">. </w:t>
      </w:r>
      <w:r w:rsidR="00852F9B" w:rsidRPr="000F1CEB">
        <w:rPr>
          <w:iCs/>
          <w:color w:val="auto"/>
        </w:rPr>
        <w:t>U</w:t>
      </w:r>
      <w:r w:rsidRPr="00A1728C">
        <w:rPr>
          <w:color w:val="auto"/>
        </w:rPr>
        <w:t xml:space="preserve">nder laboratory conditions, </w:t>
      </w:r>
      <w:r w:rsidRPr="00A1728C">
        <w:rPr>
          <w:i/>
          <w:color w:val="auto"/>
        </w:rPr>
        <w:t xml:space="preserve">B. </w:t>
      </w:r>
      <w:proofErr w:type="spellStart"/>
      <w:r w:rsidRPr="00A1728C">
        <w:rPr>
          <w:i/>
          <w:color w:val="auto"/>
        </w:rPr>
        <w:t>gauderio</w:t>
      </w:r>
      <w:proofErr w:type="spellEnd"/>
      <w:r w:rsidRPr="00A1728C">
        <w:rPr>
          <w:i/>
          <w:color w:val="auto"/>
        </w:rPr>
        <w:t xml:space="preserve"> </w:t>
      </w:r>
      <w:r w:rsidR="00852F9B">
        <w:rPr>
          <w:iCs/>
          <w:color w:val="auto"/>
        </w:rPr>
        <w:t xml:space="preserve">can </w:t>
      </w:r>
      <w:r w:rsidRPr="00A1728C">
        <w:rPr>
          <w:color w:val="auto"/>
        </w:rPr>
        <w:t xml:space="preserve">develop from egg to adult in about 4 months. </w:t>
      </w:r>
    </w:p>
    <w:p w14:paraId="61DF0398" w14:textId="77777777" w:rsidR="009008EE" w:rsidRPr="00A1728C" w:rsidRDefault="009008EE" w:rsidP="00A1728C">
      <w:pPr>
        <w:shd w:val="clear" w:color="auto" w:fill="FFFFFF"/>
        <w:rPr>
          <w:color w:val="auto"/>
        </w:rPr>
      </w:pPr>
    </w:p>
    <w:p w14:paraId="508D5F12" w14:textId="5282D747" w:rsidR="009B58A7" w:rsidRPr="00A1728C" w:rsidRDefault="009B58A7" w:rsidP="00A1728C">
      <w:pPr>
        <w:rPr>
          <w:color w:val="auto"/>
        </w:rPr>
      </w:pPr>
      <w:r w:rsidRPr="00A1728C">
        <w:rPr>
          <w:i/>
          <w:color w:val="auto"/>
        </w:rPr>
        <w:t xml:space="preserve">B. </w:t>
      </w:r>
      <w:proofErr w:type="spellStart"/>
      <w:r w:rsidRPr="00A1728C">
        <w:rPr>
          <w:i/>
          <w:color w:val="auto"/>
        </w:rPr>
        <w:t>brachyistius</w:t>
      </w:r>
      <w:proofErr w:type="spellEnd"/>
      <w:r w:rsidRPr="00A1728C">
        <w:rPr>
          <w:i/>
          <w:color w:val="auto"/>
        </w:rPr>
        <w:t xml:space="preserve">, </w:t>
      </w:r>
      <w:r w:rsidRPr="00A1728C">
        <w:rPr>
          <w:color w:val="auto"/>
        </w:rPr>
        <w:t>a species of mormyrid fish from West-Central Africa, breeds readily in captivity.</w:t>
      </w:r>
      <w:r w:rsidR="00F94BA1">
        <w:rPr>
          <w:color w:val="auto"/>
        </w:rPr>
        <w:t xml:space="preserve"> </w:t>
      </w:r>
      <w:r w:rsidRPr="00A1728C">
        <w:rPr>
          <w:i/>
          <w:color w:val="auto"/>
        </w:rPr>
        <w:t xml:space="preserve">B. </w:t>
      </w:r>
      <w:proofErr w:type="spellStart"/>
      <w:r w:rsidRPr="00A1728C">
        <w:rPr>
          <w:i/>
          <w:color w:val="auto"/>
        </w:rPr>
        <w:t>brachyistius</w:t>
      </w:r>
      <w:proofErr w:type="spellEnd"/>
      <w:r w:rsidRPr="00A1728C">
        <w:rPr>
          <w:color w:val="auto"/>
        </w:rPr>
        <w:t xml:space="preserve"> is readily available through the aquarium trade, has been widely used in </w:t>
      </w:r>
      <w:r w:rsidR="0078744C">
        <w:rPr>
          <w:color w:val="auto"/>
        </w:rPr>
        <w:t>many</w:t>
      </w:r>
      <w:r w:rsidRPr="00A1728C">
        <w:rPr>
          <w:color w:val="auto"/>
        </w:rPr>
        <w:t xml:space="preserve"> studies, and now has </w:t>
      </w:r>
      <w:proofErr w:type="gramStart"/>
      <w:r w:rsidRPr="00A1728C">
        <w:rPr>
          <w:color w:val="auto"/>
        </w:rPr>
        <w:t>a number of</w:t>
      </w:r>
      <w:proofErr w:type="gramEnd"/>
      <w:r w:rsidRPr="00A1728C">
        <w:rPr>
          <w:color w:val="auto"/>
        </w:rPr>
        <w:t xml:space="preserve"> genomic resources available. </w:t>
      </w:r>
      <w:r w:rsidR="00852F9B">
        <w:rPr>
          <w:color w:val="auto"/>
        </w:rPr>
        <w:t>T</w:t>
      </w:r>
      <w:r w:rsidRPr="00A1728C">
        <w:rPr>
          <w:color w:val="auto"/>
        </w:rPr>
        <w:t>heir life cycle span</w:t>
      </w:r>
      <w:r w:rsidR="00852F9B">
        <w:rPr>
          <w:color w:val="auto"/>
        </w:rPr>
        <w:t>s</w:t>
      </w:r>
      <w:r w:rsidRPr="00A1728C">
        <w:rPr>
          <w:color w:val="auto"/>
        </w:rPr>
        <w:t xml:space="preserve"> 1</w:t>
      </w:r>
      <w:r w:rsidR="00852F9B" w:rsidRPr="00623A4C">
        <w:rPr>
          <w:color w:val="auto"/>
        </w:rPr>
        <w:t>−</w:t>
      </w:r>
      <w:r w:rsidRPr="00A1728C">
        <w:rPr>
          <w:color w:val="auto"/>
        </w:rPr>
        <w:t>3 years, depending on laboratory conditions.</w:t>
      </w:r>
      <w:r w:rsidR="00F94BA1">
        <w:rPr>
          <w:color w:val="auto"/>
        </w:rPr>
        <w:t xml:space="preserve"> </w:t>
      </w:r>
      <w:r w:rsidRPr="00A1728C">
        <w:rPr>
          <w:color w:val="auto"/>
        </w:rPr>
        <w:t>Husbandry requirements are somewhat more intensive for this species, requiring moderately sized tanks (50</w:t>
      </w:r>
      <w:r w:rsidR="00852F9B" w:rsidRPr="00623A4C">
        <w:rPr>
          <w:color w:val="auto"/>
        </w:rPr>
        <w:t>−</w:t>
      </w:r>
      <w:r w:rsidRPr="00A1728C">
        <w:rPr>
          <w:color w:val="auto"/>
        </w:rPr>
        <w:t>100</w:t>
      </w:r>
      <w:r w:rsidR="00852F9B">
        <w:rPr>
          <w:color w:val="auto"/>
        </w:rPr>
        <w:t xml:space="preserve"> </w:t>
      </w:r>
      <w:r w:rsidRPr="00A1728C">
        <w:rPr>
          <w:color w:val="auto"/>
        </w:rPr>
        <w:t>L) due to their aggression during breeding.</w:t>
      </w:r>
    </w:p>
    <w:p w14:paraId="6F0B4013" w14:textId="558D0425" w:rsidR="009008EE" w:rsidRPr="00A1728C" w:rsidRDefault="009008EE" w:rsidP="00A1728C">
      <w:pPr>
        <w:rPr>
          <w:color w:val="auto"/>
        </w:rPr>
      </w:pPr>
    </w:p>
    <w:p w14:paraId="1DE4EAE4" w14:textId="2DB9C377" w:rsidR="009008EE" w:rsidRPr="00A1728C" w:rsidRDefault="009008EE" w:rsidP="00A1728C">
      <w:pPr>
        <w:rPr>
          <w:color w:val="auto"/>
        </w:rPr>
      </w:pPr>
      <w:r w:rsidRPr="00A1728C">
        <w:rPr>
          <w:color w:val="auto"/>
        </w:rPr>
        <w:t xml:space="preserve">Laboratories studying other species of electric fish should be able to easily adapt this protocol </w:t>
      </w:r>
      <w:proofErr w:type="gramStart"/>
      <w:r w:rsidRPr="00A1728C">
        <w:rPr>
          <w:color w:val="auto"/>
        </w:rPr>
        <w:t>as long as</w:t>
      </w:r>
      <w:proofErr w:type="gramEnd"/>
      <w:r w:rsidRPr="00A1728C">
        <w:rPr>
          <w:color w:val="auto"/>
        </w:rPr>
        <w:t xml:space="preserve"> the species can be bred</w:t>
      </w:r>
      <w:r w:rsidR="00852F9B">
        <w:rPr>
          <w:color w:val="auto"/>
        </w:rPr>
        <w:t xml:space="preserve">, </w:t>
      </w:r>
      <w:r w:rsidR="0078744C">
        <w:rPr>
          <w:color w:val="auto"/>
        </w:rPr>
        <w:t xml:space="preserve">and </w:t>
      </w:r>
      <w:r w:rsidR="009C2209" w:rsidRPr="00A1728C">
        <w:rPr>
          <w:color w:val="auto"/>
        </w:rPr>
        <w:t xml:space="preserve">single cell embryos </w:t>
      </w:r>
      <w:r w:rsidR="0078744C">
        <w:rPr>
          <w:color w:val="auto"/>
        </w:rPr>
        <w:t xml:space="preserve">can be </w:t>
      </w:r>
      <w:r w:rsidR="009C2209" w:rsidRPr="00A1728C">
        <w:rPr>
          <w:color w:val="auto"/>
        </w:rPr>
        <w:t>collected</w:t>
      </w:r>
      <w:r w:rsidRPr="00A1728C">
        <w:rPr>
          <w:color w:val="auto"/>
        </w:rPr>
        <w:t xml:space="preserve"> and reared into adulthood. Housing, larval husbandry, and </w:t>
      </w:r>
      <w:r w:rsidR="0078744C">
        <w:rPr>
          <w:color w:val="auto"/>
        </w:rPr>
        <w:t>in vitro fertilization (</w:t>
      </w:r>
      <w:r w:rsidRPr="00A1728C">
        <w:rPr>
          <w:color w:val="auto"/>
        </w:rPr>
        <w:t>IVF</w:t>
      </w:r>
      <w:r w:rsidR="0078744C">
        <w:rPr>
          <w:color w:val="auto"/>
        </w:rPr>
        <w:t>)</w:t>
      </w:r>
      <w:r w:rsidRPr="00A1728C">
        <w:rPr>
          <w:color w:val="auto"/>
        </w:rPr>
        <w:t xml:space="preserve"> rates will likely change with other species; however, this protocol can be used as a starting point for breeding attempts in other weakly electric fish. </w:t>
      </w:r>
    </w:p>
    <w:p w14:paraId="5A8507E2" w14:textId="77777777" w:rsidR="009B58A7" w:rsidRPr="00A1728C" w:rsidRDefault="009B58A7" w:rsidP="00A1728C">
      <w:pPr>
        <w:shd w:val="clear" w:color="auto" w:fill="FFFFFF"/>
        <w:rPr>
          <w:color w:val="auto"/>
        </w:rPr>
      </w:pPr>
    </w:p>
    <w:p w14:paraId="3C8C5AD8" w14:textId="4FED8ECB" w:rsidR="009B58A7" w:rsidRPr="000F1CEB" w:rsidRDefault="009B58A7" w:rsidP="00A1728C">
      <w:pPr>
        <w:shd w:val="clear" w:color="auto" w:fill="FFFFFF"/>
        <w:rPr>
          <w:b/>
          <w:bCs/>
          <w:iCs/>
          <w:color w:val="auto"/>
        </w:rPr>
      </w:pPr>
      <w:r w:rsidRPr="000F1CEB">
        <w:rPr>
          <w:b/>
          <w:bCs/>
          <w:iCs/>
          <w:color w:val="auto"/>
        </w:rPr>
        <w:t>An Ideal Gene Target for Proof of Concept</w:t>
      </w:r>
      <w:r w:rsidR="0078744C">
        <w:rPr>
          <w:b/>
          <w:bCs/>
          <w:iCs/>
          <w:color w:val="auto"/>
        </w:rPr>
        <w:t xml:space="preserve">: </w:t>
      </w:r>
      <w:r w:rsidR="0078744C" w:rsidRPr="000F1CEB">
        <w:rPr>
          <w:b/>
          <w:bCs/>
          <w:iCs/>
          <w:color w:val="auto"/>
        </w:rPr>
        <w:t>scn4aa</w:t>
      </w:r>
    </w:p>
    <w:p w14:paraId="7849D21E" w14:textId="064233AB" w:rsidR="002106AB" w:rsidRDefault="009B58A7" w:rsidP="00A1728C">
      <w:pPr>
        <w:rPr>
          <w:color w:val="auto"/>
        </w:rPr>
      </w:pPr>
      <w:r w:rsidRPr="00A1728C">
        <w:rPr>
          <w:color w:val="auto"/>
        </w:rPr>
        <w:t xml:space="preserve">Weakly electric mormyrid and gymnotiform fish </w:t>
      </w:r>
      <w:r w:rsidRPr="00A1728C">
        <w:rPr>
          <w:iCs/>
          <w:color w:val="auto"/>
        </w:rPr>
        <w:t>generate electric fields (electrogenesis) by discharging a specialized organ, called the electric organ.</w:t>
      </w:r>
      <w:r w:rsidR="00F94BA1">
        <w:rPr>
          <w:iCs/>
          <w:color w:val="auto"/>
        </w:rPr>
        <w:t xml:space="preserve"> </w:t>
      </w:r>
      <w:r w:rsidRPr="00A1728C">
        <w:rPr>
          <w:iCs/>
          <w:color w:val="auto"/>
        </w:rPr>
        <w:t xml:space="preserve">Electric organ discharges (EODs) result from the simultaneous production of action potentials in the </w:t>
      </w:r>
      <w:r w:rsidR="00A235EC" w:rsidRPr="00A1728C">
        <w:rPr>
          <w:iCs/>
          <w:color w:val="auto"/>
        </w:rPr>
        <w:t>electric organ</w:t>
      </w:r>
      <w:r w:rsidR="00852F9B">
        <w:rPr>
          <w:iCs/>
          <w:color w:val="auto"/>
        </w:rPr>
        <w:t xml:space="preserve"> </w:t>
      </w:r>
      <w:r w:rsidRPr="00A1728C">
        <w:rPr>
          <w:iCs/>
          <w:color w:val="auto"/>
        </w:rPr>
        <w:t xml:space="preserve">cells called </w:t>
      </w:r>
      <w:proofErr w:type="spellStart"/>
      <w:r w:rsidRPr="00A1728C">
        <w:rPr>
          <w:iCs/>
          <w:color w:val="auto"/>
        </w:rPr>
        <w:t>electrocytes</w:t>
      </w:r>
      <w:proofErr w:type="spellEnd"/>
      <w:r w:rsidRPr="00A1728C">
        <w:rPr>
          <w:iCs/>
          <w:color w:val="auto"/>
        </w:rPr>
        <w:t xml:space="preserve">. </w:t>
      </w:r>
      <w:r w:rsidRPr="00A1728C">
        <w:rPr>
          <w:color w:val="auto"/>
        </w:rPr>
        <w:t>EODs are detected by an array of electroreceptors in the skin to create high-resolution electrical images of the fish</w:t>
      </w:r>
      <w:r w:rsidR="007C2E13" w:rsidRPr="007C2E13">
        <w:rPr>
          <w:color w:val="auto"/>
        </w:rPr>
        <w:t>’s</w:t>
      </w:r>
      <w:r w:rsidRPr="00A1728C">
        <w:rPr>
          <w:color w:val="auto"/>
        </w:rPr>
        <w:t xml:space="preserve"> surroundings</w:t>
      </w:r>
      <w:r w:rsidRPr="00A1728C">
        <w:rPr>
          <w:noProof/>
          <w:color w:val="auto"/>
          <w:vertAlign w:val="superscript"/>
        </w:rPr>
        <w:t>4</w:t>
      </w:r>
      <w:r w:rsidR="001F7253" w:rsidRPr="00A1728C">
        <w:rPr>
          <w:noProof/>
          <w:color w:val="auto"/>
          <w:vertAlign w:val="superscript"/>
        </w:rPr>
        <w:t>5</w:t>
      </w:r>
      <w:r w:rsidRPr="00A1728C">
        <w:rPr>
          <w:color w:val="auto"/>
        </w:rPr>
        <w:t>. Weakly electric fish are also capable of detecting features of their conspecifics’ EOD waveforms</w:t>
      </w:r>
      <w:r w:rsidRPr="00A1728C">
        <w:rPr>
          <w:noProof/>
          <w:color w:val="auto"/>
          <w:vertAlign w:val="superscript"/>
        </w:rPr>
        <w:t>18</w:t>
      </w:r>
      <w:r w:rsidRPr="00A1728C">
        <w:rPr>
          <w:color w:val="auto"/>
        </w:rPr>
        <w:t xml:space="preserve"> as well as their discharge rates</w:t>
      </w:r>
      <w:r w:rsidRPr="00A1728C">
        <w:rPr>
          <w:noProof/>
          <w:color w:val="auto"/>
          <w:vertAlign w:val="superscript"/>
        </w:rPr>
        <w:t>4</w:t>
      </w:r>
      <w:r w:rsidR="001F7253" w:rsidRPr="00A1728C">
        <w:rPr>
          <w:noProof/>
          <w:color w:val="auto"/>
          <w:vertAlign w:val="superscript"/>
        </w:rPr>
        <w:t>6</w:t>
      </w:r>
      <w:r w:rsidRPr="00A1728C">
        <w:rPr>
          <w:color w:val="auto"/>
        </w:rPr>
        <w:t>, allowing EODs to function additionally as a social communication signal analogous to birdsong or frog vocalizations</w:t>
      </w:r>
      <w:r w:rsidRPr="00A1728C">
        <w:rPr>
          <w:noProof/>
          <w:color w:val="auto"/>
          <w:vertAlign w:val="superscript"/>
        </w:rPr>
        <w:t>4</w:t>
      </w:r>
      <w:r w:rsidR="001F7253" w:rsidRPr="00A1728C">
        <w:rPr>
          <w:noProof/>
          <w:color w:val="auto"/>
          <w:vertAlign w:val="superscript"/>
        </w:rPr>
        <w:t>7</w:t>
      </w:r>
      <w:r w:rsidRPr="00A1728C">
        <w:rPr>
          <w:color w:val="auto"/>
        </w:rPr>
        <w:t>.</w:t>
      </w:r>
      <w:r w:rsidR="00F94BA1">
        <w:rPr>
          <w:color w:val="auto"/>
        </w:rPr>
        <w:t xml:space="preserve"> </w:t>
      </w:r>
    </w:p>
    <w:p w14:paraId="22AEF735" w14:textId="058FFF5F" w:rsidR="00DC6E74" w:rsidRPr="00A1728C" w:rsidRDefault="00FC5BA5" w:rsidP="00A1728C">
      <w:pPr>
        <w:rPr>
          <w:color w:val="auto"/>
        </w:rPr>
      </w:pPr>
      <w:r w:rsidRPr="00A1728C">
        <w:rPr>
          <w:color w:val="auto"/>
        </w:rPr>
        <w:br/>
      </w:r>
      <w:r w:rsidR="009B58A7" w:rsidRPr="00A1728C">
        <w:rPr>
          <w:color w:val="auto"/>
        </w:rPr>
        <w:lastRenderedPageBreak/>
        <w:t xml:space="preserve">A main component of action potential generation in the </w:t>
      </w:r>
      <w:proofErr w:type="spellStart"/>
      <w:r w:rsidR="009B58A7" w:rsidRPr="00A1728C">
        <w:rPr>
          <w:color w:val="auto"/>
        </w:rPr>
        <w:t>electrocytes</w:t>
      </w:r>
      <w:proofErr w:type="spellEnd"/>
      <w:r w:rsidR="009B58A7" w:rsidRPr="00A1728C">
        <w:rPr>
          <w:color w:val="auto"/>
        </w:rPr>
        <w:t xml:space="preserve"> of both mormyrid and gymnotiform weakly electric fish is the voltage-gated sodium channel NaV1.4</w:t>
      </w:r>
      <w:r w:rsidR="009B58A7" w:rsidRPr="00A1728C">
        <w:rPr>
          <w:noProof/>
          <w:color w:val="auto"/>
          <w:vertAlign w:val="superscript"/>
        </w:rPr>
        <w:t>2</w:t>
      </w:r>
      <w:r w:rsidR="009B58A7" w:rsidRPr="00A1728C">
        <w:rPr>
          <w:color w:val="auto"/>
        </w:rPr>
        <w:t xml:space="preserve">. Non-electric </w:t>
      </w:r>
      <w:proofErr w:type="spellStart"/>
      <w:r w:rsidR="009B58A7" w:rsidRPr="00A1728C">
        <w:rPr>
          <w:color w:val="auto"/>
        </w:rPr>
        <w:t>teleosts</w:t>
      </w:r>
      <w:proofErr w:type="spellEnd"/>
      <w:r w:rsidR="009B58A7" w:rsidRPr="00A1728C">
        <w:rPr>
          <w:color w:val="auto"/>
        </w:rPr>
        <w:t xml:space="preserve"> express two paralogous gene copies, </w:t>
      </w:r>
      <w:r w:rsidR="009B58A7" w:rsidRPr="00A1728C">
        <w:rPr>
          <w:i/>
          <w:color w:val="auto"/>
        </w:rPr>
        <w:t>scn4aa</w:t>
      </w:r>
      <w:r w:rsidR="009B58A7" w:rsidRPr="00A1728C">
        <w:rPr>
          <w:color w:val="auto"/>
        </w:rPr>
        <w:t xml:space="preserve"> and </w:t>
      </w:r>
      <w:r w:rsidR="009B58A7" w:rsidRPr="00A1728C">
        <w:rPr>
          <w:i/>
          <w:color w:val="auto"/>
        </w:rPr>
        <w:t>scn4ab</w:t>
      </w:r>
      <w:r w:rsidR="009B58A7" w:rsidRPr="00A1728C">
        <w:rPr>
          <w:color w:val="auto"/>
        </w:rPr>
        <w:t>, coding for the voltage-gated sodium channel NaV1.4</w:t>
      </w:r>
      <w:r w:rsidR="009B58A7" w:rsidRPr="00A1728C">
        <w:rPr>
          <w:noProof/>
          <w:color w:val="auto"/>
          <w:vertAlign w:val="superscript"/>
        </w:rPr>
        <w:t>30</w:t>
      </w:r>
      <w:r w:rsidR="009B58A7" w:rsidRPr="00A1728C">
        <w:rPr>
          <w:color w:val="auto"/>
        </w:rPr>
        <w:t xml:space="preserve">. In both gymnotiform and mormyrid weakly electric fish lineages, </w:t>
      </w:r>
      <w:r w:rsidR="009B58A7" w:rsidRPr="00A1728C">
        <w:rPr>
          <w:i/>
          <w:color w:val="auto"/>
        </w:rPr>
        <w:t>scn4aa</w:t>
      </w:r>
      <w:r w:rsidR="009B58A7" w:rsidRPr="00A1728C">
        <w:rPr>
          <w:color w:val="auto"/>
        </w:rPr>
        <w:t xml:space="preserve"> has evolved rapidly and undergone numerous amino acid substitutions that affect its kinetic properties</w:t>
      </w:r>
      <w:r w:rsidR="009B58A7" w:rsidRPr="00A1728C">
        <w:rPr>
          <w:noProof/>
          <w:color w:val="auto"/>
          <w:vertAlign w:val="superscript"/>
        </w:rPr>
        <w:t>4</w:t>
      </w:r>
      <w:r w:rsidR="001F7253" w:rsidRPr="00A1728C">
        <w:rPr>
          <w:noProof/>
          <w:color w:val="auto"/>
          <w:vertAlign w:val="superscript"/>
        </w:rPr>
        <w:t>8</w:t>
      </w:r>
      <w:r w:rsidR="009B58A7" w:rsidRPr="00A1728C">
        <w:rPr>
          <w:color w:val="auto"/>
        </w:rPr>
        <w:t xml:space="preserve">. Most importantly, </w:t>
      </w:r>
      <w:r w:rsidR="009B58A7" w:rsidRPr="00A1728C">
        <w:rPr>
          <w:i/>
          <w:color w:val="auto"/>
        </w:rPr>
        <w:t>scn4aa</w:t>
      </w:r>
      <w:r w:rsidR="009B58A7" w:rsidRPr="00A1728C">
        <w:rPr>
          <w:color w:val="auto"/>
        </w:rPr>
        <w:t xml:space="preserve"> has become compartmentalized in both lineages to the </w:t>
      </w:r>
      <w:r w:rsidR="00A235EC" w:rsidRPr="00A1728C">
        <w:rPr>
          <w:color w:val="auto"/>
        </w:rPr>
        <w:t>electric organ</w:t>
      </w:r>
      <w:r w:rsidR="009B58A7" w:rsidRPr="00A1728C">
        <w:rPr>
          <w:noProof/>
          <w:color w:val="auto"/>
          <w:vertAlign w:val="superscript"/>
        </w:rPr>
        <w:t>2,3</w:t>
      </w:r>
      <w:r w:rsidR="009B58A7" w:rsidRPr="00A1728C">
        <w:rPr>
          <w:color w:val="auto"/>
        </w:rPr>
        <w:t xml:space="preserve">. The relatively restricted expression of </w:t>
      </w:r>
      <w:r w:rsidR="009B58A7" w:rsidRPr="00A1728C">
        <w:rPr>
          <w:i/>
          <w:color w:val="auto"/>
        </w:rPr>
        <w:t>scn4aa</w:t>
      </w:r>
      <w:r w:rsidR="009B58A7" w:rsidRPr="00A1728C">
        <w:rPr>
          <w:color w:val="auto"/>
        </w:rPr>
        <w:t xml:space="preserve"> to the </w:t>
      </w:r>
      <w:r w:rsidR="00A235EC" w:rsidRPr="00A1728C">
        <w:rPr>
          <w:color w:val="auto"/>
        </w:rPr>
        <w:t>electric organ</w:t>
      </w:r>
      <w:r w:rsidR="009B58A7" w:rsidRPr="00A1728C">
        <w:rPr>
          <w:color w:val="auto"/>
        </w:rPr>
        <w:t>, as well as its key role in the generation of EODs</w:t>
      </w:r>
      <w:r w:rsidR="007D6EFD">
        <w:rPr>
          <w:color w:val="auto"/>
        </w:rPr>
        <w:t>,</w:t>
      </w:r>
      <w:r w:rsidR="009B58A7" w:rsidRPr="00A1728C">
        <w:rPr>
          <w:color w:val="auto"/>
        </w:rPr>
        <w:t xml:space="preserve"> makes it an ideal target for CRISPR/Cas9 knockout experiments</w:t>
      </w:r>
      <w:r w:rsidR="007D6EFD">
        <w:rPr>
          <w:color w:val="auto"/>
        </w:rPr>
        <w:t>, as it has</w:t>
      </w:r>
      <w:r w:rsidR="009B58A7" w:rsidRPr="00A1728C">
        <w:rPr>
          <w:color w:val="auto"/>
        </w:rPr>
        <w:t xml:space="preserve"> minimal deleterious pleiotropic effects. </w:t>
      </w:r>
      <w:r w:rsidR="0078744C">
        <w:rPr>
          <w:color w:val="auto"/>
        </w:rPr>
        <w:t>Because</w:t>
      </w:r>
      <w:r w:rsidR="009B58A7" w:rsidRPr="00A1728C">
        <w:rPr>
          <w:color w:val="auto"/>
        </w:rPr>
        <w:t xml:space="preserve"> weakly electric fish begin discharging their larval electric organs 6</w:t>
      </w:r>
      <w:r w:rsidR="007D6EFD" w:rsidRPr="00623A4C">
        <w:rPr>
          <w:color w:val="auto"/>
        </w:rPr>
        <w:t>−</w:t>
      </w:r>
      <w:r w:rsidR="009B58A7" w:rsidRPr="00A1728C">
        <w:rPr>
          <w:color w:val="auto"/>
        </w:rPr>
        <w:t>8 days post fertilization (</w:t>
      </w:r>
      <w:r w:rsidR="007D6EFD" w:rsidRPr="00A1728C">
        <w:rPr>
          <w:color w:val="auto"/>
        </w:rPr>
        <w:t>DPF</w:t>
      </w:r>
      <w:r w:rsidR="009B58A7" w:rsidRPr="00A1728C">
        <w:rPr>
          <w:color w:val="auto"/>
        </w:rPr>
        <w:t xml:space="preserve">), targeting of </w:t>
      </w:r>
      <w:r w:rsidR="009B58A7" w:rsidRPr="00A1728C">
        <w:rPr>
          <w:i/>
          <w:color w:val="auto"/>
        </w:rPr>
        <w:t xml:space="preserve">scn4aa </w:t>
      </w:r>
      <w:r w:rsidR="009B58A7" w:rsidRPr="00A1728C">
        <w:rPr>
          <w:color w:val="auto"/>
        </w:rPr>
        <w:t>is ideally suited for rapid phenotyping following embryo microinjection.</w:t>
      </w:r>
    </w:p>
    <w:p w14:paraId="75C983F8" w14:textId="77777777" w:rsidR="00DC6E74" w:rsidRPr="00A1728C" w:rsidRDefault="00DC6E74" w:rsidP="00A1728C">
      <w:pPr>
        <w:ind w:firstLine="432"/>
        <w:rPr>
          <w:color w:val="auto"/>
        </w:rPr>
      </w:pPr>
    </w:p>
    <w:p w14:paraId="2DF1C2FE" w14:textId="77777777" w:rsidR="009B58A7" w:rsidRPr="00A1728C" w:rsidRDefault="009B58A7" w:rsidP="00A1728C">
      <w:pPr>
        <w:rPr>
          <w:color w:val="auto"/>
        </w:rPr>
      </w:pPr>
      <w:r w:rsidRPr="00A1728C">
        <w:rPr>
          <w:b/>
          <w:color w:val="auto"/>
        </w:rPr>
        <w:t>PROTOCOL:</w:t>
      </w:r>
    </w:p>
    <w:p w14:paraId="45DE0AC0" w14:textId="77777777" w:rsidR="00A1728C" w:rsidRDefault="00A1728C" w:rsidP="00A1728C">
      <w:pPr>
        <w:pStyle w:val="ListParagraph"/>
        <w:ind w:left="0"/>
        <w:rPr>
          <w:b/>
          <w:color w:val="auto"/>
        </w:rPr>
      </w:pPr>
    </w:p>
    <w:p w14:paraId="515BD020" w14:textId="6A3064B8" w:rsidR="00A1728C" w:rsidRPr="00A1728C" w:rsidRDefault="00A1728C" w:rsidP="00A1728C">
      <w:pPr>
        <w:pStyle w:val="ListParagraph"/>
        <w:ind w:left="0"/>
        <w:rPr>
          <w:iCs/>
          <w:color w:val="auto"/>
          <w:shd w:val="clear" w:color="auto" w:fill="FFFFFF"/>
        </w:rPr>
      </w:pPr>
      <w:r w:rsidRPr="00A1728C">
        <w:rPr>
          <w:iCs/>
          <w:color w:val="auto"/>
          <w:shd w:val="clear" w:color="auto" w:fill="FFFFFF"/>
        </w:rPr>
        <w:t>All methods described here have been approved by the Institutional Animal Care and Use Committee (IACUC) of Michigan State University.</w:t>
      </w:r>
    </w:p>
    <w:p w14:paraId="5D94D224" w14:textId="77777777" w:rsidR="00A1728C" w:rsidRDefault="00A1728C" w:rsidP="00A1728C">
      <w:pPr>
        <w:pStyle w:val="ListParagraph"/>
        <w:ind w:left="0"/>
        <w:rPr>
          <w:b/>
          <w:color w:val="auto"/>
        </w:rPr>
      </w:pPr>
    </w:p>
    <w:p w14:paraId="2ED24B3D" w14:textId="6C0288C2" w:rsidR="009B58A7" w:rsidRPr="00A1728C" w:rsidRDefault="009B58A7" w:rsidP="00A1728C">
      <w:pPr>
        <w:pStyle w:val="ListParagraph"/>
        <w:numPr>
          <w:ilvl w:val="0"/>
          <w:numId w:val="43"/>
        </w:numPr>
        <w:rPr>
          <w:b/>
          <w:color w:val="auto"/>
        </w:rPr>
      </w:pPr>
      <w:r w:rsidRPr="00A1728C">
        <w:rPr>
          <w:b/>
          <w:color w:val="auto"/>
        </w:rPr>
        <w:t xml:space="preserve">Selecting sgRNA </w:t>
      </w:r>
      <w:r w:rsidR="00C95895" w:rsidRPr="00A1728C">
        <w:rPr>
          <w:b/>
          <w:color w:val="auto"/>
        </w:rPr>
        <w:t>targets</w:t>
      </w:r>
    </w:p>
    <w:p w14:paraId="549D2924" w14:textId="77777777" w:rsidR="009B58A7" w:rsidRPr="00A1728C" w:rsidRDefault="009B58A7" w:rsidP="00A1728C">
      <w:pPr>
        <w:rPr>
          <w:b/>
          <w:color w:val="auto"/>
        </w:rPr>
      </w:pPr>
    </w:p>
    <w:p w14:paraId="2C403CF2" w14:textId="6C227587" w:rsidR="009B58A7" w:rsidRPr="00A1728C" w:rsidRDefault="00A1728C" w:rsidP="00A1728C">
      <w:pPr>
        <w:rPr>
          <w:color w:val="auto"/>
        </w:rPr>
      </w:pPr>
      <w:r>
        <w:rPr>
          <w:color w:val="auto"/>
        </w:rPr>
        <w:t xml:space="preserve">NOTE: </w:t>
      </w:r>
      <w:r w:rsidR="008E0F56" w:rsidRPr="00A1728C">
        <w:rPr>
          <w:color w:val="auto"/>
        </w:rPr>
        <w:t xml:space="preserve">A </w:t>
      </w:r>
      <w:r w:rsidR="009B58A7" w:rsidRPr="00A1728C">
        <w:rPr>
          <w:color w:val="auto"/>
        </w:rPr>
        <w:t xml:space="preserve">protocol </w:t>
      </w:r>
      <w:r w:rsidR="008E0F56">
        <w:rPr>
          <w:color w:val="auto"/>
        </w:rPr>
        <w:t xml:space="preserve">is provided </w:t>
      </w:r>
      <w:r w:rsidR="009B58A7" w:rsidRPr="00A1728C">
        <w:rPr>
          <w:color w:val="auto"/>
        </w:rPr>
        <w:t xml:space="preserve">for manual design of sgRNAs </w:t>
      </w:r>
      <w:r w:rsidR="007D6EFD">
        <w:rPr>
          <w:color w:val="auto"/>
        </w:rPr>
        <w:t xml:space="preserve">in </w:t>
      </w:r>
      <w:r w:rsidR="008E0F56">
        <w:rPr>
          <w:color w:val="auto"/>
        </w:rPr>
        <w:t xml:space="preserve">step </w:t>
      </w:r>
      <w:r w:rsidR="009B58A7" w:rsidRPr="00A1728C">
        <w:rPr>
          <w:color w:val="auto"/>
        </w:rPr>
        <w:t>1.1.</w:t>
      </w:r>
      <w:r w:rsidR="00F94BA1">
        <w:rPr>
          <w:color w:val="auto"/>
        </w:rPr>
        <w:t xml:space="preserve"> </w:t>
      </w:r>
      <w:r w:rsidR="009B58A7" w:rsidRPr="00A1728C">
        <w:rPr>
          <w:color w:val="auto"/>
        </w:rPr>
        <w:t xml:space="preserve">This was utilized for </w:t>
      </w:r>
      <w:r w:rsidR="009B58A7" w:rsidRPr="00A1728C">
        <w:rPr>
          <w:i/>
          <w:color w:val="auto"/>
        </w:rPr>
        <w:t>scn4aa</w:t>
      </w:r>
      <w:r w:rsidR="009B58A7" w:rsidRPr="00A1728C">
        <w:rPr>
          <w:color w:val="auto"/>
        </w:rPr>
        <w:t xml:space="preserve"> target selection.</w:t>
      </w:r>
      <w:r w:rsidR="00F94BA1">
        <w:rPr>
          <w:color w:val="auto"/>
        </w:rPr>
        <w:t xml:space="preserve"> </w:t>
      </w:r>
      <w:r w:rsidR="008E0F56" w:rsidRPr="00A1728C">
        <w:rPr>
          <w:color w:val="auto"/>
        </w:rPr>
        <w:t>A</w:t>
      </w:r>
      <w:r w:rsidR="008E0F56">
        <w:rPr>
          <w:color w:val="auto"/>
        </w:rPr>
        <w:t>n additional</w:t>
      </w:r>
      <w:r w:rsidR="008E0F56" w:rsidRPr="00A1728C">
        <w:rPr>
          <w:color w:val="auto"/>
        </w:rPr>
        <w:t xml:space="preserve"> protocol </w:t>
      </w:r>
      <w:r w:rsidR="008E0F56">
        <w:rPr>
          <w:color w:val="auto"/>
        </w:rPr>
        <w:t xml:space="preserve">is provided </w:t>
      </w:r>
      <w:r w:rsidR="009B58A7" w:rsidRPr="00A1728C">
        <w:rPr>
          <w:color w:val="auto"/>
        </w:rPr>
        <w:t>to facilitate this process (</w:t>
      </w:r>
      <w:r w:rsidR="008E0F56">
        <w:rPr>
          <w:color w:val="auto"/>
        </w:rPr>
        <w:t xml:space="preserve">step </w:t>
      </w:r>
      <w:r w:rsidR="009B58A7" w:rsidRPr="00A1728C">
        <w:rPr>
          <w:color w:val="auto"/>
        </w:rPr>
        <w:t>1.2) using the EFISHGENOMICS web portal.</w:t>
      </w:r>
      <w:r w:rsidR="00F94BA1">
        <w:rPr>
          <w:color w:val="auto"/>
        </w:rPr>
        <w:t xml:space="preserve"> </w:t>
      </w:r>
      <w:r w:rsidR="008E0F56">
        <w:rPr>
          <w:color w:val="auto"/>
        </w:rPr>
        <w:t>It is advised that</w:t>
      </w:r>
      <w:r w:rsidR="009B58A7" w:rsidRPr="00A1728C">
        <w:rPr>
          <w:color w:val="auto"/>
        </w:rPr>
        <w:t xml:space="preserve"> users select protocol 1.2, which features several automated ‘checks’ to ensure success in designing sgRNAs for custom targets.</w:t>
      </w:r>
    </w:p>
    <w:p w14:paraId="376ED4D9" w14:textId="77777777" w:rsidR="009B58A7" w:rsidRPr="00A1728C" w:rsidRDefault="009B58A7" w:rsidP="00A1728C">
      <w:pPr>
        <w:rPr>
          <w:b/>
          <w:color w:val="auto"/>
        </w:rPr>
      </w:pPr>
    </w:p>
    <w:p w14:paraId="31E866DE" w14:textId="12A58A48" w:rsidR="009B58A7" w:rsidRPr="00A1728C" w:rsidRDefault="007D6EFD" w:rsidP="00A1728C">
      <w:pPr>
        <w:pStyle w:val="ListParagraph"/>
        <w:numPr>
          <w:ilvl w:val="1"/>
          <w:numId w:val="43"/>
        </w:numPr>
        <w:rPr>
          <w:color w:val="auto"/>
        </w:rPr>
      </w:pPr>
      <w:r>
        <w:rPr>
          <w:color w:val="auto"/>
        </w:rPr>
        <w:t>D</w:t>
      </w:r>
      <w:r w:rsidRPr="00A1728C">
        <w:rPr>
          <w:color w:val="auto"/>
        </w:rPr>
        <w:t>esign</w:t>
      </w:r>
      <w:r>
        <w:rPr>
          <w:color w:val="auto"/>
        </w:rPr>
        <w:t xml:space="preserve"> </w:t>
      </w:r>
      <w:r w:rsidR="009B58A7" w:rsidRPr="00A1728C">
        <w:rPr>
          <w:color w:val="auto"/>
        </w:rPr>
        <w:t xml:space="preserve">sgRNA </w:t>
      </w:r>
      <w:r w:rsidR="00495A1B" w:rsidRPr="00A1728C">
        <w:rPr>
          <w:color w:val="auto"/>
        </w:rPr>
        <w:t>targets</w:t>
      </w:r>
      <w:r>
        <w:rPr>
          <w:color w:val="auto"/>
        </w:rPr>
        <w:t>.</w:t>
      </w:r>
    </w:p>
    <w:p w14:paraId="3BBF2AEA" w14:textId="77777777" w:rsidR="009B58A7" w:rsidRPr="00A1728C" w:rsidRDefault="009B58A7" w:rsidP="00A1728C">
      <w:pPr>
        <w:rPr>
          <w:color w:val="auto"/>
        </w:rPr>
      </w:pPr>
    </w:p>
    <w:p w14:paraId="2FDE2BCD" w14:textId="46611AA8" w:rsidR="009B58A7" w:rsidRPr="00A1728C" w:rsidRDefault="009B58A7" w:rsidP="00A1728C">
      <w:pPr>
        <w:pStyle w:val="ListParagraph"/>
        <w:numPr>
          <w:ilvl w:val="2"/>
          <w:numId w:val="43"/>
        </w:numPr>
        <w:rPr>
          <w:color w:val="auto"/>
        </w:rPr>
      </w:pPr>
      <w:r w:rsidRPr="00A1728C">
        <w:rPr>
          <w:color w:val="auto"/>
        </w:rPr>
        <w:t>For generating sgRNA guide oligos, it is best to target exon 1, or other 5’ exons. The 5’ UTR can be targeted; however, it is best to target the 5’ coding sequence.</w:t>
      </w:r>
      <w:r w:rsidR="00F94BA1">
        <w:rPr>
          <w:color w:val="auto"/>
        </w:rPr>
        <w:t xml:space="preserve"> </w:t>
      </w:r>
      <w:r w:rsidRPr="00A1728C">
        <w:rPr>
          <w:color w:val="auto"/>
        </w:rPr>
        <w:t>Utilizing genomic information is preferable, but it is possible to develop successful sgRNAs using transcriptome data.</w:t>
      </w:r>
      <w:r w:rsidR="00F94BA1">
        <w:rPr>
          <w:color w:val="auto"/>
        </w:rPr>
        <w:t xml:space="preserve"> </w:t>
      </w:r>
      <w:r w:rsidRPr="00A1728C">
        <w:rPr>
          <w:color w:val="auto"/>
        </w:rPr>
        <w:t>Annotations of intron/exon boundaries (genomic data) or exon/exon boundaries is preferable.</w:t>
      </w:r>
    </w:p>
    <w:p w14:paraId="79431450" w14:textId="77777777" w:rsidR="009B58A7" w:rsidRPr="00A1728C" w:rsidRDefault="009B58A7" w:rsidP="00A1728C">
      <w:pPr>
        <w:pStyle w:val="ListParagraph"/>
        <w:ind w:left="630"/>
        <w:rPr>
          <w:color w:val="auto"/>
        </w:rPr>
      </w:pPr>
    </w:p>
    <w:p w14:paraId="1D6F2DC9" w14:textId="73B6B91B" w:rsidR="009B58A7" w:rsidRPr="00A1728C" w:rsidRDefault="009B58A7" w:rsidP="00A1728C">
      <w:pPr>
        <w:pStyle w:val="ListParagraph"/>
        <w:numPr>
          <w:ilvl w:val="2"/>
          <w:numId w:val="43"/>
        </w:numPr>
        <w:rPr>
          <w:color w:val="auto"/>
        </w:rPr>
      </w:pPr>
      <w:r w:rsidRPr="00A1728C">
        <w:rPr>
          <w:color w:val="auto"/>
        </w:rPr>
        <w:t>Candidate genomic sequences from 1.1 are searched for putative target sequences that match the pattern 5’-</w:t>
      </w:r>
      <w:proofErr w:type="gramStart"/>
      <w:r w:rsidRPr="00A1728C">
        <w:rPr>
          <w:color w:val="auto"/>
        </w:rPr>
        <w:t>N(</w:t>
      </w:r>
      <w:proofErr w:type="gramEnd"/>
      <w:r w:rsidRPr="00A1728C">
        <w:rPr>
          <w:color w:val="auto"/>
        </w:rPr>
        <w:t>18)-NGG-3’.</w:t>
      </w:r>
      <w:r w:rsidR="00F94BA1">
        <w:rPr>
          <w:color w:val="auto"/>
        </w:rPr>
        <w:t xml:space="preserve"> </w:t>
      </w:r>
      <w:r w:rsidRPr="00A1728C">
        <w:rPr>
          <w:color w:val="auto"/>
        </w:rPr>
        <w:t>This can be automatically performed using desktop sequence analysis software</w:t>
      </w:r>
      <w:r w:rsidR="006277F1" w:rsidRPr="00A1728C">
        <w:rPr>
          <w:color w:val="auto"/>
        </w:rPr>
        <w:t>,</w:t>
      </w:r>
      <w:r w:rsidRPr="00A1728C">
        <w:rPr>
          <w:color w:val="auto"/>
        </w:rPr>
        <w:t xml:space="preserve"> custom scripts, or through manual inspection of sequences.</w:t>
      </w:r>
    </w:p>
    <w:p w14:paraId="4D3C4113" w14:textId="77777777" w:rsidR="009B58A7" w:rsidRPr="00A1728C" w:rsidRDefault="009B58A7" w:rsidP="00A1728C">
      <w:pPr>
        <w:rPr>
          <w:color w:val="auto"/>
        </w:rPr>
      </w:pPr>
    </w:p>
    <w:p w14:paraId="1B995391" w14:textId="5580AEFC" w:rsidR="009B58A7" w:rsidRPr="00A1728C" w:rsidRDefault="009B58A7" w:rsidP="00A1728C">
      <w:pPr>
        <w:pStyle w:val="ListParagraph"/>
        <w:numPr>
          <w:ilvl w:val="2"/>
          <w:numId w:val="43"/>
        </w:numPr>
        <w:rPr>
          <w:color w:val="auto"/>
        </w:rPr>
      </w:pPr>
      <w:r w:rsidRPr="00A1728C">
        <w:rPr>
          <w:color w:val="auto"/>
        </w:rPr>
        <w:t xml:space="preserve">Sequences can be prioritized using the method of </w:t>
      </w:r>
      <w:proofErr w:type="spellStart"/>
      <w:r w:rsidRPr="00A1728C">
        <w:rPr>
          <w:color w:val="auto"/>
        </w:rPr>
        <w:t>Doench</w:t>
      </w:r>
      <w:proofErr w:type="spellEnd"/>
      <w:r w:rsidR="00AC6B42">
        <w:rPr>
          <w:color w:val="auto"/>
        </w:rPr>
        <w:t xml:space="preserve"> et al.</w:t>
      </w:r>
      <w:r w:rsidRPr="00A1728C">
        <w:rPr>
          <w:noProof/>
          <w:color w:val="auto"/>
          <w:vertAlign w:val="superscript"/>
        </w:rPr>
        <w:t>4</w:t>
      </w:r>
      <w:r w:rsidR="001F7253" w:rsidRPr="00A1728C">
        <w:rPr>
          <w:noProof/>
          <w:color w:val="auto"/>
          <w:vertAlign w:val="superscript"/>
        </w:rPr>
        <w:t>9</w:t>
      </w:r>
      <w:r w:rsidR="00F94BA1">
        <w:rPr>
          <w:color w:val="auto"/>
        </w:rPr>
        <w:t xml:space="preserve"> </w:t>
      </w:r>
      <w:r w:rsidRPr="00A1728C">
        <w:rPr>
          <w:color w:val="auto"/>
        </w:rPr>
        <w:t>for on-target activity.</w:t>
      </w:r>
      <w:r w:rsidR="00F94BA1">
        <w:rPr>
          <w:color w:val="auto"/>
        </w:rPr>
        <w:t xml:space="preserve"> </w:t>
      </w:r>
      <w:r w:rsidRPr="00A1728C">
        <w:rPr>
          <w:color w:val="auto"/>
        </w:rPr>
        <w:t xml:space="preserve">Additionally, target sequences may be evaluated by </w:t>
      </w:r>
      <w:r w:rsidR="007D6EFD">
        <w:rPr>
          <w:color w:val="auto"/>
        </w:rPr>
        <w:t xml:space="preserve">a </w:t>
      </w:r>
      <w:r w:rsidRPr="00A1728C">
        <w:rPr>
          <w:color w:val="auto"/>
        </w:rPr>
        <w:t>BLAST search against genomic/transcriptomic databases for off-target binding.</w:t>
      </w:r>
    </w:p>
    <w:p w14:paraId="64279719" w14:textId="77777777" w:rsidR="009B58A7" w:rsidRPr="00A1728C" w:rsidRDefault="009B58A7" w:rsidP="00A1728C">
      <w:pPr>
        <w:rPr>
          <w:color w:val="auto"/>
        </w:rPr>
      </w:pPr>
    </w:p>
    <w:p w14:paraId="5DDC877A" w14:textId="515B2E72" w:rsidR="009B58A7" w:rsidRPr="00A1728C" w:rsidRDefault="009B58A7" w:rsidP="00A1728C">
      <w:pPr>
        <w:pStyle w:val="ListParagraph"/>
        <w:numPr>
          <w:ilvl w:val="2"/>
          <w:numId w:val="43"/>
        </w:numPr>
        <w:rPr>
          <w:color w:val="auto"/>
        </w:rPr>
      </w:pPr>
      <w:r w:rsidRPr="00A1728C">
        <w:rPr>
          <w:color w:val="auto"/>
        </w:rPr>
        <w:t>Ensure that standard PCR primers can be generated that flank the target sequence.</w:t>
      </w:r>
      <w:r w:rsidR="00F94BA1">
        <w:rPr>
          <w:color w:val="auto"/>
        </w:rPr>
        <w:t xml:space="preserve"> </w:t>
      </w:r>
      <w:r w:rsidRPr="00A1728C">
        <w:rPr>
          <w:color w:val="auto"/>
        </w:rPr>
        <w:t>Primers should be at least 20 bp from either side of the cut site (</w:t>
      </w:r>
      <w:r w:rsidR="007D6EFD" w:rsidRPr="00623A4C">
        <w:rPr>
          <w:color w:val="auto"/>
        </w:rPr>
        <w:t>three</w:t>
      </w:r>
      <w:r w:rsidR="007D6EFD" w:rsidRPr="00A1728C">
        <w:rPr>
          <w:color w:val="auto"/>
        </w:rPr>
        <w:t xml:space="preserve"> </w:t>
      </w:r>
      <w:r w:rsidRPr="00A1728C">
        <w:rPr>
          <w:color w:val="auto"/>
        </w:rPr>
        <w:t>bases upstream of the NGG sequence).</w:t>
      </w:r>
      <w:r w:rsidR="00F94BA1">
        <w:rPr>
          <w:color w:val="auto"/>
        </w:rPr>
        <w:t xml:space="preserve"> </w:t>
      </w:r>
      <w:r w:rsidRPr="00A1728C">
        <w:rPr>
          <w:color w:val="auto"/>
        </w:rPr>
        <w:t>Ideally, the PCR product should be 150</w:t>
      </w:r>
      <w:r w:rsidR="007D6EFD" w:rsidRPr="00623A4C">
        <w:rPr>
          <w:color w:val="auto"/>
        </w:rPr>
        <w:t>−</w:t>
      </w:r>
      <w:r w:rsidRPr="00A1728C">
        <w:rPr>
          <w:color w:val="auto"/>
        </w:rPr>
        <w:t>200 b</w:t>
      </w:r>
      <w:r w:rsidR="007D6EFD">
        <w:rPr>
          <w:color w:val="auto"/>
        </w:rPr>
        <w:t xml:space="preserve">ase </w:t>
      </w:r>
      <w:r w:rsidRPr="00A1728C">
        <w:rPr>
          <w:color w:val="auto"/>
        </w:rPr>
        <w:t>p</w:t>
      </w:r>
      <w:r w:rsidR="007D6EFD">
        <w:rPr>
          <w:color w:val="auto"/>
        </w:rPr>
        <w:t>airs (bp)</w:t>
      </w:r>
      <w:r w:rsidRPr="00A1728C">
        <w:rPr>
          <w:color w:val="auto"/>
        </w:rPr>
        <w:t>.</w:t>
      </w:r>
    </w:p>
    <w:p w14:paraId="704634A6" w14:textId="77777777" w:rsidR="009B58A7" w:rsidRPr="00A1728C" w:rsidRDefault="009B58A7" w:rsidP="00A1728C">
      <w:pPr>
        <w:pStyle w:val="ListParagraph"/>
        <w:rPr>
          <w:color w:val="auto"/>
        </w:rPr>
      </w:pPr>
    </w:p>
    <w:p w14:paraId="5E5DA448" w14:textId="5A6FC48C" w:rsidR="009B58A7" w:rsidRPr="0088463F" w:rsidRDefault="009B58A7" w:rsidP="0088463F">
      <w:pPr>
        <w:pStyle w:val="ListParagraph"/>
        <w:numPr>
          <w:ilvl w:val="2"/>
          <w:numId w:val="43"/>
        </w:numPr>
        <w:rPr>
          <w:color w:val="auto"/>
        </w:rPr>
      </w:pPr>
      <w:r w:rsidRPr="00A1728C">
        <w:rPr>
          <w:color w:val="auto"/>
        </w:rPr>
        <w:lastRenderedPageBreak/>
        <w:t>Design oligomers meeting the above criteria using the below template</w:t>
      </w:r>
      <w:r w:rsidR="007D6EFD">
        <w:rPr>
          <w:color w:val="auto"/>
        </w:rPr>
        <w:t>,</w:t>
      </w:r>
      <w:r w:rsidR="00C173A9" w:rsidRPr="00A1728C">
        <w:rPr>
          <w:color w:val="auto"/>
        </w:rPr>
        <w:t xml:space="preserve"> which includes a T7 promoter (5’ of N</w:t>
      </w:r>
      <w:r w:rsidR="00C173A9" w:rsidRPr="00A1728C">
        <w:rPr>
          <w:color w:val="auto"/>
          <w:vertAlign w:val="subscript"/>
        </w:rPr>
        <w:t>18</w:t>
      </w:r>
      <w:r w:rsidR="00C173A9" w:rsidRPr="00A1728C">
        <w:rPr>
          <w:color w:val="auto"/>
        </w:rPr>
        <w:t>) and a complementary region (3’ of N</w:t>
      </w:r>
      <w:r w:rsidR="00C173A9" w:rsidRPr="00A1728C">
        <w:rPr>
          <w:color w:val="auto"/>
          <w:vertAlign w:val="subscript"/>
        </w:rPr>
        <w:t>18</w:t>
      </w:r>
      <w:r w:rsidR="00C173A9" w:rsidRPr="00A1728C">
        <w:rPr>
          <w:color w:val="auto"/>
        </w:rPr>
        <w:t>) for annealing to the constant oligomer (1.1.6)</w:t>
      </w:r>
      <w:r w:rsidRPr="00A1728C">
        <w:rPr>
          <w:color w:val="auto"/>
        </w:rPr>
        <w:t>:</w:t>
      </w:r>
      <w:r w:rsidR="0088463F">
        <w:rPr>
          <w:color w:val="auto"/>
        </w:rPr>
        <w:t xml:space="preserve"> </w:t>
      </w:r>
      <w:r w:rsidRPr="0088463F">
        <w:rPr>
          <w:color w:val="auto"/>
        </w:rPr>
        <w:t>5’-TAATACGACTCACTATAGG-</w:t>
      </w:r>
      <w:r w:rsidRPr="0088463F">
        <w:rPr>
          <w:b/>
          <w:color w:val="auto"/>
        </w:rPr>
        <w:t>N</w:t>
      </w:r>
      <w:r w:rsidRPr="0088463F">
        <w:rPr>
          <w:b/>
          <w:color w:val="auto"/>
          <w:vertAlign w:val="subscript"/>
        </w:rPr>
        <w:t>18</w:t>
      </w:r>
      <w:r w:rsidRPr="0088463F">
        <w:rPr>
          <w:color w:val="auto"/>
        </w:rPr>
        <w:t>-GTTTTAGAGCTAGAAATAGCAAG-3’</w:t>
      </w:r>
    </w:p>
    <w:p w14:paraId="6BC9F8E8" w14:textId="77777777" w:rsidR="00A1728C" w:rsidRDefault="00A1728C" w:rsidP="00A1728C">
      <w:pPr>
        <w:pStyle w:val="ListParagraph"/>
        <w:ind w:left="0"/>
        <w:rPr>
          <w:color w:val="auto"/>
        </w:rPr>
      </w:pPr>
    </w:p>
    <w:p w14:paraId="4974396B" w14:textId="538DCA4C" w:rsidR="009B58A7" w:rsidRPr="00A1728C" w:rsidRDefault="00EA1C1D" w:rsidP="00A1728C">
      <w:pPr>
        <w:pStyle w:val="ListParagraph"/>
        <w:ind w:left="0"/>
        <w:rPr>
          <w:color w:val="auto"/>
        </w:rPr>
      </w:pPr>
      <w:r>
        <w:rPr>
          <w:color w:val="auto"/>
        </w:rPr>
        <w:t>NOTE:</w:t>
      </w:r>
      <w:r w:rsidR="009B58A7" w:rsidRPr="00A1728C">
        <w:rPr>
          <w:color w:val="auto"/>
        </w:rPr>
        <w:t xml:space="preserve"> The </w:t>
      </w:r>
      <w:r w:rsidR="009B58A7" w:rsidRPr="00A1728C">
        <w:rPr>
          <w:b/>
          <w:color w:val="auto"/>
        </w:rPr>
        <w:t>N</w:t>
      </w:r>
      <w:r w:rsidR="009B58A7" w:rsidRPr="00A1728C">
        <w:rPr>
          <w:b/>
          <w:color w:val="auto"/>
          <w:vertAlign w:val="subscript"/>
        </w:rPr>
        <w:t>18</w:t>
      </w:r>
      <w:r w:rsidR="009B58A7" w:rsidRPr="00A1728C">
        <w:rPr>
          <w:color w:val="auto"/>
        </w:rPr>
        <w:t xml:space="preserve"> sequence does not include the NGG</w:t>
      </w:r>
      <w:r w:rsidR="00F94BA1">
        <w:rPr>
          <w:color w:val="auto"/>
        </w:rPr>
        <w:t xml:space="preserve"> </w:t>
      </w:r>
      <w:r w:rsidR="00334BF4" w:rsidRPr="00623A4C">
        <w:rPr>
          <w:color w:val="auto"/>
        </w:rPr>
        <w:t>protospacer adjacent motif</w:t>
      </w:r>
      <w:r w:rsidR="00334BF4" w:rsidRPr="00A1728C">
        <w:rPr>
          <w:color w:val="auto"/>
        </w:rPr>
        <w:t xml:space="preserve"> </w:t>
      </w:r>
      <w:r w:rsidR="007D6EFD">
        <w:rPr>
          <w:color w:val="auto"/>
        </w:rPr>
        <w:t>(</w:t>
      </w:r>
      <w:r w:rsidR="009B58A7" w:rsidRPr="00A1728C">
        <w:rPr>
          <w:color w:val="auto"/>
        </w:rPr>
        <w:t>PAM</w:t>
      </w:r>
      <w:r w:rsidR="007D6EFD">
        <w:rPr>
          <w:color w:val="auto"/>
        </w:rPr>
        <w:t>)</w:t>
      </w:r>
      <w:r w:rsidR="009B58A7" w:rsidRPr="00A1728C">
        <w:rPr>
          <w:color w:val="auto"/>
        </w:rPr>
        <w:t xml:space="preserve"> sequence.</w:t>
      </w:r>
      <w:r w:rsidR="00F94BA1">
        <w:rPr>
          <w:color w:val="auto"/>
        </w:rPr>
        <w:t xml:space="preserve"> </w:t>
      </w:r>
      <w:r w:rsidR="009B58A7" w:rsidRPr="00A1728C">
        <w:rPr>
          <w:color w:val="auto"/>
        </w:rPr>
        <w:t>Do not include this in the oligo</w:t>
      </w:r>
      <w:r w:rsidR="00334BF4">
        <w:rPr>
          <w:color w:val="auto"/>
        </w:rPr>
        <w:t>mer</w:t>
      </w:r>
      <w:r w:rsidR="009B58A7" w:rsidRPr="00A1728C">
        <w:rPr>
          <w:color w:val="auto"/>
        </w:rPr>
        <w:t>.</w:t>
      </w:r>
    </w:p>
    <w:p w14:paraId="0ACBA0DB" w14:textId="77777777" w:rsidR="009B58A7" w:rsidRPr="00A1728C" w:rsidRDefault="009B58A7" w:rsidP="00A1728C">
      <w:pPr>
        <w:rPr>
          <w:color w:val="auto"/>
        </w:rPr>
      </w:pPr>
    </w:p>
    <w:p w14:paraId="40E6A303" w14:textId="4289A7E5" w:rsidR="009B58A7" w:rsidRPr="00A1728C" w:rsidRDefault="009B58A7" w:rsidP="00A1728C">
      <w:pPr>
        <w:pStyle w:val="ListParagraph"/>
        <w:numPr>
          <w:ilvl w:val="2"/>
          <w:numId w:val="43"/>
        </w:numPr>
        <w:rPr>
          <w:color w:val="auto"/>
        </w:rPr>
      </w:pPr>
      <w:r w:rsidRPr="00A1728C">
        <w:rPr>
          <w:color w:val="auto"/>
        </w:rPr>
        <w:t>Order the constant oligomer (</w:t>
      </w:r>
      <w:r w:rsidR="00EA1C1D" w:rsidRPr="00EA1C1D">
        <w:rPr>
          <w:b/>
          <w:color w:val="auto"/>
        </w:rPr>
        <w:t>Table 1</w:t>
      </w:r>
      <w:r w:rsidRPr="00A1728C">
        <w:rPr>
          <w:color w:val="auto"/>
        </w:rPr>
        <w:t>) that will be used to synthesize all sgRNAs, oligomers for sgRNA targets (</w:t>
      </w:r>
      <w:r w:rsidR="003D419B">
        <w:rPr>
          <w:color w:val="auto"/>
        </w:rPr>
        <w:t xml:space="preserve">step </w:t>
      </w:r>
      <w:r w:rsidRPr="00A1728C">
        <w:rPr>
          <w:color w:val="auto"/>
        </w:rPr>
        <w:t>1.1.5), and PCR primers (</w:t>
      </w:r>
      <w:r w:rsidR="00334BF4">
        <w:rPr>
          <w:color w:val="auto"/>
        </w:rPr>
        <w:t xml:space="preserve">step </w:t>
      </w:r>
      <w:r w:rsidRPr="00A1728C">
        <w:rPr>
          <w:color w:val="auto"/>
        </w:rPr>
        <w:t>1.1.4) as standard desalted oligomers from an oligonucleotide production service. Oligo</w:t>
      </w:r>
      <w:r w:rsidR="00334BF4">
        <w:rPr>
          <w:color w:val="auto"/>
        </w:rPr>
        <w:t>mer</w:t>
      </w:r>
      <w:r w:rsidRPr="00A1728C">
        <w:rPr>
          <w:color w:val="auto"/>
        </w:rPr>
        <w:t>s and PCR primers may be ordered as standard desalted oligomers, no additional purification is necessary.</w:t>
      </w:r>
    </w:p>
    <w:p w14:paraId="400D9AE5" w14:textId="77777777" w:rsidR="009B58A7" w:rsidRPr="00A1728C" w:rsidRDefault="009B58A7" w:rsidP="00A1728C">
      <w:pPr>
        <w:pStyle w:val="ListParagraph"/>
        <w:ind w:left="0"/>
        <w:rPr>
          <w:color w:val="auto"/>
        </w:rPr>
      </w:pPr>
    </w:p>
    <w:p w14:paraId="42EAEB17" w14:textId="3211AD32" w:rsidR="00A1728C" w:rsidRDefault="00495A1B" w:rsidP="00A1728C">
      <w:pPr>
        <w:pStyle w:val="ListParagraph"/>
        <w:numPr>
          <w:ilvl w:val="1"/>
          <w:numId w:val="43"/>
        </w:numPr>
        <w:rPr>
          <w:color w:val="auto"/>
        </w:rPr>
      </w:pPr>
      <w:r>
        <w:rPr>
          <w:color w:val="auto"/>
        </w:rPr>
        <w:t xml:space="preserve">Perform </w:t>
      </w:r>
      <w:r w:rsidRPr="00A1728C">
        <w:rPr>
          <w:color w:val="auto"/>
        </w:rPr>
        <w:t xml:space="preserve">automated design </w:t>
      </w:r>
      <w:r w:rsidR="009B58A7" w:rsidRPr="00A1728C">
        <w:rPr>
          <w:color w:val="auto"/>
        </w:rPr>
        <w:t xml:space="preserve">of sgRNA </w:t>
      </w:r>
      <w:r w:rsidRPr="00A1728C">
        <w:rPr>
          <w:color w:val="auto"/>
        </w:rPr>
        <w:t>targets</w:t>
      </w:r>
      <w:r>
        <w:rPr>
          <w:color w:val="auto"/>
        </w:rPr>
        <w:t>.</w:t>
      </w:r>
    </w:p>
    <w:p w14:paraId="313854B5" w14:textId="503FA7C9" w:rsidR="00A1728C" w:rsidRPr="00A1728C" w:rsidRDefault="00A1728C" w:rsidP="00A1728C">
      <w:pPr>
        <w:pStyle w:val="ListParagraph"/>
        <w:ind w:left="0"/>
        <w:rPr>
          <w:color w:val="auto"/>
        </w:rPr>
      </w:pPr>
    </w:p>
    <w:p w14:paraId="33B6B2D3" w14:textId="68D9CC27" w:rsidR="009B58A7" w:rsidRPr="00A1728C" w:rsidRDefault="00495A1B" w:rsidP="00A1728C">
      <w:pPr>
        <w:pStyle w:val="ListParagraph"/>
        <w:numPr>
          <w:ilvl w:val="2"/>
          <w:numId w:val="43"/>
        </w:numPr>
        <w:rPr>
          <w:color w:val="auto"/>
        </w:rPr>
      </w:pPr>
      <w:r w:rsidRPr="00A1728C">
        <w:rPr>
          <w:color w:val="auto"/>
        </w:rPr>
        <w:t>Using genomic data</w:t>
      </w:r>
      <w:r>
        <w:rPr>
          <w:color w:val="auto"/>
        </w:rPr>
        <w:t>,</w:t>
      </w:r>
      <w:r w:rsidRPr="00A1728C">
        <w:rPr>
          <w:color w:val="auto"/>
        </w:rPr>
        <w:t xml:space="preserve"> select </w:t>
      </w:r>
      <w:r w:rsidR="009B58A7" w:rsidRPr="00A1728C">
        <w:rPr>
          <w:color w:val="auto"/>
        </w:rPr>
        <w:t>a target gene.</w:t>
      </w:r>
      <w:r w:rsidR="00F94BA1">
        <w:rPr>
          <w:color w:val="auto"/>
        </w:rPr>
        <w:t xml:space="preserve"> </w:t>
      </w:r>
      <w:r w:rsidRPr="00A1728C">
        <w:rPr>
          <w:color w:val="auto"/>
        </w:rPr>
        <w:t xml:space="preserve">Transcriptome </w:t>
      </w:r>
      <w:r w:rsidR="009B58A7" w:rsidRPr="00A1728C">
        <w:rPr>
          <w:color w:val="auto"/>
        </w:rPr>
        <w:t>data could be used instead</w:t>
      </w:r>
      <w:r w:rsidR="00C4620F" w:rsidRPr="00A1728C">
        <w:rPr>
          <w:color w:val="auto"/>
        </w:rPr>
        <w:t xml:space="preserve"> when exon/intron boundaries are known</w:t>
      </w:r>
      <w:r w:rsidR="009B58A7" w:rsidRPr="00A1728C">
        <w:rPr>
          <w:color w:val="auto"/>
        </w:rPr>
        <w:t xml:space="preserve">. Targets can be identified using the EFISHGENOMICS portal (http://efishgenomics.integrativebiology.msu.edu). </w:t>
      </w:r>
      <w:r w:rsidR="00C4620F" w:rsidRPr="00A1728C">
        <w:rPr>
          <w:color w:val="auto"/>
        </w:rPr>
        <w:t>The ideal target will be within exon 1; however, other 5’ exons and the 5’ UTR can be considered.</w:t>
      </w:r>
    </w:p>
    <w:p w14:paraId="02F71FA6" w14:textId="77777777" w:rsidR="009B58A7" w:rsidRPr="00A1728C" w:rsidRDefault="009B58A7" w:rsidP="00A1728C">
      <w:pPr>
        <w:pStyle w:val="ListParagraph"/>
        <w:ind w:left="630"/>
        <w:rPr>
          <w:color w:val="auto"/>
        </w:rPr>
      </w:pPr>
    </w:p>
    <w:p w14:paraId="5D85D25C" w14:textId="0679DC2C" w:rsidR="009B58A7" w:rsidRPr="00A1728C" w:rsidRDefault="009B58A7" w:rsidP="00A1728C">
      <w:pPr>
        <w:pStyle w:val="ListParagraph"/>
        <w:numPr>
          <w:ilvl w:val="2"/>
          <w:numId w:val="43"/>
        </w:numPr>
        <w:rPr>
          <w:color w:val="auto"/>
        </w:rPr>
      </w:pPr>
      <w:r w:rsidRPr="00A1728C">
        <w:rPr>
          <w:color w:val="auto"/>
        </w:rPr>
        <w:t>Once the target sequence is identified, load the freely available EFISHGENOMICS CRISPR web tool (http://efishgenomics.integrativebiology.msu.edu/crispr_tool/).</w:t>
      </w:r>
      <w:r w:rsidR="00F94BA1">
        <w:rPr>
          <w:color w:val="auto"/>
        </w:rPr>
        <w:t xml:space="preserve"> </w:t>
      </w:r>
      <w:r w:rsidRPr="00A1728C">
        <w:rPr>
          <w:color w:val="auto"/>
        </w:rPr>
        <w:t>This web tool uses a customized version of the CRISPOR algorithm for target generation</w:t>
      </w:r>
      <w:r w:rsidR="001F7253" w:rsidRPr="00A1728C">
        <w:rPr>
          <w:noProof/>
          <w:color w:val="auto"/>
          <w:vertAlign w:val="superscript"/>
        </w:rPr>
        <w:t>50,51</w:t>
      </w:r>
      <w:r w:rsidRPr="00A1728C">
        <w:rPr>
          <w:color w:val="auto"/>
        </w:rPr>
        <w:t>.</w:t>
      </w:r>
    </w:p>
    <w:p w14:paraId="71E3EFF5" w14:textId="77777777" w:rsidR="009B58A7" w:rsidRPr="00A1728C" w:rsidRDefault="009B58A7" w:rsidP="00A1728C">
      <w:pPr>
        <w:pStyle w:val="ListParagraph"/>
        <w:rPr>
          <w:color w:val="auto"/>
        </w:rPr>
      </w:pPr>
    </w:p>
    <w:p w14:paraId="5079875C" w14:textId="0C003BF6" w:rsidR="009B58A7" w:rsidRPr="00A1728C" w:rsidRDefault="009B58A7" w:rsidP="00A1728C">
      <w:pPr>
        <w:pStyle w:val="ListParagraph"/>
        <w:numPr>
          <w:ilvl w:val="2"/>
          <w:numId w:val="43"/>
        </w:numPr>
        <w:rPr>
          <w:color w:val="auto"/>
        </w:rPr>
      </w:pPr>
      <w:r w:rsidRPr="00A1728C">
        <w:rPr>
          <w:color w:val="auto"/>
        </w:rPr>
        <w:t xml:space="preserve">In the box for </w:t>
      </w:r>
      <w:r w:rsidRPr="000F1CEB">
        <w:rPr>
          <w:b/>
          <w:bCs/>
          <w:color w:val="auto"/>
        </w:rPr>
        <w:t>Step 1</w:t>
      </w:r>
      <w:r w:rsidRPr="00A1728C">
        <w:rPr>
          <w:color w:val="auto"/>
        </w:rPr>
        <w:t xml:space="preserve">, enter the name of </w:t>
      </w:r>
      <w:r w:rsidR="00334BF4">
        <w:rPr>
          <w:color w:val="auto"/>
        </w:rPr>
        <w:t>the</w:t>
      </w:r>
      <w:r w:rsidR="00334BF4" w:rsidRPr="00A1728C">
        <w:rPr>
          <w:color w:val="auto"/>
        </w:rPr>
        <w:t xml:space="preserve"> </w:t>
      </w:r>
      <w:r w:rsidRPr="00A1728C">
        <w:rPr>
          <w:color w:val="auto"/>
        </w:rPr>
        <w:t>sequence and enter the target</w:t>
      </w:r>
      <w:r w:rsidR="007C2E13" w:rsidRPr="007C2E13">
        <w:rPr>
          <w:color w:val="auto"/>
        </w:rPr>
        <w:t>’s</w:t>
      </w:r>
      <w:r w:rsidRPr="00A1728C">
        <w:rPr>
          <w:color w:val="auto"/>
        </w:rPr>
        <w:t xml:space="preserve"> sequence into the appropriate box.</w:t>
      </w:r>
    </w:p>
    <w:p w14:paraId="614AA9EA" w14:textId="77777777" w:rsidR="009B58A7" w:rsidRPr="00A1728C" w:rsidRDefault="009B58A7" w:rsidP="00A1728C">
      <w:pPr>
        <w:pStyle w:val="ListParagraph"/>
        <w:rPr>
          <w:color w:val="auto"/>
        </w:rPr>
      </w:pPr>
    </w:p>
    <w:p w14:paraId="08655984" w14:textId="2E97D64A" w:rsidR="009B58A7" w:rsidRPr="00A1728C" w:rsidRDefault="009B58A7" w:rsidP="00A1728C">
      <w:pPr>
        <w:pStyle w:val="ListParagraph"/>
        <w:numPr>
          <w:ilvl w:val="1"/>
          <w:numId w:val="43"/>
        </w:numPr>
        <w:rPr>
          <w:color w:val="auto"/>
        </w:rPr>
      </w:pPr>
      <w:r w:rsidRPr="00A1728C">
        <w:rPr>
          <w:color w:val="auto"/>
        </w:rPr>
        <w:t xml:space="preserve">Select the appropriate genome that the sequence derives from. Presently, genomic data is available for </w:t>
      </w:r>
      <w:r w:rsidRPr="00A1728C">
        <w:rPr>
          <w:i/>
          <w:color w:val="auto"/>
        </w:rPr>
        <w:t xml:space="preserve">B. </w:t>
      </w:r>
      <w:proofErr w:type="spellStart"/>
      <w:r w:rsidRPr="00A1728C">
        <w:rPr>
          <w:i/>
          <w:color w:val="auto"/>
        </w:rPr>
        <w:t>brachyistius</w:t>
      </w:r>
      <w:proofErr w:type="spellEnd"/>
      <w:r w:rsidRPr="00A1728C">
        <w:rPr>
          <w:i/>
          <w:color w:val="auto"/>
        </w:rPr>
        <w:t xml:space="preserve"> </w:t>
      </w:r>
      <w:r w:rsidRPr="00A1728C">
        <w:rPr>
          <w:color w:val="auto"/>
        </w:rPr>
        <w:t xml:space="preserve">and </w:t>
      </w:r>
      <w:r w:rsidRPr="00A1728C">
        <w:rPr>
          <w:i/>
          <w:color w:val="auto"/>
        </w:rPr>
        <w:t xml:space="preserve">B. </w:t>
      </w:r>
      <w:proofErr w:type="spellStart"/>
      <w:r w:rsidRPr="00A1728C">
        <w:rPr>
          <w:i/>
          <w:color w:val="auto"/>
        </w:rPr>
        <w:t>gauderio</w:t>
      </w:r>
      <w:proofErr w:type="spellEnd"/>
      <w:r w:rsidRPr="00A1728C">
        <w:rPr>
          <w:color w:val="auto"/>
        </w:rPr>
        <w:t>.</w:t>
      </w:r>
      <w:r w:rsidR="00F94BA1">
        <w:rPr>
          <w:color w:val="auto"/>
        </w:rPr>
        <w:t xml:space="preserve"> </w:t>
      </w:r>
      <w:r w:rsidRPr="00A1728C">
        <w:rPr>
          <w:color w:val="auto"/>
        </w:rPr>
        <w:t>Genome sequences are not required for use of this tool but are useful in assessing potential unwanted off-target effects.</w:t>
      </w:r>
    </w:p>
    <w:p w14:paraId="3327D8D2" w14:textId="77777777" w:rsidR="009B58A7" w:rsidRPr="00A1728C" w:rsidRDefault="009B58A7" w:rsidP="00A1728C">
      <w:pPr>
        <w:pStyle w:val="ListParagraph"/>
        <w:rPr>
          <w:color w:val="auto"/>
        </w:rPr>
      </w:pPr>
    </w:p>
    <w:p w14:paraId="1AB5CF27" w14:textId="7D3328F0" w:rsidR="009B58A7" w:rsidRPr="00A1728C" w:rsidRDefault="009B58A7" w:rsidP="00A1728C">
      <w:pPr>
        <w:pStyle w:val="ListParagraph"/>
        <w:numPr>
          <w:ilvl w:val="1"/>
          <w:numId w:val="43"/>
        </w:numPr>
        <w:rPr>
          <w:color w:val="auto"/>
        </w:rPr>
      </w:pPr>
      <w:r w:rsidRPr="00A1728C">
        <w:rPr>
          <w:color w:val="auto"/>
        </w:rPr>
        <w:t xml:space="preserve">Select the appropriate PAM. </w:t>
      </w:r>
      <w:r w:rsidR="00334BF4">
        <w:rPr>
          <w:color w:val="auto"/>
        </w:rPr>
        <w:t>The</w:t>
      </w:r>
      <w:r w:rsidRPr="00A1728C">
        <w:rPr>
          <w:color w:val="auto"/>
        </w:rPr>
        <w:t xml:space="preserve"> 20</w:t>
      </w:r>
      <w:r w:rsidR="000F1CEB">
        <w:rPr>
          <w:color w:val="auto"/>
        </w:rPr>
        <w:t xml:space="preserve"> </w:t>
      </w:r>
      <w:r w:rsidRPr="00A1728C">
        <w:rPr>
          <w:color w:val="auto"/>
        </w:rPr>
        <w:t>bp-NGG PAM</w:t>
      </w:r>
      <w:r w:rsidR="00334BF4" w:rsidRPr="00334BF4">
        <w:rPr>
          <w:color w:val="auto"/>
        </w:rPr>
        <w:t xml:space="preserve"> </w:t>
      </w:r>
      <w:r w:rsidR="00334BF4">
        <w:rPr>
          <w:color w:val="auto"/>
        </w:rPr>
        <w:t xml:space="preserve">is </w:t>
      </w:r>
      <w:r w:rsidR="00334BF4" w:rsidRPr="00A1728C">
        <w:rPr>
          <w:color w:val="auto"/>
        </w:rPr>
        <w:t>recommend</w:t>
      </w:r>
      <w:r w:rsidR="00334BF4">
        <w:rPr>
          <w:color w:val="auto"/>
        </w:rPr>
        <w:t>ed</w:t>
      </w:r>
      <w:r w:rsidRPr="00A1728C">
        <w:rPr>
          <w:color w:val="auto"/>
        </w:rPr>
        <w:t>, though there are several additional PAM motifs to choose from, depending on the Cas9 protein used.</w:t>
      </w:r>
    </w:p>
    <w:p w14:paraId="4BD8BCFF" w14:textId="77777777" w:rsidR="009B58A7" w:rsidRPr="00A1728C" w:rsidRDefault="009B58A7" w:rsidP="00A1728C">
      <w:pPr>
        <w:rPr>
          <w:color w:val="auto"/>
        </w:rPr>
      </w:pPr>
    </w:p>
    <w:p w14:paraId="54D75475" w14:textId="6C64E4E4" w:rsidR="009B58A7" w:rsidRPr="00A1728C" w:rsidRDefault="009B58A7" w:rsidP="00A1728C">
      <w:pPr>
        <w:pStyle w:val="ListParagraph"/>
        <w:numPr>
          <w:ilvl w:val="1"/>
          <w:numId w:val="43"/>
        </w:numPr>
        <w:rPr>
          <w:color w:val="auto"/>
        </w:rPr>
      </w:pPr>
      <w:r w:rsidRPr="00A1728C">
        <w:rPr>
          <w:color w:val="auto"/>
        </w:rPr>
        <w:t xml:space="preserve">A report will be generated with the location of </w:t>
      </w:r>
      <w:r w:rsidR="00334BF4">
        <w:rPr>
          <w:color w:val="auto"/>
        </w:rPr>
        <w:t>the</w:t>
      </w:r>
      <w:r w:rsidR="00334BF4" w:rsidRPr="00A1728C">
        <w:rPr>
          <w:color w:val="auto"/>
        </w:rPr>
        <w:t xml:space="preserve"> </w:t>
      </w:r>
      <w:r w:rsidRPr="00A1728C">
        <w:rPr>
          <w:color w:val="auto"/>
        </w:rPr>
        <w:t>target sequence in the genome with suggested guide sequences.</w:t>
      </w:r>
      <w:r w:rsidR="00F94BA1">
        <w:rPr>
          <w:color w:val="auto"/>
        </w:rPr>
        <w:t xml:space="preserve"> </w:t>
      </w:r>
      <w:r w:rsidRPr="00A1728C">
        <w:rPr>
          <w:color w:val="auto"/>
        </w:rPr>
        <w:t xml:space="preserve">Select </w:t>
      </w:r>
      <w:r w:rsidR="00334BF4" w:rsidRPr="00623A4C">
        <w:rPr>
          <w:color w:val="auto"/>
        </w:rPr>
        <w:t>three</w:t>
      </w:r>
      <w:r w:rsidR="00334BF4" w:rsidRPr="00A1728C">
        <w:rPr>
          <w:color w:val="auto"/>
        </w:rPr>
        <w:t xml:space="preserve"> </w:t>
      </w:r>
      <w:r w:rsidRPr="00A1728C">
        <w:rPr>
          <w:color w:val="auto"/>
        </w:rPr>
        <w:t>targets with low predicted off</w:t>
      </w:r>
      <w:r w:rsidR="00334BF4">
        <w:rPr>
          <w:color w:val="auto"/>
        </w:rPr>
        <w:t>-</w:t>
      </w:r>
      <w:r w:rsidRPr="00A1728C">
        <w:rPr>
          <w:color w:val="auto"/>
        </w:rPr>
        <w:t>target effects, high specificity scores, and high efficiency scores. The highest scoring guide sequences are highlighted with green on the left-hand side. Yellow and red highlighted guide sequences should be avoided, if possible.</w:t>
      </w:r>
    </w:p>
    <w:p w14:paraId="63CFF3D4" w14:textId="77777777" w:rsidR="009B58A7" w:rsidRPr="00A1728C" w:rsidRDefault="009B58A7" w:rsidP="00A1728C">
      <w:pPr>
        <w:pStyle w:val="ListParagraph"/>
        <w:rPr>
          <w:color w:val="auto"/>
        </w:rPr>
      </w:pPr>
    </w:p>
    <w:p w14:paraId="41B3DFA2" w14:textId="75ADFC2E" w:rsidR="009B58A7" w:rsidRPr="0088463F" w:rsidRDefault="009B58A7" w:rsidP="00A1728C">
      <w:pPr>
        <w:pStyle w:val="ListParagraph"/>
        <w:numPr>
          <w:ilvl w:val="1"/>
          <w:numId w:val="43"/>
        </w:numPr>
        <w:rPr>
          <w:color w:val="auto"/>
        </w:rPr>
      </w:pPr>
      <w:r w:rsidRPr="0088463F">
        <w:rPr>
          <w:color w:val="auto"/>
        </w:rPr>
        <w:t xml:space="preserve">Clicking on selected target sequences generates a comprehensive CRISPOR report. Key information from these reports are for “T7 </w:t>
      </w:r>
      <w:r w:rsidRPr="000F1CEB">
        <w:rPr>
          <w:iCs/>
          <w:color w:val="auto"/>
        </w:rPr>
        <w:t>in vitro</w:t>
      </w:r>
      <w:r w:rsidRPr="0088463F">
        <w:rPr>
          <w:color w:val="auto"/>
        </w:rPr>
        <w:t xml:space="preserve"> expression from overlapping oligonucleotides”. From this report, extract the following information:</w:t>
      </w:r>
      <w:r w:rsidR="0088463F" w:rsidRPr="0088463F">
        <w:rPr>
          <w:color w:val="auto"/>
        </w:rPr>
        <w:t xml:space="preserve"> </w:t>
      </w:r>
      <w:r w:rsidR="0088463F">
        <w:rPr>
          <w:color w:val="auto"/>
        </w:rPr>
        <w:t>r</w:t>
      </w:r>
      <w:r w:rsidRPr="0088463F">
        <w:rPr>
          <w:color w:val="auto"/>
        </w:rPr>
        <w:t>ecommended sgRNA oligos</w:t>
      </w:r>
      <w:r w:rsidR="0088463F" w:rsidRPr="0088463F">
        <w:rPr>
          <w:color w:val="auto"/>
        </w:rPr>
        <w:t xml:space="preserve">, </w:t>
      </w:r>
      <w:r w:rsidRPr="0088463F">
        <w:rPr>
          <w:color w:val="auto"/>
        </w:rPr>
        <w:t>PCR primers for the target site</w:t>
      </w:r>
      <w:r w:rsidR="0088463F" w:rsidRPr="0088463F">
        <w:rPr>
          <w:color w:val="auto"/>
        </w:rPr>
        <w:t>, and</w:t>
      </w:r>
      <w:r w:rsidR="0088463F">
        <w:rPr>
          <w:color w:val="auto"/>
        </w:rPr>
        <w:t xml:space="preserve"> a</w:t>
      </w:r>
      <w:r w:rsidRPr="0088463F">
        <w:rPr>
          <w:color w:val="auto"/>
        </w:rPr>
        <w:t xml:space="preserve"> constant oligomer that will be used to synthesize all sgRNAs</w:t>
      </w:r>
      <w:r w:rsidR="00334BF4">
        <w:rPr>
          <w:color w:val="auto"/>
        </w:rPr>
        <w:t>.</w:t>
      </w:r>
    </w:p>
    <w:p w14:paraId="2C972E25" w14:textId="77777777" w:rsidR="009B58A7" w:rsidRPr="00A1728C" w:rsidRDefault="009B58A7" w:rsidP="00A1728C">
      <w:pPr>
        <w:rPr>
          <w:b/>
          <w:color w:val="auto"/>
        </w:rPr>
      </w:pPr>
    </w:p>
    <w:p w14:paraId="3ED20CF8" w14:textId="7AACAB0D" w:rsidR="009B58A7" w:rsidRDefault="009B58A7" w:rsidP="00A1728C">
      <w:pPr>
        <w:pStyle w:val="ListParagraph"/>
        <w:numPr>
          <w:ilvl w:val="1"/>
          <w:numId w:val="43"/>
        </w:numPr>
        <w:rPr>
          <w:color w:val="auto"/>
        </w:rPr>
      </w:pPr>
      <w:r w:rsidRPr="00A1728C">
        <w:rPr>
          <w:color w:val="auto"/>
        </w:rPr>
        <w:t>Order the selected oligomers (</w:t>
      </w:r>
      <w:r w:rsidR="003D419B">
        <w:rPr>
          <w:color w:val="auto"/>
        </w:rPr>
        <w:t xml:space="preserve">step </w:t>
      </w:r>
      <w:r w:rsidRPr="00A1728C">
        <w:rPr>
          <w:color w:val="auto"/>
        </w:rPr>
        <w:t>1.6) from an oligonucleotide production service. Oligo</w:t>
      </w:r>
      <w:r w:rsidR="00334BF4">
        <w:rPr>
          <w:color w:val="auto"/>
        </w:rPr>
        <w:t>mer</w:t>
      </w:r>
      <w:r w:rsidRPr="00A1728C">
        <w:rPr>
          <w:color w:val="auto"/>
        </w:rPr>
        <w:t>s and PCR primers may be ordered as standard desalted oligomers, no additional purification is necessary.</w:t>
      </w:r>
    </w:p>
    <w:p w14:paraId="62F31C3C" w14:textId="77777777" w:rsidR="00A1728C" w:rsidRPr="00A1728C" w:rsidRDefault="00A1728C" w:rsidP="00A1728C">
      <w:pPr>
        <w:pStyle w:val="ListParagraph"/>
        <w:ind w:left="216"/>
        <w:rPr>
          <w:color w:val="auto"/>
        </w:rPr>
      </w:pPr>
    </w:p>
    <w:p w14:paraId="1B486388" w14:textId="77777777" w:rsidR="009B58A7" w:rsidRPr="00A1728C" w:rsidRDefault="009B58A7" w:rsidP="00A1728C">
      <w:pPr>
        <w:pStyle w:val="ListParagraph"/>
        <w:numPr>
          <w:ilvl w:val="0"/>
          <w:numId w:val="43"/>
        </w:numPr>
        <w:rPr>
          <w:b/>
          <w:color w:val="auto"/>
        </w:rPr>
      </w:pPr>
      <w:r w:rsidRPr="00A1728C">
        <w:rPr>
          <w:b/>
          <w:color w:val="auto"/>
        </w:rPr>
        <w:t>Generate sgRNA</w:t>
      </w:r>
    </w:p>
    <w:p w14:paraId="431F1F4A" w14:textId="77777777" w:rsidR="009B58A7" w:rsidRPr="00A1728C" w:rsidRDefault="009B58A7" w:rsidP="00A1728C">
      <w:pPr>
        <w:pStyle w:val="ListParagraph"/>
        <w:ind w:left="0"/>
        <w:rPr>
          <w:b/>
          <w:color w:val="auto"/>
        </w:rPr>
      </w:pPr>
    </w:p>
    <w:p w14:paraId="3C6ED4C7" w14:textId="41729920" w:rsidR="009B58A7" w:rsidRPr="0088463F" w:rsidRDefault="009B58A7" w:rsidP="00A1728C">
      <w:pPr>
        <w:pStyle w:val="ListParagraph"/>
        <w:numPr>
          <w:ilvl w:val="1"/>
          <w:numId w:val="43"/>
        </w:numPr>
        <w:rPr>
          <w:color w:val="auto"/>
        </w:rPr>
      </w:pPr>
      <w:r w:rsidRPr="0088463F">
        <w:rPr>
          <w:color w:val="auto"/>
        </w:rPr>
        <w:t>Anneal oligomers in PCR tube</w:t>
      </w:r>
      <w:r w:rsidR="0088463F">
        <w:rPr>
          <w:color w:val="auto"/>
        </w:rPr>
        <w:t>:</w:t>
      </w:r>
      <w:r w:rsidRPr="0088463F">
        <w:rPr>
          <w:color w:val="auto"/>
        </w:rPr>
        <w:t xml:space="preserve"> </w:t>
      </w:r>
      <w:r w:rsidR="00334BF4" w:rsidRPr="0088463F">
        <w:rPr>
          <w:color w:val="auto"/>
        </w:rPr>
        <w:t xml:space="preserve">add </w:t>
      </w:r>
      <w:r w:rsidRPr="0088463F">
        <w:rPr>
          <w:color w:val="auto"/>
        </w:rPr>
        <w:t>1 µL</w:t>
      </w:r>
      <w:r w:rsidR="00F94BA1">
        <w:rPr>
          <w:color w:val="auto"/>
        </w:rPr>
        <w:t xml:space="preserve"> </w:t>
      </w:r>
      <w:r w:rsidR="00334BF4">
        <w:rPr>
          <w:color w:val="auto"/>
        </w:rPr>
        <w:t xml:space="preserve">of </w:t>
      </w:r>
      <w:r w:rsidRPr="0088463F">
        <w:rPr>
          <w:color w:val="auto"/>
        </w:rPr>
        <w:t xml:space="preserve">100 µM </w:t>
      </w:r>
      <w:r w:rsidR="00334BF4" w:rsidRPr="0088463F">
        <w:rPr>
          <w:color w:val="auto"/>
        </w:rPr>
        <w:t>constant oligomer</w:t>
      </w:r>
      <w:r w:rsidR="0088463F" w:rsidRPr="0088463F">
        <w:rPr>
          <w:color w:val="auto"/>
        </w:rPr>
        <w:t xml:space="preserve">, </w:t>
      </w:r>
      <w:r w:rsidRPr="0088463F">
        <w:rPr>
          <w:color w:val="auto"/>
        </w:rPr>
        <w:t>1 µL</w:t>
      </w:r>
      <w:r w:rsidR="00F94BA1">
        <w:rPr>
          <w:color w:val="auto"/>
        </w:rPr>
        <w:t xml:space="preserve"> </w:t>
      </w:r>
      <w:r w:rsidR="00334BF4">
        <w:rPr>
          <w:color w:val="auto"/>
        </w:rPr>
        <w:t xml:space="preserve">of </w:t>
      </w:r>
      <w:r w:rsidRPr="0088463F">
        <w:rPr>
          <w:color w:val="auto"/>
        </w:rPr>
        <w:t xml:space="preserve">100 µM sgRNA specific </w:t>
      </w:r>
      <w:r w:rsidR="00334BF4" w:rsidRPr="0088463F">
        <w:rPr>
          <w:color w:val="auto"/>
        </w:rPr>
        <w:t>oligomer</w:t>
      </w:r>
      <w:r w:rsidR="0088463F" w:rsidRPr="0088463F">
        <w:rPr>
          <w:color w:val="auto"/>
        </w:rPr>
        <w:t>,</w:t>
      </w:r>
      <w:r w:rsidR="0088463F">
        <w:rPr>
          <w:color w:val="auto"/>
        </w:rPr>
        <w:t xml:space="preserve"> and </w:t>
      </w:r>
      <w:r w:rsidRPr="0088463F">
        <w:rPr>
          <w:color w:val="auto"/>
        </w:rPr>
        <w:t>8 µL</w:t>
      </w:r>
      <w:r w:rsidR="00F94BA1">
        <w:rPr>
          <w:color w:val="auto"/>
        </w:rPr>
        <w:t xml:space="preserve"> </w:t>
      </w:r>
      <w:r w:rsidR="00334BF4">
        <w:rPr>
          <w:color w:val="auto"/>
        </w:rPr>
        <w:t xml:space="preserve">of </w:t>
      </w:r>
      <w:r w:rsidRPr="0088463F">
        <w:rPr>
          <w:color w:val="auto"/>
        </w:rPr>
        <w:t>nuclease-free H</w:t>
      </w:r>
      <w:r w:rsidRPr="0088463F">
        <w:rPr>
          <w:color w:val="auto"/>
          <w:vertAlign w:val="subscript"/>
        </w:rPr>
        <w:t>2</w:t>
      </w:r>
      <w:r w:rsidRPr="0088463F">
        <w:rPr>
          <w:color w:val="auto"/>
        </w:rPr>
        <w:t>O</w:t>
      </w:r>
    </w:p>
    <w:p w14:paraId="02E59E01" w14:textId="77777777" w:rsidR="009B58A7" w:rsidRPr="00A1728C" w:rsidRDefault="009B58A7" w:rsidP="00A1728C">
      <w:pPr>
        <w:rPr>
          <w:color w:val="auto"/>
        </w:rPr>
      </w:pPr>
    </w:p>
    <w:p w14:paraId="603AB98E" w14:textId="22141AA5" w:rsidR="009B58A7" w:rsidRPr="0088463F" w:rsidRDefault="009B58A7" w:rsidP="00A1728C">
      <w:pPr>
        <w:pStyle w:val="ListParagraph"/>
        <w:numPr>
          <w:ilvl w:val="1"/>
          <w:numId w:val="43"/>
        </w:numPr>
        <w:rPr>
          <w:color w:val="auto"/>
        </w:rPr>
      </w:pPr>
      <w:r w:rsidRPr="0088463F">
        <w:rPr>
          <w:color w:val="auto"/>
        </w:rPr>
        <w:t xml:space="preserve">Anneal oligomers in </w:t>
      </w:r>
      <w:r w:rsidR="00334BF4">
        <w:rPr>
          <w:color w:val="auto"/>
        </w:rPr>
        <w:t xml:space="preserve">a </w:t>
      </w:r>
      <w:r w:rsidRPr="0088463F">
        <w:rPr>
          <w:color w:val="auto"/>
        </w:rPr>
        <w:t>thermocycler with the following program:</w:t>
      </w:r>
      <w:r w:rsidR="0088463F" w:rsidRPr="0088463F">
        <w:rPr>
          <w:color w:val="auto"/>
        </w:rPr>
        <w:t xml:space="preserve"> h</w:t>
      </w:r>
      <w:r w:rsidRPr="0088463F">
        <w:rPr>
          <w:color w:val="auto"/>
        </w:rPr>
        <w:t>eat at 95 °C for 5 min</w:t>
      </w:r>
      <w:r w:rsidR="0088463F" w:rsidRPr="0088463F">
        <w:rPr>
          <w:color w:val="auto"/>
        </w:rPr>
        <w:t>, c</w:t>
      </w:r>
      <w:r w:rsidRPr="0088463F">
        <w:rPr>
          <w:color w:val="auto"/>
        </w:rPr>
        <w:t>ool to 85 °C at -2 °C/s</w:t>
      </w:r>
      <w:r w:rsidR="0088463F" w:rsidRPr="0088463F">
        <w:rPr>
          <w:color w:val="auto"/>
        </w:rPr>
        <w:t>, c</w:t>
      </w:r>
      <w:r w:rsidRPr="0088463F">
        <w:rPr>
          <w:color w:val="auto"/>
        </w:rPr>
        <w:t>ool to 25 °C at 0.1 °C/s</w:t>
      </w:r>
      <w:r w:rsidR="0088463F" w:rsidRPr="0088463F">
        <w:rPr>
          <w:color w:val="auto"/>
        </w:rPr>
        <w:t xml:space="preserve">, and </w:t>
      </w:r>
      <w:r w:rsidR="0088463F">
        <w:rPr>
          <w:color w:val="auto"/>
        </w:rPr>
        <w:t>h</w:t>
      </w:r>
      <w:r w:rsidRPr="0088463F">
        <w:rPr>
          <w:color w:val="auto"/>
        </w:rPr>
        <w:t>old at 4 °C</w:t>
      </w:r>
      <w:r w:rsidR="0088463F">
        <w:rPr>
          <w:color w:val="auto"/>
        </w:rPr>
        <w:t>.</w:t>
      </w:r>
    </w:p>
    <w:p w14:paraId="47ED6483" w14:textId="77777777" w:rsidR="009B58A7" w:rsidRPr="00A1728C" w:rsidRDefault="009B58A7" w:rsidP="00A1728C">
      <w:pPr>
        <w:rPr>
          <w:color w:val="auto"/>
        </w:rPr>
      </w:pPr>
    </w:p>
    <w:p w14:paraId="31637635" w14:textId="2EB06C92" w:rsidR="009B58A7" w:rsidRPr="0088463F" w:rsidRDefault="003D419B" w:rsidP="00A1728C">
      <w:pPr>
        <w:pStyle w:val="ListParagraph"/>
        <w:numPr>
          <w:ilvl w:val="1"/>
          <w:numId w:val="43"/>
        </w:numPr>
        <w:rPr>
          <w:color w:val="auto"/>
        </w:rPr>
      </w:pPr>
      <w:r>
        <w:rPr>
          <w:color w:val="auto"/>
        </w:rPr>
        <w:t>To g</w:t>
      </w:r>
      <w:r w:rsidR="009B58A7" w:rsidRPr="0088463F">
        <w:rPr>
          <w:color w:val="auto"/>
        </w:rPr>
        <w:t>enerate sgRNA template</w:t>
      </w:r>
      <w:r>
        <w:rPr>
          <w:color w:val="auto"/>
        </w:rPr>
        <w:t>,</w:t>
      </w:r>
      <w:r w:rsidR="009B58A7" w:rsidRPr="0088463F">
        <w:rPr>
          <w:color w:val="auto"/>
        </w:rPr>
        <w:t xml:space="preserve"> </w:t>
      </w:r>
      <w:r w:rsidR="0088463F" w:rsidRPr="0088463F">
        <w:rPr>
          <w:color w:val="auto"/>
        </w:rPr>
        <w:t xml:space="preserve">add </w:t>
      </w:r>
      <w:r w:rsidR="009B58A7" w:rsidRPr="0088463F">
        <w:rPr>
          <w:color w:val="auto"/>
        </w:rPr>
        <w:t xml:space="preserve">2.5 µL </w:t>
      </w:r>
      <w:r w:rsidR="0088463F" w:rsidRPr="0088463F">
        <w:rPr>
          <w:color w:val="auto"/>
        </w:rPr>
        <w:t xml:space="preserve">of </w:t>
      </w:r>
      <w:r w:rsidR="009B58A7" w:rsidRPr="0088463F">
        <w:rPr>
          <w:color w:val="auto"/>
        </w:rPr>
        <w:t>dNTP mix (10 mM)</w:t>
      </w:r>
      <w:r w:rsidR="0088463F" w:rsidRPr="0088463F">
        <w:rPr>
          <w:color w:val="auto"/>
        </w:rPr>
        <w:t xml:space="preserve">, </w:t>
      </w:r>
      <w:r w:rsidR="009B58A7" w:rsidRPr="0088463F">
        <w:rPr>
          <w:color w:val="auto"/>
        </w:rPr>
        <w:t xml:space="preserve">2 µL </w:t>
      </w:r>
      <w:r w:rsidR="0088463F" w:rsidRPr="0088463F">
        <w:rPr>
          <w:color w:val="auto"/>
        </w:rPr>
        <w:t xml:space="preserve">of </w:t>
      </w:r>
      <w:r w:rsidR="009B58A7" w:rsidRPr="0088463F">
        <w:rPr>
          <w:color w:val="auto"/>
        </w:rPr>
        <w:t>10</w:t>
      </w:r>
      <w:r w:rsidR="0088463F" w:rsidRPr="0088463F">
        <w:rPr>
          <w:color w:val="auto"/>
        </w:rPr>
        <w:t>x</w:t>
      </w:r>
      <w:r w:rsidR="009B58A7" w:rsidRPr="0088463F">
        <w:rPr>
          <w:color w:val="auto"/>
        </w:rPr>
        <w:t xml:space="preserve"> buffer</w:t>
      </w:r>
      <w:r w:rsidR="0088463F" w:rsidRPr="0088463F">
        <w:rPr>
          <w:color w:val="auto"/>
        </w:rPr>
        <w:t xml:space="preserve">, </w:t>
      </w:r>
      <w:r w:rsidR="009B58A7" w:rsidRPr="0088463F">
        <w:rPr>
          <w:color w:val="auto"/>
        </w:rPr>
        <w:t>0.5 µL</w:t>
      </w:r>
      <w:r w:rsidR="0088463F" w:rsidRPr="0088463F">
        <w:rPr>
          <w:color w:val="auto"/>
        </w:rPr>
        <w:t xml:space="preserve"> of</w:t>
      </w:r>
      <w:r w:rsidR="009B58A7" w:rsidRPr="0088463F">
        <w:rPr>
          <w:color w:val="auto"/>
        </w:rPr>
        <w:t xml:space="preserve"> T4 DNA polymerase</w:t>
      </w:r>
      <w:r w:rsidR="0088463F" w:rsidRPr="0088463F">
        <w:rPr>
          <w:color w:val="auto"/>
        </w:rPr>
        <w:t xml:space="preserve">, and </w:t>
      </w:r>
      <w:r w:rsidR="009B58A7" w:rsidRPr="0088463F">
        <w:rPr>
          <w:color w:val="auto"/>
        </w:rPr>
        <w:t>5 µL</w:t>
      </w:r>
      <w:r w:rsidR="0088463F" w:rsidRPr="0088463F">
        <w:rPr>
          <w:color w:val="auto"/>
        </w:rPr>
        <w:t xml:space="preserve"> of</w:t>
      </w:r>
      <w:r w:rsidR="009B58A7" w:rsidRPr="0088463F">
        <w:rPr>
          <w:color w:val="auto"/>
        </w:rPr>
        <w:t xml:space="preserve"> nuclease-free H</w:t>
      </w:r>
      <w:r w:rsidR="009B58A7" w:rsidRPr="0088463F">
        <w:rPr>
          <w:color w:val="auto"/>
          <w:vertAlign w:val="subscript"/>
        </w:rPr>
        <w:t>2</w:t>
      </w:r>
      <w:r w:rsidR="0088463F">
        <w:rPr>
          <w:color w:val="auto"/>
        </w:rPr>
        <w:t>O</w:t>
      </w:r>
      <w:r w:rsidRPr="003D419B">
        <w:rPr>
          <w:color w:val="auto"/>
        </w:rPr>
        <w:t xml:space="preserve"> </w:t>
      </w:r>
      <w:r w:rsidRPr="0088463F">
        <w:rPr>
          <w:color w:val="auto"/>
        </w:rPr>
        <w:t>to the annealed oligomers from step 2.2</w:t>
      </w:r>
      <w:r w:rsidR="0088463F">
        <w:rPr>
          <w:color w:val="auto"/>
        </w:rPr>
        <w:t xml:space="preserve">. </w:t>
      </w:r>
      <w:r w:rsidR="009B58A7" w:rsidRPr="0088463F">
        <w:rPr>
          <w:color w:val="auto"/>
        </w:rPr>
        <w:t xml:space="preserve">Incubate for 20 </w:t>
      </w:r>
      <w:r w:rsidR="00334BF4" w:rsidRPr="00623A4C">
        <w:rPr>
          <w:color w:val="auto"/>
        </w:rPr>
        <w:t>min</w:t>
      </w:r>
      <w:r w:rsidR="00334BF4" w:rsidRPr="0088463F">
        <w:rPr>
          <w:color w:val="auto"/>
        </w:rPr>
        <w:t xml:space="preserve"> </w:t>
      </w:r>
      <w:r w:rsidR="009B58A7" w:rsidRPr="0088463F">
        <w:rPr>
          <w:color w:val="auto"/>
        </w:rPr>
        <w:t>at 12 °C</w:t>
      </w:r>
      <w:r w:rsidR="0088463F">
        <w:rPr>
          <w:color w:val="auto"/>
        </w:rPr>
        <w:t>.</w:t>
      </w:r>
    </w:p>
    <w:p w14:paraId="4FBA9C21" w14:textId="77777777" w:rsidR="009B58A7" w:rsidRPr="00A1728C" w:rsidRDefault="009B58A7" w:rsidP="00A1728C">
      <w:pPr>
        <w:rPr>
          <w:color w:val="auto"/>
        </w:rPr>
      </w:pPr>
    </w:p>
    <w:p w14:paraId="450485C4" w14:textId="3D0DE748" w:rsidR="009B58A7" w:rsidRPr="00A1728C" w:rsidRDefault="009B58A7" w:rsidP="00A1728C">
      <w:pPr>
        <w:pStyle w:val="ListParagraph"/>
        <w:numPr>
          <w:ilvl w:val="1"/>
          <w:numId w:val="43"/>
        </w:numPr>
        <w:rPr>
          <w:color w:val="auto"/>
        </w:rPr>
      </w:pPr>
      <w:r w:rsidRPr="00A1728C">
        <w:rPr>
          <w:color w:val="auto"/>
        </w:rPr>
        <w:t xml:space="preserve">Purify template using </w:t>
      </w:r>
      <w:r w:rsidR="003D419B">
        <w:rPr>
          <w:color w:val="auto"/>
        </w:rPr>
        <w:t xml:space="preserve">a </w:t>
      </w:r>
      <w:r w:rsidRPr="00A1728C">
        <w:rPr>
          <w:color w:val="auto"/>
        </w:rPr>
        <w:t xml:space="preserve">PCR clean up column per </w:t>
      </w:r>
      <w:r w:rsidR="00334BF4">
        <w:rPr>
          <w:color w:val="auto"/>
        </w:rPr>
        <w:t xml:space="preserve">the </w:t>
      </w:r>
      <w:r w:rsidRPr="00A1728C">
        <w:rPr>
          <w:color w:val="auto"/>
        </w:rPr>
        <w:t>manufacturer</w:t>
      </w:r>
      <w:r w:rsidR="007C2E13" w:rsidRPr="007C2E13">
        <w:rPr>
          <w:color w:val="auto"/>
        </w:rPr>
        <w:t>’s</w:t>
      </w:r>
      <w:r w:rsidRPr="00A1728C">
        <w:rPr>
          <w:color w:val="auto"/>
        </w:rPr>
        <w:t xml:space="preserve"> instructions. </w:t>
      </w:r>
    </w:p>
    <w:p w14:paraId="598C79A2" w14:textId="77777777" w:rsidR="009B58A7" w:rsidRPr="00A1728C" w:rsidRDefault="009B58A7" w:rsidP="00A1728C">
      <w:pPr>
        <w:pStyle w:val="ListParagraph"/>
        <w:ind w:left="630"/>
        <w:rPr>
          <w:color w:val="auto"/>
        </w:rPr>
      </w:pPr>
    </w:p>
    <w:p w14:paraId="7D2315FD" w14:textId="4141DA41" w:rsidR="009B58A7" w:rsidRPr="00A1728C" w:rsidRDefault="009B58A7" w:rsidP="00A1728C">
      <w:pPr>
        <w:pStyle w:val="ListParagraph"/>
        <w:numPr>
          <w:ilvl w:val="1"/>
          <w:numId w:val="43"/>
        </w:numPr>
        <w:rPr>
          <w:color w:val="auto"/>
        </w:rPr>
      </w:pPr>
      <w:r w:rsidRPr="00A1728C">
        <w:rPr>
          <w:color w:val="auto"/>
        </w:rPr>
        <w:t>Elute in 20</w:t>
      </w:r>
      <w:r w:rsidR="0088463F">
        <w:rPr>
          <w:color w:val="auto"/>
        </w:rPr>
        <w:t>–</w:t>
      </w:r>
      <w:r w:rsidRPr="00A1728C">
        <w:rPr>
          <w:color w:val="auto"/>
        </w:rPr>
        <w:t xml:space="preserve">30 µL. Use a </w:t>
      </w:r>
      <w:r w:rsidR="00EC04AD" w:rsidRPr="00A1728C">
        <w:rPr>
          <w:color w:val="auto"/>
        </w:rPr>
        <w:t xml:space="preserve">spectrophotometer </w:t>
      </w:r>
      <w:r w:rsidRPr="00A1728C">
        <w:rPr>
          <w:color w:val="auto"/>
        </w:rPr>
        <w:t>to estimate concentration and purity</w:t>
      </w:r>
      <w:r w:rsidR="00334BF4">
        <w:rPr>
          <w:color w:val="auto"/>
        </w:rPr>
        <w:t>.</w:t>
      </w:r>
      <w:r w:rsidRPr="00A1728C">
        <w:rPr>
          <w:color w:val="auto"/>
        </w:rPr>
        <w:t xml:space="preserve"> </w:t>
      </w:r>
      <w:r w:rsidR="00334BF4" w:rsidRPr="00A1728C">
        <w:rPr>
          <w:color w:val="auto"/>
        </w:rPr>
        <w:t xml:space="preserve">The </w:t>
      </w:r>
      <w:r w:rsidRPr="00A1728C">
        <w:rPr>
          <w:color w:val="auto"/>
        </w:rPr>
        <w:t>template should be 100</w:t>
      </w:r>
      <w:r w:rsidR="0088463F">
        <w:rPr>
          <w:color w:val="auto"/>
        </w:rPr>
        <w:t>–</w:t>
      </w:r>
      <w:r w:rsidRPr="00A1728C">
        <w:rPr>
          <w:color w:val="auto"/>
        </w:rPr>
        <w:t>200 ng/µL and 1.8</w:t>
      </w:r>
      <w:r w:rsidR="0088463F">
        <w:rPr>
          <w:color w:val="auto"/>
        </w:rPr>
        <w:t>–</w:t>
      </w:r>
      <w:r w:rsidRPr="00A1728C">
        <w:rPr>
          <w:color w:val="auto"/>
        </w:rPr>
        <w:t>1.9 A</w:t>
      </w:r>
      <w:r w:rsidRPr="00A1728C">
        <w:rPr>
          <w:color w:val="auto"/>
          <w:vertAlign w:val="subscript"/>
        </w:rPr>
        <w:t>260/280</w:t>
      </w:r>
      <w:r w:rsidRPr="00A1728C">
        <w:rPr>
          <w:color w:val="auto"/>
        </w:rPr>
        <w:t>.</w:t>
      </w:r>
    </w:p>
    <w:p w14:paraId="460F7875" w14:textId="77777777" w:rsidR="009B58A7" w:rsidRPr="00A1728C" w:rsidRDefault="009B58A7" w:rsidP="00A1728C">
      <w:pPr>
        <w:pStyle w:val="ListParagraph"/>
        <w:rPr>
          <w:color w:val="auto"/>
        </w:rPr>
      </w:pPr>
    </w:p>
    <w:p w14:paraId="5A8CE98F" w14:textId="165ED8D1" w:rsidR="009B58A7" w:rsidRPr="00A1728C" w:rsidRDefault="009B58A7" w:rsidP="00A1728C">
      <w:pPr>
        <w:pStyle w:val="ListParagraph"/>
        <w:numPr>
          <w:ilvl w:val="1"/>
          <w:numId w:val="43"/>
        </w:numPr>
        <w:rPr>
          <w:color w:val="auto"/>
        </w:rPr>
      </w:pPr>
      <w:r w:rsidRPr="00A1728C">
        <w:rPr>
          <w:color w:val="auto"/>
        </w:rPr>
        <w:t xml:space="preserve">Verify via </w:t>
      </w:r>
      <w:r w:rsidR="00334BF4">
        <w:rPr>
          <w:color w:val="auto"/>
        </w:rPr>
        <w:t xml:space="preserve">an </w:t>
      </w:r>
      <w:r w:rsidRPr="00A1728C">
        <w:rPr>
          <w:color w:val="auto"/>
        </w:rPr>
        <w:t>agarose gel by running 1</w:t>
      </w:r>
      <w:r w:rsidR="0088463F">
        <w:rPr>
          <w:color w:val="auto"/>
        </w:rPr>
        <w:t>–</w:t>
      </w:r>
      <w:r w:rsidRPr="00A1728C">
        <w:rPr>
          <w:color w:val="auto"/>
        </w:rPr>
        <w:t>5 µL</w:t>
      </w:r>
      <w:r w:rsidR="00334BF4">
        <w:rPr>
          <w:color w:val="auto"/>
        </w:rPr>
        <w:t>. The</w:t>
      </w:r>
      <w:r w:rsidRPr="00A1728C">
        <w:rPr>
          <w:color w:val="auto"/>
        </w:rPr>
        <w:t xml:space="preserve"> dominant band should be 120 bp.</w:t>
      </w:r>
      <w:r w:rsidR="00F94BA1">
        <w:rPr>
          <w:color w:val="auto"/>
        </w:rPr>
        <w:t xml:space="preserve"> </w:t>
      </w:r>
      <w:r w:rsidRPr="00A1728C">
        <w:rPr>
          <w:color w:val="auto"/>
        </w:rPr>
        <w:t xml:space="preserve">See </w:t>
      </w:r>
      <w:r w:rsidR="00EA1C1D" w:rsidRPr="00EA1C1D">
        <w:rPr>
          <w:b/>
          <w:color w:val="auto"/>
        </w:rPr>
        <w:t>Figure 1A</w:t>
      </w:r>
      <w:r w:rsidRPr="00A1728C">
        <w:rPr>
          <w:color w:val="auto"/>
        </w:rPr>
        <w:t xml:space="preserve"> for representative results.</w:t>
      </w:r>
    </w:p>
    <w:p w14:paraId="6AE8F09B" w14:textId="77777777" w:rsidR="009B58A7" w:rsidRPr="00A1728C" w:rsidRDefault="009B58A7" w:rsidP="00A1728C">
      <w:pPr>
        <w:pStyle w:val="ListParagraph"/>
        <w:rPr>
          <w:color w:val="auto"/>
        </w:rPr>
      </w:pPr>
    </w:p>
    <w:p w14:paraId="05636C77" w14:textId="4FB07E4D" w:rsidR="009B58A7" w:rsidRPr="00A1728C" w:rsidRDefault="009B58A7" w:rsidP="00A1728C">
      <w:pPr>
        <w:pStyle w:val="ListParagraph"/>
        <w:numPr>
          <w:ilvl w:val="1"/>
          <w:numId w:val="43"/>
        </w:numPr>
        <w:rPr>
          <w:color w:val="auto"/>
        </w:rPr>
      </w:pPr>
      <w:r w:rsidRPr="00A1728C">
        <w:rPr>
          <w:color w:val="auto"/>
        </w:rPr>
        <w:t>Store gel</w:t>
      </w:r>
      <w:r w:rsidR="0026337F">
        <w:rPr>
          <w:color w:val="auto"/>
        </w:rPr>
        <w:t>-</w:t>
      </w:r>
      <w:r w:rsidRPr="00A1728C">
        <w:rPr>
          <w:color w:val="auto"/>
        </w:rPr>
        <w:t>verified sgRNA template at -20 °C (long term) or 4 °C (short term, 1</w:t>
      </w:r>
      <w:r w:rsidR="0088463F">
        <w:rPr>
          <w:color w:val="auto"/>
        </w:rPr>
        <w:t>–</w:t>
      </w:r>
      <w:r w:rsidRPr="00A1728C">
        <w:rPr>
          <w:color w:val="auto"/>
        </w:rPr>
        <w:t>4 weeks).</w:t>
      </w:r>
    </w:p>
    <w:p w14:paraId="5244B1F9" w14:textId="77777777" w:rsidR="009B58A7" w:rsidRPr="00A1728C" w:rsidRDefault="009B58A7" w:rsidP="00A1728C">
      <w:pPr>
        <w:pStyle w:val="ListParagraph"/>
        <w:rPr>
          <w:color w:val="auto"/>
        </w:rPr>
      </w:pPr>
    </w:p>
    <w:p w14:paraId="347AA8AC" w14:textId="40EA288A" w:rsidR="009B58A7" w:rsidRPr="0088463F" w:rsidRDefault="009B58A7" w:rsidP="00A1728C">
      <w:pPr>
        <w:pStyle w:val="ListParagraph"/>
        <w:numPr>
          <w:ilvl w:val="1"/>
          <w:numId w:val="43"/>
        </w:numPr>
        <w:rPr>
          <w:color w:val="auto"/>
        </w:rPr>
      </w:pPr>
      <w:r w:rsidRPr="0088463F">
        <w:rPr>
          <w:color w:val="auto"/>
        </w:rPr>
        <w:t xml:space="preserve">Transcribe sgRNA using </w:t>
      </w:r>
      <w:r w:rsidR="001D676C" w:rsidRPr="0088463F">
        <w:rPr>
          <w:color w:val="auto"/>
        </w:rPr>
        <w:t xml:space="preserve">T7 RNA transcription </w:t>
      </w:r>
      <w:r w:rsidRPr="0088463F">
        <w:rPr>
          <w:color w:val="auto"/>
        </w:rPr>
        <w:t xml:space="preserve">kit by adding to </w:t>
      </w:r>
      <w:r w:rsidR="0088463F" w:rsidRPr="0088463F">
        <w:rPr>
          <w:color w:val="auto"/>
        </w:rPr>
        <w:t xml:space="preserve">a </w:t>
      </w:r>
      <w:r w:rsidRPr="0088463F">
        <w:rPr>
          <w:color w:val="auto"/>
        </w:rPr>
        <w:t>1.5 mL microcentrifuge tube at room temperature</w:t>
      </w:r>
      <w:r w:rsidR="0088463F" w:rsidRPr="0088463F">
        <w:rPr>
          <w:color w:val="auto"/>
        </w:rPr>
        <w:t xml:space="preserve"> </w:t>
      </w:r>
      <w:r w:rsidRPr="0088463F">
        <w:rPr>
          <w:color w:val="auto"/>
        </w:rPr>
        <w:t xml:space="preserve">8 µL </w:t>
      </w:r>
      <w:r w:rsidR="0088463F" w:rsidRPr="0088463F">
        <w:rPr>
          <w:color w:val="auto"/>
        </w:rPr>
        <w:t xml:space="preserve">of </w:t>
      </w:r>
      <w:r w:rsidRPr="0088463F">
        <w:rPr>
          <w:color w:val="auto"/>
        </w:rPr>
        <w:t xml:space="preserve">dNTP mix (equal volumes of </w:t>
      </w:r>
      <w:proofErr w:type="spellStart"/>
      <w:r w:rsidRPr="0088463F">
        <w:rPr>
          <w:color w:val="auto"/>
        </w:rPr>
        <w:t>dA</w:t>
      </w:r>
      <w:proofErr w:type="spellEnd"/>
      <w:r w:rsidRPr="0088463F">
        <w:rPr>
          <w:color w:val="auto"/>
        </w:rPr>
        <w:t xml:space="preserve">, dT, </w:t>
      </w:r>
      <w:proofErr w:type="spellStart"/>
      <w:r w:rsidRPr="0088463F">
        <w:rPr>
          <w:color w:val="auto"/>
        </w:rPr>
        <w:t>dG</w:t>
      </w:r>
      <w:proofErr w:type="spellEnd"/>
      <w:r w:rsidRPr="0088463F">
        <w:rPr>
          <w:color w:val="auto"/>
        </w:rPr>
        <w:t xml:space="preserve">, </w:t>
      </w:r>
      <w:proofErr w:type="spellStart"/>
      <w:r w:rsidRPr="0088463F">
        <w:rPr>
          <w:color w:val="auto"/>
        </w:rPr>
        <w:t>dC</w:t>
      </w:r>
      <w:proofErr w:type="spellEnd"/>
      <w:r w:rsidRPr="0088463F">
        <w:rPr>
          <w:color w:val="auto"/>
        </w:rPr>
        <w:t>)</w:t>
      </w:r>
      <w:r w:rsidR="0088463F" w:rsidRPr="0088463F">
        <w:rPr>
          <w:color w:val="auto"/>
        </w:rPr>
        <w:t xml:space="preserve">, </w:t>
      </w:r>
      <w:r w:rsidRPr="0088463F">
        <w:rPr>
          <w:color w:val="auto"/>
        </w:rPr>
        <w:t xml:space="preserve">2 µL </w:t>
      </w:r>
      <w:r w:rsidR="0088463F" w:rsidRPr="0088463F">
        <w:rPr>
          <w:color w:val="auto"/>
        </w:rPr>
        <w:t xml:space="preserve">of </w:t>
      </w:r>
      <w:r w:rsidRPr="0088463F">
        <w:rPr>
          <w:color w:val="auto"/>
        </w:rPr>
        <w:t>10</w:t>
      </w:r>
      <w:r w:rsidR="0088463F" w:rsidRPr="0088463F">
        <w:rPr>
          <w:color w:val="auto"/>
        </w:rPr>
        <w:t>x</w:t>
      </w:r>
      <w:r w:rsidRPr="0088463F">
        <w:rPr>
          <w:color w:val="auto"/>
        </w:rPr>
        <w:t xml:space="preserve"> buffer (room temperature)</w:t>
      </w:r>
      <w:r w:rsidR="0088463F" w:rsidRPr="0088463F">
        <w:rPr>
          <w:color w:val="auto"/>
        </w:rPr>
        <w:t xml:space="preserve">, </w:t>
      </w:r>
      <w:r w:rsidRPr="0088463F">
        <w:rPr>
          <w:color w:val="auto"/>
        </w:rPr>
        <w:t>2 µL</w:t>
      </w:r>
      <w:r w:rsidR="0088463F" w:rsidRPr="0088463F">
        <w:rPr>
          <w:color w:val="auto"/>
        </w:rPr>
        <w:t xml:space="preserve"> of</w:t>
      </w:r>
      <w:r w:rsidRPr="0088463F">
        <w:rPr>
          <w:color w:val="auto"/>
        </w:rPr>
        <w:t xml:space="preserve"> T7 RNA polymerase</w:t>
      </w:r>
      <w:r w:rsidR="0088463F" w:rsidRPr="0088463F">
        <w:rPr>
          <w:color w:val="auto"/>
        </w:rPr>
        <w:t xml:space="preserve">, </w:t>
      </w:r>
      <w:r w:rsidR="00C4620F" w:rsidRPr="0088463F">
        <w:rPr>
          <w:color w:val="auto"/>
        </w:rPr>
        <w:t>100</w:t>
      </w:r>
      <w:r w:rsidR="0026337F" w:rsidRPr="00623A4C">
        <w:rPr>
          <w:color w:val="auto"/>
        </w:rPr>
        <w:t>−</w:t>
      </w:r>
      <w:r w:rsidR="00C4620F" w:rsidRPr="0088463F">
        <w:rPr>
          <w:color w:val="auto"/>
        </w:rPr>
        <w:t xml:space="preserve">200 ng </w:t>
      </w:r>
      <w:r w:rsidR="0088463F" w:rsidRPr="0088463F">
        <w:rPr>
          <w:color w:val="auto"/>
        </w:rPr>
        <w:t xml:space="preserve">of </w:t>
      </w:r>
      <w:r w:rsidR="00C4620F" w:rsidRPr="0088463F">
        <w:rPr>
          <w:color w:val="auto"/>
        </w:rPr>
        <w:t>sgRNA template</w:t>
      </w:r>
      <w:r w:rsidR="0088463F" w:rsidRPr="0088463F">
        <w:rPr>
          <w:color w:val="auto"/>
        </w:rPr>
        <w:t>, and</w:t>
      </w:r>
      <w:r w:rsidRPr="0088463F">
        <w:rPr>
          <w:color w:val="auto"/>
        </w:rPr>
        <w:t xml:space="preserve"> nuclease-free H</w:t>
      </w:r>
      <w:r w:rsidRPr="0088463F">
        <w:rPr>
          <w:color w:val="auto"/>
          <w:vertAlign w:val="subscript"/>
        </w:rPr>
        <w:t>2</w:t>
      </w:r>
      <w:r w:rsidRPr="0088463F">
        <w:rPr>
          <w:color w:val="auto"/>
        </w:rPr>
        <w:t>O</w:t>
      </w:r>
      <w:r w:rsidR="00C4620F" w:rsidRPr="0088463F">
        <w:rPr>
          <w:color w:val="auto"/>
        </w:rPr>
        <w:t xml:space="preserve"> </w:t>
      </w:r>
      <w:r w:rsidR="0088463F" w:rsidRPr="0088463F">
        <w:rPr>
          <w:color w:val="auto"/>
        </w:rPr>
        <w:t xml:space="preserve">to </w:t>
      </w:r>
      <w:r w:rsidR="0026337F">
        <w:rPr>
          <w:color w:val="auto"/>
        </w:rPr>
        <w:t xml:space="preserve">a </w:t>
      </w:r>
      <w:r w:rsidR="00C4620F" w:rsidRPr="0088463F">
        <w:rPr>
          <w:color w:val="auto"/>
        </w:rPr>
        <w:t>20 µL total volume</w:t>
      </w:r>
      <w:r w:rsidR="0088463F" w:rsidRPr="0088463F">
        <w:rPr>
          <w:color w:val="auto"/>
        </w:rPr>
        <w:t xml:space="preserve">. </w:t>
      </w:r>
      <w:r w:rsidR="00C4620F" w:rsidRPr="0088463F">
        <w:rPr>
          <w:color w:val="auto"/>
        </w:rPr>
        <w:t>S</w:t>
      </w:r>
      <w:r w:rsidRPr="0088463F">
        <w:rPr>
          <w:color w:val="auto"/>
        </w:rPr>
        <w:t xml:space="preserve">pin to collect at </w:t>
      </w:r>
      <w:r w:rsidR="00C95895">
        <w:rPr>
          <w:color w:val="auto"/>
        </w:rPr>
        <w:t xml:space="preserve">the </w:t>
      </w:r>
      <w:r w:rsidRPr="0088463F">
        <w:rPr>
          <w:color w:val="auto"/>
        </w:rPr>
        <w:t>bottom</w:t>
      </w:r>
      <w:r w:rsidR="0088463F" w:rsidRPr="0088463F">
        <w:rPr>
          <w:color w:val="auto"/>
        </w:rPr>
        <w:t>.</w:t>
      </w:r>
      <w:r w:rsidR="0088463F">
        <w:rPr>
          <w:color w:val="auto"/>
        </w:rPr>
        <w:t xml:space="preserve"> </w:t>
      </w:r>
      <w:r w:rsidRPr="0088463F">
        <w:rPr>
          <w:color w:val="auto"/>
        </w:rPr>
        <w:t>Incubate for 2</w:t>
      </w:r>
      <w:r w:rsidR="0088463F">
        <w:rPr>
          <w:color w:val="auto"/>
        </w:rPr>
        <w:t>–</w:t>
      </w:r>
      <w:r w:rsidRPr="0088463F">
        <w:rPr>
          <w:color w:val="auto"/>
        </w:rPr>
        <w:t>4 h at 37 °C.</w:t>
      </w:r>
    </w:p>
    <w:p w14:paraId="60A59417" w14:textId="77777777" w:rsidR="009B58A7" w:rsidRPr="00A1728C" w:rsidRDefault="009B58A7" w:rsidP="00A1728C">
      <w:pPr>
        <w:rPr>
          <w:color w:val="auto"/>
        </w:rPr>
      </w:pPr>
    </w:p>
    <w:p w14:paraId="4B2F2CBE" w14:textId="48764398" w:rsidR="009B58A7" w:rsidRPr="00A1728C" w:rsidRDefault="009B58A7" w:rsidP="00A1728C">
      <w:pPr>
        <w:pStyle w:val="ListParagraph"/>
        <w:numPr>
          <w:ilvl w:val="1"/>
          <w:numId w:val="43"/>
        </w:numPr>
        <w:rPr>
          <w:color w:val="auto"/>
        </w:rPr>
      </w:pPr>
      <w:r w:rsidRPr="00A1728C">
        <w:rPr>
          <w:color w:val="auto"/>
        </w:rPr>
        <w:t>Add 1 µL</w:t>
      </w:r>
      <w:r w:rsidR="0088463F">
        <w:rPr>
          <w:color w:val="auto"/>
        </w:rPr>
        <w:t xml:space="preserve"> of</w:t>
      </w:r>
      <w:r w:rsidRPr="00A1728C">
        <w:rPr>
          <w:color w:val="auto"/>
        </w:rPr>
        <w:t xml:space="preserve"> DNase and incubate an additional 15 min at 37 °C.</w:t>
      </w:r>
    </w:p>
    <w:p w14:paraId="6BD44E8F" w14:textId="77777777" w:rsidR="009B58A7" w:rsidRPr="00A1728C" w:rsidRDefault="009B58A7" w:rsidP="00A1728C">
      <w:pPr>
        <w:pStyle w:val="ListParagraph"/>
        <w:ind w:left="630"/>
        <w:rPr>
          <w:color w:val="auto"/>
        </w:rPr>
      </w:pPr>
    </w:p>
    <w:p w14:paraId="6EBEAAA7" w14:textId="7222046E" w:rsidR="009B58A7" w:rsidRPr="0088463F" w:rsidRDefault="009B58A7" w:rsidP="00A1728C">
      <w:pPr>
        <w:pStyle w:val="ListParagraph"/>
        <w:numPr>
          <w:ilvl w:val="2"/>
          <w:numId w:val="43"/>
        </w:numPr>
        <w:rPr>
          <w:color w:val="auto"/>
        </w:rPr>
      </w:pPr>
      <w:r w:rsidRPr="0088463F">
        <w:rPr>
          <w:color w:val="auto"/>
        </w:rPr>
        <w:t>Clean up sgRNA</w:t>
      </w:r>
      <w:r w:rsidR="003D419B">
        <w:rPr>
          <w:color w:val="auto"/>
        </w:rPr>
        <w:t xml:space="preserve"> by</w:t>
      </w:r>
      <w:r w:rsidRPr="0088463F">
        <w:rPr>
          <w:color w:val="auto"/>
        </w:rPr>
        <w:t xml:space="preserve"> </w:t>
      </w:r>
      <w:r w:rsidR="00C95895" w:rsidRPr="0088463F">
        <w:rPr>
          <w:color w:val="auto"/>
        </w:rPr>
        <w:t>add</w:t>
      </w:r>
      <w:r w:rsidR="003D419B">
        <w:rPr>
          <w:color w:val="auto"/>
        </w:rPr>
        <w:t>ing</w:t>
      </w:r>
      <w:r w:rsidR="00C95895" w:rsidRPr="0088463F">
        <w:rPr>
          <w:color w:val="auto"/>
        </w:rPr>
        <w:t xml:space="preserve"> </w:t>
      </w:r>
      <w:r w:rsidRPr="0088463F">
        <w:rPr>
          <w:color w:val="auto"/>
        </w:rPr>
        <w:t xml:space="preserve">1 µL </w:t>
      </w:r>
      <w:r w:rsidR="0088463F" w:rsidRPr="0088463F">
        <w:rPr>
          <w:color w:val="auto"/>
        </w:rPr>
        <w:t xml:space="preserve">of </w:t>
      </w:r>
      <w:r w:rsidRPr="0088463F">
        <w:rPr>
          <w:color w:val="auto"/>
        </w:rPr>
        <w:t>glycogen</w:t>
      </w:r>
      <w:r w:rsidR="0088463F" w:rsidRPr="0088463F">
        <w:rPr>
          <w:color w:val="auto"/>
        </w:rPr>
        <w:t xml:space="preserve">, </w:t>
      </w:r>
      <w:r w:rsidRPr="0088463F">
        <w:rPr>
          <w:color w:val="auto"/>
        </w:rPr>
        <w:t xml:space="preserve">30 µL </w:t>
      </w:r>
      <w:r w:rsidR="0088463F" w:rsidRPr="0088463F">
        <w:rPr>
          <w:color w:val="auto"/>
        </w:rPr>
        <w:t xml:space="preserve">of </w:t>
      </w:r>
      <w:r w:rsidRPr="0088463F">
        <w:rPr>
          <w:color w:val="auto"/>
        </w:rPr>
        <w:t>nuclease-free H</w:t>
      </w:r>
      <w:r w:rsidRPr="0088463F">
        <w:rPr>
          <w:color w:val="auto"/>
          <w:vertAlign w:val="subscript"/>
        </w:rPr>
        <w:t>2</w:t>
      </w:r>
      <w:r w:rsidRPr="0088463F">
        <w:rPr>
          <w:color w:val="auto"/>
        </w:rPr>
        <w:t>O</w:t>
      </w:r>
      <w:r w:rsidR="0088463F" w:rsidRPr="0088463F">
        <w:rPr>
          <w:color w:val="auto"/>
        </w:rPr>
        <w:t xml:space="preserve">, </w:t>
      </w:r>
      <w:r w:rsidRPr="0088463F">
        <w:rPr>
          <w:color w:val="auto"/>
        </w:rPr>
        <w:t xml:space="preserve">30 µL </w:t>
      </w:r>
      <w:r w:rsidR="0088463F" w:rsidRPr="0088463F">
        <w:rPr>
          <w:color w:val="auto"/>
        </w:rPr>
        <w:t xml:space="preserve">of </w:t>
      </w:r>
      <w:r w:rsidRPr="0088463F">
        <w:rPr>
          <w:color w:val="auto"/>
        </w:rPr>
        <w:t>5</w:t>
      </w:r>
      <w:r w:rsidR="0088463F" w:rsidRPr="0088463F">
        <w:rPr>
          <w:color w:val="auto"/>
        </w:rPr>
        <w:t xml:space="preserve"> </w:t>
      </w:r>
      <w:r w:rsidRPr="0088463F">
        <w:rPr>
          <w:color w:val="auto"/>
        </w:rPr>
        <w:t>M ammonium acetate</w:t>
      </w:r>
      <w:r w:rsidR="0088463F" w:rsidRPr="0088463F">
        <w:rPr>
          <w:color w:val="auto"/>
        </w:rPr>
        <w:t xml:space="preserve"> and </w:t>
      </w:r>
      <w:r w:rsidRPr="0088463F">
        <w:rPr>
          <w:color w:val="auto"/>
        </w:rPr>
        <w:t>180 µL</w:t>
      </w:r>
      <w:r w:rsidR="0088463F" w:rsidRPr="0088463F">
        <w:rPr>
          <w:color w:val="auto"/>
        </w:rPr>
        <w:t xml:space="preserve"> of</w:t>
      </w:r>
      <w:r w:rsidRPr="0088463F">
        <w:rPr>
          <w:color w:val="auto"/>
        </w:rPr>
        <w:t xml:space="preserve"> 100% EtOH</w:t>
      </w:r>
      <w:r w:rsidR="003D419B" w:rsidRPr="003D419B">
        <w:rPr>
          <w:color w:val="auto"/>
        </w:rPr>
        <w:t xml:space="preserve"> </w:t>
      </w:r>
      <w:r w:rsidR="003D419B" w:rsidRPr="0088463F">
        <w:rPr>
          <w:color w:val="auto"/>
        </w:rPr>
        <w:t>to transcribed sgRNA</w:t>
      </w:r>
      <w:r w:rsidR="0088463F" w:rsidRPr="0088463F">
        <w:rPr>
          <w:color w:val="auto"/>
        </w:rPr>
        <w:t xml:space="preserve">. </w:t>
      </w:r>
      <w:r w:rsidRPr="0088463F">
        <w:rPr>
          <w:color w:val="auto"/>
        </w:rPr>
        <w:t xml:space="preserve">Mix well and incubate at least 20 </w:t>
      </w:r>
      <w:r w:rsidR="00C95895" w:rsidRPr="00D81FC0">
        <w:rPr>
          <w:color w:val="auto"/>
        </w:rPr>
        <w:t>min</w:t>
      </w:r>
      <w:r w:rsidR="00C95895" w:rsidRPr="0088463F">
        <w:rPr>
          <w:color w:val="auto"/>
        </w:rPr>
        <w:t xml:space="preserve"> </w:t>
      </w:r>
      <w:r w:rsidRPr="0088463F">
        <w:rPr>
          <w:color w:val="auto"/>
        </w:rPr>
        <w:t>at -80 °C (until frozen) or at -20 °C overnight</w:t>
      </w:r>
      <w:r w:rsidR="0088463F" w:rsidRPr="0088463F">
        <w:rPr>
          <w:color w:val="auto"/>
        </w:rPr>
        <w:t>.</w:t>
      </w:r>
      <w:r w:rsidR="0088463F">
        <w:rPr>
          <w:color w:val="auto"/>
        </w:rPr>
        <w:t xml:space="preserve"> </w:t>
      </w:r>
      <w:r w:rsidRPr="0088463F">
        <w:rPr>
          <w:color w:val="auto"/>
        </w:rPr>
        <w:t>Centrifuge at 4 °C for 15 min at max</w:t>
      </w:r>
      <w:r w:rsidR="00C95895">
        <w:rPr>
          <w:color w:val="auto"/>
        </w:rPr>
        <w:t>imum</w:t>
      </w:r>
      <w:r w:rsidRPr="0088463F">
        <w:rPr>
          <w:color w:val="auto"/>
        </w:rPr>
        <w:t xml:space="preserve"> speed.</w:t>
      </w:r>
    </w:p>
    <w:p w14:paraId="23A5BE88" w14:textId="77777777" w:rsidR="009B58A7" w:rsidRPr="00A1728C" w:rsidRDefault="009B58A7" w:rsidP="00A1728C">
      <w:pPr>
        <w:pStyle w:val="ListParagraph"/>
        <w:ind w:left="630" w:firstLine="90"/>
        <w:rPr>
          <w:color w:val="auto"/>
        </w:rPr>
      </w:pPr>
    </w:p>
    <w:p w14:paraId="288B369B" w14:textId="6FBB4DAC" w:rsidR="009B58A7" w:rsidRPr="00A1728C" w:rsidRDefault="009B58A7" w:rsidP="00A1728C">
      <w:pPr>
        <w:pStyle w:val="ListParagraph"/>
        <w:numPr>
          <w:ilvl w:val="1"/>
          <w:numId w:val="43"/>
        </w:numPr>
        <w:rPr>
          <w:color w:val="auto"/>
        </w:rPr>
      </w:pPr>
      <w:r w:rsidRPr="00A1728C">
        <w:rPr>
          <w:color w:val="auto"/>
        </w:rPr>
        <w:t xml:space="preserve">Remove and discard supernatant </w:t>
      </w:r>
      <w:r w:rsidR="00C95895">
        <w:rPr>
          <w:color w:val="auto"/>
        </w:rPr>
        <w:t>without</w:t>
      </w:r>
      <w:r w:rsidRPr="00A1728C">
        <w:rPr>
          <w:color w:val="auto"/>
        </w:rPr>
        <w:t xml:space="preserve"> disturb</w:t>
      </w:r>
      <w:r w:rsidR="00C95895">
        <w:rPr>
          <w:color w:val="auto"/>
        </w:rPr>
        <w:t>ing</w:t>
      </w:r>
      <w:r w:rsidRPr="00A1728C">
        <w:rPr>
          <w:color w:val="auto"/>
        </w:rPr>
        <w:t xml:space="preserve"> the pellet, </w:t>
      </w:r>
      <w:r w:rsidR="0088463F">
        <w:rPr>
          <w:color w:val="auto"/>
        </w:rPr>
        <w:t xml:space="preserve">and </w:t>
      </w:r>
      <w:r w:rsidRPr="00A1728C">
        <w:rPr>
          <w:color w:val="auto"/>
        </w:rPr>
        <w:t xml:space="preserve">wash with 1 mL </w:t>
      </w:r>
      <w:r w:rsidR="0088463F">
        <w:rPr>
          <w:color w:val="auto"/>
        </w:rPr>
        <w:t xml:space="preserve">of </w:t>
      </w:r>
      <w:r w:rsidRPr="00A1728C">
        <w:rPr>
          <w:color w:val="auto"/>
        </w:rPr>
        <w:t>RNase</w:t>
      </w:r>
      <w:r w:rsidR="0088463F">
        <w:rPr>
          <w:color w:val="auto"/>
        </w:rPr>
        <w:t>-</w:t>
      </w:r>
      <w:r w:rsidRPr="00A1728C">
        <w:rPr>
          <w:color w:val="auto"/>
        </w:rPr>
        <w:t>free 70% EtOH chilled at -20 °C.</w:t>
      </w:r>
      <w:r w:rsidR="00F94BA1">
        <w:rPr>
          <w:color w:val="auto"/>
        </w:rPr>
        <w:t xml:space="preserve"> </w:t>
      </w:r>
      <w:r w:rsidRPr="00A1728C">
        <w:rPr>
          <w:color w:val="auto"/>
        </w:rPr>
        <w:t xml:space="preserve">Spin </w:t>
      </w:r>
      <w:r w:rsidR="00C95895">
        <w:rPr>
          <w:color w:val="auto"/>
        </w:rPr>
        <w:t xml:space="preserve">an </w:t>
      </w:r>
      <w:r w:rsidRPr="00A1728C">
        <w:rPr>
          <w:color w:val="auto"/>
        </w:rPr>
        <w:t>additional 5 min</w:t>
      </w:r>
      <w:r w:rsidR="0088463F">
        <w:rPr>
          <w:color w:val="auto"/>
        </w:rPr>
        <w:t xml:space="preserve"> </w:t>
      </w:r>
      <w:r w:rsidRPr="00A1728C">
        <w:rPr>
          <w:color w:val="auto"/>
        </w:rPr>
        <w:t>at max</w:t>
      </w:r>
      <w:r w:rsidR="00C95895">
        <w:rPr>
          <w:color w:val="auto"/>
        </w:rPr>
        <w:t>imum</w:t>
      </w:r>
      <w:r w:rsidRPr="00A1728C">
        <w:rPr>
          <w:color w:val="auto"/>
        </w:rPr>
        <w:t xml:space="preserve"> speed at 4 °C.</w:t>
      </w:r>
    </w:p>
    <w:p w14:paraId="7FBAB1EB" w14:textId="77777777" w:rsidR="009B58A7" w:rsidRPr="00A1728C" w:rsidRDefault="009B58A7" w:rsidP="00A1728C">
      <w:pPr>
        <w:pStyle w:val="ListParagraph"/>
        <w:ind w:left="630"/>
        <w:rPr>
          <w:color w:val="auto"/>
        </w:rPr>
      </w:pPr>
    </w:p>
    <w:p w14:paraId="38488DDE" w14:textId="2B75F81F" w:rsidR="009B58A7" w:rsidRPr="00A1728C" w:rsidRDefault="009B58A7" w:rsidP="00A1728C">
      <w:pPr>
        <w:pStyle w:val="ListParagraph"/>
        <w:numPr>
          <w:ilvl w:val="1"/>
          <w:numId w:val="43"/>
        </w:numPr>
        <w:rPr>
          <w:color w:val="auto"/>
        </w:rPr>
      </w:pPr>
      <w:r w:rsidRPr="00A1728C">
        <w:rPr>
          <w:color w:val="auto"/>
        </w:rPr>
        <w:t xml:space="preserve">Remove and discard </w:t>
      </w:r>
      <w:r w:rsidR="00C95895">
        <w:rPr>
          <w:color w:val="auto"/>
        </w:rPr>
        <w:t xml:space="preserve">the </w:t>
      </w:r>
      <w:r w:rsidRPr="00A1728C">
        <w:rPr>
          <w:color w:val="auto"/>
        </w:rPr>
        <w:t xml:space="preserve">supernatant </w:t>
      </w:r>
      <w:r w:rsidR="00C95895">
        <w:rPr>
          <w:color w:val="auto"/>
        </w:rPr>
        <w:t>without</w:t>
      </w:r>
      <w:r w:rsidRPr="00A1728C">
        <w:rPr>
          <w:color w:val="auto"/>
        </w:rPr>
        <w:t xml:space="preserve"> disturb</w:t>
      </w:r>
      <w:r w:rsidR="00C95895">
        <w:rPr>
          <w:color w:val="auto"/>
        </w:rPr>
        <w:t>ing</w:t>
      </w:r>
      <w:r w:rsidRPr="00A1728C">
        <w:rPr>
          <w:color w:val="auto"/>
        </w:rPr>
        <w:t xml:space="preserve"> the pellet</w:t>
      </w:r>
      <w:r w:rsidR="00C95895">
        <w:rPr>
          <w:color w:val="auto"/>
        </w:rPr>
        <w:t>,</w:t>
      </w:r>
      <w:r w:rsidRPr="00A1728C">
        <w:rPr>
          <w:color w:val="auto"/>
        </w:rPr>
        <w:t xml:space="preserve"> and air-dr</w:t>
      </w:r>
      <w:r w:rsidR="0088463F">
        <w:rPr>
          <w:color w:val="auto"/>
        </w:rPr>
        <w:t>y the</w:t>
      </w:r>
      <w:r w:rsidRPr="00A1728C">
        <w:rPr>
          <w:color w:val="auto"/>
        </w:rPr>
        <w:t xml:space="preserve"> pellet for 5 min.</w:t>
      </w:r>
    </w:p>
    <w:p w14:paraId="52773D1D" w14:textId="77777777" w:rsidR="009B58A7" w:rsidRPr="00A1728C" w:rsidRDefault="009B58A7" w:rsidP="00A1728C">
      <w:pPr>
        <w:pStyle w:val="ListParagraph"/>
        <w:rPr>
          <w:color w:val="auto"/>
        </w:rPr>
      </w:pPr>
    </w:p>
    <w:p w14:paraId="4370559B" w14:textId="67BC87F7" w:rsidR="009B58A7" w:rsidRPr="00A1728C" w:rsidRDefault="009B58A7" w:rsidP="00A1728C">
      <w:pPr>
        <w:pStyle w:val="ListParagraph"/>
        <w:numPr>
          <w:ilvl w:val="1"/>
          <w:numId w:val="43"/>
        </w:numPr>
        <w:rPr>
          <w:color w:val="auto"/>
        </w:rPr>
      </w:pPr>
      <w:r w:rsidRPr="00A1728C">
        <w:rPr>
          <w:color w:val="auto"/>
        </w:rPr>
        <w:t>Resuspend in 30 µL</w:t>
      </w:r>
      <w:r w:rsidR="0088463F">
        <w:rPr>
          <w:color w:val="auto"/>
        </w:rPr>
        <w:t xml:space="preserve"> of</w:t>
      </w:r>
      <w:r w:rsidRPr="00A1728C">
        <w:rPr>
          <w:color w:val="auto"/>
        </w:rPr>
        <w:t xml:space="preserve"> nuclease-free H</w:t>
      </w:r>
      <w:r w:rsidRPr="00A1728C">
        <w:rPr>
          <w:color w:val="auto"/>
          <w:vertAlign w:val="subscript"/>
        </w:rPr>
        <w:t>2</w:t>
      </w:r>
      <w:r w:rsidRPr="00A1728C">
        <w:rPr>
          <w:color w:val="auto"/>
        </w:rPr>
        <w:t xml:space="preserve">O and determine purity and yield </w:t>
      </w:r>
      <w:r w:rsidR="0088463F">
        <w:rPr>
          <w:color w:val="auto"/>
        </w:rPr>
        <w:t xml:space="preserve">using UV spectroscopy </w:t>
      </w:r>
      <w:r w:rsidRPr="00A1728C">
        <w:rPr>
          <w:color w:val="auto"/>
        </w:rPr>
        <w:t>(minimum yield of 200 ng/</w:t>
      </w:r>
      <w:proofErr w:type="spellStart"/>
      <w:r w:rsidRPr="00A1728C">
        <w:rPr>
          <w:color w:val="auto"/>
        </w:rPr>
        <w:t>uL</w:t>
      </w:r>
      <w:proofErr w:type="spellEnd"/>
      <w:r w:rsidRPr="00A1728C">
        <w:rPr>
          <w:color w:val="auto"/>
        </w:rPr>
        <w:t>).</w:t>
      </w:r>
    </w:p>
    <w:p w14:paraId="4790ED81" w14:textId="77777777" w:rsidR="009B58A7" w:rsidRPr="00A1728C" w:rsidRDefault="009B58A7" w:rsidP="00A1728C">
      <w:pPr>
        <w:pStyle w:val="ListParagraph"/>
        <w:rPr>
          <w:color w:val="auto"/>
        </w:rPr>
      </w:pPr>
    </w:p>
    <w:p w14:paraId="1DF451AC" w14:textId="54A35E75" w:rsidR="009B58A7" w:rsidRPr="00A1728C" w:rsidRDefault="009B58A7" w:rsidP="00A1728C">
      <w:pPr>
        <w:pStyle w:val="ListParagraph"/>
        <w:numPr>
          <w:ilvl w:val="1"/>
          <w:numId w:val="43"/>
        </w:numPr>
        <w:rPr>
          <w:color w:val="auto"/>
        </w:rPr>
      </w:pPr>
      <w:r w:rsidRPr="00A1728C">
        <w:rPr>
          <w:color w:val="auto"/>
        </w:rPr>
        <w:t xml:space="preserve">Verify </w:t>
      </w:r>
      <w:r w:rsidR="0088463F">
        <w:rPr>
          <w:color w:val="auto"/>
        </w:rPr>
        <w:t xml:space="preserve">the </w:t>
      </w:r>
      <w:r w:rsidRPr="00A1728C">
        <w:rPr>
          <w:color w:val="auto"/>
        </w:rPr>
        <w:t xml:space="preserve">presence of sgRNA on </w:t>
      </w:r>
      <w:r w:rsidR="0088463F">
        <w:rPr>
          <w:color w:val="auto"/>
        </w:rPr>
        <w:t>a</w:t>
      </w:r>
      <w:r w:rsidR="003D419B">
        <w:rPr>
          <w:color w:val="auto"/>
        </w:rPr>
        <w:t>n</w:t>
      </w:r>
      <w:r w:rsidR="0088463F">
        <w:rPr>
          <w:color w:val="auto"/>
        </w:rPr>
        <w:t xml:space="preserve"> </w:t>
      </w:r>
      <w:r w:rsidRPr="00A1728C">
        <w:rPr>
          <w:color w:val="auto"/>
        </w:rPr>
        <w:t>RNase-free gel. The sgRNA appears between 50</w:t>
      </w:r>
      <w:r w:rsidR="0088463F">
        <w:rPr>
          <w:color w:val="auto"/>
        </w:rPr>
        <w:t xml:space="preserve"> and </w:t>
      </w:r>
      <w:r w:rsidRPr="00A1728C">
        <w:rPr>
          <w:color w:val="auto"/>
        </w:rPr>
        <w:t xml:space="preserve">150 bp as two bands due to </w:t>
      </w:r>
      <w:r w:rsidR="00C95895">
        <w:rPr>
          <w:color w:val="auto"/>
        </w:rPr>
        <w:t xml:space="preserve">the </w:t>
      </w:r>
      <w:r w:rsidRPr="00A1728C">
        <w:rPr>
          <w:color w:val="auto"/>
        </w:rPr>
        <w:t>secondary structure (</w:t>
      </w:r>
      <w:r w:rsidR="00EA1C1D" w:rsidRPr="00EA1C1D">
        <w:rPr>
          <w:b/>
          <w:color w:val="auto"/>
        </w:rPr>
        <w:t>Figure 1B</w:t>
      </w:r>
      <w:r w:rsidRPr="00A1728C">
        <w:rPr>
          <w:color w:val="auto"/>
        </w:rPr>
        <w:t>).</w:t>
      </w:r>
    </w:p>
    <w:p w14:paraId="40EDE4DD" w14:textId="77777777" w:rsidR="009B58A7" w:rsidRPr="00A1728C" w:rsidRDefault="009B58A7" w:rsidP="00A1728C">
      <w:pPr>
        <w:pStyle w:val="ListParagraph"/>
        <w:rPr>
          <w:color w:val="auto"/>
        </w:rPr>
      </w:pPr>
    </w:p>
    <w:p w14:paraId="0171C0AA" w14:textId="77777777" w:rsidR="009B58A7" w:rsidRPr="00A1728C" w:rsidRDefault="009B58A7" w:rsidP="00A1728C">
      <w:pPr>
        <w:pStyle w:val="ListParagraph"/>
        <w:numPr>
          <w:ilvl w:val="1"/>
          <w:numId w:val="43"/>
        </w:numPr>
        <w:rPr>
          <w:color w:val="auto"/>
        </w:rPr>
      </w:pPr>
      <w:r w:rsidRPr="00A1728C">
        <w:rPr>
          <w:color w:val="auto"/>
        </w:rPr>
        <w:t>Aliquot into 3 µL and store at -80 °C.</w:t>
      </w:r>
    </w:p>
    <w:p w14:paraId="03F8ED16" w14:textId="77777777" w:rsidR="009B58A7" w:rsidRPr="00A1728C" w:rsidRDefault="009B58A7" w:rsidP="00A1728C">
      <w:pPr>
        <w:rPr>
          <w:b/>
          <w:color w:val="auto"/>
          <w:vertAlign w:val="subscript"/>
        </w:rPr>
      </w:pPr>
      <w:r w:rsidRPr="00A1728C">
        <w:rPr>
          <w:b/>
          <w:color w:val="auto"/>
          <w:vertAlign w:val="subscript"/>
        </w:rPr>
        <w:softHyphen/>
      </w:r>
      <w:r w:rsidRPr="00A1728C">
        <w:rPr>
          <w:b/>
          <w:color w:val="auto"/>
          <w:vertAlign w:val="subscript"/>
        </w:rPr>
        <w:softHyphen/>
      </w:r>
    </w:p>
    <w:p w14:paraId="7FAC28BA" w14:textId="78840CFC" w:rsidR="009B58A7" w:rsidRPr="00A1728C" w:rsidRDefault="009B58A7" w:rsidP="00A1728C">
      <w:pPr>
        <w:pStyle w:val="ListParagraph"/>
        <w:numPr>
          <w:ilvl w:val="0"/>
          <w:numId w:val="43"/>
        </w:numPr>
        <w:rPr>
          <w:b/>
          <w:i/>
          <w:color w:val="auto"/>
        </w:rPr>
      </w:pPr>
      <w:r w:rsidRPr="00A1728C">
        <w:rPr>
          <w:b/>
          <w:color w:val="auto"/>
        </w:rPr>
        <w:t xml:space="preserve">Validate </w:t>
      </w:r>
      <w:r w:rsidR="00495A1B" w:rsidRPr="00623A4C">
        <w:rPr>
          <w:b/>
          <w:color w:val="auto"/>
        </w:rPr>
        <w:t xml:space="preserve">cutting efficiency </w:t>
      </w:r>
      <w:r w:rsidR="00495A1B" w:rsidRPr="000F1CEB">
        <w:rPr>
          <w:b/>
          <w:color w:val="auto"/>
        </w:rPr>
        <w:t>in vitro</w:t>
      </w:r>
    </w:p>
    <w:p w14:paraId="0AA354B4" w14:textId="77777777" w:rsidR="009B58A7" w:rsidRPr="00A1728C" w:rsidRDefault="009B58A7" w:rsidP="00A1728C">
      <w:pPr>
        <w:rPr>
          <w:b/>
          <w:color w:val="auto"/>
        </w:rPr>
      </w:pPr>
    </w:p>
    <w:p w14:paraId="36F52B9F" w14:textId="46B8EC3E" w:rsidR="009B58A7" w:rsidRPr="00A1728C" w:rsidRDefault="009B58A7" w:rsidP="00A1728C">
      <w:pPr>
        <w:pStyle w:val="ListParagraph"/>
        <w:numPr>
          <w:ilvl w:val="1"/>
          <w:numId w:val="43"/>
        </w:numPr>
        <w:rPr>
          <w:color w:val="auto"/>
        </w:rPr>
      </w:pPr>
      <w:r w:rsidRPr="00A1728C">
        <w:rPr>
          <w:color w:val="auto"/>
        </w:rPr>
        <w:t xml:space="preserve">Extract genomic DNA from </w:t>
      </w:r>
      <w:r w:rsidR="00C95895">
        <w:rPr>
          <w:color w:val="auto"/>
        </w:rPr>
        <w:t xml:space="preserve">the </w:t>
      </w:r>
      <w:r w:rsidRPr="00A1728C">
        <w:rPr>
          <w:color w:val="auto"/>
        </w:rPr>
        <w:t>target species</w:t>
      </w:r>
      <w:r w:rsidR="001D676C" w:rsidRPr="00A1728C">
        <w:rPr>
          <w:color w:val="auto"/>
        </w:rPr>
        <w:t xml:space="preserve"> using </w:t>
      </w:r>
      <w:r w:rsidR="00C95895">
        <w:rPr>
          <w:color w:val="auto"/>
        </w:rPr>
        <w:t xml:space="preserve">a </w:t>
      </w:r>
      <w:r w:rsidR="001D676C" w:rsidRPr="00A1728C">
        <w:rPr>
          <w:color w:val="auto"/>
        </w:rPr>
        <w:t>commercial DNA extraction kit</w:t>
      </w:r>
      <w:r w:rsidRPr="00A1728C">
        <w:rPr>
          <w:color w:val="auto"/>
        </w:rPr>
        <w:t xml:space="preserve">. Ventral fin clippings can be used without having to sacrifice the fish, </w:t>
      </w:r>
      <w:r w:rsidR="00C95895" w:rsidRPr="00623A4C">
        <w:rPr>
          <w:color w:val="auto"/>
        </w:rPr>
        <w:t>because</w:t>
      </w:r>
      <w:r w:rsidR="00C95895" w:rsidRPr="00A1728C">
        <w:rPr>
          <w:color w:val="auto"/>
        </w:rPr>
        <w:t xml:space="preserve"> </w:t>
      </w:r>
      <w:r w:rsidRPr="00A1728C">
        <w:rPr>
          <w:color w:val="auto"/>
        </w:rPr>
        <w:t>the tissues are regenerated.</w:t>
      </w:r>
      <w:r w:rsidR="00F94BA1">
        <w:rPr>
          <w:color w:val="auto"/>
        </w:rPr>
        <w:t xml:space="preserve"> </w:t>
      </w:r>
    </w:p>
    <w:p w14:paraId="76974F5F" w14:textId="77777777" w:rsidR="009B58A7" w:rsidRPr="00A1728C" w:rsidRDefault="009B58A7" w:rsidP="00A1728C">
      <w:pPr>
        <w:rPr>
          <w:color w:val="auto"/>
        </w:rPr>
      </w:pPr>
    </w:p>
    <w:p w14:paraId="25CCDCD6" w14:textId="576D3063" w:rsidR="009B58A7" w:rsidRPr="00A1728C" w:rsidRDefault="009B58A7" w:rsidP="00A1728C">
      <w:pPr>
        <w:pStyle w:val="ListParagraph"/>
        <w:numPr>
          <w:ilvl w:val="1"/>
          <w:numId w:val="43"/>
        </w:numPr>
        <w:rPr>
          <w:color w:val="auto"/>
        </w:rPr>
      </w:pPr>
      <w:r w:rsidRPr="00A1728C">
        <w:rPr>
          <w:color w:val="auto"/>
        </w:rPr>
        <w:t xml:space="preserve">Amplify </w:t>
      </w:r>
      <w:r w:rsidR="00C95895">
        <w:rPr>
          <w:color w:val="auto"/>
        </w:rPr>
        <w:t xml:space="preserve">the </w:t>
      </w:r>
      <w:r w:rsidRPr="00A1728C">
        <w:rPr>
          <w:color w:val="auto"/>
        </w:rPr>
        <w:t xml:space="preserve">target </w:t>
      </w:r>
      <w:r w:rsidR="00C95895" w:rsidRPr="00A1728C">
        <w:rPr>
          <w:color w:val="auto"/>
        </w:rPr>
        <w:t xml:space="preserve">DNA </w:t>
      </w:r>
      <w:r w:rsidRPr="00A1728C">
        <w:rPr>
          <w:color w:val="auto"/>
        </w:rPr>
        <w:t xml:space="preserve">region using </w:t>
      </w:r>
      <w:r w:rsidR="00C95895">
        <w:rPr>
          <w:color w:val="auto"/>
        </w:rPr>
        <w:t xml:space="preserve">the </w:t>
      </w:r>
      <w:r w:rsidRPr="00A1728C">
        <w:rPr>
          <w:color w:val="auto"/>
        </w:rPr>
        <w:t xml:space="preserve">primers designed as described in </w:t>
      </w:r>
      <w:r w:rsidR="00C95895">
        <w:rPr>
          <w:color w:val="auto"/>
        </w:rPr>
        <w:t xml:space="preserve">steps </w:t>
      </w:r>
      <w:r w:rsidRPr="00A1728C">
        <w:rPr>
          <w:color w:val="auto"/>
        </w:rPr>
        <w:t xml:space="preserve">1.6 and 1.7 </w:t>
      </w:r>
      <w:r w:rsidR="00C95895">
        <w:rPr>
          <w:color w:val="auto"/>
        </w:rPr>
        <w:t>using</w:t>
      </w:r>
      <w:r w:rsidR="00C95895" w:rsidRPr="00A1728C">
        <w:rPr>
          <w:color w:val="auto"/>
        </w:rPr>
        <w:t xml:space="preserve"> </w:t>
      </w:r>
      <w:r w:rsidRPr="00A1728C">
        <w:rPr>
          <w:color w:val="auto"/>
        </w:rPr>
        <w:t>standard PCR.</w:t>
      </w:r>
      <w:r w:rsidR="00F94BA1">
        <w:rPr>
          <w:color w:val="auto"/>
        </w:rPr>
        <w:t xml:space="preserve"> </w:t>
      </w:r>
      <w:r w:rsidR="001D676C" w:rsidRPr="00A1728C">
        <w:rPr>
          <w:color w:val="auto"/>
        </w:rPr>
        <w:t>V</w:t>
      </w:r>
      <w:r w:rsidRPr="00A1728C">
        <w:rPr>
          <w:color w:val="auto"/>
        </w:rPr>
        <w:t xml:space="preserve">erify </w:t>
      </w:r>
      <w:r w:rsidR="00C95895">
        <w:rPr>
          <w:color w:val="auto"/>
        </w:rPr>
        <w:t xml:space="preserve">the </w:t>
      </w:r>
      <w:r w:rsidRPr="00A1728C">
        <w:rPr>
          <w:color w:val="auto"/>
        </w:rPr>
        <w:t>product by gel electrophoresis. Sequencing the fragment to ensure the proper region is being amplified is suggested, but not necessary.</w:t>
      </w:r>
      <w:r w:rsidR="00F94BA1">
        <w:rPr>
          <w:color w:val="auto"/>
        </w:rPr>
        <w:t xml:space="preserve"> </w:t>
      </w:r>
      <w:r w:rsidRPr="00A1728C">
        <w:rPr>
          <w:color w:val="auto"/>
        </w:rPr>
        <w:t xml:space="preserve">Representative results </w:t>
      </w:r>
      <w:r w:rsidR="003D419B">
        <w:rPr>
          <w:color w:val="auto"/>
        </w:rPr>
        <w:t xml:space="preserve">for the </w:t>
      </w:r>
      <w:r w:rsidR="003D419B" w:rsidRPr="00A1728C">
        <w:rPr>
          <w:i/>
          <w:color w:val="auto"/>
        </w:rPr>
        <w:t>scn4aa</w:t>
      </w:r>
      <w:r w:rsidR="003D419B" w:rsidRPr="00A1728C">
        <w:rPr>
          <w:color w:val="auto"/>
        </w:rPr>
        <w:t xml:space="preserve"> template </w:t>
      </w:r>
      <w:r w:rsidRPr="00A1728C">
        <w:rPr>
          <w:color w:val="auto"/>
        </w:rPr>
        <w:t xml:space="preserve">are shown in </w:t>
      </w:r>
      <w:r w:rsidR="00EA1C1D" w:rsidRPr="00EA1C1D">
        <w:rPr>
          <w:b/>
          <w:color w:val="auto"/>
        </w:rPr>
        <w:t>Figure 2</w:t>
      </w:r>
      <w:r w:rsidR="003D419B">
        <w:rPr>
          <w:color w:val="auto"/>
        </w:rPr>
        <w:t>.</w:t>
      </w:r>
    </w:p>
    <w:p w14:paraId="3F40B1D1" w14:textId="77777777" w:rsidR="009B58A7" w:rsidRPr="00A1728C" w:rsidRDefault="009B58A7" w:rsidP="00A1728C">
      <w:pPr>
        <w:rPr>
          <w:color w:val="auto"/>
        </w:rPr>
      </w:pPr>
    </w:p>
    <w:p w14:paraId="2FF281FB" w14:textId="30044D64" w:rsidR="009B58A7" w:rsidRPr="00A1728C" w:rsidRDefault="009B58A7" w:rsidP="00A1728C">
      <w:pPr>
        <w:pStyle w:val="ListParagraph"/>
        <w:numPr>
          <w:ilvl w:val="1"/>
          <w:numId w:val="43"/>
        </w:numPr>
        <w:rPr>
          <w:color w:val="auto"/>
        </w:rPr>
      </w:pPr>
      <w:r w:rsidRPr="00A1728C">
        <w:rPr>
          <w:color w:val="auto"/>
        </w:rPr>
        <w:t xml:space="preserve">Clean up </w:t>
      </w:r>
      <w:r w:rsidR="00C95895">
        <w:rPr>
          <w:color w:val="auto"/>
        </w:rPr>
        <w:t xml:space="preserve">the </w:t>
      </w:r>
      <w:r w:rsidRPr="00A1728C">
        <w:rPr>
          <w:color w:val="auto"/>
        </w:rPr>
        <w:t xml:space="preserve">PCR fragment with </w:t>
      </w:r>
      <w:r w:rsidR="00C95895">
        <w:rPr>
          <w:color w:val="auto"/>
        </w:rPr>
        <w:t xml:space="preserve">an </w:t>
      </w:r>
      <w:r w:rsidRPr="00A1728C">
        <w:rPr>
          <w:color w:val="auto"/>
        </w:rPr>
        <w:t>established laboratory</w:t>
      </w:r>
      <w:r w:rsidR="00C95895">
        <w:rPr>
          <w:color w:val="auto"/>
        </w:rPr>
        <w:t xml:space="preserve"> or </w:t>
      </w:r>
      <w:r w:rsidRPr="00A1728C">
        <w:rPr>
          <w:color w:val="auto"/>
        </w:rPr>
        <w:t>company protocol</w:t>
      </w:r>
      <w:r w:rsidR="001D676C" w:rsidRPr="00A1728C">
        <w:rPr>
          <w:color w:val="auto"/>
        </w:rPr>
        <w:t>.</w:t>
      </w:r>
      <w:r w:rsidRPr="00A1728C">
        <w:rPr>
          <w:color w:val="auto"/>
        </w:rPr>
        <w:t xml:space="preserve"> </w:t>
      </w:r>
    </w:p>
    <w:p w14:paraId="057158F9" w14:textId="77777777" w:rsidR="009B58A7" w:rsidRPr="00A1728C" w:rsidRDefault="009B58A7" w:rsidP="00A1728C">
      <w:pPr>
        <w:rPr>
          <w:color w:val="auto"/>
        </w:rPr>
      </w:pPr>
    </w:p>
    <w:p w14:paraId="686EF350" w14:textId="1D922118" w:rsidR="009B58A7" w:rsidRPr="00A1728C" w:rsidRDefault="009B58A7" w:rsidP="00A1728C">
      <w:pPr>
        <w:pStyle w:val="ListParagraph"/>
        <w:numPr>
          <w:ilvl w:val="1"/>
          <w:numId w:val="43"/>
        </w:numPr>
        <w:rPr>
          <w:color w:val="auto"/>
        </w:rPr>
      </w:pPr>
      <w:r w:rsidRPr="00A1728C">
        <w:rPr>
          <w:color w:val="auto"/>
        </w:rPr>
        <w:t xml:space="preserve">Store </w:t>
      </w:r>
      <w:r w:rsidR="00C95895">
        <w:rPr>
          <w:color w:val="auto"/>
        </w:rPr>
        <w:t xml:space="preserve">the </w:t>
      </w:r>
      <w:r w:rsidR="001D676C" w:rsidRPr="00A1728C">
        <w:rPr>
          <w:color w:val="auto"/>
        </w:rPr>
        <w:t xml:space="preserve">amplified </w:t>
      </w:r>
      <w:r w:rsidRPr="00A1728C">
        <w:rPr>
          <w:color w:val="auto"/>
        </w:rPr>
        <w:t xml:space="preserve">DNA at -20 °C. Consider </w:t>
      </w:r>
      <w:r w:rsidR="00C95895">
        <w:rPr>
          <w:color w:val="auto"/>
        </w:rPr>
        <w:t xml:space="preserve">separating it into </w:t>
      </w:r>
      <w:r w:rsidRPr="00A1728C">
        <w:rPr>
          <w:color w:val="auto"/>
        </w:rPr>
        <w:t>aliquots to reduce freeze</w:t>
      </w:r>
      <w:r w:rsidR="00C95895">
        <w:rPr>
          <w:color w:val="auto"/>
        </w:rPr>
        <w:t>-</w:t>
      </w:r>
      <w:r w:rsidRPr="00A1728C">
        <w:rPr>
          <w:color w:val="auto"/>
        </w:rPr>
        <w:t>thaw cycles.</w:t>
      </w:r>
    </w:p>
    <w:p w14:paraId="0379405F" w14:textId="77777777" w:rsidR="009B58A7" w:rsidRPr="00A1728C" w:rsidRDefault="009B58A7" w:rsidP="00A1728C">
      <w:pPr>
        <w:rPr>
          <w:color w:val="auto"/>
        </w:rPr>
      </w:pPr>
    </w:p>
    <w:p w14:paraId="5DA73D19" w14:textId="5BB3F07C" w:rsidR="009B58A7" w:rsidRPr="00A1728C" w:rsidRDefault="009B58A7" w:rsidP="00A1728C">
      <w:pPr>
        <w:pStyle w:val="ListParagraph"/>
        <w:numPr>
          <w:ilvl w:val="1"/>
          <w:numId w:val="43"/>
        </w:numPr>
        <w:rPr>
          <w:color w:val="auto"/>
        </w:rPr>
      </w:pPr>
      <w:r w:rsidRPr="00A1728C">
        <w:rPr>
          <w:color w:val="auto"/>
        </w:rPr>
        <w:t>Determine the required amounts</w:t>
      </w:r>
      <w:r w:rsidR="00C95895">
        <w:rPr>
          <w:color w:val="auto"/>
        </w:rPr>
        <w:t xml:space="preserve"> and </w:t>
      </w:r>
      <w:r w:rsidRPr="00A1728C">
        <w:rPr>
          <w:color w:val="auto"/>
        </w:rPr>
        <w:t>volumes of each component. Consider running negative controls (exclud</w:t>
      </w:r>
      <w:r w:rsidR="00C95895">
        <w:rPr>
          <w:color w:val="auto"/>
        </w:rPr>
        <w:t>ing</w:t>
      </w:r>
      <w:r w:rsidRPr="00A1728C">
        <w:rPr>
          <w:color w:val="auto"/>
        </w:rPr>
        <w:t xml:space="preserve"> either sgRNA or Cas9) and a positive control</w:t>
      </w:r>
      <w:r w:rsidR="004B5893" w:rsidRPr="00A1728C">
        <w:rPr>
          <w:color w:val="auto"/>
        </w:rPr>
        <w:t xml:space="preserve"> (a previously tested sgRNA that cleaves its target PCR amplified DNA)</w:t>
      </w:r>
      <w:r w:rsidR="00512FB9" w:rsidRPr="00A1728C">
        <w:rPr>
          <w:color w:val="auto"/>
        </w:rPr>
        <w:t xml:space="preserve"> if available</w:t>
      </w:r>
      <w:r w:rsidRPr="00A1728C">
        <w:rPr>
          <w:color w:val="auto"/>
        </w:rPr>
        <w:t xml:space="preserve">, as well as a concentration series of the sgRNA. </w:t>
      </w:r>
    </w:p>
    <w:p w14:paraId="73DFD7F2" w14:textId="77777777" w:rsidR="009B58A7" w:rsidRPr="00A1728C" w:rsidRDefault="009B58A7" w:rsidP="00A1728C">
      <w:pPr>
        <w:rPr>
          <w:color w:val="auto"/>
        </w:rPr>
      </w:pPr>
    </w:p>
    <w:p w14:paraId="6810A8BA" w14:textId="0CA224A3" w:rsidR="009B58A7" w:rsidRPr="0088463F" w:rsidRDefault="009B58A7" w:rsidP="00A1728C">
      <w:pPr>
        <w:pStyle w:val="ListParagraph"/>
        <w:numPr>
          <w:ilvl w:val="1"/>
          <w:numId w:val="43"/>
        </w:numPr>
        <w:rPr>
          <w:color w:val="auto"/>
        </w:rPr>
      </w:pPr>
      <w:r w:rsidRPr="0088463F">
        <w:rPr>
          <w:color w:val="auto"/>
        </w:rPr>
        <w:t xml:space="preserve">Set up </w:t>
      </w:r>
      <w:r w:rsidR="00C95895">
        <w:rPr>
          <w:color w:val="auto"/>
        </w:rPr>
        <w:t xml:space="preserve">the </w:t>
      </w:r>
      <w:r w:rsidRPr="0088463F">
        <w:rPr>
          <w:color w:val="auto"/>
        </w:rPr>
        <w:t xml:space="preserve">reaction mixture below in </w:t>
      </w:r>
      <w:r w:rsidR="00C95895">
        <w:rPr>
          <w:color w:val="auto"/>
        </w:rPr>
        <w:t xml:space="preserve">the specified </w:t>
      </w:r>
      <w:r w:rsidRPr="0088463F">
        <w:rPr>
          <w:color w:val="auto"/>
        </w:rPr>
        <w:t>order in a PCR tube at room temperature</w:t>
      </w:r>
      <w:r w:rsidR="0088463F" w:rsidRPr="0088463F">
        <w:rPr>
          <w:color w:val="auto"/>
        </w:rPr>
        <w:t>, adding the</w:t>
      </w:r>
      <w:r w:rsidRPr="0088463F">
        <w:rPr>
          <w:b/>
          <w:color w:val="auto"/>
        </w:rPr>
        <w:t xml:space="preserve"> </w:t>
      </w:r>
      <w:r w:rsidRPr="0088463F">
        <w:rPr>
          <w:bCs/>
          <w:color w:val="auto"/>
        </w:rPr>
        <w:t>sgRNA and Cas9 protein last for best results:</w:t>
      </w:r>
      <w:r w:rsidR="00F94BA1">
        <w:rPr>
          <w:bCs/>
          <w:color w:val="auto"/>
        </w:rPr>
        <w:t xml:space="preserve"> </w:t>
      </w:r>
      <w:r w:rsidRPr="0088463F">
        <w:rPr>
          <w:color w:val="auto"/>
        </w:rPr>
        <w:t>50</w:t>
      </w:r>
      <w:r w:rsidR="0088463F" w:rsidRPr="0088463F">
        <w:rPr>
          <w:color w:val="auto"/>
        </w:rPr>
        <w:t>–</w:t>
      </w:r>
      <w:r w:rsidRPr="0088463F">
        <w:rPr>
          <w:color w:val="auto"/>
        </w:rPr>
        <w:t xml:space="preserve">100 ng </w:t>
      </w:r>
      <w:r w:rsidR="0088463F" w:rsidRPr="0088463F">
        <w:rPr>
          <w:color w:val="auto"/>
        </w:rPr>
        <w:t>of t</w:t>
      </w:r>
      <w:r w:rsidRPr="0088463F">
        <w:rPr>
          <w:color w:val="auto"/>
        </w:rPr>
        <w:t>arget DNA PCR product</w:t>
      </w:r>
      <w:r w:rsidR="0088463F" w:rsidRPr="0088463F">
        <w:rPr>
          <w:color w:val="auto"/>
        </w:rPr>
        <w:t xml:space="preserve">, </w:t>
      </w:r>
      <w:r w:rsidRPr="0088463F">
        <w:rPr>
          <w:color w:val="auto"/>
        </w:rPr>
        <w:t>1 µL</w:t>
      </w:r>
      <w:r w:rsidR="0088463F" w:rsidRPr="0088463F">
        <w:rPr>
          <w:color w:val="auto"/>
        </w:rPr>
        <w:t xml:space="preserve"> of</w:t>
      </w:r>
      <w:r w:rsidRPr="0088463F">
        <w:rPr>
          <w:color w:val="auto"/>
        </w:rPr>
        <w:t xml:space="preserve"> 10</w:t>
      </w:r>
      <w:r w:rsidR="0088463F" w:rsidRPr="0088463F">
        <w:rPr>
          <w:color w:val="auto"/>
        </w:rPr>
        <w:t>x</w:t>
      </w:r>
      <w:r w:rsidRPr="0088463F">
        <w:rPr>
          <w:color w:val="auto"/>
        </w:rPr>
        <w:t xml:space="preserve"> </w:t>
      </w:r>
      <w:r w:rsidR="008075C3" w:rsidRPr="0088463F">
        <w:rPr>
          <w:color w:val="auto"/>
        </w:rPr>
        <w:t xml:space="preserve">buffer </w:t>
      </w:r>
      <w:r w:rsidRPr="0088463F">
        <w:rPr>
          <w:color w:val="auto"/>
        </w:rPr>
        <w:t>3</w:t>
      </w:r>
      <w:r w:rsidR="0088463F" w:rsidRPr="0088463F">
        <w:rPr>
          <w:color w:val="auto"/>
        </w:rPr>
        <w:t xml:space="preserve">, </w:t>
      </w:r>
      <w:r w:rsidRPr="0088463F">
        <w:rPr>
          <w:color w:val="auto"/>
        </w:rPr>
        <w:t xml:space="preserve">1 µL </w:t>
      </w:r>
      <w:r w:rsidR="0088463F" w:rsidRPr="0088463F">
        <w:rPr>
          <w:color w:val="auto"/>
        </w:rPr>
        <w:t xml:space="preserve">of </w:t>
      </w:r>
      <w:r w:rsidRPr="0088463F">
        <w:rPr>
          <w:color w:val="auto"/>
        </w:rPr>
        <w:t>10</w:t>
      </w:r>
      <w:r w:rsidR="0088463F" w:rsidRPr="0088463F">
        <w:rPr>
          <w:color w:val="auto"/>
        </w:rPr>
        <w:t>x</w:t>
      </w:r>
      <w:r w:rsidRPr="0088463F">
        <w:rPr>
          <w:color w:val="auto"/>
        </w:rPr>
        <w:t xml:space="preserve"> BSA (0.1 g/mL)</w:t>
      </w:r>
      <w:r w:rsidR="0088463F" w:rsidRPr="0088463F">
        <w:rPr>
          <w:color w:val="auto"/>
        </w:rPr>
        <w:t xml:space="preserve">, </w:t>
      </w:r>
      <w:r w:rsidRPr="0088463F">
        <w:rPr>
          <w:color w:val="auto"/>
        </w:rPr>
        <w:t>50</w:t>
      </w:r>
      <w:r w:rsidR="0088463F" w:rsidRPr="0088463F">
        <w:rPr>
          <w:color w:val="auto"/>
        </w:rPr>
        <w:t>–</w:t>
      </w:r>
      <w:r w:rsidRPr="0088463F">
        <w:rPr>
          <w:color w:val="auto"/>
        </w:rPr>
        <w:t xml:space="preserve">200 ng </w:t>
      </w:r>
      <w:r w:rsidR="0088463F" w:rsidRPr="0088463F">
        <w:rPr>
          <w:color w:val="auto"/>
        </w:rPr>
        <w:t xml:space="preserve">of </w:t>
      </w:r>
      <w:r w:rsidRPr="0088463F">
        <w:rPr>
          <w:color w:val="auto"/>
        </w:rPr>
        <w:t>Cas9 protein (1 mg/mL</w:t>
      </w:r>
      <w:r w:rsidR="0088463F" w:rsidRPr="0088463F">
        <w:rPr>
          <w:color w:val="auto"/>
        </w:rPr>
        <w:t xml:space="preserve">, </w:t>
      </w:r>
      <w:r w:rsidRPr="0088463F">
        <w:rPr>
          <w:color w:val="auto"/>
        </w:rPr>
        <w:t>150 ng suggested</w:t>
      </w:r>
      <w:r w:rsidR="0088463F" w:rsidRPr="0088463F">
        <w:rPr>
          <w:color w:val="auto"/>
        </w:rPr>
        <w:t xml:space="preserve">), </w:t>
      </w:r>
      <w:r w:rsidR="0088463F">
        <w:rPr>
          <w:color w:val="auto"/>
        </w:rPr>
        <w:t xml:space="preserve">and </w:t>
      </w:r>
      <w:r w:rsidRPr="0088463F">
        <w:rPr>
          <w:color w:val="auto"/>
        </w:rPr>
        <w:t>30</w:t>
      </w:r>
      <w:r w:rsidR="0088463F">
        <w:rPr>
          <w:color w:val="auto"/>
        </w:rPr>
        <w:t>–</w:t>
      </w:r>
      <w:r w:rsidRPr="0088463F">
        <w:rPr>
          <w:color w:val="auto"/>
        </w:rPr>
        <w:t xml:space="preserve">200 </w:t>
      </w:r>
      <w:r w:rsidR="0088463F">
        <w:rPr>
          <w:color w:val="auto"/>
        </w:rPr>
        <w:t xml:space="preserve">of </w:t>
      </w:r>
      <w:r w:rsidRPr="0088463F">
        <w:rPr>
          <w:color w:val="auto"/>
        </w:rPr>
        <w:t xml:space="preserve">ng sgRNA </w:t>
      </w:r>
      <w:r w:rsidR="0088463F">
        <w:rPr>
          <w:color w:val="auto"/>
        </w:rPr>
        <w:t>(</w:t>
      </w:r>
      <w:r w:rsidRPr="0088463F">
        <w:rPr>
          <w:color w:val="auto"/>
        </w:rPr>
        <w:t>100 ng suggested</w:t>
      </w:r>
      <w:r w:rsidR="0088463F">
        <w:rPr>
          <w:color w:val="auto"/>
        </w:rPr>
        <w:t>).</w:t>
      </w:r>
    </w:p>
    <w:p w14:paraId="6225DCAE" w14:textId="77777777" w:rsidR="009B58A7" w:rsidRPr="00A1728C" w:rsidRDefault="009B58A7" w:rsidP="00A1728C">
      <w:pPr>
        <w:rPr>
          <w:color w:val="auto"/>
        </w:rPr>
      </w:pPr>
    </w:p>
    <w:p w14:paraId="618FFBBD" w14:textId="5F15D692" w:rsidR="009B58A7" w:rsidRPr="00A1728C" w:rsidRDefault="009B58A7" w:rsidP="00A1728C">
      <w:pPr>
        <w:pStyle w:val="ListParagraph"/>
        <w:numPr>
          <w:ilvl w:val="2"/>
          <w:numId w:val="43"/>
        </w:numPr>
        <w:rPr>
          <w:color w:val="auto"/>
        </w:rPr>
      </w:pPr>
      <w:r w:rsidRPr="00A1728C">
        <w:rPr>
          <w:color w:val="auto"/>
        </w:rPr>
        <w:t xml:space="preserve">Incubate </w:t>
      </w:r>
      <w:r w:rsidR="0088463F">
        <w:rPr>
          <w:color w:val="auto"/>
        </w:rPr>
        <w:t xml:space="preserve">the </w:t>
      </w:r>
      <w:r w:rsidRPr="00A1728C">
        <w:rPr>
          <w:color w:val="auto"/>
        </w:rPr>
        <w:t>reaction at 37 °C for 1 h and then at 65 °C for 10 min to inactivate Cas9 protein.</w:t>
      </w:r>
    </w:p>
    <w:p w14:paraId="6BB97D84" w14:textId="77777777" w:rsidR="009B58A7" w:rsidRPr="00A1728C" w:rsidRDefault="009B58A7" w:rsidP="00A1728C">
      <w:pPr>
        <w:rPr>
          <w:color w:val="auto"/>
        </w:rPr>
      </w:pPr>
    </w:p>
    <w:p w14:paraId="46111475" w14:textId="3E644D85" w:rsidR="009B58A7" w:rsidRPr="00A1728C" w:rsidRDefault="009B58A7" w:rsidP="00A1728C">
      <w:pPr>
        <w:pStyle w:val="ListParagraph"/>
        <w:numPr>
          <w:ilvl w:val="2"/>
          <w:numId w:val="43"/>
        </w:numPr>
        <w:rPr>
          <w:color w:val="auto"/>
        </w:rPr>
      </w:pPr>
      <w:r w:rsidRPr="00A1728C">
        <w:rPr>
          <w:color w:val="auto"/>
        </w:rPr>
        <w:t>Run</w:t>
      </w:r>
      <w:r w:rsidR="0088463F">
        <w:rPr>
          <w:color w:val="auto"/>
        </w:rPr>
        <w:t xml:space="preserve"> the</w:t>
      </w:r>
      <w:r w:rsidRPr="00A1728C">
        <w:rPr>
          <w:color w:val="auto"/>
        </w:rPr>
        <w:t xml:space="preserve"> entire sample on </w:t>
      </w:r>
      <w:r w:rsidR="0088463F">
        <w:rPr>
          <w:color w:val="auto"/>
        </w:rPr>
        <w:t xml:space="preserve">a </w:t>
      </w:r>
      <w:r w:rsidRPr="00A1728C">
        <w:rPr>
          <w:color w:val="auto"/>
        </w:rPr>
        <w:t>2</w:t>
      </w:r>
      <w:r w:rsidR="00AA1370">
        <w:rPr>
          <w:color w:val="auto"/>
        </w:rPr>
        <w:t>%</w:t>
      </w:r>
      <w:r w:rsidR="0088463F">
        <w:rPr>
          <w:color w:val="auto"/>
        </w:rPr>
        <w:t>–</w:t>
      </w:r>
      <w:r w:rsidRPr="00A1728C">
        <w:rPr>
          <w:color w:val="auto"/>
        </w:rPr>
        <w:t>3% agarose gel (expected band sizes between 30</w:t>
      </w:r>
      <w:r w:rsidR="0088463F">
        <w:rPr>
          <w:color w:val="auto"/>
        </w:rPr>
        <w:t>–2</w:t>
      </w:r>
      <w:r w:rsidRPr="00A1728C">
        <w:rPr>
          <w:color w:val="auto"/>
        </w:rPr>
        <w:t xml:space="preserve">00 bp) along with positive and negative controls. Successful cleavage may show some of the PCR product but will also have </w:t>
      </w:r>
      <w:r w:rsidR="00C95895" w:rsidRPr="00C95895">
        <w:rPr>
          <w:color w:val="auto"/>
        </w:rPr>
        <w:t>two</w:t>
      </w:r>
      <w:r w:rsidRPr="00A1728C">
        <w:rPr>
          <w:color w:val="auto"/>
        </w:rPr>
        <w:t xml:space="preserve"> smaller bands. Representative results are shown in </w:t>
      </w:r>
      <w:r w:rsidR="00EA1C1D" w:rsidRPr="00EA1C1D">
        <w:rPr>
          <w:b/>
          <w:color w:val="auto"/>
        </w:rPr>
        <w:t>Figure 2</w:t>
      </w:r>
      <w:r w:rsidRPr="00A1728C">
        <w:rPr>
          <w:color w:val="auto"/>
        </w:rPr>
        <w:t>.</w:t>
      </w:r>
    </w:p>
    <w:p w14:paraId="184AAEBD" w14:textId="77777777" w:rsidR="009B58A7" w:rsidRPr="00A1728C" w:rsidRDefault="009B58A7" w:rsidP="00A1728C">
      <w:pPr>
        <w:rPr>
          <w:b/>
          <w:iCs/>
          <w:color w:val="auto"/>
        </w:rPr>
      </w:pPr>
    </w:p>
    <w:p w14:paraId="041E4129" w14:textId="783C5D28" w:rsidR="009B58A7" w:rsidRPr="00A1728C" w:rsidRDefault="009B58A7" w:rsidP="00A1728C">
      <w:pPr>
        <w:pStyle w:val="ListParagraph"/>
        <w:numPr>
          <w:ilvl w:val="0"/>
          <w:numId w:val="43"/>
        </w:numPr>
        <w:rPr>
          <w:b/>
          <w:i/>
          <w:color w:val="auto"/>
          <w:highlight w:val="yellow"/>
        </w:rPr>
      </w:pPr>
      <w:bookmarkStart w:id="0" w:name="_Hlk13490790"/>
      <w:r w:rsidRPr="00A1728C">
        <w:rPr>
          <w:b/>
          <w:iCs/>
          <w:color w:val="auto"/>
          <w:highlight w:val="yellow"/>
        </w:rPr>
        <w:t xml:space="preserve">Obtaining </w:t>
      </w:r>
      <w:r w:rsidR="00C95895" w:rsidRPr="00A1728C">
        <w:rPr>
          <w:b/>
          <w:iCs/>
          <w:color w:val="auto"/>
          <w:highlight w:val="yellow"/>
        </w:rPr>
        <w:t>embryos</w:t>
      </w:r>
    </w:p>
    <w:p w14:paraId="2635B58B" w14:textId="77777777" w:rsidR="00A1728C" w:rsidRDefault="00A1728C" w:rsidP="00A1728C">
      <w:pPr>
        <w:pStyle w:val="ListParagraph"/>
        <w:ind w:left="0"/>
        <w:rPr>
          <w:color w:val="auto"/>
        </w:rPr>
      </w:pPr>
    </w:p>
    <w:p w14:paraId="17B673BA" w14:textId="6F5C57D3" w:rsidR="009B58A7" w:rsidRPr="00A1728C" w:rsidRDefault="00A1728C" w:rsidP="00C95895">
      <w:pPr>
        <w:rPr>
          <w:color w:val="auto"/>
        </w:rPr>
      </w:pPr>
      <w:r>
        <w:rPr>
          <w:color w:val="auto"/>
        </w:rPr>
        <w:t xml:space="preserve">NOTE: </w:t>
      </w:r>
      <w:r w:rsidR="009B58A7" w:rsidRPr="00A1728C">
        <w:rPr>
          <w:color w:val="auto"/>
        </w:rPr>
        <w:t>Obtaining embryos of weakly electric fish can be challenging.</w:t>
      </w:r>
      <w:r w:rsidR="00F94BA1">
        <w:rPr>
          <w:color w:val="auto"/>
        </w:rPr>
        <w:t xml:space="preserve"> </w:t>
      </w:r>
      <w:r w:rsidR="00C95895" w:rsidRPr="00A1728C">
        <w:rPr>
          <w:color w:val="auto"/>
        </w:rPr>
        <w:t xml:space="preserve">Careful </w:t>
      </w:r>
      <w:r w:rsidR="009B58A7" w:rsidRPr="00A1728C">
        <w:rPr>
          <w:color w:val="auto"/>
        </w:rPr>
        <w:t xml:space="preserve">monitoring of water </w:t>
      </w:r>
      <w:r w:rsidR="009B58A7" w:rsidRPr="00A1728C">
        <w:rPr>
          <w:color w:val="auto"/>
        </w:rPr>
        <w:lastRenderedPageBreak/>
        <w:t>quality, adequate time for fish care, and regular feeding are key to a successful breeding program.</w:t>
      </w:r>
      <w:r w:rsidR="00F94BA1">
        <w:rPr>
          <w:color w:val="auto"/>
        </w:rPr>
        <w:t xml:space="preserve"> </w:t>
      </w:r>
      <w:r w:rsidR="009B58A7" w:rsidRPr="00A1728C">
        <w:rPr>
          <w:color w:val="auto"/>
        </w:rPr>
        <w:t>Fish must first be conditioned for several weeks for reproduction</w:t>
      </w:r>
      <w:r w:rsidR="001F7253" w:rsidRPr="00A1728C">
        <w:rPr>
          <w:noProof/>
          <w:color w:val="auto"/>
          <w:vertAlign w:val="superscript"/>
        </w:rPr>
        <w:t>52</w:t>
      </w:r>
      <w:r w:rsidR="009B58A7" w:rsidRPr="00A1728C">
        <w:rPr>
          <w:color w:val="auto"/>
        </w:rPr>
        <w:t xml:space="preserve"> as described in protocol </w:t>
      </w:r>
      <w:r w:rsidR="00C95895">
        <w:rPr>
          <w:color w:val="auto"/>
        </w:rPr>
        <w:t>step</w:t>
      </w:r>
      <w:r w:rsidR="009B58A7" w:rsidRPr="00A1728C">
        <w:rPr>
          <w:color w:val="auto"/>
        </w:rPr>
        <w:t xml:space="preserve"> 4.1.</w:t>
      </w:r>
      <w:r w:rsidR="00F94BA1">
        <w:rPr>
          <w:color w:val="auto"/>
        </w:rPr>
        <w:t xml:space="preserve"> </w:t>
      </w:r>
      <w:r w:rsidR="009B58A7" w:rsidRPr="00A1728C">
        <w:rPr>
          <w:color w:val="auto"/>
        </w:rPr>
        <w:t xml:space="preserve">Following this, a protocol augmenting natural gametogenesis (4.2) for use in natural spawning behavior (4.3), an alternative recently developed </w:t>
      </w:r>
      <w:r w:rsidR="00C95895" w:rsidRPr="00C95895">
        <w:rPr>
          <w:rFonts w:asciiTheme="minorHAnsi" w:hAnsiTheme="minorHAnsi"/>
        </w:rPr>
        <w:t>in vitro</w:t>
      </w:r>
      <w:r w:rsidR="009B58A7" w:rsidRPr="00A1728C">
        <w:rPr>
          <w:color w:val="auto"/>
        </w:rPr>
        <w:t xml:space="preserve"> technique for obtaining precisely timed embryos (4.4)</w:t>
      </w:r>
      <w:r w:rsidR="008D563A">
        <w:rPr>
          <w:color w:val="auto"/>
        </w:rPr>
        <w:t xml:space="preserve"> are presented</w:t>
      </w:r>
      <w:r w:rsidR="009B58A7" w:rsidRPr="00A1728C">
        <w:rPr>
          <w:color w:val="auto"/>
        </w:rPr>
        <w:t xml:space="preserve">. </w:t>
      </w:r>
      <w:r w:rsidR="008D563A" w:rsidRPr="00A1728C">
        <w:rPr>
          <w:color w:val="auto"/>
        </w:rPr>
        <w:t xml:space="preserve">Protocol </w:t>
      </w:r>
      <w:r w:rsidR="009B58A7" w:rsidRPr="00A1728C">
        <w:rPr>
          <w:color w:val="auto"/>
        </w:rPr>
        <w:t xml:space="preserve">4.3 </w:t>
      </w:r>
      <w:r w:rsidR="008D563A">
        <w:rPr>
          <w:color w:val="auto"/>
        </w:rPr>
        <w:t xml:space="preserve">is </w:t>
      </w:r>
      <w:r w:rsidR="009B58A7" w:rsidRPr="00A1728C">
        <w:rPr>
          <w:color w:val="auto"/>
        </w:rPr>
        <w:t xml:space="preserve">equally effective for </w:t>
      </w:r>
      <w:r w:rsidR="009B58A7" w:rsidRPr="00A1728C">
        <w:rPr>
          <w:i/>
          <w:color w:val="auto"/>
        </w:rPr>
        <w:t xml:space="preserve">B. </w:t>
      </w:r>
      <w:proofErr w:type="spellStart"/>
      <w:r w:rsidR="009B58A7" w:rsidRPr="00A1728C">
        <w:rPr>
          <w:i/>
          <w:color w:val="auto"/>
        </w:rPr>
        <w:t>brachyistius</w:t>
      </w:r>
      <w:proofErr w:type="spellEnd"/>
      <w:r w:rsidR="009B58A7" w:rsidRPr="00A1728C">
        <w:rPr>
          <w:i/>
          <w:color w:val="auto"/>
        </w:rPr>
        <w:t xml:space="preserve"> </w:t>
      </w:r>
      <w:r w:rsidR="009B58A7" w:rsidRPr="00A1728C">
        <w:rPr>
          <w:color w:val="auto"/>
        </w:rPr>
        <w:t xml:space="preserve">and </w:t>
      </w:r>
      <w:r w:rsidR="009B58A7" w:rsidRPr="00A1728C">
        <w:rPr>
          <w:i/>
          <w:color w:val="auto"/>
        </w:rPr>
        <w:t xml:space="preserve">B. </w:t>
      </w:r>
      <w:proofErr w:type="spellStart"/>
      <w:r w:rsidR="009B58A7" w:rsidRPr="00A1728C">
        <w:rPr>
          <w:i/>
          <w:color w:val="auto"/>
        </w:rPr>
        <w:t>gauderio</w:t>
      </w:r>
      <w:proofErr w:type="spellEnd"/>
      <w:r w:rsidR="009B58A7" w:rsidRPr="00A1728C">
        <w:rPr>
          <w:color w:val="auto"/>
        </w:rPr>
        <w:t xml:space="preserve">, </w:t>
      </w:r>
      <w:r w:rsidR="008D563A">
        <w:rPr>
          <w:color w:val="auto"/>
        </w:rPr>
        <w:t>and</w:t>
      </w:r>
      <w:r w:rsidR="009B58A7" w:rsidRPr="00A1728C">
        <w:rPr>
          <w:color w:val="auto"/>
        </w:rPr>
        <w:t xml:space="preserve"> protocol 4.4 </w:t>
      </w:r>
      <w:r w:rsidR="008D563A">
        <w:rPr>
          <w:color w:val="auto"/>
        </w:rPr>
        <w:t xml:space="preserve">is </w:t>
      </w:r>
      <w:r w:rsidR="009B58A7" w:rsidRPr="00A1728C">
        <w:rPr>
          <w:color w:val="auto"/>
        </w:rPr>
        <w:t xml:space="preserve">superior in </w:t>
      </w:r>
      <w:r w:rsidR="009B58A7" w:rsidRPr="00A1728C">
        <w:rPr>
          <w:i/>
          <w:color w:val="auto"/>
        </w:rPr>
        <w:t xml:space="preserve">B. </w:t>
      </w:r>
      <w:proofErr w:type="spellStart"/>
      <w:r w:rsidR="009B58A7" w:rsidRPr="00A1728C">
        <w:rPr>
          <w:i/>
          <w:color w:val="auto"/>
        </w:rPr>
        <w:t>gauderio</w:t>
      </w:r>
      <w:proofErr w:type="spellEnd"/>
      <w:r w:rsidR="009B58A7" w:rsidRPr="00A1728C">
        <w:rPr>
          <w:color w:val="auto"/>
        </w:rPr>
        <w:t>.</w:t>
      </w:r>
    </w:p>
    <w:p w14:paraId="412DD9FF" w14:textId="77777777" w:rsidR="009B58A7" w:rsidRPr="00A1728C" w:rsidRDefault="009B58A7" w:rsidP="00A1728C">
      <w:pPr>
        <w:pStyle w:val="ListParagraph"/>
        <w:ind w:left="0"/>
        <w:rPr>
          <w:i/>
          <w:color w:val="auto"/>
          <w:shd w:val="clear" w:color="auto" w:fill="FFFFFF"/>
        </w:rPr>
      </w:pPr>
    </w:p>
    <w:p w14:paraId="1710D824" w14:textId="6F3ED71B" w:rsidR="009B58A7" w:rsidRPr="008D563A" w:rsidRDefault="009B58A7" w:rsidP="00A1728C">
      <w:pPr>
        <w:pStyle w:val="ListParagraph"/>
        <w:numPr>
          <w:ilvl w:val="1"/>
          <w:numId w:val="43"/>
        </w:numPr>
        <w:rPr>
          <w:bCs/>
          <w:iCs/>
          <w:color w:val="auto"/>
        </w:rPr>
      </w:pPr>
      <w:r w:rsidRPr="008D563A">
        <w:rPr>
          <w:bCs/>
          <w:iCs/>
          <w:color w:val="auto"/>
        </w:rPr>
        <w:t>Conditioning</w:t>
      </w:r>
    </w:p>
    <w:p w14:paraId="7C40A202" w14:textId="77777777" w:rsidR="009B58A7" w:rsidRPr="00A1728C" w:rsidRDefault="009B58A7" w:rsidP="00A1728C">
      <w:pPr>
        <w:pStyle w:val="ListParagraph"/>
        <w:ind w:left="630"/>
        <w:rPr>
          <w:b/>
          <w:i/>
          <w:color w:val="auto"/>
        </w:rPr>
      </w:pPr>
    </w:p>
    <w:p w14:paraId="56942B20" w14:textId="730BA864" w:rsidR="009B58A7" w:rsidRPr="00A1728C" w:rsidRDefault="002B6FDF" w:rsidP="00A1728C">
      <w:pPr>
        <w:pStyle w:val="ListParagraph"/>
        <w:numPr>
          <w:ilvl w:val="2"/>
          <w:numId w:val="43"/>
        </w:numPr>
        <w:rPr>
          <w:b/>
          <w:i/>
          <w:color w:val="auto"/>
        </w:rPr>
      </w:pPr>
      <w:r>
        <w:rPr>
          <w:iCs/>
          <w:color w:val="auto"/>
        </w:rPr>
        <w:t xml:space="preserve">Keep </w:t>
      </w:r>
      <w:r w:rsidR="009B58A7" w:rsidRPr="00A1728C">
        <w:rPr>
          <w:i/>
          <w:color w:val="auto"/>
        </w:rPr>
        <w:t xml:space="preserve">B. </w:t>
      </w:r>
      <w:proofErr w:type="spellStart"/>
      <w:r w:rsidR="009B58A7" w:rsidRPr="00A1728C">
        <w:rPr>
          <w:i/>
          <w:color w:val="auto"/>
        </w:rPr>
        <w:t>brachyistius</w:t>
      </w:r>
      <w:proofErr w:type="spellEnd"/>
      <w:r w:rsidR="009B58A7" w:rsidRPr="00A1728C">
        <w:rPr>
          <w:color w:val="auto"/>
        </w:rPr>
        <w:t xml:space="preserve"> in couples/small groups (100</w:t>
      </w:r>
      <w:r w:rsidR="0088463F">
        <w:rPr>
          <w:color w:val="auto"/>
        </w:rPr>
        <w:t>–</w:t>
      </w:r>
      <w:r w:rsidR="009B58A7" w:rsidRPr="00A1728C">
        <w:rPr>
          <w:color w:val="auto"/>
        </w:rPr>
        <w:t>150</w:t>
      </w:r>
      <w:r w:rsidR="0088463F">
        <w:rPr>
          <w:color w:val="auto"/>
        </w:rPr>
        <w:t xml:space="preserve"> </w:t>
      </w:r>
      <w:r w:rsidR="009B58A7" w:rsidRPr="00A1728C">
        <w:rPr>
          <w:color w:val="auto"/>
        </w:rPr>
        <w:t>L</w:t>
      </w:r>
      <w:r>
        <w:rPr>
          <w:color w:val="auto"/>
        </w:rPr>
        <w:t xml:space="preserve"> tanks</w:t>
      </w:r>
      <w:r w:rsidR="009B58A7" w:rsidRPr="00A1728C">
        <w:rPr>
          <w:color w:val="auto"/>
        </w:rPr>
        <w:t>) or</w:t>
      </w:r>
      <w:r>
        <w:rPr>
          <w:color w:val="auto"/>
        </w:rPr>
        <w:t xml:space="preserve"> in very large tanks</w:t>
      </w:r>
      <w:r w:rsidR="009B58A7" w:rsidRPr="00A1728C">
        <w:rPr>
          <w:color w:val="auto"/>
        </w:rPr>
        <w:t xml:space="preserve"> (2 males and 5</w:t>
      </w:r>
      <w:r w:rsidR="0088463F">
        <w:rPr>
          <w:color w:val="auto"/>
        </w:rPr>
        <w:t>–</w:t>
      </w:r>
      <w:r w:rsidR="009B58A7" w:rsidRPr="00A1728C">
        <w:rPr>
          <w:color w:val="auto"/>
        </w:rPr>
        <w:t>6 females in approximately 475</w:t>
      </w:r>
      <w:r w:rsidR="0088463F">
        <w:rPr>
          <w:color w:val="auto"/>
        </w:rPr>
        <w:t xml:space="preserve"> </w:t>
      </w:r>
      <w:r w:rsidR="009B58A7" w:rsidRPr="00A1728C">
        <w:rPr>
          <w:color w:val="auto"/>
        </w:rPr>
        <w:t>L tank)</w:t>
      </w:r>
      <w:r>
        <w:rPr>
          <w:color w:val="auto"/>
        </w:rPr>
        <w:t>,</w:t>
      </w:r>
      <w:r w:rsidR="009B58A7" w:rsidRPr="00A1728C">
        <w:rPr>
          <w:color w:val="auto"/>
        </w:rPr>
        <w:t xml:space="preserve"> as they become very aggressive under breeding conditions. There should be at least 1</w:t>
      </w:r>
      <w:r>
        <w:rPr>
          <w:color w:val="auto"/>
        </w:rPr>
        <w:t>–</w:t>
      </w:r>
      <w:r w:rsidR="009B58A7" w:rsidRPr="00A1728C">
        <w:rPr>
          <w:color w:val="auto"/>
        </w:rPr>
        <w:t>2 PVC tubes per fish to be used as shelter (</w:t>
      </w:r>
      <w:r w:rsidR="00EA1C1D" w:rsidRPr="00EA1C1D">
        <w:rPr>
          <w:b/>
          <w:color w:val="auto"/>
        </w:rPr>
        <w:t>Figure 3</w:t>
      </w:r>
      <w:proofErr w:type="gramStart"/>
      <w:r w:rsidR="00EA1C1D" w:rsidRPr="00EA1C1D">
        <w:rPr>
          <w:b/>
          <w:color w:val="auto"/>
        </w:rPr>
        <w:t>A</w:t>
      </w:r>
      <w:r w:rsidR="009B58A7" w:rsidRPr="00A1728C">
        <w:rPr>
          <w:color w:val="auto"/>
        </w:rPr>
        <w:t>,</w:t>
      </w:r>
      <w:r w:rsidR="009B58A7" w:rsidRPr="008D563A">
        <w:rPr>
          <w:b/>
          <w:bCs/>
          <w:color w:val="auto"/>
        </w:rPr>
        <w:t>B</w:t>
      </w:r>
      <w:proofErr w:type="gramEnd"/>
      <w:r w:rsidR="009B58A7" w:rsidRPr="00A1728C">
        <w:rPr>
          <w:color w:val="auto"/>
        </w:rPr>
        <w:t>).</w:t>
      </w:r>
    </w:p>
    <w:p w14:paraId="0D4742F8" w14:textId="77777777" w:rsidR="009B58A7" w:rsidRPr="00A1728C" w:rsidRDefault="009B58A7" w:rsidP="00A1728C">
      <w:pPr>
        <w:pStyle w:val="ListParagraph"/>
        <w:ind w:left="1260"/>
        <w:rPr>
          <w:b/>
          <w:i/>
          <w:color w:val="auto"/>
        </w:rPr>
      </w:pPr>
    </w:p>
    <w:p w14:paraId="01E0DD7E" w14:textId="647E5207" w:rsidR="009B58A7" w:rsidRPr="00A1728C" w:rsidRDefault="009B58A7" w:rsidP="00A1728C">
      <w:pPr>
        <w:pStyle w:val="ListParagraph"/>
        <w:numPr>
          <w:ilvl w:val="2"/>
          <w:numId w:val="43"/>
        </w:numPr>
        <w:rPr>
          <w:b/>
          <w:i/>
          <w:color w:val="auto"/>
        </w:rPr>
      </w:pPr>
      <w:r w:rsidRPr="00A1728C">
        <w:rPr>
          <w:i/>
          <w:color w:val="auto"/>
        </w:rPr>
        <w:t xml:space="preserve">B. </w:t>
      </w:r>
      <w:proofErr w:type="spellStart"/>
      <w:r w:rsidRPr="00A1728C">
        <w:rPr>
          <w:i/>
          <w:color w:val="auto"/>
        </w:rPr>
        <w:t>gauderio</w:t>
      </w:r>
      <w:proofErr w:type="spellEnd"/>
      <w:r w:rsidRPr="00A1728C">
        <w:rPr>
          <w:color w:val="auto"/>
        </w:rPr>
        <w:t xml:space="preserve"> can be reared at much higher </w:t>
      </w:r>
      <w:r w:rsidR="008D563A">
        <w:rPr>
          <w:color w:val="auto"/>
        </w:rPr>
        <w:t>density</w:t>
      </w:r>
      <w:r w:rsidRPr="00A1728C">
        <w:rPr>
          <w:color w:val="auto"/>
        </w:rPr>
        <w:t xml:space="preserve">. </w:t>
      </w:r>
      <w:r w:rsidR="002B6FDF">
        <w:rPr>
          <w:color w:val="auto"/>
        </w:rPr>
        <w:t>Keep up to e</w:t>
      </w:r>
      <w:r w:rsidRPr="00A1728C">
        <w:rPr>
          <w:color w:val="auto"/>
        </w:rPr>
        <w:t>ight individuals in a 100</w:t>
      </w:r>
      <w:r w:rsidR="0088463F">
        <w:rPr>
          <w:color w:val="auto"/>
        </w:rPr>
        <w:t xml:space="preserve"> </w:t>
      </w:r>
      <w:r w:rsidRPr="00A1728C">
        <w:rPr>
          <w:color w:val="auto"/>
        </w:rPr>
        <w:t>L tank (2 males and 6 females). There should be at least 1 PVC tube per fish to be used as shelter</w:t>
      </w:r>
      <w:r w:rsidR="008D563A">
        <w:rPr>
          <w:color w:val="auto"/>
        </w:rPr>
        <w:t>.</w:t>
      </w:r>
      <w:r w:rsidRPr="00A1728C">
        <w:rPr>
          <w:color w:val="auto"/>
        </w:rPr>
        <w:t xml:space="preserve"> </w:t>
      </w:r>
      <w:r w:rsidR="008D563A" w:rsidRPr="00A1728C">
        <w:rPr>
          <w:color w:val="auto"/>
        </w:rPr>
        <w:t xml:space="preserve">Adding </w:t>
      </w:r>
      <w:r w:rsidRPr="00A1728C">
        <w:rPr>
          <w:color w:val="auto"/>
        </w:rPr>
        <w:t xml:space="preserve">tangled yarn increases enrichment and hiding spots. Add </w:t>
      </w:r>
      <w:r w:rsidR="00935932" w:rsidRPr="00A1728C">
        <w:rPr>
          <w:color w:val="auto"/>
        </w:rPr>
        <w:t xml:space="preserve">50 mL centrifuge </w:t>
      </w:r>
      <w:r w:rsidRPr="00A1728C">
        <w:rPr>
          <w:color w:val="auto"/>
        </w:rPr>
        <w:t>tubes with 1 cm diameter holes drilled in</w:t>
      </w:r>
      <w:r w:rsidR="008D563A">
        <w:rPr>
          <w:color w:val="auto"/>
        </w:rPr>
        <w:t>to</w:t>
      </w:r>
      <w:r w:rsidRPr="00A1728C">
        <w:rPr>
          <w:color w:val="auto"/>
        </w:rPr>
        <w:t xml:space="preserve"> them to the top of the tank </w:t>
      </w:r>
      <w:r w:rsidR="002B6FDF">
        <w:rPr>
          <w:color w:val="auto"/>
        </w:rPr>
        <w:t xml:space="preserve">to </w:t>
      </w:r>
      <w:r w:rsidRPr="00A1728C">
        <w:rPr>
          <w:color w:val="auto"/>
        </w:rPr>
        <w:t>allow adults to spawn naturally into the tubes (</w:t>
      </w:r>
      <w:r w:rsidR="00EA1C1D" w:rsidRPr="00EA1C1D">
        <w:rPr>
          <w:b/>
          <w:color w:val="auto"/>
        </w:rPr>
        <w:t>Figure 3C</w:t>
      </w:r>
      <w:r w:rsidRPr="00A1728C">
        <w:rPr>
          <w:color w:val="auto"/>
        </w:rPr>
        <w:t>).</w:t>
      </w:r>
    </w:p>
    <w:p w14:paraId="2A9DE37F" w14:textId="77777777" w:rsidR="009B58A7" w:rsidRPr="00A1728C" w:rsidRDefault="009B58A7" w:rsidP="00A1728C">
      <w:pPr>
        <w:pStyle w:val="ListParagraph"/>
        <w:rPr>
          <w:b/>
          <w:i/>
          <w:color w:val="auto"/>
        </w:rPr>
      </w:pPr>
    </w:p>
    <w:p w14:paraId="062D45E0" w14:textId="1CB80DB9" w:rsidR="009B58A7" w:rsidRPr="00A1728C" w:rsidRDefault="009B58A7" w:rsidP="00A1728C">
      <w:pPr>
        <w:pStyle w:val="ListParagraph"/>
        <w:numPr>
          <w:ilvl w:val="2"/>
          <w:numId w:val="43"/>
        </w:numPr>
        <w:rPr>
          <w:b/>
          <w:i/>
          <w:color w:val="auto"/>
        </w:rPr>
      </w:pPr>
      <w:r w:rsidRPr="00A1728C">
        <w:rPr>
          <w:color w:val="auto"/>
        </w:rPr>
        <w:t>During the breeding season</w:t>
      </w:r>
      <w:r w:rsidR="002B6FDF">
        <w:rPr>
          <w:color w:val="auto"/>
        </w:rPr>
        <w:t>, feed</w:t>
      </w:r>
      <w:r w:rsidRPr="00A1728C">
        <w:rPr>
          <w:color w:val="auto"/>
        </w:rPr>
        <w:t xml:space="preserve"> fish daily fresh blackworms supplemented with frozen bloodworms.</w:t>
      </w:r>
      <w:r w:rsidR="00F94BA1">
        <w:rPr>
          <w:color w:val="auto"/>
        </w:rPr>
        <w:t xml:space="preserve"> </w:t>
      </w:r>
      <w:r w:rsidRPr="00A1728C">
        <w:rPr>
          <w:color w:val="auto"/>
        </w:rPr>
        <w:t>The food can be enriched with vitamins and supplements, if desired.</w:t>
      </w:r>
    </w:p>
    <w:p w14:paraId="11DE587A" w14:textId="77777777" w:rsidR="009B58A7" w:rsidRPr="00A1728C" w:rsidRDefault="009B58A7" w:rsidP="00A1728C">
      <w:pPr>
        <w:pStyle w:val="ListParagraph"/>
        <w:rPr>
          <w:b/>
          <w:i/>
          <w:color w:val="auto"/>
        </w:rPr>
      </w:pPr>
    </w:p>
    <w:p w14:paraId="19F4F958" w14:textId="46AE083D" w:rsidR="009B58A7" w:rsidRPr="00A1728C" w:rsidRDefault="002B6FDF" w:rsidP="00A1728C">
      <w:pPr>
        <w:pStyle w:val="ListParagraph"/>
        <w:numPr>
          <w:ilvl w:val="2"/>
          <w:numId w:val="43"/>
        </w:numPr>
        <w:rPr>
          <w:b/>
          <w:i/>
          <w:color w:val="auto"/>
        </w:rPr>
      </w:pPr>
      <w:r>
        <w:rPr>
          <w:color w:val="auto"/>
        </w:rPr>
        <w:t>House f</w:t>
      </w:r>
      <w:r w:rsidR="009B58A7" w:rsidRPr="00A1728C">
        <w:rPr>
          <w:color w:val="auto"/>
        </w:rPr>
        <w:t>ish normal</w:t>
      </w:r>
      <w:r>
        <w:rPr>
          <w:color w:val="auto"/>
        </w:rPr>
        <w:t>ly in</w:t>
      </w:r>
      <w:r w:rsidR="009B58A7" w:rsidRPr="00A1728C">
        <w:rPr>
          <w:color w:val="auto"/>
        </w:rPr>
        <w:t xml:space="preserve"> a relatively high conductivity (300</w:t>
      </w:r>
      <w:r>
        <w:rPr>
          <w:color w:val="auto"/>
        </w:rPr>
        <w:t>–</w:t>
      </w:r>
      <w:r w:rsidR="009B58A7" w:rsidRPr="00A1728C">
        <w:rPr>
          <w:color w:val="auto"/>
        </w:rPr>
        <w:t xml:space="preserve">600 µS), pH balanced solution. During the breeding season, </w:t>
      </w:r>
      <w:r>
        <w:rPr>
          <w:color w:val="auto"/>
        </w:rPr>
        <w:t xml:space="preserve">gradually lower </w:t>
      </w:r>
      <w:r w:rsidR="009B58A7" w:rsidRPr="00A1728C">
        <w:rPr>
          <w:color w:val="auto"/>
        </w:rPr>
        <w:t>the conductivity by at least half over the course of 1</w:t>
      </w:r>
      <w:r>
        <w:rPr>
          <w:color w:val="auto"/>
        </w:rPr>
        <w:t>–</w:t>
      </w:r>
      <w:r w:rsidR="009B58A7" w:rsidRPr="00A1728C">
        <w:rPr>
          <w:color w:val="auto"/>
        </w:rPr>
        <w:t xml:space="preserve">3 weeks to induce gonad recrudescence and spawning. </w:t>
      </w:r>
      <w:r>
        <w:rPr>
          <w:color w:val="auto"/>
        </w:rPr>
        <w:t>Lower c</w:t>
      </w:r>
      <w:r w:rsidR="009B58A7" w:rsidRPr="00A1728C">
        <w:rPr>
          <w:color w:val="auto"/>
        </w:rPr>
        <w:t xml:space="preserve">onductivity by daily additions of </w:t>
      </w:r>
      <w:r w:rsidR="008D563A">
        <w:rPr>
          <w:color w:val="auto"/>
        </w:rPr>
        <w:t>reverse osmosis (</w:t>
      </w:r>
      <w:r w:rsidR="009B58A7" w:rsidRPr="00A1728C">
        <w:rPr>
          <w:color w:val="auto"/>
        </w:rPr>
        <w:t>RO</w:t>
      </w:r>
      <w:r w:rsidR="008D563A">
        <w:rPr>
          <w:color w:val="auto"/>
        </w:rPr>
        <w:t>)</w:t>
      </w:r>
      <w:r w:rsidR="009B58A7" w:rsidRPr="00A1728C">
        <w:rPr>
          <w:color w:val="auto"/>
        </w:rPr>
        <w:t xml:space="preserve"> water, keeping close attention to pH when conductivity is low (pH &lt;6).</w:t>
      </w:r>
    </w:p>
    <w:p w14:paraId="660E6136" w14:textId="77777777" w:rsidR="009B58A7" w:rsidRPr="00A1728C" w:rsidRDefault="009B58A7" w:rsidP="00A1728C">
      <w:pPr>
        <w:pStyle w:val="ListParagraph"/>
        <w:rPr>
          <w:b/>
          <w:i/>
          <w:color w:val="auto"/>
        </w:rPr>
      </w:pPr>
    </w:p>
    <w:p w14:paraId="50B42FF4" w14:textId="30F24162" w:rsidR="009B58A7" w:rsidRPr="00A1728C" w:rsidRDefault="009B58A7" w:rsidP="00A1728C">
      <w:pPr>
        <w:pStyle w:val="ListParagraph"/>
        <w:numPr>
          <w:ilvl w:val="2"/>
          <w:numId w:val="43"/>
        </w:numPr>
        <w:rPr>
          <w:i/>
          <w:color w:val="auto"/>
        </w:rPr>
      </w:pPr>
      <w:r w:rsidRPr="00A1728C">
        <w:rPr>
          <w:color w:val="auto"/>
        </w:rPr>
        <w:t>Breeding conditions can be kept for around 3</w:t>
      </w:r>
      <w:r w:rsidR="008D563A" w:rsidRPr="008D563A">
        <w:rPr>
          <w:color w:val="auto"/>
        </w:rPr>
        <w:t>−</w:t>
      </w:r>
      <w:r w:rsidRPr="00A1728C">
        <w:rPr>
          <w:color w:val="auto"/>
        </w:rPr>
        <w:t>5 months with egg production tapering off over time. After this time</w:t>
      </w:r>
      <w:r w:rsidR="002B6FDF">
        <w:rPr>
          <w:color w:val="auto"/>
        </w:rPr>
        <w:t>, return</w:t>
      </w:r>
      <w:r w:rsidRPr="00A1728C">
        <w:rPr>
          <w:color w:val="auto"/>
        </w:rPr>
        <w:t xml:space="preserve"> fish to high conductivity slowly over 1</w:t>
      </w:r>
      <w:r w:rsidR="002B6FDF">
        <w:rPr>
          <w:color w:val="auto"/>
        </w:rPr>
        <w:softHyphen/>
        <w:t>–</w:t>
      </w:r>
      <w:r w:rsidRPr="00A1728C">
        <w:rPr>
          <w:color w:val="auto"/>
        </w:rPr>
        <w:t>3 weeks</w:t>
      </w:r>
      <w:r w:rsidR="008D563A">
        <w:rPr>
          <w:color w:val="auto"/>
        </w:rPr>
        <w:t>.</w:t>
      </w:r>
      <w:r w:rsidR="002B6FDF">
        <w:rPr>
          <w:color w:val="auto"/>
        </w:rPr>
        <w:t xml:space="preserve"> </w:t>
      </w:r>
      <w:r w:rsidR="008D563A">
        <w:rPr>
          <w:color w:val="auto"/>
        </w:rPr>
        <w:t xml:space="preserve">Keep </w:t>
      </w:r>
      <w:r w:rsidRPr="00A1728C">
        <w:rPr>
          <w:color w:val="auto"/>
        </w:rPr>
        <w:t>another 3 months at high conductivity before being exposed to breeding conditions again.</w:t>
      </w:r>
    </w:p>
    <w:p w14:paraId="2BA08D97" w14:textId="77777777" w:rsidR="009B58A7" w:rsidRPr="00A1728C" w:rsidRDefault="009B58A7" w:rsidP="00A1728C">
      <w:pPr>
        <w:rPr>
          <w:b/>
          <w:i/>
          <w:color w:val="auto"/>
        </w:rPr>
      </w:pPr>
    </w:p>
    <w:p w14:paraId="4964AD8D" w14:textId="4C773757" w:rsidR="009B58A7" w:rsidRPr="008D563A" w:rsidRDefault="008D563A" w:rsidP="00A1728C">
      <w:pPr>
        <w:pStyle w:val="ListParagraph"/>
        <w:numPr>
          <w:ilvl w:val="1"/>
          <w:numId w:val="43"/>
        </w:numPr>
        <w:rPr>
          <w:bCs/>
          <w:iCs/>
          <w:color w:val="auto"/>
          <w:highlight w:val="yellow"/>
        </w:rPr>
      </w:pPr>
      <w:r>
        <w:rPr>
          <w:bCs/>
          <w:iCs/>
          <w:color w:val="auto"/>
          <w:highlight w:val="yellow"/>
        </w:rPr>
        <w:t>Use s</w:t>
      </w:r>
      <w:r w:rsidR="00935932" w:rsidRPr="008D563A">
        <w:rPr>
          <w:bCs/>
          <w:iCs/>
          <w:color w:val="auto"/>
          <w:highlight w:val="yellow"/>
        </w:rPr>
        <w:t>pawning agent (</w:t>
      </w:r>
      <w:proofErr w:type="spellStart"/>
      <w:r w:rsidR="00935932" w:rsidRPr="008D563A">
        <w:rPr>
          <w:bCs/>
          <w:iCs/>
          <w:color w:val="auto"/>
          <w:highlight w:val="yellow"/>
        </w:rPr>
        <w:t>SGnRHa</w:t>
      </w:r>
      <w:proofErr w:type="spellEnd"/>
      <w:r w:rsidR="00935932" w:rsidRPr="008D563A">
        <w:rPr>
          <w:bCs/>
          <w:iCs/>
          <w:color w:val="auto"/>
          <w:highlight w:val="yellow"/>
        </w:rPr>
        <w:t xml:space="preserve"> + Domperidone)</w:t>
      </w:r>
      <w:r w:rsidR="00645402" w:rsidRPr="008D563A">
        <w:rPr>
          <w:bCs/>
          <w:iCs/>
          <w:color w:val="auto"/>
          <w:highlight w:val="yellow"/>
        </w:rPr>
        <w:t xml:space="preserve"> </w:t>
      </w:r>
      <w:r w:rsidR="009B58A7" w:rsidRPr="008D563A">
        <w:rPr>
          <w:bCs/>
          <w:iCs/>
          <w:color w:val="auto"/>
          <w:highlight w:val="yellow"/>
        </w:rPr>
        <w:t>injections</w:t>
      </w:r>
      <w:r>
        <w:rPr>
          <w:bCs/>
          <w:iCs/>
          <w:color w:val="auto"/>
          <w:highlight w:val="yellow"/>
        </w:rPr>
        <w:t>.</w:t>
      </w:r>
    </w:p>
    <w:p w14:paraId="3662CFF1" w14:textId="77777777" w:rsidR="009B58A7" w:rsidRPr="00A1728C" w:rsidRDefault="009B58A7" w:rsidP="00A1728C">
      <w:pPr>
        <w:pStyle w:val="ListParagraph"/>
        <w:ind w:left="630"/>
        <w:rPr>
          <w:b/>
          <w:i/>
          <w:color w:val="auto"/>
          <w:highlight w:val="yellow"/>
        </w:rPr>
      </w:pPr>
    </w:p>
    <w:p w14:paraId="07D0229A" w14:textId="1A699734" w:rsidR="009B58A7" w:rsidRPr="00A1728C" w:rsidRDefault="009B58A7" w:rsidP="00A1728C">
      <w:pPr>
        <w:pStyle w:val="ListParagraph"/>
        <w:numPr>
          <w:ilvl w:val="2"/>
          <w:numId w:val="43"/>
        </w:numPr>
        <w:rPr>
          <w:b/>
          <w:i/>
          <w:color w:val="auto"/>
          <w:highlight w:val="yellow"/>
        </w:rPr>
      </w:pPr>
      <w:r w:rsidRPr="00A1728C">
        <w:rPr>
          <w:color w:val="auto"/>
          <w:highlight w:val="yellow"/>
        </w:rPr>
        <w:t>Identify female fish in breeding conditions that appear gravid (</w:t>
      </w:r>
      <w:r w:rsidR="00EA1C1D" w:rsidRPr="00EA1C1D">
        <w:rPr>
          <w:b/>
          <w:color w:val="auto"/>
          <w:highlight w:val="yellow"/>
        </w:rPr>
        <w:t>Figure 4</w:t>
      </w:r>
      <w:r w:rsidRPr="00A1728C">
        <w:rPr>
          <w:color w:val="auto"/>
          <w:highlight w:val="yellow"/>
        </w:rPr>
        <w:t>)</w:t>
      </w:r>
      <w:r w:rsidR="008D563A">
        <w:rPr>
          <w:color w:val="auto"/>
          <w:highlight w:val="yellow"/>
        </w:rPr>
        <w:t>.</w:t>
      </w:r>
      <w:r w:rsidRPr="00A1728C">
        <w:rPr>
          <w:color w:val="auto"/>
          <w:highlight w:val="yellow"/>
        </w:rPr>
        <w:t xml:space="preserve"> </w:t>
      </w:r>
      <w:r w:rsidR="008D563A" w:rsidRPr="00A1728C">
        <w:rPr>
          <w:color w:val="auto"/>
          <w:highlight w:val="yellow"/>
        </w:rPr>
        <w:t xml:space="preserve">In </w:t>
      </w:r>
      <w:r w:rsidRPr="00A1728C">
        <w:rPr>
          <w:i/>
          <w:color w:val="auto"/>
          <w:highlight w:val="yellow"/>
        </w:rPr>
        <w:t xml:space="preserve">B. </w:t>
      </w:r>
      <w:proofErr w:type="spellStart"/>
      <w:r w:rsidRPr="00A1728C">
        <w:rPr>
          <w:i/>
          <w:color w:val="auto"/>
          <w:highlight w:val="yellow"/>
        </w:rPr>
        <w:t>gauderio</w:t>
      </w:r>
      <w:proofErr w:type="spellEnd"/>
      <w:r w:rsidRPr="00A1728C">
        <w:rPr>
          <w:i/>
          <w:color w:val="auto"/>
          <w:highlight w:val="yellow"/>
        </w:rPr>
        <w:t xml:space="preserve"> </w:t>
      </w:r>
      <w:r w:rsidRPr="00A1728C">
        <w:rPr>
          <w:color w:val="auto"/>
          <w:highlight w:val="yellow"/>
        </w:rPr>
        <w:t xml:space="preserve">the female will have swollen gonads just caudal to the vent. </w:t>
      </w:r>
      <w:r w:rsidRPr="00A1728C">
        <w:rPr>
          <w:i/>
          <w:color w:val="auto"/>
          <w:highlight w:val="yellow"/>
        </w:rPr>
        <w:t xml:space="preserve">B. </w:t>
      </w:r>
      <w:proofErr w:type="spellStart"/>
      <w:r w:rsidRPr="00A1728C">
        <w:rPr>
          <w:i/>
          <w:color w:val="auto"/>
          <w:highlight w:val="yellow"/>
        </w:rPr>
        <w:t>brachyistius</w:t>
      </w:r>
      <w:proofErr w:type="spellEnd"/>
      <w:r w:rsidRPr="00A1728C">
        <w:rPr>
          <w:color w:val="auto"/>
          <w:highlight w:val="yellow"/>
        </w:rPr>
        <w:t xml:space="preserve"> females will have swollen bellies and appear deep bodied (</w:t>
      </w:r>
      <w:r w:rsidR="00EA1C1D" w:rsidRPr="00EA1C1D">
        <w:rPr>
          <w:b/>
          <w:color w:val="auto"/>
          <w:highlight w:val="yellow"/>
        </w:rPr>
        <w:t>Figure 4A</w:t>
      </w:r>
      <w:r w:rsidRPr="00A1728C">
        <w:rPr>
          <w:color w:val="auto"/>
          <w:highlight w:val="yellow"/>
        </w:rPr>
        <w:t>). Males generally do not have an issue producing sperm</w:t>
      </w:r>
      <w:r w:rsidR="008D563A">
        <w:rPr>
          <w:color w:val="auto"/>
          <w:highlight w:val="yellow"/>
        </w:rPr>
        <w:t>.</w:t>
      </w:r>
      <w:r w:rsidRPr="00A1728C">
        <w:rPr>
          <w:color w:val="auto"/>
          <w:highlight w:val="yellow"/>
        </w:rPr>
        <w:t xml:space="preserve"> </w:t>
      </w:r>
      <w:r w:rsidR="008D563A" w:rsidRPr="00A1728C">
        <w:rPr>
          <w:color w:val="auto"/>
          <w:highlight w:val="yellow"/>
        </w:rPr>
        <w:t>However</w:t>
      </w:r>
      <w:r w:rsidRPr="00A1728C">
        <w:rPr>
          <w:color w:val="auto"/>
          <w:highlight w:val="yellow"/>
        </w:rPr>
        <w:t xml:space="preserve">, larger males are preferred due to </w:t>
      </w:r>
      <w:r w:rsidR="008D563A">
        <w:rPr>
          <w:color w:val="auto"/>
          <w:highlight w:val="yellow"/>
        </w:rPr>
        <w:t xml:space="preserve">the </w:t>
      </w:r>
      <w:r w:rsidRPr="00A1728C">
        <w:rPr>
          <w:color w:val="auto"/>
          <w:highlight w:val="yellow"/>
        </w:rPr>
        <w:t xml:space="preserve">larger sperm volume collected. </w:t>
      </w:r>
      <w:r w:rsidR="001B7BD9" w:rsidRPr="00A1728C">
        <w:rPr>
          <w:color w:val="auto"/>
          <w:highlight w:val="yellow"/>
        </w:rPr>
        <w:br/>
      </w:r>
      <w:r w:rsidR="001B7BD9" w:rsidRPr="00A1728C">
        <w:rPr>
          <w:color w:val="auto"/>
          <w:highlight w:val="yellow"/>
        </w:rPr>
        <w:br/>
      </w:r>
      <w:r w:rsidR="00EA1C1D">
        <w:rPr>
          <w:color w:val="auto"/>
        </w:rPr>
        <w:t>NOTE:</w:t>
      </w:r>
      <w:r w:rsidR="001B7BD9" w:rsidRPr="006D2519">
        <w:rPr>
          <w:color w:val="auto"/>
        </w:rPr>
        <w:t xml:space="preserve"> </w:t>
      </w:r>
      <w:r w:rsidR="005402C1" w:rsidRPr="006D2519">
        <w:rPr>
          <w:color w:val="auto"/>
        </w:rPr>
        <w:t>Spawning agent is a commercial hormone mix that facilitates maturation of gametes and coordinates spawning.</w:t>
      </w:r>
      <w:r w:rsidR="001B7BD9" w:rsidRPr="006D2519">
        <w:rPr>
          <w:color w:val="auto"/>
        </w:rPr>
        <w:t xml:space="preserve"> If the fish has been injected with spawning agent in the past, </w:t>
      </w:r>
      <w:r w:rsidR="008D563A">
        <w:rPr>
          <w:color w:val="auto"/>
        </w:rPr>
        <w:t>allow for &gt;</w:t>
      </w:r>
      <w:r w:rsidR="001B7BD9" w:rsidRPr="006D2519">
        <w:rPr>
          <w:color w:val="auto"/>
        </w:rPr>
        <w:t>4</w:t>
      </w:r>
      <w:r w:rsidR="008D563A">
        <w:rPr>
          <w:color w:val="auto"/>
        </w:rPr>
        <w:t xml:space="preserve"> </w:t>
      </w:r>
      <w:r w:rsidR="001B7BD9" w:rsidRPr="006D2519">
        <w:rPr>
          <w:color w:val="auto"/>
        </w:rPr>
        <w:t>weeks of rest and ample feeding between injections.</w:t>
      </w:r>
      <w:r w:rsidR="00F94BA1">
        <w:rPr>
          <w:color w:val="auto"/>
        </w:rPr>
        <w:t xml:space="preserve"> </w:t>
      </w:r>
      <w:r w:rsidR="001B7BD9" w:rsidRPr="006D2519">
        <w:rPr>
          <w:color w:val="auto"/>
        </w:rPr>
        <w:t>We suggest injecting at least 2 males and 4</w:t>
      </w:r>
      <w:r w:rsidR="0088463F">
        <w:rPr>
          <w:color w:val="auto"/>
        </w:rPr>
        <w:t>–</w:t>
      </w:r>
      <w:r w:rsidR="001B7BD9" w:rsidRPr="006D2519">
        <w:rPr>
          <w:color w:val="auto"/>
        </w:rPr>
        <w:t>5 females to ensure a few clutches of eggs and plenty of sperm.</w:t>
      </w:r>
    </w:p>
    <w:p w14:paraId="56CC1D73" w14:textId="77777777" w:rsidR="009B58A7" w:rsidRPr="00A1728C" w:rsidRDefault="009B58A7" w:rsidP="00A1728C">
      <w:pPr>
        <w:pStyle w:val="ListParagraph"/>
        <w:ind w:left="990" w:hanging="540"/>
        <w:rPr>
          <w:b/>
          <w:i/>
          <w:color w:val="auto"/>
        </w:rPr>
      </w:pPr>
    </w:p>
    <w:p w14:paraId="6F92A4C2" w14:textId="2F8F0F9D" w:rsidR="009B58A7" w:rsidRPr="00A1728C" w:rsidRDefault="009B58A7" w:rsidP="00A1728C">
      <w:pPr>
        <w:pStyle w:val="ListParagraph"/>
        <w:numPr>
          <w:ilvl w:val="2"/>
          <w:numId w:val="43"/>
        </w:numPr>
        <w:rPr>
          <w:b/>
          <w:i/>
          <w:color w:val="auto"/>
        </w:rPr>
      </w:pPr>
      <w:r w:rsidRPr="00A1728C">
        <w:rPr>
          <w:color w:val="auto"/>
        </w:rPr>
        <w:lastRenderedPageBreak/>
        <w:t xml:space="preserve">Anesthetize fish in MS-222 (0.4 g/3 L) for </w:t>
      </w:r>
      <w:r w:rsidR="008D563A">
        <w:rPr>
          <w:color w:val="auto"/>
        </w:rPr>
        <w:t xml:space="preserve">a </w:t>
      </w:r>
      <w:r w:rsidRPr="00A1728C">
        <w:rPr>
          <w:color w:val="auto"/>
        </w:rPr>
        <w:t xml:space="preserve">few minutes, until </w:t>
      </w:r>
      <w:r w:rsidR="008D563A">
        <w:rPr>
          <w:color w:val="auto"/>
        </w:rPr>
        <w:t xml:space="preserve">the </w:t>
      </w:r>
      <w:r w:rsidRPr="00A1728C">
        <w:rPr>
          <w:color w:val="auto"/>
        </w:rPr>
        <w:t>fish is not able to keep its posture</w:t>
      </w:r>
      <w:r w:rsidR="006204FF" w:rsidRPr="00A1728C">
        <w:rPr>
          <w:color w:val="auto"/>
        </w:rPr>
        <w:t>, is immobile, but continues to have opercular movement (Stage II</w:t>
      </w:r>
      <w:r w:rsidR="005C4D82" w:rsidRPr="00A1728C">
        <w:rPr>
          <w:color w:val="auto"/>
          <w:vertAlign w:val="superscript"/>
        </w:rPr>
        <w:t>5</w:t>
      </w:r>
      <w:r w:rsidR="00C04050" w:rsidRPr="00A1728C">
        <w:rPr>
          <w:color w:val="auto"/>
          <w:vertAlign w:val="superscript"/>
        </w:rPr>
        <w:t>3</w:t>
      </w:r>
      <w:r w:rsidR="006204FF" w:rsidRPr="00A1728C">
        <w:rPr>
          <w:color w:val="auto"/>
        </w:rPr>
        <w:t>)</w:t>
      </w:r>
      <w:r w:rsidRPr="00A1728C">
        <w:rPr>
          <w:color w:val="auto"/>
        </w:rPr>
        <w:t>.</w:t>
      </w:r>
    </w:p>
    <w:p w14:paraId="67C79A77" w14:textId="77777777" w:rsidR="009B58A7" w:rsidRPr="00A1728C" w:rsidRDefault="009B58A7" w:rsidP="00A1728C">
      <w:pPr>
        <w:pStyle w:val="ListParagraph"/>
        <w:ind w:left="990" w:hanging="540"/>
        <w:rPr>
          <w:color w:val="auto"/>
        </w:rPr>
      </w:pPr>
    </w:p>
    <w:p w14:paraId="6F7DA7F6" w14:textId="63626030" w:rsidR="009B58A7" w:rsidRPr="006D2519" w:rsidRDefault="009B58A7" w:rsidP="00A1728C">
      <w:pPr>
        <w:pStyle w:val="ListParagraph"/>
        <w:numPr>
          <w:ilvl w:val="2"/>
          <w:numId w:val="43"/>
        </w:numPr>
        <w:rPr>
          <w:b/>
          <w:i/>
          <w:color w:val="auto"/>
        </w:rPr>
      </w:pPr>
      <w:r w:rsidRPr="006D2519">
        <w:rPr>
          <w:color w:val="auto"/>
        </w:rPr>
        <w:t xml:space="preserve">Weigh </w:t>
      </w:r>
      <w:r w:rsidR="008D563A">
        <w:rPr>
          <w:color w:val="auto"/>
        </w:rPr>
        <w:t xml:space="preserve">the </w:t>
      </w:r>
      <w:r w:rsidRPr="006D2519">
        <w:rPr>
          <w:color w:val="auto"/>
        </w:rPr>
        <w:t xml:space="preserve">fish (g) to calculate </w:t>
      </w:r>
      <w:r w:rsidR="00935932" w:rsidRPr="006D2519">
        <w:rPr>
          <w:color w:val="auto"/>
        </w:rPr>
        <w:t xml:space="preserve">spawning agent </w:t>
      </w:r>
      <w:r w:rsidRPr="006D2519">
        <w:rPr>
          <w:color w:val="auto"/>
        </w:rPr>
        <w:t>amount</w:t>
      </w:r>
      <w:r w:rsidR="008D563A">
        <w:rPr>
          <w:color w:val="auto"/>
        </w:rPr>
        <w:t>,</w:t>
      </w:r>
      <w:r w:rsidRPr="006D2519">
        <w:rPr>
          <w:color w:val="auto"/>
        </w:rPr>
        <w:t xml:space="preserve"> (0.5 µL/ g) + 0.5 µL. The extra 0.5 µL accounts for pipetting errors.</w:t>
      </w:r>
    </w:p>
    <w:p w14:paraId="42A17550" w14:textId="77777777" w:rsidR="009B58A7" w:rsidRPr="00A1728C" w:rsidRDefault="009B58A7" w:rsidP="00A1728C">
      <w:pPr>
        <w:ind w:left="990" w:hanging="540"/>
        <w:rPr>
          <w:color w:val="auto"/>
          <w:highlight w:val="yellow"/>
        </w:rPr>
      </w:pPr>
    </w:p>
    <w:p w14:paraId="471E5C19" w14:textId="5B3AE7ED" w:rsidR="009B58A7" w:rsidRPr="00A1728C" w:rsidRDefault="009B58A7" w:rsidP="00A1728C">
      <w:pPr>
        <w:pStyle w:val="ListParagraph"/>
        <w:numPr>
          <w:ilvl w:val="2"/>
          <w:numId w:val="43"/>
        </w:numPr>
        <w:rPr>
          <w:color w:val="auto"/>
          <w:highlight w:val="yellow"/>
        </w:rPr>
      </w:pPr>
      <w:r w:rsidRPr="00A1728C">
        <w:rPr>
          <w:color w:val="auto"/>
          <w:highlight w:val="yellow"/>
        </w:rPr>
        <w:t xml:space="preserve">Add </w:t>
      </w:r>
      <w:r w:rsidR="008D563A">
        <w:rPr>
          <w:color w:val="auto"/>
          <w:highlight w:val="yellow"/>
        </w:rPr>
        <w:t xml:space="preserve">the </w:t>
      </w:r>
      <w:r w:rsidR="00935932" w:rsidRPr="00A1728C">
        <w:rPr>
          <w:color w:val="auto"/>
          <w:highlight w:val="yellow"/>
        </w:rPr>
        <w:t xml:space="preserve">spawning agent </w:t>
      </w:r>
      <w:r w:rsidRPr="00A1728C">
        <w:rPr>
          <w:color w:val="auto"/>
          <w:highlight w:val="yellow"/>
        </w:rPr>
        <w:t>to 4</w:t>
      </w:r>
      <w:r w:rsidR="0088463F">
        <w:rPr>
          <w:color w:val="auto"/>
          <w:highlight w:val="yellow"/>
        </w:rPr>
        <w:t>x</w:t>
      </w:r>
      <w:r w:rsidRPr="00A1728C">
        <w:rPr>
          <w:color w:val="auto"/>
          <w:highlight w:val="yellow"/>
        </w:rPr>
        <w:t xml:space="preserve"> volumes of buffer (1</w:t>
      </w:r>
      <w:r w:rsidR="002B6FDF">
        <w:rPr>
          <w:color w:val="auto"/>
          <w:highlight w:val="yellow"/>
        </w:rPr>
        <w:t>x</w:t>
      </w:r>
      <w:r w:rsidRPr="00A1728C">
        <w:rPr>
          <w:color w:val="auto"/>
          <w:highlight w:val="yellow"/>
        </w:rPr>
        <w:t xml:space="preserve"> PBS or DPBS) in </w:t>
      </w:r>
      <w:r w:rsidR="008D563A">
        <w:rPr>
          <w:color w:val="auto"/>
          <w:highlight w:val="yellow"/>
        </w:rPr>
        <w:t xml:space="preserve">a </w:t>
      </w:r>
      <w:r w:rsidRPr="00A1728C">
        <w:rPr>
          <w:color w:val="auto"/>
          <w:highlight w:val="yellow"/>
        </w:rPr>
        <w:t>PCR tube and mix well. The solution will become cloudy.</w:t>
      </w:r>
      <w:r w:rsidR="00F94BA1">
        <w:rPr>
          <w:color w:val="auto"/>
          <w:highlight w:val="yellow"/>
        </w:rPr>
        <w:t xml:space="preserve"> </w:t>
      </w:r>
      <w:r w:rsidRPr="00A1728C">
        <w:rPr>
          <w:color w:val="auto"/>
          <w:highlight w:val="yellow"/>
        </w:rPr>
        <w:t xml:space="preserve">It helps to dispense </w:t>
      </w:r>
      <w:r w:rsidR="008D563A">
        <w:rPr>
          <w:color w:val="auto"/>
          <w:highlight w:val="yellow"/>
        </w:rPr>
        <w:t xml:space="preserve">the </w:t>
      </w:r>
      <w:r w:rsidR="00935932" w:rsidRPr="00A1728C">
        <w:rPr>
          <w:color w:val="auto"/>
          <w:highlight w:val="yellow"/>
        </w:rPr>
        <w:t xml:space="preserve">spawning agent </w:t>
      </w:r>
      <w:r w:rsidRPr="00A1728C">
        <w:rPr>
          <w:color w:val="auto"/>
          <w:highlight w:val="yellow"/>
        </w:rPr>
        <w:t xml:space="preserve">onto </w:t>
      </w:r>
      <w:r w:rsidR="0015153A" w:rsidRPr="00A1728C">
        <w:rPr>
          <w:color w:val="auto"/>
          <w:highlight w:val="yellow"/>
        </w:rPr>
        <w:t xml:space="preserve">thermoplastic </w:t>
      </w:r>
      <w:r w:rsidRPr="00A1728C">
        <w:rPr>
          <w:color w:val="auto"/>
          <w:highlight w:val="yellow"/>
        </w:rPr>
        <w:t>and then use a pipette to measure the calculated dose.</w:t>
      </w:r>
      <w:r w:rsidR="008D563A">
        <w:rPr>
          <w:color w:val="auto"/>
          <w:highlight w:val="yellow"/>
        </w:rPr>
        <w:t xml:space="preserve"> The s</w:t>
      </w:r>
      <w:r w:rsidR="00935932" w:rsidRPr="00A1728C">
        <w:rPr>
          <w:color w:val="auto"/>
          <w:highlight w:val="yellow"/>
        </w:rPr>
        <w:t xml:space="preserve">pawning agent </w:t>
      </w:r>
      <w:r w:rsidRPr="00A1728C">
        <w:rPr>
          <w:color w:val="auto"/>
          <w:highlight w:val="yellow"/>
        </w:rPr>
        <w:t>is viscous</w:t>
      </w:r>
      <w:r w:rsidR="008D563A">
        <w:rPr>
          <w:color w:val="auto"/>
          <w:highlight w:val="yellow"/>
        </w:rPr>
        <w:t>,</w:t>
      </w:r>
      <w:r w:rsidRPr="00A1728C">
        <w:rPr>
          <w:color w:val="auto"/>
          <w:highlight w:val="yellow"/>
        </w:rPr>
        <w:t xml:space="preserve"> so be sure to dispense the entire dose and be careful with pipetting.</w:t>
      </w:r>
    </w:p>
    <w:p w14:paraId="72C00358" w14:textId="77777777" w:rsidR="009B58A7" w:rsidRPr="00A1728C" w:rsidRDefault="009B58A7" w:rsidP="00A1728C">
      <w:pPr>
        <w:ind w:left="990" w:hanging="540"/>
        <w:rPr>
          <w:color w:val="auto"/>
          <w:highlight w:val="yellow"/>
        </w:rPr>
      </w:pPr>
    </w:p>
    <w:p w14:paraId="4B4D461F" w14:textId="57396939" w:rsidR="009B58A7" w:rsidRPr="00A1728C" w:rsidRDefault="009B58A7" w:rsidP="00A1728C">
      <w:pPr>
        <w:pStyle w:val="ListParagraph"/>
        <w:numPr>
          <w:ilvl w:val="2"/>
          <w:numId w:val="43"/>
        </w:numPr>
        <w:rPr>
          <w:color w:val="auto"/>
          <w:highlight w:val="yellow"/>
        </w:rPr>
      </w:pPr>
      <w:r w:rsidRPr="00A1728C">
        <w:rPr>
          <w:color w:val="auto"/>
          <w:highlight w:val="yellow"/>
        </w:rPr>
        <w:t xml:space="preserve">Pipette </w:t>
      </w:r>
      <w:r w:rsidR="008D563A">
        <w:rPr>
          <w:color w:val="auto"/>
          <w:highlight w:val="yellow"/>
        </w:rPr>
        <w:t xml:space="preserve">the </w:t>
      </w:r>
      <w:r w:rsidRPr="00A1728C">
        <w:rPr>
          <w:color w:val="auto"/>
          <w:highlight w:val="yellow"/>
        </w:rPr>
        <w:t xml:space="preserve">injection solution onto </w:t>
      </w:r>
      <w:r w:rsidR="0015153A" w:rsidRPr="00A1728C">
        <w:rPr>
          <w:color w:val="auto"/>
          <w:highlight w:val="yellow"/>
        </w:rPr>
        <w:t xml:space="preserve">thermoplastic </w:t>
      </w:r>
      <w:r w:rsidRPr="00A1728C">
        <w:rPr>
          <w:color w:val="auto"/>
          <w:highlight w:val="yellow"/>
        </w:rPr>
        <w:t xml:space="preserve">and draw into </w:t>
      </w:r>
      <w:r w:rsidR="008D563A">
        <w:rPr>
          <w:color w:val="auto"/>
          <w:highlight w:val="yellow"/>
        </w:rPr>
        <w:t xml:space="preserve">a </w:t>
      </w:r>
      <w:r w:rsidR="0015153A" w:rsidRPr="00A1728C">
        <w:rPr>
          <w:color w:val="auto"/>
          <w:highlight w:val="yellow"/>
        </w:rPr>
        <w:t xml:space="preserve">precision glass </w:t>
      </w:r>
      <w:r w:rsidRPr="00A1728C">
        <w:rPr>
          <w:color w:val="auto"/>
          <w:highlight w:val="yellow"/>
        </w:rPr>
        <w:t>syringe</w:t>
      </w:r>
      <w:r w:rsidR="008D563A">
        <w:rPr>
          <w:color w:val="auto"/>
          <w:highlight w:val="yellow"/>
        </w:rPr>
        <w:t>,</w:t>
      </w:r>
      <w:r w:rsidRPr="00A1728C">
        <w:rPr>
          <w:color w:val="auto"/>
          <w:highlight w:val="yellow"/>
        </w:rPr>
        <w:t xml:space="preserve"> avoiding air bubbles. We recommend a 28 </w:t>
      </w:r>
      <w:r w:rsidR="0088463F">
        <w:rPr>
          <w:color w:val="auto"/>
          <w:highlight w:val="yellow"/>
        </w:rPr>
        <w:t>G</w:t>
      </w:r>
      <w:r w:rsidRPr="00A1728C">
        <w:rPr>
          <w:color w:val="auto"/>
          <w:highlight w:val="yellow"/>
        </w:rPr>
        <w:t>, 19</w:t>
      </w:r>
      <w:r w:rsidR="0088463F">
        <w:rPr>
          <w:color w:val="auto"/>
          <w:highlight w:val="yellow"/>
        </w:rPr>
        <w:t>–</w:t>
      </w:r>
      <w:r w:rsidRPr="00A1728C">
        <w:rPr>
          <w:color w:val="auto"/>
          <w:highlight w:val="yellow"/>
        </w:rPr>
        <w:t>25 mm length</w:t>
      </w:r>
      <w:r w:rsidR="008D563A">
        <w:rPr>
          <w:color w:val="auto"/>
          <w:highlight w:val="yellow"/>
        </w:rPr>
        <w:t>,</w:t>
      </w:r>
      <w:r w:rsidRPr="00A1728C">
        <w:rPr>
          <w:color w:val="auto"/>
          <w:highlight w:val="yellow"/>
        </w:rPr>
        <w:t xml:space="preserve"> beveled needle.</w:t>
      </w:r>
    </w:p>
    <w:p w14:paraId="6E87F68A" w14:textId="77777777" w:rsidR="009B58A7" w:rsidRPr="00A1728C" w:rsidRDefault="009B58A7" w:rsidP="00A1728C">
      <w:pPr>
        <w:pStyle w:val="ListParagraph"/>
        <w:ind w:left="990" w:hanging="540"/>
        <w:rPr>
          <w:color w:val="auto"/>
          <w:highlight w:val="yellow"/>
        </w:rPr>
      </w:pPr>
    </w:p>
    <w:p w14:paraId="7109FFD2" w14:textId="1D9C350C" w:rsidR="009B58A7" w:rsidRPr="00A1728C" w:rsidRDefault="009B58A7" w:rsidP="00A1728C">
      <w:pPr>
        <w:pStyle w:val="ListParagraph"/>
        <w:numPr>
          <w:ilvl w:val="2"/>
          <w:numId w:val="43"/>
        </w:numPr>
        <w:rPr>
          <w:color w:val="auto"/>
          <w:highlight w:val="yellow"/>
        </w:rPr>
      </w:pPr>
      <w:r w:rsidRPr="00A1728C">
        <w:rPr>
          <w:color w:val="auto"/>
          <w:highlight w:val="yellow"/>
        </w:rPr>
        <w:t xml:space="preserve">Inject </w:t>
      </w:r>
      <w:r w:rsidR="008D563A">
        <w:rPr>
          <w:color w:val="auto"/>
          <w:highlight w:val="yellow"/>
        </w:rPr>
        <w:t xml:space="preserve">the </w:t>
      </w:r>
      <w:r w:rsidRPr="00A1728C">
        <w:rPr>
          <w:color w:val="auto"/>
          <w:highlight w:val="yellow"/>
        </w:rPr>
        <w:t xml:space="preserve">solution into </w:t>
      </w:r>
      <w:r w:rsidR="008D563A">
        <w:rPr>
          <w:color w:val="auto"/>
          <w:highlight w:val="yellow"/>
        </w:rPr>
        <w:t xml:space="preserve">the </w:t>
      </w:r>
      <w:r w:rsidRPr="00A1728C">
        <w:rPr>
          <w:color w:val="auto"/>
          <w:highlight w:val="yellow"/>
        </w:rPr>
        <w:t xml:space="preserve">dorsal trunk muscle </w:t>
      </w:r>
      <w:r w:rsidR="008D563A">
        <w:rPr>
          <w:color w:val="auto"/>
          <w:highlight w:val="yellow"/>
        </w:rPr>
        <w:t xml:space="preserve">at </w:t>
      </w:r>
      <w:r w:rsidRPr="00A1728C">
        <w:rPr>
          <w:color w:val="auto"/>
          <w:highlight w:val="yellow"/>
        </w:rPr>
        <w:t>a smooth rate. Let the needle sit for 2</w:t>
      </w:r>
      <w:r w:rsidR="0088463F">
        <w:rPr>
          <w:color w:val="auto"/>
          <w:highlight w:val="yellow"/>
        </w:rPr>
        <w:t>–</w:t>
      </w:r>
      <w:r w:rsidRPr="00A1728C">
        <w:rPr>
          <w:color w:val="auto"/>
          <w:highlight w:val="yellow"/>
        </w:rPr>
        <w:t xml:space="preserve">4 s and then remove. Immediately put fish into fresh system water for recovery. </w:t>
      </w:r>
    </w:p>
    <w:p w14:paraId="27A80683" w14:textId="77777777" w:rsidR="009B58A7" w:rsidRPr="00A1728C" w:rsidRDefault="009B58A7" w:rsidP="00A1728C">
      <w:pPr>
        <w:pStyle w:val="ListParagraph"/>
        <w:ind w:left="990" w:hanging="540"/>
        <w:rPr>
          <w:color w:val="auto"/>
          <w:highlight w:val="yellow"/>
        </w:rPr>
      </w:pPr>
    </w:p>
    <w:p w14:paraId="740EA6BB" w14:textId="33D1988B" w:rsidR="009B58A7" w:rsidRPr="006D2519" w:rsidRDefault="009B58A7" w:rsidP="00A1728C">
      <w:pPr>
        <w:pStyle w:val="ListParagraph"/>
        <w:numPr>
          <w:ilvl w:val="2"/>
          <w:numId w:val="43"/>
        </w:numPr>
        <w:rPr>
          <w:color w:val="auto"/>
        </w:rPr>
      </w:pPr>
      <w:r w:rsidRPr="006D2519">
        <w:rPr>
          <w:color w:val="auto"/>
        </w:rPr>
        <w:t xml:space="preserve">After approximately 24 h prepare for collection of embryos </w:t>
      </w:r>
      <w:r w:rsidR="008D563A">
        <w:rPr>
          <w:color w:val="auto"/>
        </w:rPr>
        <w:t>(see</w:t>
      </w:r>
      <w:r w:rsidRPr="006D2519">
        <w:rPr>
          <w:color w:val="auto"/>
        </w:rPr>
        <w:t xml:space="preserve"> 4.3 or 4.4</w:t>
      </w:r>
      <w:r w:rsidR="008D563A">
        <w:rPr>
          <w:color w:val="auto"/>
        </w:rPr>
        <w:t>)</w:t>
      </w:r>
      <w:r w:rsidRPr="006D2519">
        <w:rPr>
          <w:color w:val="auto"/>
        </w:rPr>
        <w:t>. Gather all necessary materials including what is needed for single cell microinjection (see section 5).</w:t>
      </w:r>
    </w:p>
    <w:p w14:paraId="711F3749" w14:textId="77777777" w:rsidR="009B58A7" w:rsidRPr="00A1728C" w:rsidRDefault="009B58A7" w:rsidP="00A1728C">
      <w:pPr>
        <w:pStyle w:val="ListParagraph"/>
        <w:ind w:left="630"/>
        <w:rPr>
          <w:b/>
          <w:i/>
          <w:color w:val="auto"/>
        </w:rPr>
      </w:pPr>
    </w:p>
    <w:p w14:paraId="6173B063" w14:textId="555ED83C" w:rsidR="00A1728C" w:rsidRPr="008D563A" w:rsidRDefault="009B58A7" w:rsidP="00A1728C">
      <w:pPr>
        <w:pStyle w:val="ListParagraph"/>
        <w:numPr>
          <w:ilvl w:val="1"/>
          <w:numId w:val="43"/>
        </w:numPr>
        <w:rPr>
          <w:bCs/>
          <w:iCs/>
          <w:color w:val="auto"/>
        </w:rPr>
      </w:pPr>
      <w:r w:rsidRPr="008D563A">
        <w:rPr>
          <w:bCs/>
          <w:iCs/>
          <w:color w:val="auto"/>
        </w:rPr>
        <w:t xml:space="preserve">Obtain </w:t>
      </w:r>
      <w:r w:rsidR="00AB3B1F" w:rsidRPr="008D563A">
        <w:rPr>
          <w:bCs/>
          <w:iCs/>
          <w:color w:val="auto"/>
        </w:rPr>
        <w:t>embryos through natural spawning</w:t>
      </w:r>
      <w:r w:rsidR="008D563A">
        <w:rPr>
          <w:bCs/>
          <w:iCs/>
          <w:color w:val="auto"/>
        </w:rPr>
        <w:t>.</w:t>
      </w:r>
    </w:p>
    <w:p w14:paraId="73CC10F6" w14:textId="77777777" w:rsidR="00A1728C" w:rsidRPr="00A1728C" w:rsidRDefault="00A1728C" w:rsidP="00A1728C">
      <w:pPr>
        <w:pStyle w:val="ListParagraph"/>
        <w:ind w:left="0"/>
        <w:rPr>
          <w:b/>
          <w:color w:val="auto"/>
        </w:rPr>
      </w:pPr>
    </w:p>
    <w:p w14:paraId="65C8F343" w14:textId="44C519DE" w:rsidR="009B58A7" w:rsidRPr="00A1728C" w:rsidRDefault="002B6FDF" w:rsidP="00A1728C">
      <w:pPr>
        <w:pStyle w:val="ListParagraph"/>
        <w:numPr>
          <w:ilvl w:val="2"/>
          <w:numId w:val="43"/>
        </w:numPr>
        <w:rPr>
          <w:b/>
          <w:color w:val="auto"/>
        </w:rPr>
      </w:pPr>
      <w:r>
        <w:rPr>
          <w:color w:val="auto"/>
        </w:rPr>
        <w:t>House s</w:t>
      </w:r>
      <w:r w:rsidR="00935932" w:rsidRPr="00A1728C">
        <w:rPr>
          <w:color w:val="auto"/>
        </w:rPr>
        <w:t>pawning agent</w:t>
      </w:r>
      <w:r w:rsidR="008D563A">
        <w:rPr>
          <w:color w:val="auto"/>
        </w:rPr>
        <w:t>-</w:t>
      </w:r>
      <w:r w:rsidR="009B58A7" w:rsidRPr="00A1728C">
        <w:rPr>
          <w:color w:val="auto"/>
        </w:rPr>
        <w:t>injected adults</w:t>
      </w:r>
      <w:r w:rsidR="000D49CB" w:rsidRPr="00A1728C">
        <w:rPr>
          <w:color w:val="auto"/>
        </w:rPr>
        <w:t xml:space="preserve"> (4.2)</w:t>
      </w:r>
      <w:r w:rsidR="00F94BA1">
        <w:rPr>
          <w:color w:val="auto"/>
        </w:rPr>
        <w:t xml:space="preserve"> </w:t>
      </w:r>
      <w:r w:rsidR="009B58A7" w:rsidRPr="00A1728C">
        <w:rPr>
          <w:color w:val="auto"/>
        </w:rPr>
        <w:t>in a large 450 L tanks.</w:t>
      </w:r>
      <w:r w:rsidR="00F94BA1">
        <w:rPr>
          <w:color w:val="auto"/>
        </w:rPr>
        <w:t xml:space="preserve"> </w:t>
      </w:r>
      <w:r w:rsidR="008D563A">
        <w:rPr>
          <w:color w:val="auto"/>
        </w:rPr>
        <w:t>The most effective s</w:t>
      </w:r>
      <w:r w:rsidR="009B58A7" w:rsidRPr="00A1728C">
        <w:rPr>
          <w:color w:val="auto"/>
        </w:rPr>
        <w:t>ex ratios have typically been 1</w:t>
      </w:r>
      <w:r w:rsidR="0088463F">
        <w:rPr>
          <w:color w:val="auto"/>
        </w:rPr>
        <w:t>–</w:t>
      </w:r>
      <w:r w:rsidR="009B58A7" w:rsidRPr="00A1728C">
        <w:rPr>
          <w:color w:val="auto"/>
        </w:rPr>
        <w:t>2 males and 3</w:t>
      </w:r>
      <w:r w:rsidR="0088463F">
        <w:rPr>
          <w:color w:val="auto"/>
        </w:rPr>
        <w:t>–</w:t>
      </w:r>
      <w:r w:rsidR="009B58A7" w:rsidRPr="00A1728C">
        <w:rPr>
          <w:color w:val="auto"/>
        </w:rPr>
        <w:t>4 females with adequate hiding places made from PVC tubes, and dark marble substrate on the tank bottom to prevent egg consumption.</w:t>
      </w:r>
      <w:r w:rsidR="00F94BA1">
        <w:rPr>
          <w:color w:val="auto"/>
        </w:rPr>
        <w:t xml:space="preserve"> </w:t>
      </w:r>
      <w:r w:rsidR="009B58A7" w:rsidRPr="00A1728C">
        <w:rPr>
          <w:color w:val="auto"/>
        </w:rPr>
        <w:t xml:space="preserve">Marbles are typically more important for </w:t>
      </w:r>
      <w:r w:rsidR="009B58A7" w:rsidRPr="00A1728C">
        <w:rPr>
          <w:i/>
          <w:color w:val="auto"/>
        </w:rPr>
        <w:t xml:space="preserve">B. </w:t>
      </w:r>
      <w:proofErr w:type="spellStart"/>
      <w:r w:rsidR="009B58A7" w:rsidRPr="00A1728C">
        <w:rPr>
          <w:i/>
          <w:color w:val="auto"/>
        </w:rPr>
        <w:t>brachyistius</w:t>
      </w:r>
      <w:proofErr w:type="spellEnd"/>
      <w:r w:rsidR="009B58A7" w:rsidRPr="00A1728C">
        <w:rPr>
          <w:color w:val="auto"/>
        </w:rPr>
        <w:t xml:space="preserve"> than </w:t>
      </w:r>
      <w:r w:rsidR="009B58A7" w:rsidRPr="00A1728C">
        <w:rPr>
          <w:i/>
          <w:color w:val="auto"/>
        </w:rPr>
        <w:t xml:space="preserve">B. </w:t>
      </w:r>
      <w:proofErr w:type="spellStart"/>
      <w:r w:rsidR="009B58A7" w:rsidRPr="00A1728C">
        <w:rPr>
          <w:i/>
          <w:color w:val="auto"/>
        </w:rPr>
        <w:t>gauderio</w:t>
      </w:r>
      <w:proofErr w:type="spellEnd"/>
      <w:r w:rsidR="009B58A7" w:rsidRPr="00A1728C">
        <w:rPr>
          <w:color w:val="auto"/>
        </w:rPr>
        <w:t xml:space="preserve">, which prefer to deposit their sticky eggs in crevices or </w:t>
      </w:r>
      <w:r w:rsidR="00935932" w:rsidRPr="00A1728C">
        <w:rPr>
          <w:color w:val="auto"/>
        </w:rPr>
        <w:t xml:space="preserve">50 mL centrifuge </w:t>
      </w:r>
      <w:r w:rsidR="009B58A7" w:rsidRPr="00A1728C">
        <w:rPr>
          <w:color w:val="auto"/>
        </w:rPr>
        <w:t>tubes as described above.</w:t>
      </w:r>
    </w:p>
    <w:p w14:paraId="69294DDE" w14:textId="77777777" w:rsidR="009B58A7" w:rsidRPr="00A1728C" w:rsidRDefault="009B58A7" w:rsidP="00A1728C">
      <w:pPr>
        <w:pStyle w:val="ListParagraph"/>
        <w:ind w:left="1296"/>
        <w:rPr>
          <w:b/>
          <w:color w:val="auto"/>
        </w:rPr>
      </w:pPr>
    </w:p>
    <w:p w14:paraId="28B53112" w14:textId="7EE5B8EC" w:rsidR="002B6FDF" w:rsidRPr="002B6FDF" w:rsidRDefault="002B6FDF" w:rsidP="002B6FDF">
      <w:pPr>
        <w:pStyle w:val="ListParagraph"/>
        <w:numPr>
          <w:ilvl w:val="2"/>
          <w:numId w:val="43"/>
        </w:numPr>
        <w:rPr>
          <w:b/>
          <w:color w:val="auto"/>
        </w:rPr>
      </w:pPr>
      <w:r>
        <w:rPr>
          <w:color w:val="auto"/>
        </w:rPr>
        <w:t>Place f</w:t>
      </w:r>
      <w:r w:rsidR="009B58A7" w:rsidRPr="00A1728C">
        <w:rPr>
          <w:color w:val="auto"/>
        </w:rPr>
        <w:t xml:space="preserve">ish </w:t>
      </w:r>
      <w:r>
        <w:rPr>
          <w:color w:val="auto"/>
        </w:rPr>
        <w:t>i</w:t>
      </w:r>
      <w:r w:rsidR="009B58A7" w:rsidRPr="00A1728C">
        <w:rPr>
          <w:color w:val="auto"/>
        </w:rPr>
        <w:t xml:space="preserve">n a reverse light cycle to match nighttime spawning to regular lab working hours. Using an off-the-shelf consumer grade security </w:t>
      </w:r>
      <w:r>
        <w:rPr>
          <w:color w:val="auto"/>
        </w:rPr>
        <w:t xml:space="preserve">system, monitor </w:t>
      </w:r>
      <w:r w:rsidR="009B58A7" w:rsidRPr="00A1728C">
        <w:rPr>
          <w:color w:val="auto"/>
        </w:rPr>
        <w:t>fish using infrared illumination to minimize disturbance from a remotely connected PC (</w:t>
      </w:r>
      <w:r w:rsidR="00EA1C1D" w:rsidRPr="00EA1C1D">
        <w:rPr>
          <w:b/>
          <w:color w:val="auto"/>
        </w:rPr>
        <w:t>Figure 3</w:t>
      </w:r>
      <w:r w:rsidR="009B58A7" w:rsidRPr="00A1728C">
        <w:rPr>
          <w:color w:val="auto"/>
        </w:rPr>
        <w:t>).</w:t>
      </w:r>
      <w:r w:rsidR="00F94BA1">
        <w:rPr>
          <w:color w:val="auto"/>
        </w:rPr>
        <w:t xml:space="preserve"> </w:t>
      </w:r>
    </w:p>
    <w:p w14:paraId="543A4126" w14:textId="77777777" w:rsidR="002B6FDF" w:rsidRPr="002B6FDF" w:rsidRDefault="002B6FDF" w:rsidP="002B6FDF">
      <w:pPr>
        <w:pStyle w:val="ListParagraph"/>
        <w:ind w:left="0"/>
        <w:rPr>
          <w:b/>
          <w:color w:val="auto"/>
        </w:rPr>
      </w:pPr>
    </w:p>
    <w:p w14:paraId="5AB3ED5E" w14:textId="3D11E908" w:rsidR="009B58A7" w:rsidRPr="00A1728C" w:rsidRDefault="006805F5" w:rsidP="00A1728C">
      <w:pPr>
        <w:pStyle w:val="ListParagraph"/>
        <w:numPr>
          <w:ilvl w:val="2"/>
          <w:numId w:val="43"/>
        </w:numPr>
        <w:rPr>
          <w:b/>
          <w:color w:val="auto"/>
        </w:rPr>
      </w:pPr>
      <w:r>
        <w:rPr>
          <w:color w:val="auto"/>
        </w:rPr>
        <w:t xml:space="preserve">The </w:t>
      </w:r>
      <w:r w:rsidR="009B58A7" w:rsidRPr="00A1728C">
        <w:rPr>
          <w:color w:val="auto"/>
        </w:rPr>
        <w:t>fish will spontaneously spawn during the dark photoperiod approximately 24</w:t>
      </w:r>
      <w:r w:rsidR="0088463F">
        <w:rPr>
          <w:color w:val="auto"/>
        </w:rPr>
        <w:t xml:space="preserve"> </w:t>
      </w:r>
      <w:r w:rsidR="009B58A7" w:rsidRPr="00A1728C">
        <w:rPr>
          <w:color w:val="auto"/>
        </w:rPr>
        <w:t xml:space="preserve">h post </w:t>
      </w:r>
      <w:r>
        <w:rPr>
          <w:color w:val="auto"/>
        </w:rPr>
        <w:t xml:space="preserve">the </w:t>
      </w:r>
      <w:r w:rsidR="00935932" w:rsidRPr="00A1728C">
        <w:rPr>
          <w:color w:val="auto"/>
        </w:rPr>
        <w:t xml:space="preserve">spawning agent </w:t>
      </w:r>
      <w:r w:rsidR="009B58A7" w:rsidRPr="00A1728C">
        <w:rPr>
          <w:color w:val="auto"/>
        </w:rPr>
        <w:t>injection.</w:t>
      </w:r>
    </w:p>
    <w:p w14:paraId="43A61161" w14:textId="77777777" w:rsidR="009B58A7" w:rsidRPr="00A1728C" w:rsidRDefault="009B58A7" w:rsidP="00A1728C">
      <w:pPr>
        <w:pStyle w:val="ListParagraph"/>
        <w:ind w:left="1296"/>
        <w:rPr>
          <w:b/>
          <w:color w:val="auto"/>
        </w:rPr>
      </w:pPr>
    </w:p>
    <w:p w14:paraId="54F59519" w14:textId="0620B7F9" w:rsidR="009B58A7" w:rsidRPr="00A1728C" w:rsidRDefault="009B58A7" w:rsidP="00A1728C">
      <w:pPr>
        <w:pStyle w:val="ListParagraph"/>
        <w:numPr>
          <w:ilvl w:val="2"/>
          <w:numId w:val="43"/>
        </w:numPr>
        <w:rPr>
          <w:b/>
          <w:color w:val="auto"/>
        </w:rPr>
      </w:pPr>
      <w:r w:rsidRPr="00A1728C">
        <w:rPr>
          <w:color w:val="auto"/>
        </w:rPr>
        <w:t xml:space="preserve">When spawning begins, </w:t>
      </w:r>
      <w:r w:rsidR="002B6FDF">
        <w:rPr>
          <w:color w:val="auto"/>
        </w:rPr>
        <w:t xml:space="preserve">collect </w:t>
      </w:r>
      <w:r w:rsidRPr="00A1728C">
        <w:rPr>
          <w:color w:val="auto"/>
        </w:rPr>
        <w:t xml:space="preserve">eggs hourly while </w:t>
      </w:r>
      <w:r w:rsidR="006805F5">
        <w:rPr>
          <w:color w:val="auto"/>
        </w:rPr>
        <w:t xml:space="preserve">the </w:t>
      </w:r>
      <w:r w:rsidRPr="00A1728C">
        <w:rPr>
          <w:color w:val="auto"/>
        </w:rPr>
        <w:t xml:space="preserve">spawning behavior occurs. In </w:t>
      </w:r>
      <w:r w:rsidRPr="00A1728C">
        <w:rPr>
          <w:i/>
          <w:color w:val="auto"/>
        </w:rPr>
        <w:t xml:space="preserve">B. </w:t>
      </w:r>
      <w:proofErr w:type="spellStart"/>
      <w:r w:rsidRPr="00A1728C">
        <w:rPr>
          <w:i/>
          <w:color w:val="auto"/>
        </w:rPr>
        <w:t>brachyistius</w:t>
      </w:r>
      <w:proofErr w:type="spellEnd"/>
      <w:r w:rsidR="002B6FDF">
        <w:rPr>
          <w:i/>
          <w:color w:val="auto"/>
        </w:rPr>
        <w:t xml:space="preserve">, </w:t>
      </w:r>
      <w:r w:rsidR="002B6FDF">
        <w:rPr>
          <w:iCs/>
          <w:color w:val="auto"/>
        </w:rPr>
        <w:t>collect eggs</w:t>
      </w:r>
      <w:r w:rsidRPr="00A1728C">
        <w:rPr>
          <w:i/>
          <w:color w:val="auto"/>
        </w:rPr>
        <w:t xml:space="preserve"> </w:t>
      </w:r>
      <w:r w:rsidRPr="00A1728C">
        <w:rPr>
          <w:color w:val="auto"/>
        </w:rPr>
        <w:t xml:space="preserve">using a small-diameter siphon over a fine cotton mesh net to minimize damage to </w:t>
      </w:r>
      <w:r w:rsidR="006805F5">
        <w:rPr>
          <w:color w:val="auto"/>
        </w:rPr>
        <w:t xml:space="preserve">the </w:t>
      </w:r>
      <w:r w:rsidRPr="00A1728C">
        <w:rPr>
          <w:color w:val="auto"/>
        </w:rPr>
        <w:t xml:space="preserve">freshly spawned eggs. </w:t>
      </w:r>
      <w:r w:rsidR="002B6FDF">
        <w:rPr>
          <w:color w:val="auto"/>
        </w:rPr>
        <w:t>Collect</w:t>
      </w:r>
      <w:r w:rsidRPr="00A1728C">
        <w:rPr>
          <w:color w:val="auto"/>
        </w:rPr>
        <w:t xml:space="preserve"> </w:t>
      </w:r>
      <w:r w:rsidRPr="00A1728C">
        <w:rPr>
          <w:i/>
          <w:color w:val="auto"/>
        </w:rPr>
        <w:t xml:space="preserve">B. </w:t>
      </w:r>
      <w:proofErr w:type="spellStart"/>
      <w:r w:rsidRPr="00A1728C">
        <w:rPr>
          <w:i/>
          <w:color w:val="auto"/>
        </w:rPr>
        <w:t>gauderio</w:t>
      </w:r>
      <w:proofErr w:type="spellEnd"/>
      <w:r w:rsidRPr="00A1728C">
        <w:rPr>
          <w:i/>
          <w:color w:val="auto"/>
        </w:rPr>
        <w:t xml:space="preserve"> </w:t>
      </w:r>
      <w:r w:rsidRPr="00A1728C">
        <w:rPr>
          <w:color w:val="auto"/>
        </w:rPr>
        <w:t xml:space="preserve">eggs from </w:t>
      </w:r>
      <w:r w:rsidR="00935932" w:rsidRPr="00A1728C">
        <w:rPr>
          <w:color w:val="auto"/>
        </w:rPr>
        <w:t xml:space="preserve">50 mL centrifuge </w:t>
      </w:r>
      <w:r w:rsidRPr="00A1728C">
        <w:rPr>
          <w:color w:val="auto"/>
        </w:rPr>
        <w:t xml:space="preserve">tubes or tank substrate. </w:t>
      </w:r>
      <w:r w:rsidR="002B6FDF">
        <w:rPr>
          <w:color w:val="auto"/>
        </w:rPr>
        <w:t>Work e</w:t>
      </w:r>
      <w:r w:rsidRPr="00A1728C">
        <w:rPr>
          <w:color w:val="auto"/>
        </w:rPr>
        <w:t xml:space="preserve">fficiently with minimal disturbance to spawning fish by using </w:t>
      </w:r>
      <w:r w:rsidR="002B6FDF">
        <w:rPr>
          <w:color w:val="auto"/>
        </w:rPr>
        <w:t xml:space="preserve">a </w:t>
      </w:r>
      <w:r w:rsidRPr="00A1728C">
        <w:rPr>
          <w:color w:val="auto"/>
        </w:rPr>
        <w:t>head lamp with a low-intensity red light.</w:t>
      </w:r>
      <w:r w:rsidR="00F94BA1">
        <w:rPr>
          <w:color w:val="auto"/>
        </w:rPr>
        <w:t xml:space="preserve"> </w:t>
      </w:r>
      <w:r w:rsidRPr="00A1728C">
        <w:rPr>
          <w:color w:val="auto"/>
        </w:rPr>
        <w:t>As first cleavage occurs approximately 1 h post fertilization (</w:t>
      </w:r>
      <w:r w:rsidR="009103CF" w:rsidRPr="009103CF">
        <w:rPr>
          <w:caps/>
          <w:color w:val="auto"/>
        </w:rPr>
        <w:t>HPF</w:t>
      </w:r>
      <w:r w:rsidRPr="00A1728C">
        <w:rPr>
          <w:color w:val="auto"/>
        </w:rPr>
        <w:t>), a large portion of eggs will be suitable for single cell microinjection.</w:t>
      </w:r>
      <w:r w:rsidR="00F94BA1">
        <w:rPr>
          <w:color w:val="auto"/>
        </w:rPr>
        <w:t xml:space="preserve"> </w:t>
      </w:r>
    </w:p>
    <w:p w14:paraId="6C65B845" w14:textId="77777777" w:rsidR="009B58A7" w:rsidRPr="00A1728C" w:rsidRDefault="009B58A7" w:rsidP="00A1728C">
      <w:pPr>
        <w:rPr>
          <w:b/>
          <w:color w:val="auto"/>
        </w:rPr>
      </w:pPr>
    </w:p>
    <w:p w14:paraId="155B2741" w14:textId="77777777" w:rsidR="009B58A7" w:rsidRPr="00A1728C" w:rsidRDefault="009B58A7" w:rsidP="00A1728C">
      <w:pPr>
        <w:pStyle w:val="ListParagraph"/>
        <w:numPr>
          <w:ilvl w:val="2"/>
          <w:numId w:val="43"/>
        </w:numPr>
        <w:rPr>
          <w:b/>
          <w:color w:val="auto"/>
        </w:rPr>
      </w:pPr>
      <w:r w:rsidRPr="00A1728C">
        <w:rPr>
          <w:color w:val="auto"/>
        </w:rPr>
        <w:t>Proceed immediately to microinjection (see section 5).</w:t>
      </w:r>
    </w:p>
    <w:p w14:paraId="64FDA993" w14:textId="77777777" w:rsidR="009B58A7" w:rsidRPr="00A1728C" w:rsidRDefault="009B58A7" w:rsidP="00A1728C">
      <w:pPr>
        <w:pStyle w:val="ListParagraph"/>
        <w:ind w:left="630"/>
        <w:rPr>
          <w:b/>
          <w:color w:val="auto"/>
        </w:rPr>
      </w:pPr>
    </w:p>
    <w:p w14:paraId="4EDC8A40" w14:textId="3FE0689D" w:rsidR="009B58A7" w:rsidRPr="006805F5" w:rsidRDefault="002242FC" w:rsidP="00A1728C">
      <w:pPr>
        <w:pStyle w:val="ListParagraph"/>
        <w:numPr>
          <w:ilvl w:val="1"/>
          <w:numId w:val="43"/>
        </w:numPr>
        <w:rPr>
          <w:bCs/>
          <w:color w:val="auto"/>
          <w:highlight w:val="yellow"/>
        </w:rPr>
      </w:pPr>
      <w:r w:rsidRPr="006805F5">
        <w:rPr>
          <w:bCs/>
          <w:iCs/>
          <w:color w:val="auto"/>
          <w:highlight w:val="yellow"/>
        </w:rPr>
        <w:lastRenderedPageBreak/>
        <w:t>Squeez</w:t>
      </w:r>
      <w:r>
        <w:rPr>
          <w:bCs/>
          <w:iCs/>
          <w:color w:val="auto"/>
          <w:highlight w:val="yellow"/>
        </w:rPr>
        <w:t>e</w:t>
      </w:r>
      <w:r w:rsidRPr="006805F5">
        <w:rPr>
          <w:bCs/>
          <w:iCs/>
          <w:color w:val="auto"/>
          <w:highlight w:val="yellow"/>
        </w:rPr>
        <w:t xml:space="preserve"> males</w:t>
      </w:r>
      <w:r w:rsidRPr="006805F5">
        <w:rPr>
          <w:bCs/>
          <w:color w:val="auto"/>
          <w:highlight w:val="yellow"/>
        </w:rPr>
        <w:t xml:space="preserve"> </w:t>
      </w:r>
      <w:r>
        <w:rPr>
          <w:bCs/>
          <w:color w:val="auto"/>
          <w:highlight w:val="yellow"/>
        </w:rPr>
        <w:t xml:space="preserve">for </w:t>
      </w:r>
      <w:r w:rsidR="006805F5" w:rsidRPr="006805F5">
        <w:rPr>
          <w:bCs/>
          <w:color w:val="auto"/>
          <w:highlight w:val="yellow"/>
        </w:rPr>
        <w:t xml:space="preserve">in </w:t>
      </w:r>
      <w:r w:rsidR="009B58A7" w:rsidRPr="006805F5">
        <w:rPr>
          <w:bCs/>
          <w:color w:val="auto"/>
          <w:highlight w:val="yellow"/>
        </w:rPr>
        <w:t xml:space="preserve">vitro </w:t>
      </w:r>
      <w:r w:rsidR="00A1728C" w:rsidRPr="006805F5">
        <w:rPr>
          <w:bCs/>
          <w:color w:val="auto"/>
          <w:highlight w:val="yellow"/>
        </w:rPr>
        <w:t>f</w:t>
      </w:r>
      <w:r w:rsidR="009B58A7" w:rsidRPr="006805F5">
        <w:rPr>
          <w:bCs/>
          <w:color w:val="auto"/>
          <w:highlight w:val="yellow"/>
        </w:rPr>
        <w:t>ertilization of</w:t>
      </w:r>
      <w:r w:rsidR="009B58A7" w:rsidRPr="006805F5">
        <w:rPr>
          <w:bCs/>
          <w:i/>
          <w:color w:val="auto"/>
          <w:highlight w:val="yellow"/>
        </w:rPr>
        <w:t xml:space="preserve"> B. </w:t>
      </w:r>
      <w:proofErr w:type="spellStart"/>
      <w:r w:rsidR="009B58A7" w:rsidRPr="006805F5">
        <w:rPr>
          <w:bCs/>
          <w:i/>
          <w:color w:val="auto"/>
          <w:highlight w:val="yellow"/>
        </w:rPr>
        <w:t>gauderio</w:t>
      </w:r>
      <w:proofErr w:type="spellEnd"/>
      <w:r>
        <w:rPr>
          <w:bCs/>
          <w:iCs/>
          <w:color w:val="auto"/>
          <w:highlight w:val="yellow"/>
        </w:rPr>
        <w:t>.</w:t>
      </w:r>
    </w:p>
    <w:p w14:paraId="7DB0A49E" w14:textId="77777777" w:rsidR="009B58A7" w:rsidRPr="00A1728C" w:rsidRDefault="009B58A7" w:rsidP="00A1728C">
      <w:pPr>
        <w:pStyle w:val="ListParagraph"/>
        <w:rPr>
          <w:color w:val="auto"/>
        </w:rPr>
      </w:pPr>
    </w:p>
    <w:p w14:paraId="469E5AAC" w14:textId="340AA4D1" w:rsidR="00B27FEC" w:rsidRPr="0088463F" w:rsidRDefault="00B27FEC" w:rsidP="00A1728C">
      <w:pPr>
        <w:pStyle w:val="ListParagraph"/>
        <w:numPr>
          <w:ilvl w:val="2"/>
          <w:numId w:val="43"/>
        </w:numPr>
        <w:rPr>
          <w:color w:val="auto"/>
        </w:rPr>
      </w:pPr>
      <w:r w:rsidRPr="0088463F">
        <w:rPr>
          <w:color w:val="auto"/>
        </w:rPr>
        <w:t xml:space="preserve">Prepare </w:t>
      </w:r>
      <w:r w:rsidR="006805F5">
        <w:rPr>
          <w:color w:val="auto"/>
        </w:rPr>
        <w:t xml:space="preserve">the </w:t>
      </w:r>
      <w:r w:rsidRPr="0088463F">
        <w:rPr>
          <w:color w:val="auto"/>
        </w:rPr>
        <w:t>sperm extender solution (SES) as described in The Zebrafish Book</w:t>
      </w:r>
      <w:r w:rsidR="00693059" w:rsidRPr="0088463F">
        <w:rPr>
          <w:noProof/>
          <w:color w:val="auto"/>
          <w:vertAlign w:val="superscript"/>
        </w:rPr>
        <w:t>54</w:t>
      </w:r>
      <w:r w:rsidRPr="0088463F">
        <w:rPr>
          <w:color w:val="auto"/>
        </w:rPr>
        <w:t>:</w:t>
      </w:r>
      <w:r w:rsidR="0088463F" w:rsidRPr="0088463F">
        <w:rPr>
          <w:color w:val="auto"/>
        </w:rPr>
        <w:t xml:space="preserve"> 10 mM </w:t>
      </w:r>
      <w:r w:rsidRPr="0088463F">
        <w:rPr>
          <w:color w:val="auto"/>
        </w:rPr>
        <w:t>HEPES</w:t>
      </w:r>
      <w:r w:rsidR="0088463F" w:rsidRPr="0088463F">
        <w:rPr>
          <w:color w:val="auto"/>
        </w:rPr>
        <w:t xml:space="preserve">, 80 mM </w:t>
      </w:r>
      <w:proofErr w:type="spellStart"/>
      <w:r w:rsidRPr="0088463F">
        <w:rPr>
          <w:color w:val="auto"/>
        </w:rPr>
        <w:t>KCl</w:t>
      </w:r>
      <w:proofErr w:type="spellEnd"/>
      <w:r w:rsidR="0088463F" w:rsidRPr="0088463F">
        <w:rPr>
          <w:color w:val="auto"/>
        </w:rPr>
        <w:t xml:space="preserve">, 45 mM </w:t>
      </w:r>
      <w:r w:rsidRPr="0088463F">
        <w:rPr>
          <w:color w:val="auto"/>
        </w:rPr>
        <w:t>NaCl</w:t>
      </w:r>
      <w:r w:rsidR="0088463F" w:rsidRPr="0088463F">
        <w:rPr>
          <w:color w:val="auto"/>
        </w:rPr>
        <w:t xml:space="preserve">, 45 mM </w:t>
      </w:r>
      <w:r w:rsidR="006805F5" w:rsidRPr="0088463F">
        <w:rPr>
          <w:color w:val="auto"/>
        </w:rPr>
        <w:t xml:space="preserve">sodium </w:t>
      </w:r>
      <w:r w:rsidRPr="0088463F">
        <w:rPr>
          <w:color w:val="auto"/>
        </w:rPr>
        <w:t>acetate</w:t>
      </w:r>
      <w:r w:rsidR="0088463F" w:rsidRPr="0088463F">
        <w:rPr>
          <w:color w:val="auto"/>
        </w:rPr>
        <w:t xml:space="preserve">, 0.4 mM </w:t>
      </w:r>
      <w:r w:rsidRPr="0088463F">
        <w:rPr>
          <w:color w:val="auto"/>
        </w:rPr>
        <w:t>CaCl</w:t>
      </w:r>
      <w:r w:rsidRPr="0088463F">
        <w:rPr>
          <w:color w:val="auto"/>
          <w:vertAlign w:val="subscript"/>
        </w:rPr>
        <w:t>2</w:t>
      </w:r>
      <w:r w:rsidR="0088463F" w:rsidRPr="0088463F">
        <w:rPr>
          <w:color w:val="auto"/>
        </w:rPr>
        <w:t>, and 0.2 mM</w:t>
      </w:r>
      <w:r w:rsidR="0088463F">
        <w:rPr>
          <w:color w:val="auto"/>
        </w:rPr>
        <w:t xml:space="preserve"> </w:t>
      </w:r>
      <w:r w:rsidRPr="0088463F">
        <w:rPr>
          <w:color w:val="auto"/>
        </w:rPr>
        <w:t>MgCl</w:t>
      </w:r>
      <w:r w:rsidRPr="0088463F">
        <w:rPr>
          <w:color w:val="auto"/>
          <w:vertAlign w:val="subscript"/>
        </w:rPr>
        <w:t>2</w:t>
      </w:r>
      <w:r w:rsidR="0088463F">
        <w:rPr>
          <w:color w:val="auto"/>
        </w:rPr>
        <w:t>.</w:t>
      </w:r>
    </w:p>
    <w:p w14:paraId="4409412A" w14:textId="77777777" w:rsidR="00B27FEC" w:rsidRPr="00A1728C" w:rsidRDefault="00B27FEC" w:rsidP="00A1728C">
      <w:pPr>
        <w:pStyle w:val="ListParagraph"/>
        <w:ind w:left="1260"/>
        <w:rPr>
          <w:color w:val="auto"/>
        </w:rPr>
      </w:pPr>
    </w:p>
    <w:p w14:paraId="3215C971" w14:textId="15284F16" w:rsidR="00B27FEC" w:rsidRPr="00A1728C" w:rsidRDefault="00B27FEC" w:rsidP="00A1728C">
      <w:pPr>
        <w:pStyle w:val="ListParagraph"/>
        <w:numPr>
          <w:ilvl w:val="3"/>
          <w:numId w:val="43"/>
        </w:numPr>
        <w:rPr>
          <w:color w:val="auto"/>
        </w:rPr>
      </w:pPr>
      <w:r w:rsidRPr="00A1728C">
        <w:rPr>
          <w:color w:val="auto"/>
        </w:rPr>
        <w:t>Use ddH</w:t>
      </w:r>
      <w:r w:rsidRPr="00A1728C">
        <w:rPr>
          <w:color w:val="auto"/>
          <w:vertAlign w:val="subscript"/>
        </w:rPr>
        <w:t>2</w:t>
      </w:r>
      <w:r w:rsidRPr="00A1728C">
        <w:rPr>
          <w:color w:val="auto"/>
        </w:rPr>
        <w:t>O to bring to volume and adjust pH to 7.7 with 1</w:t>
      </w:r>
      <w:r w:rsidR="0088463F">
        <w:rPr>
          <w:color w:val="auto"/>
        </w:rPr>
        <w:t xml:space="preserve"> </w:t>
      </w:r>
      <w:r w:rsidRPr="00A1728C">
        <w:rPr>
          <w:color w:val="auto"/>
        </w:rPr>
        <w:t>M NaOH.</w:t>
      </w:r>
    </w:p>
    <w:p w14:paraId="7B529FF3" w14:textId="77777777" w:rsidR="00A1728C" w:rsidRDefault="00A1728C" w:rsidP="00A1728C">
      <w:pPr>
        <w:pStyle w:val="ListParagraph"/>
        <w:ind w:left="0"/>
        <w:rPr>
          <w:color w:val="auto"/>
        </w:rPr>
      </w:pPr>
    </w:p>
    <w:p w14:paraId="08DDBE15" w14:textId="3578EE16" w:rsidR="00B27FEC" w:rsidRPr="00A1728C" w:rsidRDefault="00B27FEC" w:rsidP="00A1728C">
      <w:pPr>
        <w:pStyle w:val="ListParagraph"/>
        <w:numPr>
          <w:ilvl w:val="3"/>
          <w:numId w:val="43"/>
        </w:numPr>
        <w:rPr>
          <w:color w:val="auto"/>
        </w:rPr>
      </w:pPr>
      <w:r w:rsidRPr="00A1728C">
        <w:rPr>
          <w:color w:val="auto"/>
        </w:rPr>
        <w:t>Store in fridge.</w:t>
      </w:r>
    </w:p>
    <w:p w14:paraId="631BF921" w14:textId="77777777" w:rsidR="00A1728C" w:rsidRDefault="00A1728C" w:rsidP="00A1728C">
      <w:pPr>
        <w:pStyle w:val="ListParagraph"/>
        <w:ind w:left="0"/>
        <w:rPr>
          <w:color w:val="auto"/>
        </w:rPr>
      </w:pPr>
    </w:p>
    <w:p w14:paraId="33B15FF9" w14:textId="1F9CA81D" w:rsidR="00A1728C" w:rsidRDefault="00B27FEC" w:rsidP="00A1728C">
      <w:pPr>
        <w:pStyle w:val="ListParagraph"/>
        <w:numPr>
          <w:ilvl w:val="3"/>
          <w:numId w:val="43"/>
        </w:numPr>
        <w:rPr>
          <w:color w:val="auto"/>
        </w:rPr>
      </w:pPr>
      <w:r w:rsidRPr="00A1728C">
        <w:rPr>
          <w:color w:val="auto"/>
        </w:rPr>
        <w:t xml:space="preserve">Filter through </w:t>
      </w:r>
      <w:r w:rsidR="0088463F">
        <w:rPr>
          <w:color w:val="auto"/>
        </w:rPr>
        <w:t xml:space="preserve">a </w:t>
      </w:r>
      <w:r w:rsidRPr="00A1728C">
        <w:rPr>
          <w:color w:val="auto"/>
        </w:rPr>
        <w:t>0.22 µm filter before use.</w:t>
      </w:r>
    </w:p>
    <w:p w14:paraId="3DD1F0CA" w14:textId="090498A4" w:rsidR="00B27FEC" w:rsidRPr="00A1728C" w:rsidRDefault="00B27FEC" w:rsidP="00A1728C">
      <w:pPr>
        <w:pStyle w:val="ListParagraph"/>
        <w:ind w:left="0"/>
        <w:rPr>
          <w:color w:val="auto"/>
        </w:rPr>
      </w:pPr>
    </w:p>
    <w:p w14:paraId="7CA84CC3" w14:textId="4EC6A4E0" w:rsidR="009B58A7" w:rsidRPr="00A1728C" w:rsidRDefault="00943DD7" w:rsidP="00A1728C">
      <w:pPr>
        <w:pStyle w:val="ListParagraph"/>
        <w:numPr>
          <w:ilvl w:val="2"/>
          <w:numId w:val="43"/>
        </w:numPr>
        <w:rPr>
          <w:b/>
          <w:i/>
          <w:color w:val="auto"/>
          <w:highlight w:val="yellow"/>
        </w:rPr>
      </w:pPr>
      <w:r w:rsidRPr="00A1728C">
        <w:rPr>
          <w:color w:val="auto"/>
        </w:rPr>
        <w:t xml:space="preserve">Anesthetize fish in MS-222 (0.4 g/3 L) for </w:t>
      </w:r>
      <w:r w:rsidR="006805F5">
        <w:rPr>
          <w:color w:val="auto"/>
        </w:rPr>
        <w:t xml:space="preserve">a </w:t>
      </w:r>
      <w:r w:rsidRPr="00A1728C">
        <w:rPr>
          <w:color w:val="auto"/>
        </w:rPr>
        <w:t xml:space="preserve">few minutes, until </w:t>
      </w:r>
      <w:r w:rsidR="006805F5">
        <w:rPr>
          <w:color w:val="auto"/>
        </w:rPr>
        <w:t xml:space="preserve">the </w:t>
      </w:r>
      <w:r w:rsidRPr="00A1728C">
        <w:rPr>
          <w:color w:val="auto"/>
        </w:rPr>
        <w:t>fish is not able to keep its posture, is immobile, but continues to have opercular movement (Stage II</w:t>
      </w:r>
      <w:r w:rsidR="005223E3" w:rsidRPr="00A1728C">
        <w:rPr>
          <w:color w:val="auto"/>
          <w:vertAlign w:val="superscript"/>
        </w:rPr>
        <w:t>5</w:t>
      </w:r>
      <w:r w:rsidR="00C04050" w:rsidRPr="00A1728C">
        <w:rPr>
          <w:color w:val="auto"/>
          <w:vertAlign w:val="superscript"/>
        </w:rPr>
        <w:t>3</w:t>
      </w:r>
      <w:r w:rsidRPr="00A1728C">
        <w:rPr>
          <w:color w:val="auto"/>
        </w:rPr>
        <w:t>).</w:t>
      </w:r>
      <w:r w:rsidRPr="00A1728C">
        <w:rPr>
          <w:color w:val="auto"/>
          <w:highlight w:val="yellow"/>
        </w:rPr>
        <w:br/>
      </w:r>
      <w:r w:rsidR="001909B6" w:rsidRPr="00A1728C">
        <w:rPr>
          <w:color w:val="auto"/>
          <w:highlight w:val="yellow"/>
        </w:rPr>
        <w:t xml:space="preserve">Place 500 </w:t>
      </w:r>
      <w:r w:rsidR="0088463F">
        <w:rPr>
          <w:color w:val="auto"/>
          <w:highlight w:val="yellow"/>
        </w:rPr>
        <w:t>µ</w:t>
      </w:r>
      <w:r w:rsidR="001909B6" w:rsidRPr="00A1728C">
        <w:rPr>
          <w:color w:val="auto"/>
          <w:highlight w:val="yellow"/>
        </w:rPr>
        <w:t>L aliquots of SES into ice.</w:t>
      </w:r>
    </w:p>
    <w:p w14:paraId="5F95CF59" w14:textId="77777777" w:rsidR="009B58A7" w:rsidRPr="00A1728C" w:rsidRDefault="009B58A7" w:rsidP="00A1728C">
      <w:pPr>
        <w:pStyle w:val="ListParagraph"/>
        <w:ind w:left="990"/>
        <w:rPr>
          <w:color w:val="auto"/>
          <w:highlight w:val="yellow"/>
        </w:rPr>
      </w:pPr>
    </w:p>
    <w:p w14:paraId="512E08EF" w14:textId="0541EC16" w:rsidR="0088463F" w:rsidRDefault="009B58A7" w:rsidP="00A1728C">
      <w:pPr>
        <w:pStyle w:val="ListParagraph"/>
        <w:numPr>
          <w:ilvl w:val="2"/>
          <w:numId w:val="43"/>
        </w:numPr>
        <w:rPr>
          <w:color w:val="auto"/>
          <w:highlight w:val="yellow"/>
        </w:rPr>
      </w:pPr>
      <w:r w:rsidRPr="00A1728C">
        <w:rPr>
          <w:color w:val="auto"/>
          <w:highlight w:val="yellow"/>
        </w:rPr>
        <w:t>Dry hands and fish thoroughly, especially around the head and vent. Place ventral side up, anterior to the left (</w:t>
      </w:r>
      <w:r w:rsidR="006805F5">
        <w:rPr>
          <w:color w:val="auto"/>
          <w:highlight w:val="yellow"/>
        </w:rPr>
        <w:t xml:space="preserve">for </w:t>
      </w:r>
      <w:r w:rsidRPr="00A1728C">
        <w:rPr>
          <w:color w:val="auto"/>
          <w:highlight w:val="yellow"/>
        </w:rPr>
        <w:t>right</w:t>
      </w:r>
      <w:r w:rsidR="006805F5">
        <w:rPr>
          <w:color w:val="auto"/>
          <w:highlight w:val="yellow"/>
        </w:rPr>
        <w:t>-</w:t>
      </w:r>
      <w:r w:rsidRPr="00A1728C">
        <w:rPr>
          <w:color w:val="auto"/>
          <w:highlight w:val="yellow"/>
        </w:rPr>
        <w:t xml:space="preserve">handed individuals) in a </w:t>
      </w:r>
      <w:r w:rsidR="00444C06">
        <w:rPr>
          <w:color w:val="auto"/>
          <w:highlight w:val="yellow"/>
        </w:rPr>
        <w:t>polystyrene foam</w:t>
      </w:r>
      <w:r w:rsidRPr="00A1728C">
        <w:rPr>
          <w:color w:val="auto"/>
          <w:highlight w:val="yellow"/>
        </w:rPr>
        <w:t>/sponge holder covered in an MS-222 soaked, damp paper towel. The head should be as parallel with the table as possible.</w:t>
      </w:r>
      <w:r w:rsidR="000D49CB" w:rsidRPr="00A1728C">
        <w:rPr>
          <w:color w:val="auto"/>
          <w:highlight w:val="yellow"/>
        </w:rPr>
        <w:t xml:space="preserve"> </w:t>
      </w:r>
      <w:r w:rsidR="000D49CB" w:rsidRPr="00A1728C">
        <w:rPr>
          <w:color w:val="auto"/>
          <w:highlight w:val="yellow"/>
        </w:rPr>
        <w:br/>
      </w:r>
    </w:p>
    <w:p w14:paraId="11406293" w14:textId="3684A776" w:rsidR="009B58A7" w:rsidRPr="00A1728C" w:rsidRDefault="0088463F" w:rsidP="0088463F">
      <w:pPr>
        <w:pStyle w:val="ListParagraph"/>
        <w:ind w:left="0"/>
        <w:rPr>
          <w:color w:val="auto"/>
          <w:highlight w:val="yellow"/>
        </w:rPr>
      </w:pPr>
      <w:r>
        <w:rPr>
          <w:color w:val="auto"/>
          <w:highlight w:val="yellow"/>
        </w:rPr>
        <w:t xml:space="preserve">NOTE: </w:t>
      </w:r>
      <w:r w:rsidR="000D49CB" w:rsidRPr="00A1728C">
        <w:rPr>
          <w:color w:val="auto"/>
          <w:highlight w:val="yellow"/>
        </w:rPr>
        <w:t>S</w:t>
      </w:r>
      <w:r>
        <w:rPr>
          <w:color w:val="auto"/>
          <w:highlight w:val="yellow"/>
        </w:rPr>
        <w:t>teps</w:t>
      </w:r>
      <w:r w:rsidR="000D49CB" w:rsidRPr="00A1728C">
        <w:rPr>
          <w:color w:val="auto"/>
          <w:highlight w:val="yellow"/>
        </w:rPr>
        <w:t xml:space="preserve"> 4.4.4</w:t>
      </w:r>
      <w:r>
        <w:rPr>
          <w:color w:val="auto"/>
          <w:highlight w:val="yellow"/>
        </w:rPr>
        <w:t>–4.4.</w:t>
      </w:r>
      <w:r w:rsidR="000D49CB" w:rsidRPr="00A1728C">
        <w:rPr>
          <w:color w:val="auto"/>
          <w:highlight w:val="yellow"/>
        </w:rPr>
        <w:t>6 should be done as quickly as possible</w:t>
      </w:r>
      <w:r w:rsidR="006805F5">
        <w:rPr>
          <w:color w:val="auto"/>
          <w:highlight w:val="yellow"/>
        </w:rPr>
        <w:t>,</w:t>
      </w:r>
      <w:r w:rsidR="000D49CB" w:rsidRPr="00A1728C">
        <w:rPr>
          <w:color w:val="auto"/>
          <w:highlight w:val="yellow"/>
        </w:rPr>
        <w:t xml:space="preserve"> and the fish should only be out of water for 30</w:t>
      </w:r>
      <w:r>
        <w:rPr>
          <w:color w:val="auto"/>
          <w:highlight w:val="yellow"/>
        </w:rPr>
        <w:t>–</w:t>
      </w:r>
      <w:r w:rsidR="000D49CB" w:rsidRPr="00A1728C">
        <w:rPr>
          <w:color w:val="auto"/>
          <w:highlight w:val="yellow"/>
        </w:rPr>
        <w:t>60 s.</w:t>
      </w:r>
    </w:p>
    <w:p w14:paraId="6E1261B0" w14:textId="77777777" w:rsidR="009B58A7" w:rsidRPr="00A1728C" w:rsidRDefault="009B58A7" w:rsidP="00A1728C">
      <w:pPr>
        <w:pStyle w:val="ListParagraph"/>
        <w:rPr>
          <w:color w:val="auto"/>
          <w:highlight w:val="yellow"/>
        </w:rPr>
      </w:pPr>
    </w:p>
    <w:p w14:paraId="523A974B" w14:textId="1F1A3457" w:rsidR="009B58A7" w:rsidRPr="00A1728C" w:rsidRDefault="009B58A7" w:rsidP="00A1728C">
      <w:pPr>
        <w:pStyle w:val="ListParagraph"/>
        <w:numPr>
          <w:ilvl w:val="2"/>
          <w:numId w:val="43"/>
        </w:numPr>
        <w:rPr>
          <w:color w:val="auto"/>
          <w:highlight w:val="yellow"/>
        </w:rPr>
      </w:pPr>
      <w:r w:rsidRPr="00A1728C">
        <w:rPr>
          <w:color w:val="auto"/>
          <w:highlight w:val="yellow"/>
        </w:rPr>
        <w:t xml:space="preserve">Apply pressure </w:t>
      </w:r>
      <w:r w:rsidR="006805F5">
        <w:rPr>
          <w:color w:val="auto"/>
          <w:highlight w:val="yellow"/>
        </w:rPr>
        <w:t>in the</w:t>
      </w:r>
      <w:r w:rsidRPr="00A1728C">
        <w:rPr>
          <w:color w:val="auto"/>
          <w:highlight w:val="yellow"/>
        </w:rPr>
        <w:t xml:space="preserve"> caudal to rostral </w:t>
      </w:r>
      <w:r w:rsidR="006805F5">
        <w:rPr>
          <w:color w:val="auto"/>
          <w:highlight w:val="yellow"/>
        </w:rPr>
        <w:t xml:space="preserve">direction </w:t>
      </w:r>
      <w:r w:rsidRPr="00A1728C">
        <w:rPr>
          <w:color w:val="auto"/>
          <w:highlight w:val="yellow"/>
        </w:rPr>
        <w:t>with light squeezing medially over the gonads towards the vent. The fish may expel waste</w:t>
      </w:r>
      <w:r w:rsidR="006805F5">
        <w:rPr>
          <w:color w:val="auto"/>
          <w:highlight w:val="yellow"/>
        </w:rPr>
        <w:t>.</w:t>
      </w:r>
      <w:r w:rsidRPr="00A1728C">
        <w:rPr>
          <w:color w:val="auto"/>
          <w:highlight w:val="yellow"/>
        </w:rPr>
        <w:t xml:space="preserve"> </w:t>
      </w:r>
      <w:r w:rsidR="006805F5" w:rsidRPr="00A1728C">
        <w:rPr>
          <w:color w:val="auto"/>
          <w:highlight w:val="yellow"/>
        </w:rPr>
        <w:t xml:space="preserve">Be </w:t>
      </w:r>
      <w:r w:rsidRPr="00A1728C">
        <w:rPr>
          <w:color w:val="auto"/>
          <w:highlight w:val="yellow"/>
        </w:rPr>
        <w:t xml:space="preserve">careful to clean the vent with a </w:t>
      </w:r>
      <w:r w:rsidR="00E52EE7" w:rsidRPr="00A1728C">
        <w:rPr>
          <w:color w:val="auto"/>
          <w:highlight w:val="yellow"/>
        </w:rPr>
        <w:t>delicate task wipe</w:t>
      </w:r>
      <w:r w:rsidRPr="00A1728C">
        <w:rPr>
          <w:color w:val="auto"/>
          <w:highlight w:val="yellow"/>
        </w:rPr>
        <w:t xml:space="preserve"> if any waste is expelled. Do not collect waste with sperm. Depending on </w:t>
      </w:r>
      <w:r w:rsidR="006805F5">
        <w:rPr>
          <w:color w:val="auto"/>
          <w:highlight w:val="yellow"/>
        </w:rPr>
        <w:t xml:space="preserve">the </w:t>
      </w:r>
      <w:r w:rsidRPr="00A1728C">
        <w:rPr>
          <w:color w:val="auto"/>
          <w:highlight w:val="yellow"/>
        </w:rPr>
        <w:t>size of the male, 10-60 µL is common.</w:t>
      </w:r>
    </w:p>
    <w:p w14:paraId="2CCB09EA" w14:textId="77777777" w:rsidR="009B58A7" w:rsidRPr="00A1728C" w:rsidRDefault="009B58A7" w:rsidP="00A1728C">
      <w:pPr>
        <w:pStyle w:val="ListParagraph"/>
        <w:rPr>
          <w:color w:val="auto"/>
          <w:highlight w:val="yellow"/>
        </w:rPr>
      </w:pPr>
    </w:p>
    <w:p w14:paraId="679B82DF" w14:textId="6B2D8AC0" w:rsidR="009B58A7" w:rsidRPr="00A1728C" w:rsidRDefault="009B58A7" w:rsidP="00A1728C">
      <w:pPr>
        <w:pStyle w:val="ListParagraph"/>
        <w:numPr>
          <w:ilvl w:val="2"/>
          <w:numId w:val="43"/>
        </w:numPr>
        <w:rPr>
          <w:color w:val="auto"/>
          <w:highlight w:val="yellow"/>
        </w:rPr>
      </w:pPr>
      <w:r w:rsidRPr="00A1728C">
        <w:rPr>
          <w:color w:val="auto"/>
          <w:highlight w:val="yellow"/>
        </w:rPr>
        <w:t xml:space="preserve">Using a </w:t>
      </w:r>
      <w:proofErr w:type="spellStart"/>
      <w:r w:rsidR="0088463F">
        <w:rPr>
          <w:color w:val="auto"/>
          <w:highlight w:val="yellow"/>
        </w:rPr>
        <w:t>micropipetter</w:t>
      </w:r>
      <w:proofErr w:type="spellEnd"/>
      <w:r w:rsidR="0088463F">
        <w:rPr>
          <w:color w:val="auto"/>
          <w:highlight w:val="yellow"/>
        </w:rPr>
        <w:t xml:space="preserve"> </w:t>
      </w:r>
      <w:r w:rsidR="00F56766" w:rsidRPr="00A1728C">
        <w:rPr>
          <w:color w:val="auto"/>
          <w:highlight w:val="yellow"/>
        </w:rPr>
        <w:t xml:space="preserve">with </w:t>
      </w:r>
      <w:r w:rsidR="002242FC">
        <w:rPr>
          <w:color w:val="auto"/>
          <w:highlight w:val="yellow"/>
        </w:rPr>
        <w:t xml:space="preserve">a </w:t>
      </w:r>
      <w:r w:rsidR="00F56766" w:rsidRPr="00A1728C">
        <w:rPr>
          <w:color w:val="auto"/>
          <w:highlight w:val="yellow"/>
        </w:rPr>
        <w:t>tip</w:t>
      </w:r>
      <w:r w:rsidRPr="00A1728C">
        <w:rPr>
          <w:color w:val="auto"/>
          <w:highlight w:val="yellow"/>
        </w:rPr>
        <w:t xml:space="preserve">, carefully collect </w:t>
      </w:r>
      <w:r w:rsidR="002242FC">
        <w:rPr>
          <w:color w:val="auto"/>
          <w:highlight w:val="yellow"/>
        </w:rPr>
        <w:t xml:space="preserve">the </w:t>
      </w:r>
      <w:r w:rsidRPr="00A1728C">
        <w:rPr>
          <w:color w:val="auto"/>
          <w:highlight w:val="yellow"/>
        </w:rPr>
        <w:t>sperm as it is squeezed from the male in 50 µL increments. Place sperm directly into 500 µL aliquots of SES on ice.</w:t>
      </w:r>
      <w:r w:rsidR="00F94BA1">
        <w:rPr>
          <w:color w:val="auto"/>
          <w:highlight w:val="yellow"/>
        </w:rPr>
        <w:t xml:space="preserve"> </w:t>
      </w:r>
      <w:r w:rsidRPr="00A1728C">
        <w:rPr>
          <w:color w:val="auto"/>
          <w:highlight w:val="yellow"/>
        </w:rPr>
        <w:t>It can be helpful to have another researcher assist in collecting sperm while the other squeezes.</w:t>
      </w:r>
      <w:r w:rsidR="00813428" w:rsidRPr="00A1728C">
        <w:rPr>
          <w:color w:val="auto"/>
          <w:highlight w:val="yellow"/>
        </w:rPr>
        <w:t xml:space="preserve"> Sperm should be used </w:t>
      </w:r>
      <w:proofErr w:type="gramStart"/>
      <w:r w:rsidR="00813428" w:rsidRPr="00A1728C">
        <w:rPr>
          <w:color w:val="auto"/>
          <w:highlight w:val="yellow"/>
        </w:rPr>
        <w:t>as soon as possible, but</w:t>
      </w:r>
      <w:proofErr w:type="gramEnd"/>
      <w:r w:rsidR="00813428" w:rsidRPr="00A1728C">
        <w:rPr>
          <w:color w:val="auto"/>
          <w:highlight w:val="yellow"/>
        </w:rPr>
        <w:t xml:space="preserve"> remains viable for at least 1 h.</w:t>
      </w:r>
    </w:p>
    <w:p w14:paraId="53F89B66" w14:textId="77777777" w:rsidR="009B58A7" w:rsidRPr="00A1728C" w:rsidRDefault="009B58A7" w:rsidP="00A1728C">
      <w:pPr>
        <w:pStyle w:val="ListParagraph"/>
        <w:rPr>
          <w:color w:val="auto"/>
          <w:highlight w:val="yellow"/>
        </w:rPr>
      </w:pPr>
    </w:p>
    <w:p w14:paraId="036E7199" w14:textId="30DE3195" w:rsidR="009B58A7" w:rsidRPr="00A1728C" w:rsidRDefault="009B58A7" w:rsidP="00A1728C">
      <w:pPr>
        <w:pStyle w:val="ListParagraph"/>
        <w:numPr>
          <w:ilvl w:val="2"/>
          <w:numId w:val="43"/>
        </w:numPr>
        <w:rPr>
          <w:color w:val="auto"/>
          <w:highlight w:val="yellow"/>
        </w:rPr>
      </w:pPr>
      <w:r w:rsidRPr="00A1728C">
        <w:rPr>
          <w:color w:val="auto"/>
          <w:highlight w:val="yellow"/>
        </w:rPr>
        <w:t xml:space="preserve">Immediately after collecting, put fish into </w:t>
      </w:r>
      <w:r w:rsidR="00C852FF" w:rsidRPr="00A1728C">
        <w:rPr>
          <w:color w:val="auto"/>
          <w:highlight w:val="yellow"/>
        </w:rPr>
        <w:t xml:space="preserve">fresh </w:t>
      </w:r>
      <w:r w:rsidRPr="00A1728C">
        <w:rPr>
          <w:color w:val="auto"/>
          <w:highlight w:val="yellow"/>
        </w:rPr>
        <w:t>system water</w:t>
      </w:r>
      <w:r w:rsidR="00C852FF" w:rsidRPr="00A1728C">
        <w:rPr>
          <w:color w:val="auto"/>
          <w:highlight w:val="yellow"/>
        </w:rPr>
        <w:t xml:space="preserve"> for recovery</w:t>
      </w:r>
      <w:r w:rsidRPr="00A1728C">
        <w:rPr>
          <w:color w:val="auto"/>
          <w:highlight w:val="yellow"/>
        </w:rPr>
        <w:t>.</w:t>
      </w:r>
      <w:r w:rsidR="000D49CB" w:rsidRPr="00A1728C">
        <w:rPr>
          <w:color w:val="auto"/>
          <w:highlight w:val="yellow"/>
        </w:rPr>
        <w:t xml:space="preserve"> The fish should only be out of water for 30</w:t>
      </w:r>
      <w:r w:rsidR="0088463F">
        <w:rPr>
          <w:color w:val="auto"/>
          <w:highlight w:val="yellow"/>
        </w:rPr>
        <w:t>–</w:t>
      </w:r>
      <w:r w:rsidR="000D49CB" w:rsidRPr="00A1728C">
        <w:rPr>
          <w:color w:val="auto"/>
          <w:highlight w:val="yellow"/>
        </w:rPr>
        <w:t>60 s</w:t>
      </w:r>
      <w:r w:rsidR="0088463F">
        <w:rPr>
          <w:color w:val="auto"/>
          <w:highlight w:val="yellow"/>
        </w:rPr>
        <w:t>.</w:t>
      </w:r>
    </w:p>
    <w:p w14:paraId="3F08B062" w14:textId="77777777" w:rsidR="009B58A7" w:rsidRPr="00A1728C" w:rsidRDefault="009B58A7" w:rsidP="00A1728C">
      <w:pPr>
        <w:pStyle w:val="ListParagraph"/>
        <w:ind w:left="504"/>
        <w:rPr>
          <w:color w:val="auto"/>
        </w:rPr>
      </w:pPr>
    </w:p>
    <w:p w14:paraId="4B63631D" w14:textId="0ADAF701" w:rsidR="009B58A7" w:rsidRPr="00623A4C" w:rsidRDefault="002242FC" w:rsidP="00A1728C">
      <w:pPr>
        <w:pStyle w:val="ListParagraph"/>
        <w:numPr>
          <w:ilvl w:val="1"/>
          <w:numId w:val="43"/>
        </w:numPr>
        <w:rPr>
          <w:bCs/>
          <w:color w:val="auto"/>
          <w:highlight w:val="yellow"/>
        </w:rPr>
      </w:pPr>
      <w:r w:rsidRPr="00FC19AF">
        <w:rPr>
          <w:bCs/>
          <w:iCs/>
          <w:color w:val="auto"/>
          <w:highlight w:val="yellow"/>
        </w:rPr>
        <w:t>Squeez</w:t>
      </w:r>
      <w:r>
        <w:rPr>
          <w:bCs/>
          <w:iCs/>
          <w:color w:val="auto"/>
          <w:highlight w:val="yellow"/>
        </w:rPr>
        <w:t>e</w:t>
      </w:r>
      <w:r w:rsidRPr="00FC19AF">
        <w:rPr>
          <w:bCs/>
          <w:iCs/>
          <w:color w:val="auto"/>
          <w:highlight w:val="yellow"/>
        </w:rPr>
        <w:t xml:space="preserve"> females</w:t>
      </w:r>
      <w:r w:rsidRPr="00623A4C">
        <w:rPr>
          <w:bCs/>
          <w:color w:val="auto"/>
          <w:highlight w:val="yellow"/>
        </w:rPr>
        <w:t xml:space="preserve"> </w:t>
      </w:r>
      <w:r>
        <w:rPr>
          <w:bCs/>
          <w:color w:val="auto"/>
          <w:highlight w:val="yellow"/>
        </w:rPr>
        <w:t xml:space="preserve">for </w:t>
      </w:r>
      <w:r w:rsidRPr="00623A4C">
        <w:rPr>
          <w:bCs/>
          <w:color w:val="auto"/>
          <w:highlight w:val="yellow"/>
        </w:rPr>
        <w:t xml:space="preserve">in </w:t>
      </w:r>
      <w:r w:rsidR="009B58A7" w:rsidRPr="000F1CEB">
        <w:rPr>
          <w:bCs/>
          <w:color w:val="auto"/>
          <w:highlight w:val="yellow"/>
        </w:rPr>
        <w:t>vitro</w:t>
      </w:r>
      <w:r w:rsidR="00A1728C" w:rsidRPr="000F1CEB">
        <w:rPr>
          <w:bCs/>
          <w:color w:val="auto"/>
          <w:highlight w:val="yellow"/>
        </w:rPr>
        <w:t xml:space="preserve"> </w:t>
      </w:r>
      <w:r w:rsidR="00A1728C" w:rsidRPr="000F1CEB">
        <w:rPr>
          <w:bCs/>
          <w:iCs/>
          <w:color w:val="auto"/>
          <w:highlight w:val="yellow"/>
        </w:rPr>
        <w:t>f</w:t>
      </w:r>
      <w:r w:rsidR="009B58A7" w:rsidRPr="000F1CEB">
        <w:rPr>
          <w:bCs/>
          <w:iCs/>
          <w:color w:val="auto"/>
          <w:highlight w:val="yellow"/>
        </w:rPr>
        <w:t>ertilization of</w:t>
      </w:r>
      <w:r w:rsidR="00F94BA1">
        <w:rPr>
          <w:bCs/>
          <w:i/>
          <w:color w:val="auto"/>
          <w:highlight w:val="yellow"/>
        </w:rPr>
        <w:t xml:space="preserve"> </w:t>
      </w:r>
      <w:r w:rsidR="009B58A7" w:rsidRPr="000F1CEB">
        <w:rPr>
          <w:bCs/>
          <w:i/>
          <w:color w:val="auto"/>
          <w:highlight w:val="yellow"/>
        </w:rPr>
        <w:t xml:space="preserve">B. </w:t>
      </w:r>
      <w:proofErr w:type="spellStart"/>
      <w:r w:rsidR="009B58A7" w:rsidRPr="000F1CEB">
        <w:rPr>
          <w:bCs/>
          <w:i/>
          <w:color w:val="auto"/>
          <w:highlight w:val="yellow"/>
        </w:rPr>
        <w:t>gauderio</w:t>
      </w:r>
      <w:proofErr w:type="spellEnd"/>
      <w:r>
        <w:rPr>
          <w:bCs/>
          <w:iCs/>
          <w:color w:val="auto"/>
          <w:highlight w:val="yellow"/>
        </w:rPr>
        <w:t>.</w:t>
      </w:r>
      <w:r w:rsidR="009B58A7" w:rsidRPr="000F1CEB">
        <w:rPr>
          <w:bCs/>
          <w:iCs/>
          <w:color w:val="auto"/>
          <w:highlight w:val="yellow"/>
        </w:rPr>
        <w:t xml:space="preserve"> </w:t>
      </w:r>
    </w:p>
    <w:p w14:paraId="3EDE1C43" w14:textId="77777777" w:rsidR="009B58A7" w:rsidRPr="00A1728C" w:rsidRDefault="009B58A7" w:rsidP="00A1728C">
      <w:pPr>
        <w:pStyle w:val="ListParagraph"/>
        <w:ind w:left="696"/>
        <w:rPr>
          <w:color w:val="auto"/>
          <w:highlight w:val="yellow"/>
        </w:rPr>
      </w:pPr>
    </w:p>
    <w:p w14:paraId="4D6C1B6E" w14:textId="4BF64911" w:rsidR="00A1728C" w:rsidRPr="006D2519" w:rsidRDefault="00C852FF" w:rsidP="00A1728C">
      <w:pPr>
        <w:pStyle w:val="ListParagraph"/>
        <w:numPr>
          <w:ilvl w:val="2"/>
          <w:numId w:val="43"/>
        </w:numPr>
        <w:rPr>
          <w:b/>
          <w:i/>
          <w:color w:val="auto"/>
        </w:rPr>
      </w:pPr>
      <w:r w:rsidRPr="006D2519">
        <w:rPr>
          <w:color w:val="auto"/>
        </w:rPr>
        <w:t xml:space="preserve">Anesthetize fish in MS-222 (0.4 g/3 L) for </w:t>
      </w:r>
      <w:r w:rsidR="007D3C02">
        <w:rPr>
          <w:color w:val="auto"/>
        </w:rPr>
        <w:t xml:space="preserve">a </w:t>
      </w:r>
      <w:r w:rsidRPr="006D2519">
        <w:rPr>
          <w:color w:val="auto"/>
        </w:rPr>
        <w:t xml:space="preserve">few minutes, until </w:t>
      </w:r>
      <w:r w:rsidR="007D3C02">
        <w:rPr>
          <w:color w:val="auto"/>
        </w:rPr>
        <w:t xml:space="preserve">the </w:t>
      </w:r>
      <w:r w:rsidRPr="006D2519">
        <w:rPr>
          <w:color w:val="auto"/>
        </w:rPr>
        <w:t>fish is not able to keep its posture, is immobile, but continues to have opercular movement (Stage II</w:t>
      </w:r>
      <w:r w:rsidR="005223E3" w:rsidRPr="006D2519">
        <w:rPr>
          <w:color w:val="auto"/>
          <w:vertAlign w:val="superscript"/>
        </w:rPr>
        <w:t>5</w:t>
      </w:r>
      <w:r w:rsidR="00C04050" w:rsidRPr="006D2519">
        <w:rPr>
          <w:color w:val="auto"/>
          <w:vertAlign w:val="superscript"/>
        </w:rPr>
        <w:t>3</w:t>
      </w:r>
      <w:r w:rsidRPr="006D2519">
        <w:rPr>
          <w:color w:val="auto"/>
        </w:rPr>
        <w:t>).</w:t>
      </w:r>
      <w:r w:rsidR="00A1728C" w:rsidRPr="006D2519">
        <w:rPr>
          <w:color w:val="auto"/>
        </w:rPr>
        <w:t xml:space="preserve"> </w:t>
      </w:r>
      <w:r w:rsidR="009B58A7" w:rsidRPr="006D2519">
        <w:rPr>
          <w:color w:val="auto"/>
        </w:rPr>
        <w:t xml:space="preserve">Place </w:t>
      </w:r>
      <w:proofErr w:type="spellStart"/>
      <w:r w:rsidR="00E52EE7" w:rsidRPr="006D2519">
        <w:rPr>
          <w:color w:val="auto"/>
        </w:rPr>
        <w:t>polytetrafluoroethene</w:t>
      </w:r>
      <w:proofErr w:type="spellEnd"/>
      <w:r w:rsidR="009B58A7" w:rsidRPr="006D2519">
        <w:rPr>
          <w:color w:val="auto"/>
        </w:rPr>
        <w:t xml:space="preserve"> sheet on workstation.</w:t>
      </w:r>
    </w:p>
    <w:p w14:paraId="0802DD93" w14:textId="5BF96A7B" w:rsidR="00A1728C" w:rsidRPr="00A1728C" w:rsidRDefault="00A1728C" w:rsidP="00A1728C">
      <w:pPr>
        <w:pStyle w:val="ListParagraph"/>
        <w:ind w:left="0"/>
        <w:rPr>
          <w:b/>
          <w:i/>
          <w:color w:val="auto"/>
          <w:highlight w:val="yellow"/>
        </w:rPr>
      </w:pPr>
    </w:p>
    <w:p w14:paraId="69EF102D" w14:textId="5D587FA6" w:rsidR="009B58A7" w:rsidRPr="00A1728C" w:rsidRDefault="00A1728C" w:rsidP="00A1728C">
      <w:pPr>
        <w:pStyle w:val="ListParagraph"/>
        <w:ind w:left="0"/>
        <w:rPr>
          <w:b/>
          <w:i/>
          <w:color w:val="auto"/>
          <w:highlight w:val="yellow"/>
        </w:rPr>
      </w:pPr>
      <w:r>
        <w:rPr>
          <w:color w:val="auto"/>
        </w:rPr>
        <w:t xml:space="preserve">NOTE: </w:t>
      </w:r>
      <w:r w:rsidR="000D49CB" w:rsidRPr="00A1728C">
        <w:rPr>
          <w:color w:val="auto"/>
        </w:rPr>
        <w:t>Sections 4.5.1</w:t>
      </w:r>
      <w:r w:rsidR="0088463F">
        <w:rPr>
          <w:color w:val="auto"/>
        </w:rPr>
        <w:t>–4.5.</w:t>
      </w:r>
      <w:r w:rsidR="000D49CB" w:rsidRPr="00A1728C">
        <w:rPr>
          <w:color w:val="auto"/>
        </w:rPr>
        <w:t>5 should be done as quickly as possible and the fish should only be out of water for 30</w:t>
      </w:r>
      <w:r w:rsidR="0088463F">
        <w:rPr>
          <w:color w:val="auto"/>
        </w:rPr>
        <w:t>–</w:t>
      </w:r>
      <w:r w:rsidR="000D49CB" w:rsidRPr="00A1728C">
        <w:rPr>
          <w:color w:val="auto"/>
        </w:rPr>
        <w:t>60 s.</w:t>
      </w:r>
    </w:p>
    <w:p w14:paraId="134C8663" w14:textId="77777777" w:rsidR="009B58A7" w:rsidRPr="00A1728C" w:rsidRDefault="009B58A7" w:rsidP="00A1728C">
      <w:pPr>
        <w:pStyle w:val="ListParagraph"/>
        <w:ind w:left="1170"/>
        <w:rPr>
          <w:color w:val="auto"/>
          <w:highlight w:val="yellow"/>
        </w:rPr>
      </w:pPr>
    </w:p>
    <w:p w14:paraId="79CC36FD" w14:textId="425DDDC1" w:rsidR="009B58A7" w:rsidRPr="00A1728C" w:rsidRDefault="009B58A7" w:rsidP="00A1728C">
      <w:pPr>
        <w:pStyle w:val="ListParagraph"/>
        <w:numPr>
          <w:ilvl w:val="2"/>
          <w:numId w:val="43"/>
        </w:numPr>
        <w:rPr>
          <w:color w:val="auto"/>
          <w:highlight w:val="yellow"/>
        </w:rPr>
      </w:pPr>
      <w:r w:rsidRPr="00A1728C">
        <w:rPr>
          <w:color w:val="auto"/>
          <w:highlight w:val="yellow"/>
        </w:rPr>
        <w:t xml:space="preserve">Dry hands, tools, </w:t>
      </w:r>
      <w:proofErr w:type="spellStart"/>
      <w:r w:rsidR="00E52EE7" w:rsidRPr="00A1728C">
        <w:rPr>
          <w:color w:val="auto"/>
          <w:highlight w:val="yellow"/>
        </w:rPr>
        <w:t>polytetrafluoroethene</w:t>
      </w:r>
      <w:proofErr w:type="spellEnd"/>
      <w:r w:rsidRPr="00A1728C">
        <w:rPr>
          <w:color w:val="auto"/>
          <w:highlight w:val="yellow"/>
        </w:rPr>
        <w:t xml:space="preserve"> sheet</w:t>
      </w:r>
      <w:r w:rsidR="007D3C02">
        <w:rPr>
          <w:color w:val="auto"/>
          <w:highlight w:val="yellow"/>
        </w:rPr>
        <w:t>,</w:t>
      </w:r>
      <w:r w:rsidRPr="00A1728C">
        <w:rPr>
          <w:color w:val="auto"/>
          <w:highlight w:val="yellow"/>
        </w:rPr>
        <w:t xml:space="preserve"> and fish thoroughly, especially around the head and vent. Place on side with head facing anterior (</w:t>
      </w:r>
      <w:r w:rsidR="007D3C02">
        <w:rPr>
          <w:color w:val="auto"/>
          <w:highlight w:val="yellow"/>
        </w:rPr>
        <w:t xml:space="preserve">for </w:t>
      </w:r>
      <w:r w:rsidRPr="00A1728C">
        <w:rPr>
          <w:color w:val="auto"/>
          <w:highlight w:val="yellow"/>
        </w:rPr>
        <w:t>right</w:t>
      </w:r>
      <w:r w:rsidR="007D3C02">
        <w:rPr>
          <w:color w:val="auto"/>
          <w:highlight w:val="yellow"/>
        </w:rPr>
        <w:t>-</w:t>
      </w:r>
      <w:r w:rsidRPr="00A1728C">
        <w:rPr>
          <w:color w:val="auto"/>
          <w:highlight w:val="yellow"/>
        </w:rPr>
        <w:t>handed individuals).</w:t>
      </w:r>
    </w:p>
    <w:p w14:paraId="2A667C80" w14:textId="77777777" w:rsidR="009B58A7" w:rsidRPr="00A1728C" w:rsidRDefault="009B58A7" w:rsidP="00A1728C">
      <w:pPr>
        <w:pStyle w:val="ListParagraph"/>
        <w:rPr>
          <w:color w:val="auto"/>
          <w:highlight w:val="yellow"/>
        </w:rPr>
      </w:pPr>
    </w:p>
    <w:p w14:paraId="5136FCBD" w14:textId="45DAE0BA" w:rsidR="009B58A7" w:rsidRPr="00B57718" w:rsidRDefault="009B58A7" w:rsidP="00853596">
      <w:pPr>
        <w:pStyle w:val="ListParagraph"/>
        <w:numPr>
          <w:ilvl w:val="2"/>
          <w:numId w:val="43"/>
        </w:numPr>
        <w:rPr>
          <w:color w:val="auto"/>
          <w:highlight w:val="yellow"/>
        </w:rPr>
      </w:pPr>
      <w:r w:rsidRPr="00A1728C">
        <w:rPr>
          <w:color w:val="auto"/>
          <w:highlight w:val="yellow"/>
        </w:rPr>
        <w:t xml:space="preserve">Apply pressure </w:t>
      </w:r>
      <w:r w:rsidR="007D3C02">
        <w:rPr>
          <w:color w:val="auto"/>
          <w:highlight w:val="yellow"/>
        </w:rPr>
        <w:t>in the</w:t>
      </w:r>
      <w:r w:rsidR="007D3C02" w:rsidRPr="00A1728C">
        <w:rPr>
          <w:color w:val="auto"/>
          <w:highlight w:val="yellow"/>
        </w:rPr>
        <w:t xml:space="preserve"> </w:t>
      </w:r>
      <w:r w:rsidRPr="00A1728C">
        <w:rPr>
          <w:color w:val="auto"/>
          <w:highlight w:val="yellow"/>
        </w:rPr>
        <w:t>caudal</w:t>
      </w:r>
      <w:r w:rsidRPr="00B57718">
        <w:rPr>
          <w:color w:val="auto"/>
          <w:highlight w:val="yellow"/>
        </w:rPr>
        <w:t xml:space="preserve"> to rostral </w:t>
      </w:r>
      <w:r w:rsidR="007D3C02" w:rsidRPr="00B57718">
        <w:rPr>
          <w:color w:val="auto"/>
          <w:highlight w:val="yellow"/>
        </w:rPr>
        <w:t xml:space="preserve">direction </w:t>
      </w:r>
      <w:r w:rsidRPr="00B57718">
        <w:rPr>
          <w:color w:val="auto"/>
          <w:highlight w:val="yellow"/>
        </w:rPr>
        <w:t>with light squeezing medially over the gonads towards the vent. The fish may expel waste</w:t>
      </w:r>
      <w:r w:rsidR="007D3C02" w:rsidRPr="00B57718">
        <w:rPr>
          <w:color w:val="auto"/>
          <w:highlight w:val="yellow"/>
        </w:rPr>
        <w:t>.</w:t>
      </w:r>
      <w:r w:rsidRPr="00B57718">
        <w:rPr>
          <w:color w:val="auto"/>
          <w:highlight w:val="yellow"/>
        </w:rPr>
        <w:t xml:space="preserve"> </w:t>
      </w:r>
      <w:r w:rsidR="007D3C02" w:rsidRPr="00B57718">
        <w:rPr>
          <w:color w:val="auto"/>
          <w:highlight w:val="yellow"/>
        </w:rPr>
        <w:t xml:space="preserve">Be </w:t>
      </w:r>
      <w:r w:rsidRPr="00B57718">
        <w:rPr>
          <w:color w:val="auto"/>
          <w:highlight w:val="yellow"/>
        </w:rPr>
        <w:t xml:space="preserve">careful to clean the vent with a </w:t>
      </w:r>
      <w:r w:rsidR="00E52EE7" w:rsidRPr="00B57718">
        <w:rPr>
          <w:color w:val="auto"/>
          <w:highlight w:val="yellow"/>
        </w:rPr>
        <w:t>delicate task wipe</w:t>
      </w:r>
      <w:r w:rsidRPr="00B57718">
        <w:rPr>
          <w:color w:val="auto"/>
          <w:highlight w:val="yellow"/>
        </w:rPr>
        <w:t xml:space="preserve"> if any waste is expelled. Depending on the size of the fish, 20</w:t>
      </w:r>
      <w:r w:rsidR="0088463F" w:rsidRPr="00B57718">
        <w:rPr>
          <w:color w:val="auto"/>
          <w:highlight w:val="yellow"/>
        </w:rPr>
        <w:t>–</w:t>
      </w:r>
      <w:r w:rsidRPr="00B57718">
        <w:rPr>
          <w:color w:val="auto"/>
          <w:highlight w:val="yellow"/>
        </w:rPr>
        <w:t>150 eggs is common.</w:t>
      </w:r>
      <w:r w:rsidR="00853596" w:rsidRPr="00B57718">
        <w:rPr>
          <w:color w:val="auto"/>
          <w:highlight w:val="yellow"/>
        </w:rPr>
        <w:t xml:space="preserve"> </w:t>
      </w:r>
      <w:r w:rsidRPr="00B57718">
        <w:rPr>
          <w:color w:val="auto"/>
          <w:highlight w:val="yellow"/>
        </w:rPr>
        <w:t xml:space="preserve">Using a </w:t>
      </w:r>
      <w:proofErr w:type="spellStart"/>
      <w:r w:rsidR="00E52EE7" w:rsidRPr="00B57718">
        <w:rPr>
          <w:color w:val="auto"/>
          <w:highlight w:val="yellow"/>
        </w:rPr>
        <w:t>polytetrafluoroethene</w:t>
      </w:r>
      <w:proofErr w:type="spellEnd"/>
      <w:r w:rsidRPr="00B57718">
        <w:rPr>
          <w:color w:val="auto"/>
          <w:highlight w:val="yellow"/>
        </w:rPr>
        <w:t xml:space="preserve"> coated spatula/tool carefully collect eggs as they are squeezed from the cloaca. Quickly move eggs to a small </w:t>
      </w:r>
      <w:r w:rsidR="007D3C02" w:rsidRPr="00B57718">
        <w:rPr>
          <w:rFonts w:asciiTheme="minorHAnsi" w:hAnsiTheme="minorHAnsi"/>
          <w:highlight w:val="yellow"/>
        </w:rPr>
        <w:t>Petri</w:t>
      </w:r>
      <w:r w:rsidRPr="00B57718">
        <w:rPr>
          <w:color w:val="auto"/>
          <w:highlight w:val="yellow"/>
        </w:rPr>
        <w:t xml:space="preserve"> dish and cover. Make sure </w:t>
      </w:r>
      <w:r w:rsidR="00AB635C" w:rsidRPr="00B57718">
        <w:rPr>
          <w:color w:val="auto"/>
          <w:highlight w:val="yellow"/>
        </w:rPr>
        <w:t xml:space="preserve">the </w:t>
      </w:r>
      <w:r w:rsidRPr="00B57718">
        <w:rPr>
          <w:color w:val="auto"/>
          <w:highlight w:val="yellow"/>
        </w:rPr>
        <w:t>eggs remain dry during this process.</w:t>
      </w:r>
      <w:r w:rsidR="00C852FF" w:rsidRPr="00B57718">
        <w:rPr>
          <w:color w:val="auto"/>
          <w:highlight w:val="yellow"/>
        </w:rPr>
        <w:t xml:space="preserve"> </w:t>
      </w:r>
      <w:r w:rsidRPr="00B57718">
        <w:rPr>
          <w:color w:val="auto"/>
          <w:highlight w:val="yellow"/>
        </w:rPr>
        <w:t xml:space="preserve">Alternatively, after squeezing, touch the egg mass to the base of a small </w:t>
      </w:r>
      <w:r w:rsidR="00AB635C" w:rsidRPr="00B57718">
        <w:rPr>
          <w:rFonts w:asciiTheme="minorHAnsi" w:hAnsiTheme="minorHAnsi"/>
          <w:highlight w:val="yellow"/>
        </w:rPr>
        <w:t>Petri</w:t>
      </w:r>
      <w:r w:rsidRPr="00B57718">
        <w:rPr>
          <w:color w:val="auto"/>
          <w:highlight w:val="yellow"/>
        </w:rPr>
        <w:t xml:space="preserve"> dish </w:t>
      </w:r>
      <w:r w:rsidR="00C852FF" w:rsidRPr="00B57718">
        <w:rPr>
          <w:color w:val="auto"/>
          <w:highlight w:val="yellow"/>
        </w:rPr>
        <w:t xml:space="preserve">or to the </w:t>
      </w:r>
      <w:proofErr w:type="spellStart"/>
      <w:r w:rsidR="00C852FF" w:rsidRPr="00B57718">
        <w:rPr>
          <w:color w:val="auto"/>
          <w:highlight w:val="yellow"/>
        </w:rPr>
        <w:t>polytetrafluoroethene</w:t>
      </w:r>
      <w:proofErr w:type="spellEnd"/>
      <w:r w:rsidR="00C852FF" w:rsidRPr="00B57718">
        <w:rPr>
          <w:color w:val="auto"/>
          <w:highlight w:val="yellow"/>
        </w:rPr>
        <w:t xml:space="preserve"> sheet </w:t>
      </w:r>
      <w:r w:rsidRPr="00B57718">
        <w:rPr>
          <w:color w:val="auto"/>
          <w:highlight w:val="yellow"/>
        </w:rPr>
        <w:t xml:space="preserve">as they are expelled from the female. </w:t>
      </w:r>
    </w:p>
    <w:p w14:paraId="458AB32E" w14:textId="77777777" w:rsidR="009B58A7" w:rsidRPr="00B57718" w:rsidRDefault="009B58A7" w:rsidP="00A1728C">
      <w:pPr>
        <w:pStyle w:val="ListParagraph"/>
        <w:rPr>
          <w:color w:val="auto"/>
          <w:highlight w:val="yellow"/>
        </w:rPr>
      </w:pPr>
    </w:p>
    <w:p w14:paraId="7508C15A" w14:textId="5EF0CC9D" w:rsidR="009B58A7" w:rsidRPr="00B57718" w:rsidRDefault="009B58A7" w:rsidP="00A1728C">
      <w:pPr>
        <w:pStyle w:val="ListParagraph"/>
        <w:numPr>
          <w:ilvl w:val="2"/>
          <w:numId w:val="43"/>
        </w:numPr>
        <w:rPr>
          <w:color w:val="auto"/>
          <w:highlight w:val="yellow"/>
        </w:rPr>
      </w:pPr>
      <w:r w:rsidRPr="00B57718">
        <w:rPr>
          <w:color w:val="auto"/>
          <w:highlight w:val="yellow"/>
        </w:rPr>
        <w:t xml:space="preserve">Immediately after collecting, put </w:t>
      </w:r>
      <w:r w:rsidR="00AB635C" w:rsidRPr="00B57718">
        <w:rPr>
          <w:color w:val="auto"/>
          <w:highlight w:val="yellow"/>
        </w:rPr>
        <w:t xml:space="preserve">the </w:t>
      </w:r>
      <w:r w:rsidRPr="00B57718">
        <w:rPr>
          <w:color w:val="auto"/>
          <w:highlight w:val="yellow"/>
        </w:rPr>
        <w:t xml:space="preserve">fish into </w:t>
      </w:r>
      <w:r w:rsidR="00C852FF" w:rsidRPr="00B57718">
        <w:rPr>
          <w:color w:val="auto"/>
          <w:highlight w:val="yellow"/>
        </w:rPr>
        <w:t xml:space="preserve">fresh </w:t>
      </w:r>
      <w:r w:rsidRPr="00B57718">
        <w:rPr>
          <w:color w:val="auto"/>
          <w:highlight w:val="yellow"/>
        </w:rPr>
        <w:t>system water</w:t>
      </w:r>
      <w:r w:rsidR="00C852FF" w:rsidRPr="00B57718">
        <w:rPr>
          <w:color w:val="auto"/>
          <w:highlight w:val="yellow"/>
        </w:rPr>
        <w:t xml:space="preserve"> for recovery</w:t>
      </w:r>
      <w:r w:rsidRPr="00B57718">
        <w:rPr>
          <w:color w:val="auto"/>
          <w:highlight w:val="yellow"/>
        </w:rPr>
        <w:t>.</w:t>
      </w:r>
    </w:p>
    <w:p w14:paraId="6BEE8B22" w14:textId="77777777" w:rsidR="009B58A7" w:rsidRPr="00B57718" w:rsidRDefault="009B58A7" w:rsidP="00A1728C">
      <w:pPr>
        <w:pStyle w:val="ListParagraph"/>
        <w:rPr>
          <w:b/>
          <w:i/>
          <w:color w:val="auto"/>
          <w:highlight w:val="yellow"/>
        </w:rPr>
      </w:pPr>
    </w:p>
    <w:p w14:paraId="395C97DB" w14:textId="0AA071A0" w:rsidR="009B58A7" w:rsidRPr="00B57718" w:rsidRDefault="00AB635C" w:rsidP="00A1728C">
      <w:pPr>
        <w:pStyle w:val="ListParagraph"/>
        <w:numPr>
          <w:ilvl w:val="1"/>
          <w:numId w:val="43"/>
        </w:numPr>
        <w:rPr>
          <w:bCs/>
          <w:color w:val="auto"/>
          <w:highlight w:val="yellow"/>
        </w:rPr>
      </w:pPr>
      <w:r w:rsidRPr="00B57718">
        <w:rPr>
          <w:bCs/>
          <w:iCs/>
          <w:color w:val="auto"/>
          <w:highlight w:val="yellow"/>
        </w:rPr>
        <w:t xml:space="preserve">Perform egg fertilization for </w:t>
      </w:r>
      <w:r w:rsidRPr="00B57718">
        <w:rPr>
          <w:bCs/>
          <w:color w:val="auto"/>
          <w:highlight w:val="yellow"/>
        </w:rPr>
        <w:t xml:space="preserve">in </w:t>
      </w:r>
      <w:r w:rsidR="009B58A7" w:rsidRPr="00B57718">
        <w:rPr>
          <w:bCs/>
          <w:color w:val="auto"/>
          <w:highlight w:val="yellow"/>
        </w:rPr>
        <w:t>vitro fertilization of</w:t>
      </w:r>
      <w:r w:rsidR="009B58A7" w:rsidRPr="00B57718">
        <w:rPr>
          <w:bCs/>
          <w:i/>
          <w:iCs/>
          <w:color w:val="auto"/>
          <w:highlight w:val="yellow"/>
        </w:rPr>
        <w:t xml:space="preserve"> </w:t>
      </w:r>
      <w:r w:rsidR="009B58A7" w:rsidRPr="00B57718">
        <w:rPr>
          <w:bCs/>
          <w:i/>
          <w:color w:val="auto"/>
          <w:highlight w:val="yellow"/>
        </w:rPr>
        <w:t xml:space="preserve">B. </w:t>
      </w:r>
      <w:proofErr w:type="spellStart"/>
      <w:r w:rsidR="009B58A7" w:rsidRPr="00B57718">
        <w:rPr>
          <w:bCs/>
          <w:i/>
          <w:color w:val="auto"/>
          <w:highlight w:val="yellow"/>
        </w:rPr>
        <w:t>gauderio</w:t>
      </w:r>
      <w:proofErr w:type="spellEnd"/>
      <w:r w:rsidRPr="00B57718">
        <w:rPr>
          <w:bCs/>
          <w:iCs/>
          <w:color w:val="auto"/>
          <w:highlight w:val="yellow"/>
        </w:rPr>
        <w:t>.</w:t>
      </w:r>
    </w:p>
    <w:p w14:paraId="303A73D1" w14:textId="77777777" w:rsidR="009B58A7" w:rsidRPr="00B57718" w:rsidRDefault="009B58A7" w:rsidP="00A1728C">
      <w:pPr>
        <w:pStyle w:val="ListParagraph"/>
        <w:ind w:left="696"/>
        <w:rPr>
          <w:color w:val="auto"/>
          <w:highlight w:val="yellow"/>
        </w:rPr>
      </w:pPr>
    </w:p>
    <w:p w14:paraId="4D79E8CD" w14:textId="0564C248" w:rsidR="009B58A7" w:rsidRPr="00B57718" w:rsidRDefault="009B58A7" w:rsidP="00A1728C">
      <w:pPr>
        <w:pStyle w:val="ListParagraph"/>
        <w:numPr>
          <w:ilvl w:val="2"/>
          <w:numId w:val="43"/>
        </w:numPr>
        <w:rPr>
          <w:color w:val="auto"/>
          <w:highlight w:val="yellow"/>
        </w:rPr>
      </w:pPr>
      <w:r w:rsidRPr="00B57718">
        <w:rPr>
          <w:color w:val="auto"/>
          <w:highlight w:val="yellow"/>
        </w:rPr>
        <w:t>Add 100 µL of well</w:t>
      </w:r>
      <w:r w:rsidR="00AB635C" w:rsidRPr="00B57718">
        <w:rPr>
          <w:color w:val="auto"/>
          <w:highlight w:val="yellow"/>
        </w:rPr>
        <w:t>-</w:t>
      </w:r>
      <w:r w:rsidRPr="00B57718">
        <w:rPr>
          <w:color w:val="auto"/>
          <w:highlight w:val="yellow"/>
        </w:rPr>
        <w:t xml:space="preserve">mixed sperm in SES (see </w:t>
      </w:r>
      <w:r w:rsidR="00AB635C" w:rsidRPr="00B57718">
        <w:rPr>
          <w:color w:val="auto"/>
          <w:highlight w:val="yellow"/>
        </w:rPr>
        <w:t xml:space="preserve">step </w:t>
      </w:r>
      <w:r w:rsidRPr="00B57718">
        <w:rPr>
          <w:color w:val="auto"/>
          <w:highlight w:val="yellow"/>
        </w:rPr>
        <w:t xml:space="preserve">4.4) directly over the egg mass. </w:t>
      </w:r>
    </w:p>
    <w:p w14:paraId="58E4CC13" w14:textId="77777777" w:rsidR="009B58A7" w:rsidRPr="00B57718" w:rsidRDefault="009B58A7" w:rsidP="00A1728C">
      <w:pPr>
        <w:pStyle w:val="ListParagraph"/>
        <w:ind w:left="1170"/>
        <w:rPr>
          <w:color w:val="auto"/>
          <w:highlight w:val="yellow"/>
        </w:rPr>
      </w:pPr>
    </w:p>
    <w:p w14:paraId="5C75D94E" w14:textId="0070F08D" w:rsidR="009B58A7" w:rsidRPr="00B57718" w:rsidRDefault="009B58A7" w:rsidP="00A1728C">
      <w:pPr>
        <w:pStyle w:val="ListParagraph"/>
        <w:numPr>
          <w:ilvl w:val="2"/>
          <w:numId w:val="43"/>
        </w:numPr>
        <w:rPr>
          <w:color w:val="auto"/>
          <w:highlight w:val="yellow"/>
        </w:rPr>
      </w:pPr>
      <w:r w:rsidRPr="00B57718">
        <w:rPr>
          <w:color w:val="auto"/>
          <w:highlight w:val="yellow"/>
        </w:rPr>
        <w:t>Add 1 mL</w:t>
      </w:r>
      <w:r w:rsidR="0088463F" w:rsidRPr="00B57718">
        <w:rPr>
          <w:color w:val="auto"/>
          <w:highlight w:val="yellow"/>
        </w:rPr>
        <w:t xml:space="preserve"> of</w:t>
      </w:r>
      <w:r w:rsidRPr="00B57718">
        <w:rPr>
          <w:color w:val="auto"/>
          <w:highlight w:val="yellow"/>
        </w:rPr>
        <w:t xml:space="preserve"> system water (filtered through </w:t>
      </w:r>
      <w:r w:rsidR="0088463F" w:rsidRPr="00B57718">
        <w:rPr>
          <w:color w:val="auto"/>
          <w:highlight w:val="yellow"/>
        </w:rPr>
        <w:t xml:space="preserve">a </w:t>
      </w:r>
      <w:r w:rsidRPr="00B57718">
        <w:rPr>
          <w:color w:val="auto"/>
          <w:highlight w:val="yellow"/>
        </w:rPr>
        <w:t>0.22 µm filter) and mix well for 30</w:t>
      </w:r>
      <w:r w:rsidR="0088463F" w:rsidRPr="00B57718">
        <w:rPr>
          <w:color w:val="auto"/>
          <w:highlight w:val="yellow"/>
        </w:rPr>
        <w:t>–</w:t>
      </w:r>
      <w:r w:rsidRPr="00B57718">
        <w:rPr>
          <w:color w:val="auto"/>
          <w:highlight w:val="yellow"/>
        </w:rPr>
        <w:t xml:space="preserve">60 s. </w:t>
      </w:r>
    </w:p>
    <w:p w14:paraId="301E6E76" w14:textId="77777777" w:rsidR="009B58A7" w:rsidRPr="00B57718" w:rsidRDefault="009B58A7" w:rsidP="00A1728C">
      <w:pPr>
        <w:pStyle w:val="ListParagraph"/>
        <w:rPr>
          <w:color w:val="auto"/>
          <w:highlight w:val="yellow"/>
        </w:rPr>
      </w:pPr>
    </w:p>
    <w:p w14:paraId="300728D8" w14:textId="057E01C0" w:rsidR="009B58A7" w:rsidRPr="00853596" w:rsidRDefault="009B58A7" w:rsidP="00853596">
      <w:pPr>
        <w:pStyle w:val="ListParagraph"/>
        <w:numPr>
          <w:ilvl w:val="2"/>
          <w:numId w:val="43"/>
        </w:numPr>
        <w:rPr>
          <w:color w:val="auto"/>
          <w:highlight w:val="yellow"/>
        </w:rPr>
      </w:pPr>
      <w:r w:rsidRPr="00B57718">
        <w:rPr>
          <w:color w:val="auto"/>
          <w:highlight w:val="yellow"/>
        </w:rPr>
        <w:t>Add an additional 1</w:t>
      </w:r>
      <w:r w:rsidR="0088463F" w:rsidRPr="00B57718">
        <w:rPr>
          <w:color w:val="auto"/>
          <w:highlight w:val="yellow"/>
        </w:rPr>
        <w:t>–</w:t>
      </w:r>
      <w:r w:rsidRPr="00B57718">
        <w:rPr>
          <w:color w:val="auto"/>
          <w:highlight w:val="yellow"/>
        </w:rPr>
        <w:t xml:space="preserve">2 mL system water (leave some space in </w:t>
      </w:r>
      <w:r w:rsidR="0088463F" w:rsidRPr="00B57718">
        <w:rPr>
          <w:color w:val="auto"/>
          <w:highlight w:val="yellow"/>
        </w:rPr>
        <w:t>the P</w:t>
      </w:r>
      <w:r w:rsidRPr="00B57718">
        <w:rPr>
          <w:color w:val="auto"/>
          <w:highlight w:val="yellow"/>
        </w:rPr>
        <w:t xml:space="preserve">etri dish) and place in incubator. Record time of IVF on </w:t>
      </w:r>
      <w:r w:rsidR="00AB635C" w:rsidRPr="00B57718">
        <w:rPr>
          <w:rFonts w:asciiTheme="minorHAnsi" w:hAnsiTheme="minorHAnsi"/>
          <w:highlight w:val="yellow"/>
        </w:rPr>
        <w:t>Petri</w:t>
      </w:r>
      <w:r w:rsidRPr="00B57718">
        <w:rPr>
          <w:color w:val="auto"/>
          <w:highlight w:val="yellow"/>
        </w:rPr>
        <w:t xml:space="preserve"> dish and mo</w:t>
      </w:r>
      <w:r w:rsidRPr="00853596">
        <w:rPr>
          <w:color w:val="auto"/>
          <w:highlight w:val="yellow"/>
        </w:rPr>
        <w:t xml:space="preserve">ve to </w:t>
      </w:r>
      <w:r w:rsidR="00AB635C" w:rsidRPr="00853596">
        <w:rPr>
          <w:color w:val="auto"/>
          <w:highlight w:val="yellow"/>
        </w:rPr>
        <w:t xml:space="preserve">a </w:t>
      </w:r>
      <w:r w:rsidRPr="00853596">
        <w:rPr>
          <w:color w:val="auto"/>
          <w:highlight w:val="yellow"/>
        </w:rPr>
        <w:t>29 °C incubator. Set a 50 min timer to check progress of development</w:t>
      </w:r>
      <w:r w:rsidR="00A35D30" w:rsidRPr="00853596">
        <w:rPr>
          <w:color w:val="auto"/>
          <w:highlight w:val="yellow"/>
        </w:rPr>
        <w:t xml:space="preserve"> (</w:t>
      </w:r>
      <w:r w:rsidR="00AB3B1F" w:rsidRPr="00853596">
        <w:rPr>
          <w:color w:val="auto"/>
          <w:highlight w:val="yellow"/>
        </w:rPr>
        <w:t xml:space="preserve">e.g., </w:t>
      </w:r>
      <w:r w:rsidR="00A35D30" w:rsidRPr="00853596">
        <w:rPr>
          <w:color w:val="auto"/>
          <w:highlight w:val="yellow"/>
        </w:rPr>
        <w:t xml:space="preserve">formation of the single cell at the animal pole, see </w:t>
      </w:r>
      <w:r w:rsidR="00EA1C1D" w:rsidRPr="00853596">
        <w:rPr>
          <w:b/>
          <w:color w:val="auto"/>
          <w:highlight w:val="yellow"/>
        </w:rPr>
        <w:t>Figure 6</w:t>
      </w:r>
      <w:r w:rsidR="00A35D30" w:rsidRPr="00853596">
        <w:rPr>
          <w:color w:val="auto"/>
          <w:highlight w:val="yellow"/>
        </w:rPr>
        <w:t>)</w:t>
      </w:r>
      <w:r w:rsidR="00AB635C" w:rsidRPr="00853596">
        <w:rPr>
          <w:color w:val="auto"/>
          <w:highlight w:val="yellow"/>
        </w:rPr>
        <w:t>.</w:t>
      </w:r>
      <w:r w:rsidRPr="00853596">
        <w:rPr>
          <w:color w:val="auto"/>
          <w:highlight w:val="yellow"/>
        </w:rPr>
        <w:t xml:space="preserve"> </w:t>
      </w:r>
      <w:r w:rsidR="00AB635C" w:rsidRPr="00853596">
        <w:rPr>
          <w:color w:val="auto"/>
          <w:highlight w:val="yellow"/>
        </w:rPr>
        <w:t xml:space="preserve">During </w:t>
      </w:r>
      <w:r w:rsidRPr="00853596">
        <w:rPr>
          <w:color w:val="auto"/>
          <w:highlight w:val="yellow"/>
        </w:rPr>
        <w:t>this time</w:t>
      </w:r>
      <w:r w:rsidR="00AB635C" w:rsidRPr="00853596">
        <w:rPr>
          <w:color w:val="auto"/>
          <w:highlight w:val="yellow"/>
        </w:rPr>
        <w:t>,</w:t>
      </w:r>
      <w:r w:rsidRPr="00853596">
        <w:rPr>
          <w:color w:val="auto"/>
          <w:highlight w:val="yellow"/>
        </w:rPr>
        <w:t xml:space="preserve"> prepare materials for microinjection.</w:t>
      </w:r>
    </w:p>
    <w:p w14:paraId="1DB6BCB7" w14:textId="77777777" w:rsidR="009B58A7" w:rsidRPr="00A1728C" w:rsidRDefault="009B58A7" w:rsidP="00A1728C">
      <w:pPr>
        <w:rPr>
          <w:b/>
          <w:color w:val="auto"/>
          <w:highlight w:val="yellow"/>
        </w:rPr>
      </w:pPr>
    </w:p>
    <w:p w14:paraId="06726E95" w14:textId="7C0C19F7" w:rsidR="009B58A7" w:rsidRPr="00A1728C" w:rsidRDefault="009B58A7" w:rsidP="00A1728C">
      <w:pPr>
        <w:pStyle w:val="ListParagraph"/>
        <w:numPr>
          <w:ilvl w:val="0"/>
          <w:numId w:val="43"/>
        </w:numPr>
        <w:rPr>
          <w:b/>
          <w:color w:val="auto"/>
          <w:highlight w:val="yellow"/>
        </w:rPr>
      </w:pPr>
      <w:r w:rsidRPr="00A1728C">
        <w:rPr>
          <w:b/>
          <w:color w:val="auto"/>
          <w:highlight w:val="yellow"/>
        </w:rPr>
        <w:t xml:space="preserve">Single </w:t>
      </w:r>
      <w:r w:rsidR="00C95895" w:rsidRPr="00A1728C">
        <w:rPr>
          <w:b/>
          <w:color w:val="auto"/>
          <w:highlight w:val="yellow"/>
        </w:rPr>
        <w:t>cell microinjection</w:t>
      </w:r>
    </w:p>
    <w:p w14:paraId="6F090326" w14:textId="77777777" w:rsidR="009B58A7" w:rsidRPr="00A1728C" w:rsidRDefault="009B58A7" w:rsidP="00A1728C">
      <w:pPr>
        <w:pStyle w:val="ListParagraph"/>
        <w:ind w:left="480"/>
        <w:rPr>
          <w:b/>
          <w:color w:val="auto"/>
          <w:highlight w:val="yellow"/>
        </w:rPr>
      </w:pPr>
    </w:p>
    <w:p w14:paraId="2A49503E" w14:textId="77777777" w:rsidR="00AB635C" w:rsidRPr="00AB635C" w:rsidRDefault="009B58A7" w:rsidP="00A1728C">
      <w:pPr>
        <w:pStyle w:val="ListParagraph"/>
        <w:numPr>
          <w:ilvl w:val="1"/>
          <w:numId w:val="43"/>
        </w:numPr>
        <w:rPr>
          <w:b/>
          <w:color w:val="auto"/>
        </w:rPr>
      </w:pPr>
      <w:r w:rsidRPr="006D2519">
        <w:rPr>
          <w:color w:val="auto"/>
        </w:rPr>
        <w:t>Pull microinjection needles</w:t>
      </w:r>
      <w:r w:rsidR="003C43C7" w:rsidRPr="006D2519">
        <w:rPr>
          <w:color w:val="auto"/>
        </w:rPr>
        <w:t xml:space="preserve"> prior to spawning agent injections (</w:t>
      </w:r>
      <w:r w:rsidR="00AB635C">
        <w:rPr>
          <w:color w:val="auto"/>
        </w:rPr>
        <w:t xml:space="preserve">step </w:t>
      </w:r>
      <w:r w:rsidR="003C43C7" w:rsidRPr="006D2519">
        <w:rPr>
          <w:color w:val="auto"/>
        </w:rPr>
        <w:t>4.2) or natural spawning (</w:t>
      </w:r>
      <w:r w:rsidR="00AB635C">
        <w:rPr>
          <w:color w:val="auto"/>
        </w:rPr>
        <w:t xml:space="preserve">step </w:t>
      </w:r>
      <w:r w:rsidR="003C43C7" w:rsidRPr="006D2519">
        <w:rPr>
          <w:color w:val="auto"/>
        </w:rPr>
        <w:t>4.3)</w:t>
      </w:r>
      <w:r w:rsidRPr="006D2519">
        <w:rPr>
          <w:color w:val="auto"/>
        </w:rPr>
        <w:t xml:space="preserve">. Use </w:t>
      </w:r>
      <w:r w:rsidR="00AB635C">
        <w:rPr>
          <w:color w:val="auto"/>
        </w:rPr>
        <w:t xml:space="preserve">a </w:t>
      </w:r>
      <w:r w:rsidRPr="006D2519">
        <w:rPr>
          <w:color w:val="auto"/>
        </w:rPr>
        <w:t xml:space="preserve">borosilicate glass capillary with </w:t>
      </w:r>
      <w:r w:rsidR="00AB635C">
        <w:rPr>
          <w:color w:val="auto"/>
        </w:rPr>
        <w:t xml:space="preserve">a </w:t>
      </w:r>
      <w:r w:rsidRPr="006D2519">
        <w:rPr>
          <w:color w:val="auto"/>
        </w:rPr>
        <w:t>filament (O.D. 1.0 mm, I.D. 0.58 mm, 10 cm length) and a needle puller to pull microinjection needles. Prepare 2</w:t>
      </w:r>
      <w:r w:rsidR="0088463F">
        <w:rPr>
          <w:color w:val="auto"/>
        </w:rPr>
        <w:t>–</w:t>
      </w:r>
      <w:r w:rsidRPr="006D2519">
        <w:rPr>
          <w:color w:val="auto"/>
        </w:rPr>
        <w:t>4 needles per planned treatment injection.</w:t>
      </w:r>
      <w:r w:rsidR="003C43C7" w:rsidRPr="006D2519">
        <w:rPr>
          <w:color w:val="auto"/>
        </w:rPr>
        <w:t xml:space="preserve"> </w:t>
      </w:r>
    </w:p>
    <w:p w14:paraId="6C674949" w14:textId="1C4ADC61" w:rsidR="00A1728C" w:rsidRPr="00AB635C" w:rsidRDefault="00A1728C" w:rsidP="00AB635C">
      <w:pPr>
        <w:rPr>
          <w:b/>
          <w:color w:val="auto"/>
        </w:rPr>
      </w:pPr>
    </w:p>
    <w:p w14:paraId="47CAAB69" w14:textId="0CC63DF4" w:rsidR="009B58A7" w:rsidRPr="006D2519" w:rsidRDefault="00A1728C" w:rsidP="00A1728C">
      <w:pPr>
        <w:pStyle w:val="ListParagraph"/>
        <w:ind w:left="0"/>
        <w:rPr>
          <w:b/>
          <w:color w:val="auto"/>
        </w:rPr>
      </w:pPr>
      <w:r w:rsidRPr="006D2519">
        <w:rPr>
          <w:color w:val="auto"/>
        </w:rPr>
        <w:t xml:space="preserve">NOTE: </w:t>
      </w:r>
      <w:r w:rsidR="00AB635C">
        <w:rPr>
          <w:color w:val="auto"/>
        </w:rPr>
        <w:t>B</w:t>
      </w:r>
      <w:r w:rsidR="003C43C7" w:rsidRPr="006D2519">
        <w:rPr>
          <w:color w:val="auto"/>
        </w:rPr>
        <w:t>ackloading needles with a filament</w:t>
      </w:r>
      <w:r w:rsidR="00AB635C">
        <w:rPr>
          <w:color w:val="auto"/>
        </w:rPr>
        <w:t xml:space="preserve"> are preferred</w:t>
      </w:r>
      <w:r w:rsidR="003C43C7" w:rsidRPr="006D2519">
        <w:rPr>
          <w:color w:val="auto"/>
        </w:rPr>
        <w:t xml:space="preserve">, </w:t>
      </w:r>
      <w:r w:rsidR="00AB635C" w:rsidRPr="00623A4C">
        <w:rPr>
          <w:color w:val="auto"/>
        </w:rPr>
        <w:t>because</w:t>
      </w:r>
      <w:r w:rsidR="00AB635C" w:rsidRPr="006D2519">
        <w:rPr>
          <w:color w:val="auto"/>
        </w:rPr>
        <w:t xml:space="preserve"> </w:t>
      </w:r>
      <w:r w:rsidR="003C43C7" w:rsidRPr="006D2519">
        <w:rPr>
          <w:color w:val="auto"/>
        </w:rPr>
        <w:t>the filament wicks the solution towards the tip and eliminates bubbles</w:t>
      </w:r>
      <w:r w:rsidR="00AB635C">
        <w:rPr>
          <w:color w:val="auto"/>
        </w:rPr>
        <w:t>.</w:t>
      </w:r>
      <w:r w:rsidR="003C43C7" w:rsidRPr="006D2519">
        <w:rPr>
          <w:color w:val="auto"/>
        </w:rPr>
        <w:t xml:space="preserve"> </w:t>
      </w:r>
      <w:r w:rsidR="00AB635C" w:rsidRPr="006D2519">
        <w:rPr>
          <w:color w:val="auto"/>
        </w:rPr>
        <w:t>However</w:t>
      </w:r>
      <w:r w:rsidR="003C43C7" w:rsidRPr="006D2519">
        <w:rPr>
          <w:color w:val="auto"/>
        </w:rPr>
        <w:t xml:space="preserve">, needles without a filament can be used and frontloading should have no effect on </w:t>
      </w:r>
      <w:r w:rsidR="00AB635C">
        <w:rPr>
          <w:color w:val="auto"/>
        </w:rPr>
        <w:t xml:space="preserve">the </w:t>
      </w:r>
      <w:r w:rsidR="003C43C7" w:rsidRPr="006D2519">
        <w:rPr>
          <w:color w:val="auto"/>
        </w:rPr>
        <w:t>outcome.</w:t>
      </w:r>
      <w:r w:rsidR="009B58A7" w:rsidRPr="006D2519">
        <w:rPr>
          <w:color w:val="auto"/>
        </w:rPr>
        <w:t xml:space="preserve"> The needle should have a long, but sturdy taper. Use the needle pulling program with the following specifications as a starting point</w:t>
      </w:r>
      <w:r w:rsidR="00AB635C">
        <w:rPr>
          <w:color w:val="auto"/>
        </w:rPr>
        <w:t>:</w:t>
      </w:r>
      <w:r w:rsidR="009B58A7" w:rsidRPr="006D2519">
        <w:rPr>
          <w:color w:val="auto"/>
        </w:rPr>
        <w:t xml:space="preserve"> </w:t>
      </w:r>
      <w:proofErr w:type="gramStart"/>
      <w:r w:rsidR="00AB635C" w:rsidRPr="006D2519">
        <w:rPr>
          <w:color w:val="auto"/>
        </w:rPr>
        <w:t>heat</w:t>
      </w:r>
      <w:r w:rsidR="00AB635C">
        <w:rPr>
          <w:color w:val="auto"/>
        </w:rPr>
        <w:t xml:space="preserve">  </w:t>
      </w:r>
      <w:r w:rsidR="000815D5">
        <w:rPr>
          <w:color w:val="auto"/>
        </w:rPr>
        <w:t>=</w:t>
      </w:r>
      <w:proofErr w:type="gramEnd"/>
      <w:r w:rsidR="00F94BA1">
        <w:rPr>
          <w:color w:val="auto"/>
        </w:rPr>
        <w:t xml:space="preserve"> </w:t>
      </w:r>
      <w:r w:rsidR="009B58A7" w:rsidRPr="006D2519">
        <w:rPr>
          <w:color w:val="auto"/>
        </w:rPr>
        <w:t>500</w:t>
      </w:r>
      <w:r w:rsidR="00AB635C">
        <w:rPr>
          <w:color w:val="auto"/>
        </w:rPr>
        <w:t>;</w:t>
      </w:r>
      <w:r w:rsidR="009B58A7" w:rsidRPr="006D2519">
        <w:rPr>
          <w:color w:val="auto"/>
        </w:rPr>
        <w:t xml:space="preserve"> Pull</w:t>
      </w:r>
      <w:r w:rsidR="0088463F">
        <w:rPr>
          <w:color w:val="auto"/>
        </w:rPr>
        <w:t xml:space="preserve"> </w:t>
      </w:r>
      <w:r w:rsidR="000815D5">
        <w:rPr>
          <w:color w:val="auto"/>
        </w:rPr>
        <w:t xml:space="preserve"> =</w:t>
      </w:r>
      <w:r w:rsidR="00F94BA1">
        <w:rPr>
          <w:color w:val="auto"/>
        </w:rPr>
        <w:t xml:space="preserve"> </w:t>
      </w:r>
      <w:r w:rsidR="009B58A7" w:rsidRPr="006D2519">
        <w:rPr>
          <w:color w:val="auto"/>
        </w:rPr>
        <w:t>70</w:t>
      </w:r>
      <w:r w:rsidR="00AB635C">
        <w:rPr>
          <w:color w:val="auto"/>
        </w:rPr>
        <w:t>;</w:t>
      </w:r>
      <w:r w:rsidR="009B58A7" w:rsidRPr="006D2519">
        <w:rPr>
          <w:color w:val="auto"/>
        </w:rPr>
        <w:t xml:space="preserve"> Velocity</w:t>
      </w:r>
      <w:r w:rsidR="0088463F">
        <w:rPr>
          <w:color w:val="auto"/>
        </w:rPr>
        <w:t xml:space="preserve"> </w:t>
      </w:r>
      <w:r w:rsidR="000815D5">
        <w:rPr>
          <w:color w:val="auto"/>
        </w:rPr>
        <w:t xml:space="preserve"> =</w:t>
      </w:r>
      <w:r w:rsidR="00F94BA1">
        <w:rPr>
          <w:color w:val="auto"/>
        </w:rPr>
        <w:t xml:space="preserve"> </w:t>
      </w:r>
      <w:r w:rsidR="009B58A7" w:rsidRPr="006D2519">
        <w:rPr>
          <w:color w:val="auto"/>
        </w:rPr>
        <w:t>70</w:t>
      </w:r>
      <w:r w:rsidR="00AB635C">
        <w:rPr>
          <w:color w:val="auto"/>
        </w:rPr>
        <w:t>;</w:t>
      </w:r>
      <w:r w:rsidR="009B58A7" w:rsidRPr="006D2519">
        <w:rPr>
          <w:color w:val="auto"/>
        </w:rPr>
        <w:t xml:space="preserve"> and Time</w:t>
      </w:r>
      <w:r w:rsidR="0088463F">
        <w:rPr>
          <w:color w:val="auto"/>
        </w:rPr>
        <w:t xml:space="preserve"> </w:t>
      </w:r>
      <w:r w:rsidR="000815D5">
        <w:rPr>
          <w:color w:val="auto"/>
        </w:rPr>
        <w:t xml:space="preserve"> =</w:t>
      </w:r>
      <w:r w:rsidR="00F94BA1">
        <w:rPr>
          <w:color w:val="auto"/>
        </w:rPr>
        <w:t xml:space="preserve"> </w:t>
      </w:r>
      <w:r w:rsidR="009B58A7" w:rsidRPr="006D2519">
        <w:rPr>
          <w:color w:val="auto"/>
        </w:rPr>
        <w:t>100.</w:t>
      </w:r>
      <w:r w:rsidR="00F94BA1">
        <w:rPr>
          <w:color w:val="auto"/>
        </w:rPr>
        <w:t xml:space="preserve"> </w:t>
      </w:r>
      <w:r w:rsidR="009B58A7" w:rsidRPr="006D2519">
        <w:rPr>
          <w:color w:val="auto"/>
        </w:rPr>
        <w:t xml:space="preserve">Representative needle morphologies are shown in </w:t>
      </w:r>
      <w:r w:rsidR="00EA1C1D" w:rsidRPr="00EA1C1D">
        <w:rPr>
          <w:b/>
          <w:color w:val="auto"/>
        </w:rPr>
        <w:t>Figure 5A</w:t>
      </w:r>
      <w:r w:rsidR="009B58A7" w:rsidRPr="006D2519">
        <w:rPr>
          <w:color w:val="auto"/>
        </w:rPr>
        <w:t>.</w:t>
      </w:r>
    </w:p>
    <w:p w14:paraId="451EB67B" w14:textId="77777777" w:rsidR="009B58A7" w:rsidRPr="00A1728C" w:rsidRDefault="009B58A7" w:rsidP="00A1728C">
      <w:pPr>
        <w:pStyle w:val="ListParagraph"/>
        <w:ind w:left="840"/>
        <w:rPr>
          <w:b/>
          <w:color w:val="auto"/>
          <w:highlight w:val="yellow"/>
        </w:rPr>
      </w:pPr>
    </w:p>
    <w:p w14:paraId="464B76A2" w14:textId="77777777" w:rsidR="009B58A7" w:rsidRPr="000F1CEB" w:rsidRDefault="009B58A7" w:rsidP="00A1728C">
      <w:pPr>
        <w:pStyle w:val="ListParagraph"/>
        <w:numPr>
          <w:ilvl w:val="1"/>
          <w:numId w:val="43"/>
        </w:numPr>
        <w:rPr>
          <w:bCs/>
          <w:color w:val="auto"/>
          <w:highlight w:val="yellow"/>
        </w:rPr>
      </w:pPr>
      <w:r w:rsidRPr="000F1CEB">
        <w:rPr>
          <w:bCs/>
          <w:color w:val="auto"/>
          <w:highlight w:val="yellow"/>
        </w:rPr>
        <w:t>Prepare injection solution and prepare needle.</w:t>
      </w:r>
    </w:p>
    <w:p w14:paraId="5812F88C" w14:textId="77777777" w:rsidR="009B58A7" w:rsidRPr="00A1728C" w:rsidRDefault="009B58A7" w:rsidP="00A1728C">
      <w:pPr>
        <w:rPr>
          <w:b/>
          <w:color w:val="auto"/>
          <w:highlight w:val="yellow"/>
        </w:rPr>
      </w:pPr>
    </w:p>
    <w:p w14:paraId="1E32156E" w14:textId="32C65DAC" w:rsidR="00A1728C" w:rsidRPr="006D2519" w:rsidRDefault="009B58A7" w:rsidP="00A1728C">
      <w:pPr>
        <w:pStyle w:val="ListParagraph"/>
        <w:numPr>
          <w:ilvl w:val="2"/>
          <w:numId w:val="43"/>
        </w:numPr>
        <w:rPr>
          <w:b/>
          <w:color w:val="auto"/>
        </w:rPr>
      </w:pPr>
      <w:r w:rsidRPr="006D2519">
        <w:rPr>
          <w:color w:val="auto"/>
        </w:rPr>
        <w:t>Add 0.9 µ</w:t>
      </w:r>
      <w:r w:rsidR="0088463F">
        <w:rPr>
          <w:color w:val="auto"/>
        </w:rPr>
        <w:t>L of</w:t>
      </w:r>
      <w:r w:rsidRPr="006D2519">
        <w:rPr>
          <w:color w:val="auto"/>
        </w:rPr>
        <w:t xml:space="preserve"> sgRNA and 0.9 µ</w:t>
      </w:r>
      <w:r w:rsidR="0088463F">
        <w:rPr>
          <w:color w:val="auto"/>
        </w:rPr>
        <w:t>L of</w:t>
      </w:r>
      <w:r w:rsidRPr="006D2519">
        <w:rPr>
          <w:color w:val="auto"/>
        </w:rPr>
        <w:t xml:space="preserve"> Cas9 enzyme (1 mg/mL) to 0.2 µ</w:t>
      </w:r>
      <w:r w:rsidR="0088463F">
        <w:rPr>
          <w:color w:val="auto"/>
        </w:rPr>
        <w:t>L</w:t>
      </w:r>
      <w:r w:rsidRPr="006D2519">
        <w:rPr>
          <w:color w:val="auto"/>
        </w:rPr>
        <w:t xml:space="preserve"> of 10</w:t>
      </w:r>
      <w:r w:rsidR="00AA1370">
        <w:rPr>
          <w:color w:val="auto"/>
        </w:rPr>
        <w:t>%</w:t>
      </w:r>
      <w:r w:rsidR="0088463F">
        <w:rPr>
          <w:color w:val="auto"/>
        </w:rPr>
        <w:t xml:space="preserve"> or </w:t>
      </w:r>
      <w:r w:rsidRPr="006D2519">
        <w:rPr>
          <w:color w:val="auto"/>
        </w:rPr>
        <w:t>100% phenol red (for 1</w:t>
      </w:r>
      <w:r w:rsidR="00AA1370">
        <w:rPr>
          <w:color w:val="auto"/>
        </w:rPr>
        <w:t>%</w:t>
      </w:r>
      <w:r w:rsidRPr="006D2519">
        <w:rPr>
          <w:color w:val="auto"/>
        </w:rPr>
        <w:t xml:space="preserve"> and 10% final phenol red concentration, respectively) in a PCR tube. Mix well and let sit on ice 2</w:t>
      </w:r>
      <w:r w:rsidR="00AB635C" w:rsidRPr="00623A4C">
        <w:rPr>
          <w:color w:val="auto"/>
        </w:rPr>
        <w:t>−</w:t>
      </w:r>
      <w:r w:rsidRPr="006D2519">
        <w:rPr>
          <w:color w:val="auto"/>
        </w:rPr>
        <w:t xml:space="preserve">5 </w:t>
      </w:r>
      <w:r w:rsidR="00AB635C" w:rsidRPr="00623A4C">
        <w:rPr>
          <w:color w:val="auto"/>
        </w:rPr>
        <w:t>min</w:t>
      </w:r>
      <w:r w:rsidR="00AB635C" w:rsidRPr="006D2519">
        <w:rPr>
          <w:color w:val="auto"/>
        </w:rPr>
        <w:t xml:space="preserve"> </w:t>
      </w:r>
      <w:r w:rsidRPr="006D2519">
        <w:rPr>
          <w:color w:val="auto"/>
        </w:rPr>
        <w:t xml:space="preserve">to allow sgRNA and Cas9 to complex. Calculate the final concentration of </w:t>
      </w:r>
      <w:r w:rsidRPr="006D2519">
        <w:rPr>
          <w:color w:val="auto"/>
        </w:rPr>
        <w:lastRenderedPageBreak/>
        <w:t>sgRNA, Cas9, and phenol red in the injection solution.</w:t>
      </w:r>
    </w:p>
    <w:p w14:paraId="6AD5E893" w14:textId="1AA61CE5" w:rsidR="009B58A7" w:rsidRPr="006D2519" w:rsidRDefault="0040218C" w:rsidP="00A1728C">
      <w:pPr>
        <w:pStyle w:val="ListParagraph"/>
        <w:ind w:left="0"/>
        <w:rPr>
          <w:b/>
          <w:color w:val="auto"/>
        </w:rPr>
      </w:pPr>
      <w:r w:rsidRPr="006D2519">
        <w:rPr>
          <w:color w:val="auto"/>
        </w:rPr>
        <w:br/>
      </w:r>
      <w:r w:rsidR="00A1728C" w:rsidRPr="006D2519">
        <w:rPr>
          <w:color w:val="auto"/>
        </w:rPr>
        <w:t xml:space="preserve">NOTE: </w:t>
      </w:r>
      <w:r w:rsidRPr="006D2519">
        <w:rPr>
          <w:color w:val="auto"/>
        </w:rPr>
        <w:t>If there are issues with needle clogging or cutting efficiency</w:t>
      </w:r>
      <w:r w:rsidR="008906A4" w:rsidRPr="006D2519">
        <w:rPr>
          <w:color w:val="auto"/>
        </w:rPr>
        <w:t xml:space="preserve"> using the above recipe</w:t>
      </w:r>
      <w:r w:rsidRPr="006D2519">
        <w:rPr>
          <w:color w:val="auto"/>
        </w:rPr>
        <w:t xml:space="preserve">, it may be useful to use a </w:t>
      </w:r>
      <w:r w:rsidR="008906A4" w:rsidRPr="006D2519">
        <w:rPr>
          <w:color w:val="auto"/>
        </w:rPr>
        <w:t>1</w:t>
      </w:r>
      <w:r w:rsidR="0088463F">
        <w:rPr>
          <w:color w:val="auto"/>
        </w:rPr>
        <w:t>x</w:t>
      </w:r>
      <w:r w:rsidR="008906A4" w:rsidRPr="006D2519">
        <w:rPr>
          <w:color w:val="auto"/>
        </w:rPr>
        <w:t xml:space="preserve"> final concentration </w:t>
      </w:r>
      <w:r w:rsidRPr="006D2519">
        <w:rPr>
          <w:color w:val="auto"/>
        </w:rPr>
        <w:t xml:space="preserve">salt/buffer mix to stabilize Cas9 and prevent needle clogging. </w:t>
      </w:r>
    </w:p>
    <w:p w14:paraId="2B4847D0" w14:textId="77777777" w:rsidR="009B58A7" w:rsidRPr="00A1728C" w:rsidRDefault="009B58A7" w:rsidP="00EA1C1D">
      <w:pPr>
        <w:pStyle w:val="ListParagraph"/>
        <w:ind w:left="0"/>
        <w:rPr>
          <w:b/>
          <w:color w:val="auto"/>
          <w:highlight w:val="yellow"/>
        </w:rPr>
      </w:pPr>
    </w:p>
    <w:p w14:paraId="0EF7CC82" w14:textId="77777777" w:rsidR="009B58A7" w:rsidRPr="00A1728C" w:rsidRDefault="009B58A7" w:rsidP="00A1728C">
      <w:pPr>
        <w:pStyle w:val="ListParagraph"/>
        <w:numPr>
          <w:ilvl w:val="2"/>
          <w:numId w:val="43"/>
        </w:numPr>
        <w:rPr>
          <w:b/>
          <w:color w:val="auto"/>
          <w:highlight w:val="yellow"/>
        </w:rPr>
      </w:pPr>
      <w:r w:rsidRPr="00A1728C">
        <w:rPr>
          <w:color w:val="auto"/>
          <w:highlight w:val="yellow"/>
        </w:rPr>
        <w:t xml:space="preserve">Use a </w:t>
      </w:r>
      <w:proofErr w:type="spellStart"/>
      <w:r w:rsidRPr="00A1728C">
        <w:rPr>
          <w:color w:val="auto"/>
          <w:highlight w:val="yellow"/>
        </w:rPr>
        <w:t>microloader</w:t>
      </w:r>
      <w:proofErr w:type="spellEnd"/>
      <w:r w:rsidRPr="00A1728C">
        <w:rPr>
          <w:color w:val="auto"/>
          <w:highlight w:val="yellow"/>
        </w:rPr>
        <w:t xml:space="preserve"> pipette tip to backload the 2 µl of solution into the microinjection needle. Expel the liquid as close to the tip as possible.</w:t>
      </w:r>
    </w:p>
    <w:p w14:paraId="536D57D0" w14:textId="77777777" w:rsidR="009B58A7" w:rsidRPr="00A1728C" w:rsidRDefault="009B58A7" w:rsidP="00A1728C">
      <w:pPr>
        <w:pStyle w:val="ListParagraph"/>
        <w:rPr>
          <w:color w:val="auto"/>
          <w:highlight w:val="yellow"/>
        </w:rPr>
      </w:pPr>
    </w:p>
    <w:p w14:paraId="24CEB66F" w14:textId="67E49FD7" w:rsidR="009B58A7" w:rsidRPr="006D2519" w:rsidRDefault="009B58A7" w:rsidP="00A1728C">
      <w:pPr>
        <w:pStyle w:val="ListParagraph"/>
        <w:numPr>
          <w:ilvl w:val="2"/>
          <w:numId w:val="43"/>
        </w:numPr>
        <w:rPr>
          <w:b/>
          <w:color w:val="auto"/>
        </w:rPr>
      </w:pPr>
      <w:r w:rsidRPr="006D2519">
        <w:rPr>
          <w:color w:val="auto"/>
        </w:rPr>
        <w:t>Load needle into micromanipulator and set pressure settings (start with 775 p</w:t>
      </w:r>
      <w:r w:rsidRPr="006D2519">
        <w:rPr>
          <w:color w:val="auto"/>
          <w:vertAlign w:val="subscript"/>
        </w:rPr>
        <w:t>i</w:t>
      </w:r>
      <w:r w:rsidRPr="006D2519">
        <w:rPr>
          <w:color w:val="auto"/>
        </w:rPr>
        <w:t>, 0.1</w:t>
      </w:r>
      <w:r w:rsidR="00AB635C" w:rsidRPr="00623A4C">
        <w:rPr>
          <w:color w:val="auto"/>
        </w:rPr>
        <w:t>−</w:t>
      </w:r>
      <w:r w:rsidRPr="006D2519">
        <w:rPr>
          <w:color w:val="auto"/>
        </w:rPr>
        <w:t xml:space="preserve">0.2 </w:t>
      </w:r>
      <w:r w:rsidR="00AB635C" w:rsidRPr="00623A4C">
        <w:rPr>
          <w:color w:val="auto"/>
        </w:rPr>
        <w:t>s</w:t>
      </w:r>
      <w:r w:rsidRPr="006D2519">
        <w:rPr>
          <w:color w:val="auto"/>
        </w:rPr>
        <w:t>, and 8-12 p</w:t>
      </w:r>
      <w:r w:rsidRPr="006D2519">
        <w:rPr>
          <w:color w:val="auto"/>
          <w:vertAlign w:val="subscript"/>
        </w:rPr>
        <w:t>c</w:t>
      </w:r>
      <w:r w:rsidRPr="006D2519">
        <w:rPr>
          <w:color w:val="auto"/>
        </w:rPr>
        <w:t>).</w:t>
      </w:r>
    </w:p>
    <w:p w14:paraId="29397B12" w14:textId="77777777" w:rsidR="009B58A7" w:rsidRPr="00A1728C" w:rsidRDefault="009B58A7" w:rsidP="00A1728C">
      <w:pPr>
        <w:pStyle w:val="ListParagraph"/>
        <w:rPr>
          <w:color w:val="auto"/>
          <w:highlight w:val="yellow"/>
        </w:rPr>
      </w:pPr>
    </w:p>
    <w:p w14:paraId="1D33249A" w14:textId="128008FD" w:rsidR="009B58A7" w:rsidRPr="00A1728C" w:rsidRDefault="009B58A7" w:rsidP="00A1728C">
      <w:pPr>
        <w:pStyle w:val="ListParagraph"/>
        <w:numPr>
          <w:ilvl w:val="2"/>
          <w:numId w:val="43"/>
        </w:numPr>
        <w:rPr>
          <w:b/>
          <w:color w:val="auto"/>
          <w:highlight w:val="yellow"/>
        </w:rPr>
      </w:pPr>
      <w:r w:rsidRPr="00A1728C">
        <w:rPr>
          <w:color w:val="auto"/>
          <w:highlight w:val="yellow"/>
        </w:rPr>
        <w:t>Under the scope, use a pair of fine forceps to break the needle tip at a beveled angle. Break towards where the taper of the needle starts to have rigidity. It is best to break closer to the tip, test the size of the injection solution and then break further if necessary. The bore of the needle should remain as small as possible while maintaining a rigid taper (</w:t>
      </w:r>
      <w:r w:rsidR="00EA1C1D" w:rsidRPr="00EA1C1D">
        <w:rPr>
          <w:b/>
          <w:color w:val="auto"/>
          <w:highlight w:val="yellow"/>
        </w:rPr>
        <w:t>Figure 5A</w:t>
      </w:r>
      <w:r w:rsidRPr="00A1728C">
        <w:rPr>
          <w:color w:val="auto"/>
          <w:highlight w:val="yellow"/>
        </w:rPr>
        <w:t>).</w:t>
      </w:r>
    </w:p>
    <w:p w14:paraId="4E0FF13A" w14:textId="77777777" w:rsidR="009B58A7" w:rsidRPr="00A1728C" w:rsidRDefault="009B58A7" w:rsidP="00A1728C">
      <w:pPr>
        <w:pStyle w:val="ListParagraph"/>
        <w:rPr>
          <w:color w:val="auto"/>
          <w:highlight w:val="yellow"/>
        </w:rPr>
      </w:pPr>
    </w:p>
    <w:p w14:paraId="54A60A45" w14:textId="5A65A435" w:rsidR="009B58A7" w:rsidRPr="00624D7B" w:rsidRDefault="009B58A7" w:rsidP="00A1728C">
      <w:pPr>
        <w:pStyle w:val="ListParagraph"/>
        <w:numPr>
          <w:ilvl w:val="2"/>
          <w:numId w:val="43"/>
        </w:numPr>
        <w:rPr>
          <w:b/>
          <w:color w:val="auto"/>
        </w:rPr>
      </w:pPr>
      <w:r w:rsidRPr="006D2519">
        <w:rPr>
          <w:color w:val="auto"/>
        </w:rPr>
        <w:t>Use mineral oil and a micrometer to measure the size of the injection solution. 1</w:t>
      </w:r>
      <w:r w:rsidR="0088463F">
        <w:rPr>
          <w:color w:val="auto"/>
        </w:rPr>
        <w:t>–</w:t>
      </w:r>
      <w:r w:rsidRPr="006D2519">
        <w:rPr>
          <w:color w:val="auto"/>
        </w:rPr>
        <w:t xml:space="preserve">2 </w:t>
      </w:r>
      <w:proofErr w:type="spellStart"/>
      <w:r w:rsidRPr="006D2519">
        <w:rPr>
          <w:color w:val="auto"/>
        </w:rPr>
        <w:t>nL</w:t>
      </w:r>
      <w:proofErr w:type="spellEnd"/>
      <w:r w:rsidRPr="006D2519">
        <w:rPr>
          <w:color w:val="auto"/>
        </w:rPr>
        <w:t xml:space="preserve"> is </w:t>
      </w:r>
      <w:r w:rsidRPr="00624D7B">
        <w:rPr>
          <w:color w:val="auto"/>
        </w:rPr>
        <w:t xml:space="preserve">typically used; 0.1 mm diameter is 0.5 </w:t>
      </w:r>
      <w:proofErr w:type="spellStart"/>
      <w:r w:rsidRPr="00624D7B">
        <w:rPr>
          <w:color w:val="auto"/>
        </w:rPr>
        <w:t>nL</w:t>
      </w:r>
      <w:proofErr w:type="spellEnd"/>
      <w:r w:rsidRPr="00624D7B">
        <w:rPr>
          <w:color w:val="auto"/>
        </w:rPr>
        <w:t xml:space="preserve">. </w:t>
      </w:r>
    </w:p>
    <w:p w14:paraId="00E4EEDC" w14:textId="77777777" w:rsidR="009B58A7" w:rsidRPr="00624D7B" w:rsidRDefault="009B58A7" w:rsidP="00A1728C">
      <w:pPr>
        <w:pStyle w:val="ListParagraph"/>
        <w:rPr>
          <w:color w:val="auto"/>
        </w:rPr>
      </w:pPr>
    </w:p>
    <w:p w14:paraId="69AC0FB6" w14:textId="20C3991F" w:rsidR="009B58A7" w:rsidRPr="00624D7B" w:rsidRDefault="009B58A7" w:rsidP="00A1728C">
      <w:pPr>
        <w:pStyle w:val="ListParagraph"/>
        <w:numPr>
          <w:ilvl w:val="2"/>
          <w:numId w:val="43"/>
        </w:numPr>
        <w:rPr>
          <w:b/>
          <w:color w:val="auto"/>
        </w:rPr>
      </w:pPr>
      <w:r w:rsidRPr="00624D7B">
        <w:rPr>
          <w:color w:val="auto"/>
        </w:rPr>
        <w:t xml:space="preserve">Adjust </w:t>
      </w:r>
      <w:r w:rsidR="00AB635C">
        <w:rPr>
          <w:color w:val="auto"/>
        </w:rPr>
        <w:t xml:space="preserve">the </w:t>
      </w:r>
      <w:r w:rsidRPr="00624D7B">
        <w:rPr>
          <w:color w:val="auto"/>
        </w:rPr>
        <w:t>needle tip or pressure settings to get an injection volume within specifications.</w:t>
      </w:r>
      <w:r w:rsidRPr="00624D7B">
        <w:rPr>
          <w:color w:val="auto"/>
        </w:rPr>
        <w:br/>
      </w:r>
    </w:p>
    <w:p w14:paraId="27116EF4" w14:textId="48D4DC23" w:rsidR="009B58A7" w:rsidRPr="00853596" w:rsidRDefault="009B58A7" w:rsidP="000F1CEB">
      <w:pPr>
        <w:pStyle w:val="ListParagraph"/>
        <w:numPr>
          <w:ilvl w:val="1"/>
          <w:numId w:val="43"/>
        </w:numPr>
        <w:rPr>
          <w:bCs/>
          <w:color w:val="auto"/>
          <w:highlight w:val="yellow"/>
        </w:rPr>
      </w:pPr>
      <w:r w:rsidRPr="000F1CEB">
        <w:rPr>
          <w:bCs/>
          <w:color w:val="auto"/>
          <w:highlight w:val="yellow"/>
        </w:rPr>
        <w:t xml:space="preserve">Identify developing </w:t>
      </w:r>
      <w:r w:rsidR="000D4135" w:rsidRPr="000F1CEB">
        <w:rPr>
          <w:bCs/>
          <w:color w:val="auto"/>
          <w:highlight w:val="yellow"/>
        </w:rPr>
        <w:t xml:space="preserve">zygotes </w:t>
      </w:r>
      <w:r w:rsidRPr="000F1CEB">
        <w:rPr>
          <w:bCs/>
          <w:color w:val="auto"/>
          <w:highlight w:val="yellow"/>
        </w:rPr>
        <w:t>and prepare injection stage</w:t>
      </w:r>
      <w:r w:rsidRPr="00623A4C">
        <w:rPr>
          <w:bCs/>
          <w:color w:val="auto"/>
          <w:highlight w:val="yellow"/>
        </w:rPr>
        <w:t xml:space="preserve">. </w:t>
      </w:r>
      <w:r w:rsidRPr="00853596">
        <w:rPr>
          <w:color w:val="auto"/>
        </w:rPr>
        <w:t xml:space="preserve">Set up </w:t>
      </w:r>
      <w:r w:rsidR="00AB635C" w:rsidRPr="00853596">
        <w:rPr>
          <w:color w:val="auto"/>
        </w:rPr>
        <w:t xml:space="preserve">the </w:t>
      </w:r>
      <w:r w:rsidRPr="00853596">
        <w:rPr>
          <w:color w:val="auto"/>
        </w:rPr>
        <w:t xml:space="preserve">injection stage. Take a 100 mm diameter </w:t>
      </w:r>
      <w:r w:rsidR="00AB635C" w:rsidRPr="00853596">
        <w:rPr>
          <w:rFonts w:asciiTheme="minorHAnsi" w:hAnsiTheme="minorHAnsi"/>
        </w:rPr>
        <w:t>Petri</w:t>
      </w:r>
      <w:r w:rsidRPr="00853596">
        <w:rPr>
          <w:color w:val="auto"/>
        </w:rPr>
        <w:t xml:space="preserve"> dish. Invert </w:t>
      </w:r>
      <w:r w:rsidR="00AB635C" w:rsidRPr="00853596">
        <w:rPr>
          <w:color w:val="auto"/>
        </w:rPr>
        <w:t xml:space="preserve">the </w:t>
      </w:r>
      <w:r w:rsidRPr="00853596">
        <w:rPr>
          <w:color w:val="auto"/>
        </w:rPr>
        <w:t>bottom and place under the inverted top. Place a glass microscope slide within the inverted top. Depending on how your micromanipulator is mounted to the scope, the added height from the inverted base may be unnecessary.</w:t>
      </w:r>
    </w:p>
    <w:p w14:paraId="62DA5B28" w14:textId="77777777" w:rsidR="009B58A7" w:rsidRPr="006D2519" w:rsidRDefault="009B58A7" w:rsidP="00A1728C">
      <w:pPr>
        <w:pStyle w:val="ListParagraph"/>
        <w:ind w:left="1260"/>
        <w:rPr>
          <w:b/>
          <w:color w:val="auto"/>
        </w:rPr>
      </w:pPr>
    </w:p>
    <w:p w14:paraId="6DE80989" w14:textId="7B5449B0" w:rsidR="009B58A7" w:rsidRPr="006D2519" w:rsidRDefault="00AB635C" w:rsidP="00A1728C">
      <w:pPr>
        <w:pStyle w:val="ListParagraph"/>
        <w:numPr>
          <w:ilvl w:val="2"/>
          <w:numId w:val="43"/>
        </w:numPr>
        <w:rPr>
          <w:b/>
          <w:color w:val="auto"/>
        </w:rPr>
      </w:pPr>
      <w:r w:rsidRPr="006D2519">
        <w:rPr>
          <w:color w:val="auto"/>
        </w:rPr>
        <w:t xml:space="preserve">Look </w:t>
      </w:r>
      <w:r w:rsidR="009B58A7" w:rsidRPr="006D2519">
        <w:rPr>
          <w:color w:val="auto"/>
        </w:rPr>
        <w:t xml:space="preserve">at </w:t>
      </w:r>
      <w:r>
        <w:rPr>
          <w:color w:val="auto"/>
        </w:rPr>
        <w:t xml:space="preserve">the </w:t>
      </w:r>
      <w:r w:rsidR="009B58A7" w:rsidRPr="006D2519">
        <w:rPr>
          <w:color w:val="auto"/>
        </w:rPr>
        <w:t xml:space="preserve">developing </w:t>
      </w:r>
      <w:r w:rsidR="000D4135" w:rsidRPr="006D2519">
        <w:rPr>
          <w:color w:val="auto"/>
        </w:rPr>
        <w:t xml:space="preserve">eggs </w:t>
      </w:r>
      <w:r w:rsidR="009B58A7" w:rsidRPr="006D2519">
        <w:rPr>
          <w:color w:val="auto"/>
        </w:rPr>
        <w:t xml:space="preserve">and identify presumed fertilized </w:t>
      </w:r>
      <w:r w:rsidR="000D4135" w:rsidRPr="006D2519">
        <w:rPr>
          <w:color w:val="auto"/>
        </w:rPr>
        <w:t>zygotes</w:t>
      </w:r>
      <w:r>
        <w:rPr>
          <w:color w:val="auto"/>
        </w:rPr>
        <w:t xml:space="preserve"> </w:t>
      </w:r>
      <w:r w:rsidRPr="006D2519">
        <w:rPr>
          <w:color w:val="auto"/>
        </w:rPr>
        <w:t>50</w:t>
      </w:r>
      <w:r>
        <w:rPr>
          <w:color w:val="auto"/>
        </w:rPr>
        <w:t>–</w:t>
      </w:r>
      <w:r w:rsidRPr="006D2519">
        <w:rPr>
          <w:color w:val="auto"/>
        </w:rPr>
        <w:t>60 min after IVF</w:t>
      </w:r>
      <w:r w:rsidR="009B58A7" w:rsidRPr="006D2519">
        <w:rPr>
          <w:color w:val="auto"/>
        </w:rPr>
        <w:t>. The animal pole will begin to form and there will be an excess of small fat droplets around the yolk/animal cell interface (</w:t>
      </w:r>
      <w:r w:rsidR="00EA1C1D" w:rsidRPr="00EA1C1D">
        <w:rPr>
          <w:b/>
          <w:color w:val="auto"/>
        </w:rPr>
        <w:t>Figure 6</w:t>
      </w:r>
      <w:r w:rsidR="009B58A7" w:rsidRPr="006D2519">
        <w:rPr>
          <w:color w:val="auto"/>
        </w:rPr>
        <w:t>).</w:t>
      </w:r>
    </w:p>
    <w:p w14:paraId="79C2BE35" w14:textId="77777777" w:rsidR="009B58A7" w:rsidRPr="00A1728C" w:rsidRDefault="009B58A7" w:rsidP="00A1728C">
      <w:pPr>
        <w:pStyle w:val="ListParagraph"/>
        <w:rPr>
          <w:color w:val="auto"/>
          <w:highlight w:val="yellow"/>
        </w:rPr>
      </w:pPr>
    </w:p>
    <w:p w14:paraId="3F07F7C2" w14:textId="6D302947" w:rsidR="009B58A7" w:rsidRPr="00A1728C" w:rsidRDefault="009B58A7" w:rsidP="00A1728C">
      <w:pPr>
        <w:pStyle w:val="ListParagraph"/>
        <w:numPr>
          <w:ilvl w:val="2"/>
          <w:numId w:val="43"/>
        </w:numPr>
        <w:rPr>
          <w:b/>
          <w:color w:val="auto"/>
          <w:highlight w:val="yellow"/>
        </w:rPr>
      </w:pPr>
      <w:r w:rsidRPr="00A1728C">
        <w:rPr>
          <w:color w:val="auto"/>
          <w:highlight w:val="yellow"/>
        </w:rPr>
        <w:t>Collect 10</w:t>
      </w:r>
      <w:r w:rsidR="0088463F">
        <w:rPr>
          <w:color w:val="auto"/>
          <w:highlight w:val="yellow"/>
        </w:rPr>
        <w:t>–</w:t>
      </w:r>
      <w:r w:rsidRPr="00A1728C">
        <w:rPr>
          <w:color w:val="auto"/>
          <w:highlight w:val="yellow"/>
        </w:rPr>
        <w:t xml:space="preserve">20 eggs with as little water as possible using a plastic transfer pipette (cut the tip slightly to allow eggs to pass) and place onto the edge of the slide. Water will be wicked under the slide and pull eggs against the edge. </w:t>
      </w:r>
    </w:p>
    <w:p w14:paraId="2FB894BC" w14:textId="77777777" w:rsidR="009B58A7" w:rsidRPr="00A1728C" w:rsidRDefault="009B58A7" w:rsidP="00A1728C">
      <w:pPr>
        <w:pStyle w:val="ListParagraph"/>
        <w:rPr>
          <w:color w:val="auto"/>
          <w:highlight w:val="yellow"/>
        </w:rPr>
      </w:pPr>
    </w:p>
    <w:p w14:paraId="572EC02B" w14:textId="4765CF96" w:rsidR="009B58A7" w:rsidRPr="00A1728C" w:rsidRDefault="009B58A7" w:rsidP="00A1728C">
      <w:pPr>
        <w:pStyle w:val="ListParagraph"/>
        <w:numPr>
          <w:ilvl w:val="2"/>
          <w:numId w:val="43"/>
        </w:numPr>
        <w:rPr>
          <w:b/>
          <w:color w:val="auto"/>
          <w:highlight w:val="yellow"/>
        </w:rPr>
      </w:pPr>
      <w:r w:rsidRPr="00A1728C">
        <w:rPr>
          <w:color w:val="auto"/>
          <w:highlight w:val="yellow"/>
        </w:rPr>
        <w:t xml:space="preserve">Use a </w:t>
      </w:r>
      <w:r w:rsidR="00E52EE7" w:rsidRPr="00A1728C">
        <w:rPr>
          <w:color w:val="auto"/>
          <w:highlight w:val="yellow"/>
        </w:rPr>
        <w:t>delicate task wipe</w:t>
      </w:r>
      <w:r w:rsidRPr="00A1728C">
        <w:rPr>
          <w:color w:val="auto"/>
          <w:highlight w:val="yellow"/>
        </w:rPr>
        <w:t xml:space="preserve"> and gently press the slide to remove excess water and allow the eggs to firmly adhere to the edge of the slide. There should be just enough water to keep </w:t>
      </w:r>
      <w:r w:rsidR="00AB635C">
        <w:rPr>
          <w:color w:val="auto"/>
          <w:highlight w:val="yellow"/>
        </w:rPr>
        <w:t xml:space="preserve">the </w:t>
      </w:r>
      <w:r w:rsidRPr="00A1728C">
        <w:rPr>
          <w:color w:val="auto"/>
          <w:highlight w:val="yellow"/>
        </w:rPr>
        <w:t>eggs moist while maintaining little standing moisture to avoid egg movement during injection.</w:t>
      </w:r>
    </w:p>
    <w:p w14:paraId="378F2396" w14:textId="77777777" w:rsidR="009B58A7" w:rsidRPr="00A1728C" w:rsidRDefault="009B58A7" w:rsidP="00A1728C">
      <w:pPr>
        <w:rPr>
          <w:b/>
          <w:color w:val="auto"/>
          <w:highlight w:val="yellow"/>
        </w:rPr>
      </w:pPr>
    </w:p>
    <w:p w14:paraId="095515E6" w14:textId="50A2D8CB" w:rsidR="009B58A7" w:rsidRPr="000F1CEB" w:rsidRDefault="009B58A7" w:rsidP="00A1728C">
      <w:pPr>
        <w:pStyle w:val="ListParagraph"/>
        <w:numPr>
          <w:ilvl w:val="1"/>
          <w:numId w:val="43"/>
        </w:numPr>
        <w:rPr>
          <w:bCs/>
          <w:color w:val="auto"/>
          <w:highlight w:val="yellow"/>
        </w:rPr>
      </w:pPr>
      <w:r w:rsidRPr="000F1CEB">
        <w:rPr>
          <w:bCs/>
          <w:color w:val="auto"/>
          <w:highlight w:val="yellow"/>
        </w:rPr>
        <w:t>Inject directly into single cell</w:t>
      </w:r>
      <w:r w:rsidR="00AB635C">
        <w:rPr>
          <w:bCs/>
          <w:color w:val="auto"/>
          <w:highlight w:val="yellow"/>
        </w:rPr>
        <w:t>.</w:t>
      </w:r>
    </w:p>
    <w:p w14:paraId="2035DB51" w14:textId="77777777" w:rsidR="009B58A7" w:rsidRPr="00A1728C" w:rsidRDefault="009B58A7" w:rsidP="00A1728C">
      <w:pPr>
        <w:pStyle w:val="ListParagraph"/>
        <w:ind w:left="840"/>
        <w:rPr>
          <w:b/>
          <w:color w:val="auto"/>
          <w:highlight w:val="yellow"/>
        </w:rPr>
      </w:pPr>
    </w:p>
    <w:p w14:paraId="4D2B8632" w14:textId="7CD51A76" w:rsidR="009B58A7" w:rsidRPr="00A1728C" w:rsidRDefault="009B58A7" w:rsidP="00A1728C">
      <w:pPr>
        <w:pStyle w:val="ListParagraph"/>
        <w:numPr>
          <w:ilvl w:val="2"/>
          <w:numId w:val="43"/>
        </w:numPr>
        <w:rPr>
          <w:b/>
          <w:color w:val="auto"/>
          <w:highlight w:val="yellow"/>
        </w:rPr>
      </w:pPr>
      <w:r w:rsidRPr="00A1728C">
        <w:rPr>
          <w:color w:val="auto"/>
          <w:highlight w:val="yellow"/>
        </w:rPr>
        <w:t>Align the eggs against the slide vertically, perpendicular to the approaching needle (</w:t>
      </w:r>
      <w:r w:rsidR="00EA1C1D" w:rsidRPr="00EA1C1D">
        <w:rPr>
          <w:b/>
          <w:color w:val="auto"/>
          <w:highlight w:val="yellow"/>
        </w:rPr>
        <w:t>Figure 5B</w:t>
      </w:r>
      <w:r w:rsidRPr="00A1728C">
        <w:rPr>
          <w:color w:val="auto"/>
          <w:highlight w:val="yellow"/>
        </w:rPr>
        <w:t>).</w:t>
      </w:r>
    </w:p>
    <w:p w14:paraId="19C808DA" w14:textId="77777777" w:rsidR="009B58A7" w:rsidRPr="00A1728C" w:rsidRDefault="009B58A7" w:rsidP="00A1728C">
      <w:pPr>
        <w:pStyle w:val="ListParagraph"/>
        <w:ind w:left="1170"/>
        <w:rPr>
          <w:b/>
          <w:color w:val="auto"/>
          <w:highlight w:val="yellow"/>
        </w:rPr>
      </w:pPr>
    </w:p>
    <w:p w14:paraId="2A08611F" w14:textId="6B9BE80F" w:rsidR="009B58A7" w:rsidRPr="00A1728C" w:rsidRDefault="009B58A7" w:rsidP="00A1728C">
      <w:pPr>
        <w:pStyle w:val="ListParagraph"/>
        <w:numPr>
          <w:ilvl w:val="2"/>
          <w:numId w:val="43"/>
        </w:numPr>
        <w:rPr>
          <w:b/>
          <w:color w:val="auto"/>
          <w:highlight w:val="yellow"/>
        </w:rPr>
      </w:pPr>
      <w:r w:rsidRPr="00A1728C">
        <w:rPr>
          <w:color w:val="auto"/>
          <w:highlight w:val="yellow"/>
        </w:rPr>
        <w:lastRenderedPageBreak/>
        <w:t>Using the micromanipulator, position the needle against the chorion. At roughly a 45° angle, insert the needle into the chorion, and then into the single cell. It can be helpful to enter the single cell through the yolk. Moving both the injection stage with the free hand and the micromanipulator may provide more control over the injection process (</w:t>
      </w:r>
      <w:r w:rsidR="00EA1C1D" w:rsidRPr="00EA1C1D">
        <w:rPr>
          <w:b/>
          <w:color w:val="auto"/>
          <w:highlight w:val="yellow"/>
        </w:rPr>
        <w:t>Figure 5B</w:t>
      </w:r>
      <w:r w:rsidRPr="00A1728C">
        <w:rPr>
          <w:color w:val="auto"/>
          <w:highlight w:val="yellow"/>
        </w:rPr>
        <w:t>).</w:t>
      </w:r>
    </w:p>
    <w:p w14:paraId="1E82B882" w14:textId="77777777" w:rsidR="009B58A7" w:rsidRPr="00EA1C1D" w:rsidRDefault="009B58A7" w:rsidP="00EA1C1D">
      <w:pPr>
        <w:pStyle w:val="ListParagraph"/>
        <w:widowControl/>
        <w:ind w:left="0"/>
        <w:jc w:val="left"/>
        <w:rPr>
          <w:color w:val="auto"/>
          <w:highlight w:val="yellow"/>
        </w:rPr>
      </w:pPr>
    </w:p>
    <w:p w14:paraId="17ED0954" w14:textId="17BB9F8E" w:rsidR="009B58A7" w:rsidRPr="00A1728C" w:rsidRDefault="009B58A7" w:rsidP="00A1728C">
      <w:pPr>
        <w:pStyle w:val="ListParagraph"/>
        <w:numPr>
          <w:ilvl w:val="2"/>
          <w:numId w:val="43"/>
        </w:numPr>
        <w:rPr>
          <w:b/>
          <w:color w:val="auto"/>
          <w:highlight w:val="yellow"/>
        </w:rPr>
      </w:pPr>
      <w:r w:rsidRPr="00A1728C">
        <w:rPr>
          <w:color w:val="auto"/>
          <w:highlight w:val="yellow"/>
        </w:rPr>
        <w:t xml:space="preserve">Inject sgRNA/Cas9/phenol red solution into the single cell. Carefully remove the needle. Proceed to the next </w:t>
      </w:r>
      <w:r w:rsidR="006A334E" w:rsidRPr="00A1728C">
        <w:rPr>
          <w:color w:val="auto"/>
          <w:highlight w:val="yellow"/>
        </w:rPr>
        <w:t xml:space="preserve">egg </w:t>
      </w:r>
      <w:r w:rsidRPr="00A1728C">
        <w:rPr>
          <w:color w:val="auto"/>
          <w:highlight w:val="yellow"/>
        </w:rPr>
        <w:t>and repeat steps 5.4.1</w:t>
      </w:r>
      <w:r w:rsidR="0088463F">
        <w:rPr>
          <w:color w:val="auto"/>
          <w:highlight w:val="yellow"/>
        </w:rPr>
        <w:t>–</w:t>
      </w:r>
      <w:r w:rsidRPr="00A1728C">
        <w:rPr>
          <w:color w:val="auto"/>
          <w:highlight w:val="yellow"/>
        </w:rPr>
        <w:t>5.4.3 until all eggs are injected.</w:t>
      </w:r>
    </w:p>
    <w:p w14:paraId="7B8B9488" w14:textId="77777777" w:rsidR="009B58A7" w:rsidRPr="00A1728C" w:rsidRDefault="009B58A7" w:rsidP="00A1728C">
      <w:pPr>
        <w:pStyle w:val="ListParagraph"/>
        <w:rPr>
          <w:color w:val="auto"/>
          <w:highlight w:val="yellow"/>
        </w:rPr>
      </w:pPr>
    </w:p>
    <w:p w14:paraId="7F06A590" w14:textId="572282DB" w:rsidR="009B58A7" w:rsidRPr="00853596" w:rsidRDefault="009B58A7" w:rsidP="009F36EF">
      <w:pPr>
        <w:pStyle w:val="ListParagraph"/>
        <w:numPr>
          <w:ilvl w:val="2"/>
          <w:numId w:val="43"/>
        </w:numPr>
        <w:rPr>
          <w:b/>
          <w:color w:val="auto"/>
          <w:highlight w:val="yellow"/>
        </w:rPr>
      </w:pPr>
      <w:r w:rsidRPr="00A1728C">
        <w:rPr>
          <w:color w:val="auto"/>
          <w:highlight w:val="yellow"/>
        </w:rPr>
        <w:t xml:space="preserve">Remove </w:t>
      </w:r>
      <w:r w:rsidRPr="00B57718">
        <w:rPr>
          <w:color w:val="auto"/>
          <w:highlight w:val="yellow"/>
        </w:rPr>
        <w:t>any eggs broken during injection with fine forceps.</w:t>
      </w:r>
      <w:r w:rsidR="00853596" w:rsidRPr="00B57718">
        <w:rPr>
          <w:color w:val="auto"/>
          <w:highlight w:val="yellow"/>
        </w:rPr>
        <w:t xml:space="preserve"> </w:t>
      </w:r>
      <w:r w:rsidRPr="00B57718">
        <w:rPr>
          <w:color w:val="auto"/>
          <w:highlight w:val="yellow"/>
        </w:rPr>
        <w:t>Use</w:t>
      </w:r>
      <w:r w:rsidR="000D4135" w:rsidRPr="00B57718">
        <w:rPr>
          <w:color w:val="auto"/>
          <w:highlight w:val="yellow"/>
        </w:rPr>
        <w:t xml:space="preserve"> 0.22 µm</w:t>
      </w:r>
      <w:r w:rsidR="00F94BA1" w:rsidRPr="00B57718">
        <w:rPr>
          <w:color w:val="auto"/>
          <w:highlight w:val="yellow"/>
        </w:rPr>
        <w:t xml:space="preserve"> </w:t>
      </w:r>
      <w:r w:rsidR="004B4BAC" w:rsidRPr="00B57718">
        <w:rPr>
          <w:color w:val="auto"/>
          <w:highlight w:val="yellow"/>
        </w:rPr>
        <w:t xml:space="preserve">of </w:t>
      </w:r>
      <w:r w:rsidRPr="00B57718">
        <w:rPr>
          <w:color w:val="auto"/>
          <w:highlight w:val="yellow"/>
        </w:rPr>
        <w:t xml:space="preserve">filtered system water in a squirt bottle to gently remove eggs from the injection stage into a new 100 mm diameter </w:t>
      </w:r>
      <w:r w:rsidR="004B4BAC" w:rsidRPr="00B57718">
        <w:rPr>
          <w:rFonts w:asciiTheme="minorHAnsi" w:hAnsiTheme="minorHAnsi"/>
          <w:highlight w:val="yellow"/>
        </w:rPr>
        <w:t>Petri</w:t>
      </w:r>
      <w:r w:rsidRPr="00B57718">
        <w:rPr>
          <w:color w:val="auto"/>
          <w:highlight w:val="yellow"/>
        </w:rPr>
        <w:t xml:space="preserve"> dish.</w:t>
      </w:r>
    </w:p>
    <w:p w14:paraId="3D0A7F5F" w14:textId="77777777" w:rsidR="009B58A7" w:rsidRPr="00A1728C" w:rsidRDefault="009B58A7" w:rsidP="00A1728C">
      <w:pPr>
        <w:pStyle w:val="ListParagraph"/>
        <w:rPr>
          <w:color w:val="auto"/>
          <w:highlight w:val="yellow"/>
        </w:rPr>
      </w:pPr>
    </w:p>
    <w:p w14:paraId="56C5354E" w14:textId="6B844BF7" w:rsidR="009B58A7" w:rsidRPr="006D2519" w:rsidRDefault="009B58A7" w:rsidP="00A1728C">
      <w:pPr>
        <w:pStyle w:val="ListParagraph"/>
        <w:numPr>
          <w:ilvl w:val="2"/>
          <w:numId w:val="43"/>
        </w:numPr>
        <w:rPr>
          <w:b/>
          <w:color w:val="auto"/>
        </w:rPr>
      </w:pPr>
      <w:r w:rsidRPr="006D2519">
        <w:rPr>
          <w:color w:val="auto"/>
        </w:rPr>
        <w:t>Repeat steps 5.3.3</w:t>
      </w:r>
      <w:r w:rsidR="0088463F">
        <w:rPr>
          <w:color w:val="auto"/>
        </w:rPr>
        <w:t>–</w:t>
      </w:r>
      <w:r w:rsidRPr="006D2519">
        <w:rPr>
          <w:color w:val="auto"/>
        </w:rPr>
        <w:t xml:space="preserve">5.4.6 until all eggs have been injected or </w:t>
      </w:r>
      <w:r w:rsidR="006A334E" w:rsidRPr="006D2519">
        <w:rPr>
          <w:color w:val="auto"/>
        </w:rPr>
        <w:t>have developed to</w:t>
      </w:r>
      <w:r w:rsidRPr="006D2519">
        <w:rPr>
          <w:color w:val="auto"/>
        </w:rPr>
        <w:t xml:space="preserve"> the </w:t>
      </w:r>
      <w:r w:rsidR="004B4BAC" w:rsidRPr="00623A4C">
        <w:rPr>
          <w:color w:val="auto"/>
        </w:rPr>
        <w:t>two</w:t>
      </w:r>
      <w:r w:rsidRPr="006D2519">
        <w:rPr>
          <w:color w:val="auto"/>
        </w:rPr>
        <w:t>-cell stage. Make sure to set aside approximately 20 presumed fertilized eggs as a no</w:t>
      </w:r>
      <w:r w:rsidR="004B4BAC">
        <w:rPr>
          <w:color w:val="auto"/>
        </w:rPr>
        <w:t>-</w:t>
      </w:r>
      <w:r w:rsidRPr="006D2519">
        <w:rPr>
          <w:color w:val="auto"/>
        </w:rPr>
        <w:t>injection control to determine fertilization rates and injection success</w:t>
      </w:r>
      <w:r w:rsidR="004B4BAC">
        <w:rPr>
          <w:color w:val="auto"/>
        </w:rPr>
        <w:t>.</w:t>
      </w:r>
      <w:r w:rsidR="006A334E" w:rsidRPr="006D2519">
        <w:rPr>
          <w:color w:val="auto"/>
        </w:rPr>
        <w:t xml:space="preserve"> </w:t>
      </w:r>
      <w:r w:rsidR="004B4BAC" w:rsidRPr="006D2519">
        <w:rPr>
          <w:color w:val="auto"/>
        </w:rPr>
        <w:t xml:space="preserve">For </w:t>
      </w:r>
      <w:r w:rsidR="006A334E" w:rsidRPr="006D2519">
        <w:rPr>
          <w:color w:val="auto"/>
        </w:rPr>
        <w:t xml:space="preserve">larger clutches use </w:t>
      </w:r>
      <w:proofErr w:type="spellStart"/>
      <w:r w:rsidR="006A334E" w:rsidRPr="006D2519">
        <w:rPr>
          <w:color w:val="auto"/>
        </w:rPr>
        <w:t>uninjected</w:t>
      </w:r>
      <w:proofErr w:type="spellEnd"/>
      <w:r w:rsidR="006A334E" w:rsidRPr="006D2519">
        <w:rPr>
          <w:color w:val="auto"/>
        </w:rPr>
        <w:t xml:space="preserve"> embryos that have developed to the </w:t>
      </w:r>
      <w:r w:rsidR="004B4BAC" w:rsidRPr="00623A4C">
        <w:rPr>
          <w:color w:val="auto"/>
        </w:rPr>
        <w:t>two</w:t>
      </w:r>
      <w:r w:rsidR="00150BF6" w:rsidRPr="006D2519">
        <w:rPr>
          <w:color w:val="auto"/>
        </w:rPr>
        <w:t>-</w:t>
      </w:r>
      <w:r w:rsidR="006A334E" w:rsidRPr="006D2519">
        <w:rPr>
          <w:color w:val="auto"/>
        </w:rPr>
        <w:t>cell stage</w:t>
      </w:r>
      <w:r w:rsidR="004B4BAC">
        <w:rPr>
          <w:color w:val="auto"/>
        </w:rPr>
        <w:t>,</w:t>
      </w:r>
      <w:r w:rsidR="006A334E" w:rsidRPr="006D2519">
        <w:rPr>
          <w:color w:val="auto"/>
        </w:rPr>
        <w:t xml:space="preserve"> and for smaller clutches set aside presumed fertilized eggs</w:t>
      </w:r>
      <w:r w:rsidRPr="006D2519">
        <w:rPr>
          <w:color w:val="auto"/>
        </w:rPr>
        <w:t xml:space="preserve">. </w:t>
      </w:r>
    </w:p>
    <w:p w14:paraId="669ACA59" w14:textId="77777777" w:rsidR="009B58A7" w:rsidRPr="006D2519" w:rsidRDefault="009B58A7" w:rsidP="00A1728C">
      <w:pPr>
        <w:pStyle w:val="ListParagraph"/>
        <w:rPr>
          <w:color w:val="auto"/>
        </w:rPr>
      </w:pPr>
    </w:p>
    <w:p w14:paraId="33BDE940" w14:textId="61658013" w:rsidR="009B58A7" w:rsidRPr="00853596" w:rsidRDefault="009B58A7" w:rsidP="009F36EF">
      <w:pPr>
        <w:pStyle w:val="ListParagraph"/>
        <w:numPr>
          <w:ilvl w:val="2"/>
          <w:numId w:val="43"/>
        </w:numPr>
        <w:rPr>
          <w:b/>
          <w:color w:val="auto"/>
        </w:rPr>
      </w:pPr>
      <w:r w:rsidRPr="006D2519">
        <w:rPr>
          <w:color w:val="auto"/>
        </w:rPr>
        <w:t>Additionally, consider a sgRNA/injection control by injecting 15</w:t>
      </w:r>
      <w:r w:rsidR="0088463F">
        <w:rPr>
          <w:color w:val="auto"/>
        </w:rPr>
        <w:t>–</w:t>
      </w:r>
      <w:r w:rsidRPr="006D2519">
        <w:rPr>
          <w:color w:val="auto"/>
        </w:rPr>
        <w:t>25 embryos with Cas9 complexed with an sgRNA against a gene that is not present in the genome</w:t>
      </w:r>
      <w:r w:rsidR="004B4BAC">
        <w:rPr>
          <w:color w:val="auto"/>
        </w:rPr>
        <w:t>.</w:t>
      </w:r>
      <w:r w:rsidRPr="006D2519">
        <w:rPr>
          <w:color w:val="auto"/>
        </w:rPr>
        <w:t xml:space="preserve"> </w:t>
      </w:r>
      <w:r w:rsidR="004B4BAC">
        <w:rPr>
          <w:color w:val="auto"/>
        </w:rPr>
        <w:t xml:space="preserve">The </w:t>
      </w:r>
      <w:r w:rsidR="004B4BAC" w:rsidRPr="00623A4C">
        <w:rPr>
          <w:iCs/>
          <w:color w:val="auto"/>
        </w:rPr>
        <w:t>GFP</w:t>
      </w:r>
      <w:r w:rsidR="004B4BAC" w:rsidRPr="006D2519">
        <w:rPr>
          <w:color w:val="auto"/>
        </w:rPr>
        <w:t xml:space="preserve"> </w:t>
      </w:r>
      <w:r w:rsidRPr="006D2519">
        <w:rPr>
          <w:color w:val="auto"/>
        </w:rPr>
        <w:t>gene recommended for wild type embryos.</w:t>
      </w:r>
      <w:r w:rsidR="00853596">
        <w:rPr>
          <w:color w:val="auto"/>
        </w:rPr>
        <w:t xml:space="preserve"> </w:t>
      </w:r>
      <w:r w:rsidRPr="00853596">
        <w:rPr>
          <w:color w:val="auto"/>
        </w:rPr>
        <w:t>Record the number of eggs, parents, IVF time</w:t>
      </w:r>
      <w:r w:rsidR="004B4BAC" w:rsidRPr="00853596">
        <w:rPr>
          <w:color w:val="auto"/>
        </w:rPr>
        <w:t>,</w:t>
      </w:r>
      <w:r w:rsidRPr="00853596">
        <w:rPr>
          <w:color w:val="auto"/>
        </w:rPr>
        <w:t xml:space="preserve"> and date on each </w:t>
      </w:r>
      <w:r w:rsidR="004B4BAC" w:rsidRPr="00853596">
        <w:rPr>
          <w:rFonts w:asciiTheme="minorHAnsi" w:hAnsiTheme="minorHAnsi"/>
        </w:rPr>
        <w:t>Petri</w:t>
      </w:r>
      <w:r w:rsidRPr="00853596">
        <w:rPr>
          <w:color w:val="auto"/>
        </w:rPr>
        <w:t xml:space="preserve"> dish. Include sgRNA target or label as </w:t>
      </w:r>
      <w:proofErr w:type="spellStart"/>
      <w:r w:rsidRPr="00853596">
        <w:rPr>
          <w:color w:val="auto"/>
        </w:rPr>
        <w:t>uninjected</w:t>
      </w:r>
      <w:proofErr w:type="spellEnd"/>
      <w:r w:rsidRPr="00853596">
        <w:rPr>
          <w:color w:val="auto"/>
        </w:rPr>
        <w:t xml:space="preserve">. Move to </w:t>
      </w:r>
      <w:r w:rsidR="004B4BAC" w:rsidRPr="00853596">
        <w:rPr>
          <w:color w:val="auto"/>
        </w:rPr>
        <w:t xml:space="preserve">a </w:t>
      </w:r>
      <w:r w:rsidRPr="00853596">
        <w:rPr>
          <w:color w:val="auto"/>
        </w:rPr>
        <w:t>29 °C incubator</w:t>
      </w:r>
      <w:r w:rsidR="00A1728C" w:rsidRPr="00853596">
        <w:rPr>
          <w:color w:val="auto"/>
        </w:rPr>
        <w:t>.</w:t>
      </w:r>
    </w:p>
    <w:bookmarkEnd w:id="0"/>
    <w:p w14:paraId="17AA0861" w14:textId="77777777" w:rsidR="009B58A7" w:rsidRPr="00A1728C" w:rsidRDefault="009B58A7" w:rsidP="00A1728C">
      <w:pPr>
        <w:rPr>
          <w:b/>
          <w:color w:val="auto"/>
        </w:rPr>
      </w:pPr>
    </w:p>
    <w:p w14:paraId="711039B1" w14:textId="6DCEA59C" w:rsidR="009B58A7" w:rsidRDefault="009B58A7" w:rsidP="00A1728C">
      <w:pPr>
        <w:pStyle w:val="ListParagraph"/>
        <w:numPr>
          <w:ilvl w:val="0"/>
          <w:numId w:val="43"/>
        </w:numPr>
        <w:rPr>
          <w:b/>
          <w:color w:val="auto"/>
        </w:rPr>
      </w:pPr>
      <w:r w:rsidRPr="00A1728C">
        <w:rPr>
          <w:b/>
          <w:color w:val="auto"/>
        </w:rPr>
        <w:t xml:space="preserve">Animal </w:t>
      </w:r>
      <w:r w:rsidR="00C95895" w:rsidRPr="00A1728C">
        <w:rPr>
          <w:b/>
          <w:color w:val="auto"/>
        </w:rPr>
        <w:t>husbandry</w:t>
      </w:r>
    </w:p>
    <w:p w14:paraId="66E2228B" w14:textId="77777777" w:rsidR="00A1728C" w:rsidRPr="00A1728C" w:rsidRDefault="00A1728C" w:rsidP="00A1728C">
      <w:pPr>
        <w:pStyle w:val="ListParagraph"/>
        <w:ind w:left="0"/>
        <w:rPr>
          <w:b/>
          <w:color w:val="auto"/>
        </w:rPr>
      </w:pPr>
    </w:p>
    <w:p w14:paraId="16822DF2" w14:textId="10A209AB" w:rsidR="009B58A7" w:rsidRPr="000F1CEB" w:rsidRDefault="004B4BAC" w:rsidP="00A1728C">
      <w:pPr>
        <w:pStyle w:val="ListParagraph"/>
        <w:numPr>
          <w:ilvl w:val="1"/>
          <w:numId w:val="43"/>
        </w:numPr>
        <w:rPr>
          <w:bCs/>
          <w:color w:val="auto"/>
        </w:rPr>
      </w:pPr>
      <w:r w:rsidRPr="000F1CEB">
        <w:rPr>
          <w:bCs/>
          <w:color w:val="auto"/>
        </w:rPr>
        <w:t>Care for the eggs.</w:t>
      </w:r>
    </w:p>
    <w:p w14:paraId="1B294D18" w14:textId="77777777" w:rsidR="009B58A7" w:rsidRPr="00A1728C" w:rsidRDefault="009B58A7" w:rsidP="00A1728C">
      <w:pPr>
        <w:pStyle w:val="ListParagraph"/>
        <w:ind w:left="840"/>
        <w:rPr>
          <w:b/>
          <w:color w:val="auto"/>
        </w:rPr>
      </w:pPr>
    </w:p>
    <w:p w14:paraId="1A7F63B1" w14:textId="46D4ECB0" w:rsidR="009B58A7" w:rsidRPr="00A1728C" w:rsidRDefault="003830A4" w:rsidP="00A1728C">
      <w:pPr>
        <w:pStyle w:val="ListParagraph"/>
        <w:numPr>
          <w:ilvl w:val="2"/>
          <w:numId w:val="43"/>
        </w:numPr>
        <w:rPr>
          <w:b/>
          <w:color w:val="auto"/>
        </w:rPr>
      </w:pPr>
      <w:r w:rsidRPr="00A1728C">
        <w:rPr>
          <w:color w:val="auto"/>
        </w:rPr>
        <w:t xml:space="preserve">Check </w:t>
      </w:r>
      <w:r w:rsidR="009B58A7" w:rsidRPr="00A1728C">
        <w:rPr>
          <w:color w:val="auto"/>
        </w:rPr>
        <w:t>egg viability</w:t>
      </w:r>
      <w:r>
        <w:rPr>
          <w:color w:val="auto"/>
        </w:rPr>
        <w:t xml:space="preserve"> </w:t>
      </w:r>
      <w:r w:rsidRPr="00A1728C">
        <w:rPr>
          <w:color w:val="auto"/>
        </w:rPr>
        <w:t>4</w:t>
      </w:r>
      <w:r>
        <w:rPr>
          <w:color w:val="auto"/>
        </w:rPr>
        <w:t>–</w:t>
      </w:r>
      <w:r w:rsidRPr="00A1728C">
        <w:rPr>
          <w:color w:val="auto"/>
        </w:rPr>
        <w:t>6 h following injections</w:t>
      </w:r>
      <w:r w:rsidR="009B58A7" w:rsidRPr="00A1728C">
        <w:rPr>
          <w:color w:val="auto"/>
        </w:rPr>
        <w:t xml:space="preserve">. </w:t>
      </w:r>
    </w:p>
    <w:p w14:paraId="24204C34" w14:textId="77777777" w:rsidR="009B58A7" w:rsidRPr="00A1728C" w:rsidRDefault="009B58A7" w:rsidP="00A1728C">
      <w:pPr>
        <w:pStyle w:val="ListParagraph"/>
        <w:ind w:left="1170"/>
        <w:rPr>
          <w:b/>
          <w:color w:val="auto"/>
        </w:rPr>
      </w:pPr>
    </w:p>
    <w:p w14:paraId="700951B2" w14:textId="7A4070D1" w:rsidR="009B58A7" w:rsidRPr="00853596" w:rsidRDefault="009B58A7" w:rsidP="009F36EF">
      <w:pPr>
        <w:pStyle w:val="ListParagraph"/>
        <w:numPr>
          <w:ilvl w:val="2"/>
          <w:numId w:val="43"/>
        </w:numPr>
        <w:rPr>
          <w:b/>
          <w:color w:val="auto"/>
        </w:rPr>
      </w:pPr>
      <w:r w:rsidRPr="00A1728C">
        <w:rPr>
          <w:color w:val="auto"/>
        </w:rPr>
        <w:t xml:space="preserve">Record </w:t>
      </w:r>
      <w:r w:rsidR="003830A4">
        <w:rPr>
          <w:color w:val="auto"/>
        </w:rPr>
        <w:t xml:space="preserve">the </w:t>
      </w:r>
      <w:r w:rsidRPr="00A1728C">
        <w:rPr>
          <w:color w:val="auto"/>
        </w:rPr>
        <w:t>number</w:t>
      </w:r>
      <w:r w:rsidR="003830A4">
        <w:rPr>
          <w:color w:val="auto"/>
        </w:rPr>
        <w:t xml:space="preserve"> of</w:t>
      </w:r>
      <w:r w:rsidRPr="00A1728C">
        <w:rPr>
          <w:color w:val="auto"/>
        </w:rPr>
        <w:t xml:space="preserve"> dead</w:t>
      </w:r>
      <w:r w:rsidR="003830A4">
        <w:rPr>
          <w:color w:val="auto"/>
        </w:rPr>
        <w:t xml:space="preserve"> eggs</w:t>
      </w:r>
      <w:r w:rsidRPr="00A1728C">
        <w:rPr>
          <w:color w:val="auto"/>
        </w:rPr>
        <w:t>, as well as any that are unfertilized</w:t>
      </w:r>
      <w:r w:rsidR="003830A4">
        <w:rPr>
          <w:color w:val="auto"/>
        </w:rPr>
        <w:t>.</w:t>
      </w:r>
      <w:r w:rsidRPr="00A1728C">
        <w:rPr>
          <w:color w:val="auto"/>
        </w:rPr>
        <w:t xml:space="preserve"> </w:t>
      </w:r>
      <w:r w:rsidR="003830A4" w:rsidRPr="00A1728C">
        <w:rPr>
          <w:color w:val="auto"/>
        </w:rPr>
        <w:t xml:space="preserve">The </w:t>
      </w:r>
      <w:r w:rsidRPr="00A1728C">
        <w:rPr>
          <w:color w:val="auto"/>
        </w:rPr>
        <w:t xml:space="preserve">unfertilized eggs will arrest around the </w:t>
      </w:r>
      <w:r w:rsidR="003830A4" w:rsidRPr="00623A4C">
        <w:rPr>
          <w:color w:val="auto"/>
        </w:rPr>
        <w:t>eight</w:t>
      </w:r>
      <w:r w:rsidRPr="00A1728C">
        <w:rPr>
          <w:color w:val="auto"/>
        </w:rPr>
        <w:t>-cell stage and have a rosette pattern of the cells at the animal pole (</w:t>
      </w:r>
      <w:r w:rsidR="00EA1C1D" w:rsidRPr="00EA1C1D">
        <w:rPr>
          <w:b/>
          <w:color w:val="auto"/>
        </w:rPr>
        <w:t>Figure 6</w:t>
      </w:r>
      <w:r w:rsidRPr="00A1728C">
        <w:rPr>
          <w:color w:val="auto"/>
        </w:rPr>
        <w:t xml:space="preserve">). </w:t>
      </w:r>
      <w:r w:rsidR="00853596">
        <w:rPr>
          <w:color w:val="auto"/>
        </w:rPr>
        <w:t xml:space="preserve"> </w:t>
      </w:r>
      <w:r w:rsidRPr="00853596">
        <w:rPr>
          <w:color w:val="auto"/>
        </w:rPr>
        <w:t>Depending on number of dead eggs and amount of egg debris in the water, remove at least 50</w:t>
      </w:r>
      <w:r w:rsidR="00AA1370" w:rsidRPr="00853596">
        <w:rPr>
          <w:color w:val="auto"/>
        </w:rPr>
        <w:t>%</w:t>
      </w:r>
      <w:r w:rsidR="0088463F" w:rsidRPr="00853596">
        <w:rPr>
          <w:color w:val="auto"/>
        </w:rPr>
        <w:t>–</w:t>
      </w:r>
      <w:r w:rsidRPr="00853596">
        <w:rPr>
          <w:color w:val="auto"/>
        </w:rPr>
        <w:t xml:space="preserve">80% of the water and replace with filtered system water. It can be helpful to scrub the bottom of the </w:t>
      </w:r>
      <w:r w:rsidR="003830A4" w:rsidRPr="00853596">
        <w:rPr>
          <w:rFonts w:asciiTheme="minorHAnsi" w:hAnsiTheme="minorHAnsi"/>
        </w:rPr>
        <w:t>Petri</w:t>
      </w:r>
      <w:r w:rsidRPr="00853596">
        <w:rPr>
          <w:color w:val="auto"/>
        </w:rPr>
        <w:t xml:space="preserve"> dish if a cellular debris film</w:t>
      </w:r>
      <w:r w:rsidR="003830A4" w:rsidRPr="00853596">
        <w:rPr>
          <w:color w:val="auto"/>
        </w:rPr>
        <w:t xml:space="preserve"> or </w:t>
      </w:r>
      <w:r w:rsidRPr="00853596">
        <w:rPr>
          <w:color w:val="auto"/>
        </w:rPr>
        <w:t>biofilm forms.</w:t>
      </w:r>
    </w:p>
    <w:p w14:paraId="30901B37" w14:textId="77777777" w:rsidR="009B58A7" w:rsidRPr="00A1728C" w:rsidRDefault="009B58A7" w:rsidP="00A1728C">
      <w:pPr>
        <w:pStyle w:val="ListParagraph"/>
        <w:rPr>
          <w:color w:val="auto"/>
        </w:rPr>
      </w:pPr>
    </w:p>
    <w:p w14:paraId="2370E912" w14:textId="2B106F8A" w:rsidR="009B58A7" w:rsidRPr="00A1728C" w:rsidRDefault="009B58A7" w:rsidP="00A1728C">
      <w:pPr>
        <w:pStyle w:val="ListParagraph"/>
        <w:numPr>
          <w:ilvl w:val="2"/>
          <w:numId w:val="43"/>
        </w:numPr>
        <w:rPr>
          <w:b/>
          <w:color w:val="auto"/>
        </w:rPr>
      </w:pPr>
      <w:r w:rsidRPr="00A1728C">
        <w:rPr>
          <w:color w:val="auto"/>
        </w:rPr>
        <w:t>For the next 2</w:t>
      </w:r>
      <w:r w:rsidR="0088463F">
        <w:rPr>
          <w:color w:val="auto"/>
        </w:rPr>
        <w:t>–</w:t>
      </w:r>
      <w:r w:rsidRPr="00A1728C">
        <w:rPr>
          <w:color w:val="auto"/>
        </w:rPr>
        <w:t>3 days, check eggs 1</w:t>
      </w:r>
      <w:r w:rsidR="0088463F">
        <w:rPr>
          <w:color w:val="auto"/>
        </w:rPr>
        <w:t>–</w:t>
      </w:r>
      <w:r w:rsidRPr="00A1728C">
        <w:rPr>
          <w:color w:val="auto"/>
        </w:rPr>
        <w:t>2</w:t>
      </w:r>
      <w:r w:rsidR="0088463F">
        <w:rPr>
          <w:color w:val="auto"/>
        </w:rPr>
        <w:t>x</w:t>
      </w:r>
      <w:r w:rsidRPr="00A1728C">
        <w:rPr>
          <w:color w:val="auto"/>
        </w:rPr>
        <w:t xml:space="preserve"> daily. Repeat steps 6.1.2</w:t>
      </w:r>
      <w:r w:rsidR="0088463F">
        <w:rPr>
          <w:color w:val="auto"/>
        </w:rPr>
        <w:t>–</w:t>
      </w:r>
      <w:r w:rsidRPr="00A1728C">
        <w:rPr>
          <w:color w:val="auto"/>
        </w:rPr>
        <w:t xml:space="preserve">6.1.3 each time the eggs are checked. </w:t>
      </w:r>
    </w:p>
    <w:p w14:paraId="3DAA1415" w14:textId="77777777" w:rsidR="009B58A7" w:rsidRPr="00A1728C" w:rsidRDefault="009B58A7" w:rsidP="00A1728C">
      <w:pPr>
        <w:pStyle w:val="ListParagraph"/>
        <w:rPr>
          <w:color w:val="auto"/>
        </w:rPr>
      </w:pPr>
    </w:p>
    <w:p w14:paraId="40D13A7A" w14:textId="1534EAE7" w:rsidR="009B58A7" w:rsidRPr="00A1728C" w:rsidRDefault="009B58A7" w:rsidP="00A1728C">
      <w:pPr>
        <w:pStyle w:val="ListParagraph"/>
        <w:numPr>
          <w:ilvl w:val="2"/>
          <w:numId w:val="43"/>
        </w:numPr>
        <w:rPr>
          <w:b/>
          <w:color w:val="auto"/>
        </w:rPr>
      </w:pPr>
      <w:r w:rsidRPr="00A1728C">
        <w:rPr>
          <w:color w:val="auto"/>
        </w:rPr>
        <w:t>After 2</w:t>
      </w:r>
      <w:r w:rsidR="003830A4" w:rsidRPr="00623A4C">
        <w:rPr>
          <w:color w:val="auto"/>
        </w:rPr>
        <w:t>−</w:t>
      </w:r>
      <w:r w:rsidRPr="00A1728C">
        <w:rPr>
          <w:color w:val="auto"/>
        </w:rPr>
        <w:t xml:space="preserve">3 days the </w:t>
      </w:r>
      <w:r w:rsidR="00150BF6" w:rsidRPr="00A1728C">
        <w:rPr>
          <w:color w:val="auto"/>
        </w:rPr>
        <w:t xml:space="preserve">larvae </w:t>
      </w:r>
      <w:r w:rsidRPr="00A1728C">
        <w:rPr>
          <w:color w:val="auto"/>
        </w:rPr>
        <w:t xml:space="preserve">will hatch. Remove all egg casings as they hatch. Gentle pipetting can help to free half-hatched larvae. </w:t>
      </w:r>
    </w:p>
    <w:p w14:paraId="35BD33C9" w14:textId="77777777" w:rsidR="009B58A7" w:rsidRPr="00A1728C" w:rsidRDefault="009B58A7" w:rsidP="00A1728C">
      <w:pPr>
        <w:pStyle w:val="ListParagraph"/>
        <w:ind w:left="840"/>
        <w:rPr>
          <w:b/>
          <w:color w:val="auto"/>
        </w:rPr>
      </w:pPr>
    </w:p>
    <w:p w14:paraId="36787B37" w14:textId="51633B8C" w:rsidR="009B58A7" w:rsidRPr="000F1CEB" w:rsidRDefault="003830A4" w:rsidP="00A1728C">
      <w:pPr>
        <w:pStyle w:val="ListParagraph"/>
        <w:numPr>
          <w:ilvl w:val="1"/>
          <w:numId w:val="43"/>
        </w:numPr>
        <w:rPr>
          <w:bCs/>
          <w:color w:val="auto"/>
        </w:rPr>
      </w:pPr>
      <w:r w:rsidRPr="000F1CEB">
        <w:rPr>
          <w:bCs/>
          <w:color w:val="auto"/>
        </w:rPr>
        <w:t>Care for larvae.</w:t>
      </w:r>
    </w:p>
    <w:p w14:paraId="06056B81" w14:textId="77777777" w:rsidR="00A1728C" w:rsidRPr="00A1728C" w:rsidRDefault="00A1728C" w:rsidP="00A1728C">
      <w:pPr>
        <w:pStyle w:val="ListParagraph"/>
        <w:ind w:left="0"/>
        <w:rPr>
          <w:b/>
          <w:color w:val="auto"/>
        </w:rPr>
      </w:pPr>
    </w:p>
    <w:p w14:paraId="471BB49D" w14:textId="66F05947" w:rsidR="009B58A7" w:rsidRPr="00A1728C" w:rsidRDefault="009B58A7" w:rsidP="00A1728C">
      <w:pPr>
        <w:pStyle w:val="ListParagraph"/>
        <w:numPr>
          <w:ilvl w:val="2"/>
          <w:numId w:val="43"/>
        </w:numPr>
        <w:rPr>
          <w:b/>
          <w:color w:val="auto"/>
        </w:rPr>
      </w:pPr>
      <w:r w:rsidRPr="00A1728C">
        <w:rPr>
          <w:color w:val="auto"/>
        </w:rPr>
        <w:t>Check eggs 1</w:t>
      </w:r>
      <w:r w:rsidR="003830A4" w:rsidRPr="00623A4C">
        <w:rPr>
          <w:color w:val="auto"/>
        </w:rPr>
        <w:t>−</w:t>
      </w:r>
      <w:r w:rsidRPr="00A1728C">
        <w:rPr>
          <w:color w:val="auto"/>
        </w:rPr>
        <w:t>2</w:t>
      </w:r>
      <w:r w:rsidR="0088463F">
        <w:rPr>
          <w:color w:val="auto"/>
        </w:rPr>
        <w:t>x</w:t>
      </w:r>
      <w:r w:rsidRPr="00A1728C">
        <w:rPr>
          <w:color w:val="auto"/>
        </w:rPr>
        <w:t xml:space="preserve"> daily. Repeat steps 6.1.2</w:t>
      </w:r>
      <w:r w:rsidR="0088463F">
        <w:rPr>
          <w:color w:val="auto"/>
        </w:rPr>
        <w:t>–</w:t>
      </w:r>
      <w:r w:rsidRPr="00A1728C">
        <w:rPr>
          <w:color w:val="auto"/>
        </w:rPr>
        <w:t>6.1.3 each time the larvae are checked.</w:t>
      </w:r>
    </w:p>
    <w:p w14:paraId="0CECB764" w14:textId="77777777" w:rsidR="009B58A7" w:rsidRPr="00A1728C" w:rsidRDefault="009B58A7" w:rsidP="00A1728C">
      <w:pPr>
        <w:pStyle w:val="ListParagraph"/>
        <w:ind w:left="1170"/>
        <w:rPr>
          <w:b/>
          <w:color w:val="auto"/>
        </w:rPr>
      </w:pPr>
    </w:p>
    <w:p w14:paraId="70442E53" w14:textId="7425A07D" w:rsidR="009B58A7" w:rsidRPr="00A1728C" w:rsidRDefault="009B58A7" w:rsidP="00A1728C">
      <w:pPr>
        <w:pStyle w:val="ListParagraph"/>
        <w:numPr>
          <w:ilvl w:val="2"/>
          <w:numId w:val="43"/>
        </w:numPr>
        <w:rPr>
          <w:b/>
          <w:color w:val="auto"/>
        </w:rPr>
      </w:pPr>
      <w:r w:rsidRPr="00A1728C">
        <w:rPr>
          <w:color w:val="auto"/>
        </w:rPr>
        <w:t>From 6</w:t>
      </w:r>
      <w:r w:rsidR="0088463F">
        <w:rPr>
          <w:color w:val="auto"/>
        </w:rPr>
        <w:t>–</w:t>
      </w:r>
      <w:r w:rsidRPr="00A1728C">
        <w:rPr>
          <w:color w:val="auto"/>
        </w:rPr>
        <w:t xml:space="preserve">14 </w:t>
      </w:r>
      <w:r w:rsidR="007D6EFD" w:rsidRPr="007D6EFD">
        <w:rPr>
          <w:caps/>
          <w:color w:val="auto"/>
        </w:rPr>
        <w:t>DPF</w:t>
      </w:r>
      <w:r w:rsidRPr="00A1728C">
        <w:rPr>
          <w:color w:val="auto"/>
        </w:rPr>
        <w:t xml:space="preserve">, feed vinegar eels to the larvae. A slight excess of food is </w:t>
      </w:r>
      <w:r w:rsidR="003830A4">
        <w:rPr>
          <w:color w:val="auto"/>
        </w:rPr>
        <w:t>good,</w:t>
      </w:r>
      <w:r w:rsidR="003830A4" w:rsidRPr="00A1728C">
        <w:rPr>
          <w:color w:val="auto"/>
        </w:rPr>
        <w:t xml:space="preserve"> </w:t>
      </w:r>
      <w:r w:rsidR="003830A4" w:rsidRPr="00AA1370">
        <w:rPr>
          <w:color w:val="auto"/>
        </w:rPr>
        <w:t>because</w:t>
      </w:r>
      <w:r w:rsidR="003830A4" w:rsidRPr="00A1728C">
        <w:rPr>
          <w:color w:val="auto"/>
        </w:rPr>
        <w:t xml:space="preserve"> </w:t>
      </w:r>
      <w:r w:rsidRPr="00A1728C">
        <w:rPr>
          <w:color w:val="auto"/>
        </w:rPr>
        <w:t>the vinegar eels will remain alive in the dish. Add vinegar eels each time the dish is checked and cleaned.</w:t>
      </w:r>
    </w:p>
    <w:p w14:paraId="02B20C6F" w14:textId="77777777" w:rsidR="009B58A7" w:rsidRPr="00A1728C" w:rsidRDefault="009B58A7" w:rsidP="00A1728C">
      <w:pPr>
        <w:pStyle w:val="ListParagraph"/>
        <w:rPr>
          <w:color w:val="auto"/>
        </w:rPr>
      </w:pPr>
    </w:p>
    <w:p w14:paraId="0393AF8E" w14:textId="628AE31A" w:rsidR="009B58A7" w:rsidRPr="00A1728C" w:rsidRDefault="009B58A7" w:rsidP="00A1728C">
      <w:pPr>
        <w:pStyle w:val="ListParagraph"/>
        <w:numPr>
          <w:ilvl w:val="2"/>
          <w:numId w:val="43"/>
        </w:numPr>
        <w:rPr>
          <w:b/>
          <w:color w:val="auto"/>
        </w:rPr>
      </w:pPr>
      <w:r w:rsidRPr="00A1728C">
        <w:rPr>
          <w:color w:val="auto"/>
        </w:rPr>
        <w:t>From 11</w:t>
      </w:r>
      <w:r w:rsidR="0088463F">
        <w:rPr>
          <w:color w:val="auto"/>
        </w:rPr>
        <w:t>–</w:t>
      </w:r>
      <w:r w:rsidRPr="00A1728C">
        <w:rPr>
          <w:color w:val="auto"/>
        </w:rPr>
        <w:t xml:space="preserve">14 </w:t>
      </w:r>
      <w:r w:rsidR="007D6EFD" w:rsidRPr="007D6EFD">
        <w:rPr>
          <w:caps/>
          <w:color w:val="auto"/>
        </w:rPr>
        <w:t>DPF</w:t>
      </w:r>
      <w:r w:rsidRPr="00A1728C">
        <w:rPr>
          <w:color w:val="auto"/>
        </w:rPr>
        <w:t>, add 5</w:t>
      </w:r>
      <w:r w:rsidR="0088463F">
        <w:rPr>
          <w:color w:val="auto"/>
        </w:rPr>
        <w:t>–</w:t>
      </w:r>
      <w:r w:rsidRPr="00A1728C">
        <w:rPr>
          <w:color w:val="auto"/>
        </w:rPr>
        <w:t xml:space="preserve">10 freshly hatched </w:t>
      </w:r>
      <w:r w:rsidRPr="00A1728C">
        <w:rPr>
          <w:i/>
          <w:color w:val="auto"/>
        </w:rPr>
        <w:t>Artemia</w:t>
      </w:r>
      <w:r w:rsidRPr="00A1728C">
        <w:rPr>
          <w:color w:val="auto"/>
        </w:rPr>
        <w:t xml:space="preserve"> per larvae in addition to vinegar eels. During this time the larvae will learn to eat the free swimming </w:t>
      </w:r>
      <w:r w:rsidRPr="00A1728C">
        <w:rPr>
          <w:i/>
          <w:color w:val="auto"/>
        </w:rPr>
        <w:t>Artemia</w:t>
      </w:r>
      <w:r w:rsidRPr="00A1728C">
        <w:rPr>
          <w:color w:val="auto"/>
        </w:rPr>
        <w:t>.</w:t>
      </w:r>
    </w:p>
    <w:p w14:paraId="53C29B07" w14:textId="77777777" w:rsidR="009B58A7" w:rsidRPr="00A1728C" w:rsidRDefault="009B58A7" w:rsidP="00A1728C">
      <w:pPr>
        <w:pStyle w:val="ListParagraph"/>
        <w:rPr>
          <w:color w:val="auto"/>
        </w:rPr>
      </w:pPr>
    </w:p>
    <w:p w14:paraId="63E067CE" w14:textId="01798B5F" w:rsidR="009B58A7" w:rsidRPr="00853596" w:rsidRDefault="009B58A7" w:rsidP="00853596">
      <w:pPr>
        <w:pStyle w:val="ListParagraph"/>
        <w:numPr>
          <w:ilvl w:val="2"/>
          <w:numId w:val="43"/>
        </w:numPr>
        <w:rPr>
          <w:b/>
          <w:color w:val="auto"/>
        </w:rPr>
      </w:pPr>
      <w:r w:rsidRPr="00A1728C">
        <w:rPr>
          <w:color w:val="auto"/>
        </w:rPr>
        <w:t xml:space="preserve">At 15 </w:t>
      </w:r>
      <w:r w:rsidR="007D6EFD" w:rsidRPr="007D6EFD">
        <w:rPr>
          <w:caps/>
          <w:color w:val="auto"/>
        </w:rPr>
        <w:t>DPF</w:t>
      </w:r>
      <w:r w:rsidRPr="00A1728C">
        <w:rPr>
          <w:color w:val="auto"/>
        </w:rPr>
        <w:t xml:space="preserve">, move larvae to egg cups (see section 6.2.5) in a tank with flowing water, filtration, and aeration. </w:t>
      </w:r>
      <w:r w:rsidR="003830A4">
        <w:rPr>
          <w:color w:val="auto"/>
        </w:rPr>
        <w:t>There should be n</w:t>
      </w:r>
      <w:r w:rsidRPr="00A1728C">
        <w:rPr>
          <w:color w:val="auto"/>
        </w:rPr>
        <w:t xml:space="preserve">o more than approximately 25 embryos per cup. </w:t>
      </w:r>
      <w:r w:rsidRPr="00853596">
        <w:rPr>
          <w:color w:val="auto"/>
        </w:rPr>
        <w:t xml:space="preserve">Egg cups are plastic cups with a mesh netting on the bottom. A 100 mm </w:t>
      </w:r>
      <w:r w:rsidR="003830A4" w:rsidRPr="00853596">
        <w:rPr>
          <w:rFonts w:asciiTheme="minorHAnsi" w:hAnsiTheme="minorHAnsi"/>
        </w:rPr>
        <w:t>Petri</w:t>
      </w:r>
      <w:r w:rsidRPr="00853596">
        <w:rPr>
          <w:color w:val="auto"/>
        </w:rPr>
        <w:t xml:space="preserve"> dish top/bottom can be added to the bottom of the egg cup to help stop food from falling through the mesh.</w:t>
      </w:r>
      <w:r w:rsidR="00150BF6" w:rsidRPr="00853596">
        <w:rPr>
          <w:color w:val="auto"/>
        </w:rPr>
        <w:t xml:space="preserve"> </w:t>
      </w:r>
      <w:bookmarkStart w:id="1" w:name="_Hlk11157295"/>
      <w:r w:rsidR="00150BF6" w:rsidRPr="00853596">
        <w:rPr>
          <w:color w:val="auto"/>
        </w:rPr>
        <w:t>Egg cups allow the fish to be housed in a larger volume of water for water quality reasons, while maintaining discrete groups.</w:t>
      </w:r>
      <w:bookmarkEnd w:id="1"/>
      <w:r w:rsidR="00853596">
        <w:rPr>
          <w:color w:val="auto"/>
        </w:rPr>
        <w:t xml:space="preserve"> </w:t>
      </w:r>
      <w:r w:rsidRPr="00853596">
        <w:rPr>
          <w:color w:val="auto"/>
        </w:rPr>
        <w:t>Continue to add both vinegar eels and 15</w:t>
      </w:r>
      <w:r w:rsidR="003830A4" w:rsidRPr="00853596">
        <w:rPr>
          <w:color w:val="auto"/>
        </w:rPr>
        <w:t>−</w:t>
      </w:r>
      <w:r w:rsidRPr="00853596">
        <w:rPr>
          <w:color w:val="auto"/>
        </w:rPr>
        <w:t xml:space="preserve">30 freshly hatched </w:t>
      </w:r>
      <w:r w:rsidRPr="00853596">
        <w:rPr>
          <w:i/>
          <w:color w:val="auto"/>
        </w:rPr>
        <w:t>Artemia</w:t>
      </w:r>
      <w:r w:rsidRPr="00853596">
        <w:rPr>
          <w:color w:val="auto"/>
        </w:rPr>
        <w:t xml:space="preserve"> per larvae from days 15</w:t>
      </w:r>
      <w:r w:rsidR="0088463F" w:rsidRPr="00853596">
        <w:rPr>
          <w:color w:val="auto"/>
        </w:rPr>
        <w:t>–</w:t>
      </w:r>
      <w:r w:rsidRPr="00853596">
        <w:rPr>
          <w:color w:val="auto"/>
        </w:rPr>
        <w:t xml:space="preserve">18. Clean </w:t>
      </w:r>
      <w:r w:rsidR="003830A4" w:rsidRPr="00853596">
        <w:rPr>
          <w:rFonts w:asciiTheme="minorHAnsi" w:hAnsiTheme="minorHAnsi"/>
        </w:rPr>
        <w:t>Petri</w:t>
      </w:r>
      <w:r w:rsidRPr="00853596">
        <w:rPr>
          <w:color w:val="auto"/>
        </w:rPr>
        <w:t xml:space="preserve"> dish piece daily and use a pipette to remove masses of dead </w:t>
      </w:r>
      <w:r w:rsidRPr="00853596">
        <w:rPr>
          <w:i/>
          <w:color w:val="auto"/>
        </w:rPr>
        <w:t>Artemia</w:t>
      </w:r>
      <w:r w:rsidRPr="00853596">
        <w:rPr>
          <w:color w:val="auto"/>
        </w:rPr>
        <w:t>.</w:t>
      </w:r>
    </w:p>
    <w:p w14:paraId="32FB35E2" w14:textId="77777777" w:rsidR="009B58A7" w:rsidRPr="00A1728C" w:rsidRDefault="009B58A7" w:rsidP="00A1728C">
      <w:pPr>
        <w:pStyle w:val="ListParagraph"/>
        <w:rPr>
          <w:color w:val="auto"/>
        </w:rPr>
      </w:pPr>
    </w:p>
    <w:p w14:paraId="6A4EF617" w14:textId="2EE45CEE" w:rsidR="009B58A7" w:rsidRPr="00A1728C" w:rsidRDefault="009B58A7" w:rsidP="00A1728C">
      <w:pPr>
        <w:pStyle w:val="ListParagraph"/>
        <w:numPr>
          <w:ilvl w:val="2"/>
          <w:numId w:val="43"/>
        </w:numPr>
        <w:rPr>
          <w:b/>
          <w:color w:val="auto"/>
        </w:rPr>
      </w:pPr>
      <w:r w:rsidRPr="00A1728C">
        <w:rPr>
          <w:color w:val="auto"/>
        </w:rPr>
        <w:t>From days 18</w:t>
      </w:r>
      <w:r w:rsidR="0088463F">
        <w:rPr>
          <w:color w:val="auto"/>
        </w:rPr>
        <w:t>–</w:t>
      </w:r>
      <w:r w:rsidRPr="00A1728C">
        <w:rPr>
          <w:color w:val="auto"/>
        </w:rPr>
        <w:t xml:space="preserve">30, feed </w:t>
      </w:r>
      <w:r w:rsidR="003830A4">
        <w:rPr>
          <w:color w:val="auto"/>
        </w:rPr>
        <w:t>only</w:t>
      </w:r>
      <w:r w:rsidR="003830A4" w:rsidRPr="00A1728C">
        <w:rPr>
          <w:color w:val="auto"/>
        </w:rPr>
        <w:t xml:space="preserve"> </w:t>
      </w:r>
      <w:r w:rsidRPr="00A1728C">
        <w:rPr>
          <w:color w:val="auto"/>
        </w:rPr>
        <w:t xml:space="preserve">freshly hatched </w:t>
      </w:r>
      <w:r w:rsidRPr="00A1728C">
        <w:rPr>
          <w:i/>
          <w:color w:val="auto"/>
        </w:rPr>
        <w:t>Artemia</w:t>
      </w:r>
      <w:r w:rsidRPr="00A1728C">
        <w:rPr>
          <w:color w:val="auto"/>
        </w:rPr>
        <w:t xml:space="preserve">. Increase </w:t>
      </w:r>
      <w:r w:rsidR="003830A4">
        <w:rPr>
          <w:color w:val="auto"/>
        </w:rPr>
        <w:t xml:space="preserve">the </w:t>
      </w:r>
      <w:r w:rsidRPr="00A1728C">
        <w:rPr>
          <w:color w:val="auto"/>
        </w:rPr>
        <w:t xml:space="preserve">feeding amount as </w:t>
      </w:r>
      <w:r w:rsidR="003830A4">
        <w:rPr>
          <w:color w:val="auto"/>
        </w:rPr>
        <w:t xml:space="preserve">the </w:t>
      </w:r>
      <w:r w:rsidRPr="00A1728C">
        <w:rPr>
          <w:color w:val="auto"/>
        </w:rPr>
        <w:t>fish grow and if tail biting is seen.</w:t>
      </w:r>
    </w:p>
    <w:p w14:paraId="7243CC22" w14:textId="77777777" w:rsidR="009B58A7" w:rsidRPr="00A1728C" w:rsidRDefault="009B58A7" w:rsidP="00A1728C">
      <w:pPr>
        <w:pStyle w:val="ListParagraph"/>
        <w:rPr>
          <w:color w:val="auto"/>
        </w:rPr>
      </w:pPr>
    </w:p>
    <w:p w14:paraId="2DFB3741" w14:textId="74C1C9D2" w:rsidR="009B58A7" w:rsidRPr="00A1728C" w:rsidRDefault="009B58A7" w:rsidP="00A1728C">
      <w:pPr>
        <w:pStyle w:val="ListParagraph"/>
        <w:numPr>
          <w:ilvl w:val="2"/>
          <w:numId w:val="43"/>
        </w:numPr>
        <w:rPr>
          <w:b/>
          <w:color w:val="auto"/>
        </w:rPr>
      </w:pPr>
      <w:r w:rsidRPr="00A1728C">
        <w:rPr>
          <w:color w:val="auto"/>
        </w:rPr>
        <w:t xml:space="preserve">After approximately 30 days, move fish to </w:t>
      </w:r>
      <w:r w:rsidR="007750AD" w:rsidRPr="00A1728C">
        <w:rPr>
          <w:color w:val="auto"/>
        </w:rPr>
        <w:t>10 L (</w:t>
      </w:r>
      <w:r w:rsidRPr="00A1728C">
        <w:rPr>
          <w:color w:val="auto"/>
        </w:rPr>
        <w:t>2.5 gallon</w:t>
      </w:r>
      <w:r w:rsidR="007750AD" w:rsidRPr="00A1728C">
        <w:rPr>
          <w:color w:val="auto"/>
        </w:rPr>
        <w:t>)</w:t>
      </w:r>
      <w:r w:rsidRPr="00A1728C">
        <w:rPr>
          <w:color w:val="auto"/>
        </w:rPr>
        <w:t xml:space="preserve"> tanks, approximately 25 individuals per tank. Make sure there is filtration, aeration, and places for hiding</w:t>
      </w:r>
      <w:r w:rsidR="003830A4">
        <w:rPr>
          <w:color w:val="auto"/>
        </w:rPr>
        <w:t>.</w:t>
      </w:r>
      <w:r w:rsidRPr="00A1728C">
        <w:rPr>
          <w:color w:val="auto"/>
        </w:rPr>
        <w:t xml:space="preserve"> </w:t>
      </w:r>
      <w:r w:rsidR="003830A4" w:rsidRPr="00A1728C">
        <w:rPr>
          <w:color w:val="auto"/>
        </w:rPr>
        <w:t xml:space="preserve">Consider </w:t>
      </w:r>
      <w:r w:rsidRPr="00A1728C">
        <w:rPr>
          <w:color w:val="auto"/>
        </w:rPr>
        <w:t>cylindrical biofiltration media and small diameter PVC tubes.</w:t>
      </w:r>
    </w:p>
    <w:p w14:paraId="198378AE" w14:textId="77777777" w:rsidR="009B58A7" w:rsidRPr="00A1728C" w:rsidRDefault="009B58A7" w:rsidP="00A1728C">
      <w:pPr>
        <w:pStyle w:val="ListParagraph"/>
        <w:rPr>
          <w:color w:val="auto"/>
        </w:rPr>
      </w:pPr>
    </w:p>
    <w:p w14:paraId="5739F21D" w14:textId="431C57BB" w:rsidR="009B58A7" w:rsidRPr="00853596" w:rsidRDefault="009B58A7" w:rsidP="00853596">
      <w:pPr>
        <w:pStyle w:val="ListParagraph"/>
        <w:numPr>
          <w:ilvl w:val="2"/>
          <w:numId w:val="43"/>
        </w:numPr>
        <w:rPr>
          <w:b/>
          <w:color w:val="auto"/>
        </w:rPr>
      </w:pPr>
      <w:r w:rsidRPr="00A1728C">
        <w:rPr>
          <w:color w:val="auto"/>
        </w:rPr>
        <w:t xml:space="preserve">Feed freshly hatched </w:t>
      </w:r>
      <w:r w:rsidRPr="00A1728C">
        <w:rPr>
          <w:i/>
          <w:color w:val="auto"/>
        </w:rPr>
        <w:t>Artemia</w:t>
      </w:r>
      <w:r w:rsidRPr="00A1728C">
        <w:rPr>
          <w:color w:val="auto"/>
        </w:rPr>
        <w:t xml:space="preserve"> and blackworms from approximately 30</w:t>
      </w:r>
      <w:r w:rsidR="0088463F">
        <w:rPr>
          <w:color w:val="auto"/>
        </w:rPr>
        <w:t>–</w:t>
      </w:r>
      <w:r w:rsidRPr="00A1728C">
        <w:rPr>
          <w:color w:val="auto"/>
        </w:rPr>
        <w:t>45 days</w:t>
      </w:r>
      <w:r w:rsidR="003830A4">
        <w:rPr>
          <w:color w:val="auto"/>
        </w:rPr>
        <w:t xml:space="preserve"> onwards</w:t>
      </w:r>
      <w:r w:rsidRPr="00A1728C">
        <w:rPr>
          <w:color w:val="auto"/>
        </w:rPr>
        <w:t>.</w:t>
      </w:r>
      <w:r w:rsidR="00853596">
        <w:rPr>
          <w:color w:val="auto"/>
        </w:rPr>
        <w:t xml:space="preserve"> </w:t>
      </w:r>
      <w:r w:rsidRPr="00853596">
        <w:rPr>
          <w:color w:val="auto"/>
        </w:rPr>
        <w:t xml:space="preserve">Maintain standard cleaning and water changes for </w:t>
      </w:r>
      <w:r w:rsidR="003830A4" w:rsidRPr="00853596">
        <w:rPr>
          <w:color w:val="auto"/>
        </w:rPr>
        <w:t xml:space="preserve">the </w:t>
      </w:r>
      <w:r w:rsidRPr="00853596">
        <w:rPr>
          <w:color w:val="auto"/>
        </w:rPr>
        <w:t>tank (</w:t>
      </w:r>
      <w:r w:rsidR="003830A4" w:rsidRPr="00853596">
        <w:rPr>
          <w:color w:val="auto"/>
        </w:rPr>
        <w:t xml:space="preserve">i.e., at a </w:t>
      </w:r>
      <w:proofErr w:type="gramStart"/>
      <w:r w:rsidR="003830A4" w:rsidRPr="00853596">
        <w:rPr>
          <w:color w:val="auto"/>
        </w:rPr>
        <w:t>minimum</w:t>
      </w:r>
      <w:r w:rsidRPr="00853596">
        <w:rPr>
          <w:color w:val="auto"/>
        </w:rPr>
        <w:t xml:space="preserve">  </w:t>
      </w:r>
      <w:r w:rsidR="003830A4" w:rsidRPr="00853596">
        <w:rPr>
          <w:color w:val="auto"/>
        </w:rPr>
        <w:t>~</w:t>
      </w:r>
      <w:proofErr w:type="gramEnd"/>
      <w:r w:rsidR="003830A4" w:rsidRPr="00853596">
        <w:rPr>
          <w:color w:val="auto"/>
        </w:rPr>
        <w:t>10</w:t>
      </w:r>
      <w:r w:rsidR="00AA1370" w:rsidRPr="00853596">
        <w:rPr>
          <w:color w:val="auto"/>
        </w:rPr>
        <w:t>%</w:t>
      </w:r>
      <w:r w:rsidR="003830A4" w:rsidRPr="00853596">
        <w:rPr>
          <w:color w:val="auto"/>
        </w:rPr>
        <w:t xml:space="preserve">–20% water change per </w:t>
      </w:r>
      <w:r w:rsidRPr="00853596">
        <w:rPr>
          <w:color w:val="auto"/>
        </w:rPr>
        <w:t>1 week).</w:t>
      </w:r>
    </w:p>
    <w:p w14:paraId="650A2477" w14:textId="77777777" w:rsidR="009B58A7" w:rsidRPr="00A1728C" w:rsidRDefault="009B58A7" w:rsidP="00A1728C">
      <w:pPr>
        <w:pStyle w:val="ListParagraph"/>
        <w:rPr>
          <w:color w:val="auto"/>
        </w:rPr>
      </w:pPr>
    </w:p>
    <w:p w14:paraId="5125D294" w14:textId="58E40618" w:rsidR="009B58A7" w:rsidRPr="00A1728C" w:rsidRDefault="009B58A7" w:rsidP="00A1728C">
      <w:pPr>
        <w:pStyle w:val="ListParagraph"/>
        <w:numPr>
          <w:ilvl w:val="2"/>
          <w:numId w:val="43"/>
        </w:numPr>
        <w:rPr>
          <w:b/>
          <w:color w:val="auto"/>
        </w:rPr>
      </w:pPr>
      <w:r w:rsidRPr="00A1728C">
        <w:rPr>
          <w:color w:val="auto"/>
        </w:rPr>
        <w:t xml:space="preserve">After </w:t>
      </w:r>
      <w:r w:rsidR="003830A4">
        <w:rPr>
          <w:color w:val="auto"/>
        </w:rPr>
        <w:t>~</w:t>
      </w:r>
      <w:r w:rsidRPr="00A1728C">
        <w:rPr>
          <w:color w:val="auto"/>
        </w:rPr>
        <w:t xml:space="preserve">45 </w:t>
      </w:r>
      <w:r w:rsidR="007D6EFD" w:rsidRPr="007D6EFD">
        <w:rPr>
          <w:caps/>
          <w:color w:val="auto"/>
        </w:rPr>
        <w:t>DPF</w:t>
      </w:r>
      <w:r w:rsidRPr="00A1728C">
        <w:rPr>
          <w:color w:val="auto"/>
        </w:rPr>
        <w:t xml:space="preserve">, feed only blackworms until </w:t>
      </w:r>
      <w:r w:rsidR="00623A4C">
        <w:rPr>
          <w:color w:val="auto"/>
        </w:rPr>
        <w:t>~</w:t>
      </w:r>
      <w:r w:rsidRPr="00A1728C">
        <w:rPr>
          <w:color w:val="auto"/>
        </w:rPr>
        <w:t xml:space="preserve">60 </w:t>
      </w:r>
      <w:r w:rsidR="007D6EFD" w:rsidRPr="007D6EFD">
        <w:rPr>
          <w:caps/>
          <w:color w:val="auto"/>
        </w:rPr>
        <w:t>DPF</w:t>
      </w:r>
      <w:r w:rsidRPr="00A1728C">
        <w:rPr>
          <w:color w:val="auto"/>
        </w:rPr>
        <w:t>.</w:t>
      </w:r>
    </w:p>
    <w:p w14:paraId="330C6071" w14:textId="77777777" w:rsidR="009B58A7" w:rsidRPr="00A1728C" w:rsidRDefault="009B58A7" w:rsidP="00A1728C">
      <w:pPr>
        <w:pStyle w:val="ListParagraph"/>
        <w:rPr>
          <w:color w:val="auto"/>
        </w:rPr>
      </w:pPr>
    </w:p>
    <w:p w14:paraId="7CDC9F5F" w14:textId="01EB9BFC" w:rsidR="009B58A7" w:rsidRPr="00A1728C" w:rsidRDefault="009B58A7" w:rsidP="00A1728C">
      <w:pPr>
        <w:pStyle w:val="ListParagraph"/>
        <w:numPr>
          <w:ilvl w:val="2"/>
          <w:numId w:val="43"/>
        </w:numPr>
        <w:rPr>
          <w:b/>
          <w:color w:val="auto"/>
        </w:rPr>
      </w:pPr>
      <w:r w:rsidRPr="00A1728C">
        <w:rPr>
          <w:color w:val="auto"/>
        </w:rPr>
        <w:t xml:space="preserve">After </w:t>
      </w:r>
      <w:r w:rsidR="00623A4C">
        <w:rPr>
          <w:color w:val="auto"/>
        </w:rPr>
        <w:t>~</w:t>
      </w:r>
      <w:r w:rsidRPr="00A1728C">
        <w:rPr>
          <w:color w:val="auto"/>
        </w:rPr>
        <w:t xml:space="preserve">60 </w:t>
      </w:r>
      <w:r w:rsidR="007D6EFD" w:rsidRPr="007D6EFD">
        <w:rPr>
          <w:caps/>
          <w:color w:val="auto"/>
        </w:rPr>
        <w:t>DPF</w:t>
      </w:r>
      <w:r w:rsidRPr="00A1728C">
        <w:rPr>
          <w:color w:val="auto"/>
        </w:rPr>
        <w:t xml:space="preserve">, move cohorts of approximately 15 fish to </w:t>
      </w:r>
      <w:r w:rsidR="001758EA" w:rsidRPr="00A1728C">
        <w:rPr>
          <w:color w:val="auto"/>
        </w:rPr>
        <w:t>40 L (</w:t>
      </w:r>
      <w:r w:rsidRPr="00A1728C">
        <w:rPr>
          <w:color w:val="auto"/>
        </w:rPr>
        <w:t>10 gallon</w:t>
      </w:r>
      <w:r w:rsidR="001758EA" w:rsidRPr="00A1728C">
        <w:rPr>
          <w:color w:val="auto"/>
        </w:rPr>
        <w:t>)</w:t>
      </w:r>
      <w:r w:rsidRPr="00A1728C">
        <w:rPr>
          <w:color w:val="auto"/>
        </w:rPr>
        <w:t xml:space="preserve"> tanks and begin adult husbandry procedures. Add PVC tubes and a yarn “mop” (a mass of brown yarn </w:t>
      </w:r>
      <w:r w:rsidR="00623A4C">
        <w:rPr>
          <w:color w:val="auto"/>
        </w:rPr>
        <w:t xml:space="preserve">tied </w:t>
      </w:r>
      <w:r w:rsidRPr="00A1728C">
        <w:rPr>
          <w:color w:val="auto"/>
        </w:rPr>
        <w:t>together around a cork) for hiding places (</w:t>
      </w:r>
      <w:r w:rsidR="00EA1C1D" w:rsidRPr="00EA1C1D">
        <w:rPr>
          <w:b/>
          <w:color w:val="auto"/>
        </w:rPr>
        <w:t>Figure 3C</w:t>
      </w:r>
      <w:r w:rsidRPr="00A1728C">
        <w:rPr>
          <w:color w:val="auto"/>
        </w:rPr>
        <w:t>). Fish should be nearing breeding size (10</w:t>
      </w:r>
      <w:r w:rsidR="00AA1370" w:rsidRPr="00AA1370">
        <w:rPr>
          <w:color w:val="auto"/>
        </w:rPr>
        <w:t>−</w:t>
      </w:r>
      <w:r w:rsidRPr="00A1728C">
        <w:rPr>
          <w:color w:val="auto"/>
        </w:rPr>
        <w:t>12 cm) after approximately 3</w:t>
      </w:r>
      <w:r w:rsidR="00AA1370" w:rsidRPr="00D81FC0">
        <w:rPr>
          <w:color w:val="auto"/>
        </w:rPr>
        <w:t>−</w:t>
      </w:r>
      <w:r w:rsidRPr="00A1728C">
        <w:rPr>
          <w:color w:val="auto"/>
        </w:rPr>
        <w:t>4 months post fertilization.</w:t>
      </w:r>
    </w:p>
    <w:p w14:paraId="36DAF4ED" w14:textId="77777777" w:rsidR="009B58A7" w:rsidRPr="00A1728C" w:rsidRDefault="009B58A7" w:rsidP="00A1728C">
      <w:pPr>
        <w:rPr>
          <w:color w:val="auto"/>
        </w:rPr>
      </w:pPr>
    </w:p>
    <w:p w14:paraId="08F2F3DB" w14:textId="66F8F94D" w:rsidR="009B58A7" w:rsidRDefault="009B58A7" w:rsidP="00A1728C">
      <w:pPr>
        <w:pStyle w:val="ListParagraph"/>
        <w:numPr>
          <w:ilvl w:val="0"/>
          <w:numId w:val="43"/>
        </w:numPr>
        <w:rPr>
          <w:b/>
          <w:color w:val="auto"/>
        </w:rPr>
      </w:pPr>
      <w:r w:rsidRPr="00A1728C">
        <w:rPr>
          <w:b/>
          <w:color w:val="auto"/>
        </w:rPr>
        <w:t>Adult husbandry</w:t>
      </w:r>
    </w:p>
    <w:p w14:paraId="7880FC79" w14:textId="77777777" w:rsidR="00A1728C" w:rsidRPr="00A1728C" w:rsidRDefault="00A1728C" w:rsidP="00A1728C">
      <w:pPr>
        <w:pStyle w:val="ListParagraph"/>
        <w:ind w:left="0"/>
        <w:rPr>
          <w:b/>
          <w:color w:val="auto"/>
        </w:rPr>
      </w:pPr>
    </w:p>
    <w:p w14:paraId="6B81BE2C" w14:textId="13A907E1" w:rsidR="009B58A7" w:rsidRPr="00A1728C" w:rsidRDefault="009B58A7" w:rsidP="00A1728C">
      <w:pPr>
        <w:pStyle w:val="ListParagraph"/>
        <w:numPr>
          <w:ilvl w:val="1"/>
          <w:numId w:val="43"/>
        </w:numPr>
        <w:rPr>
          <w:b/>
          <w:color w:val="auto"/>
        </w:rPr>
      </w:pPr>
      <w:r w:rsidRPr="00A1728C">
        <w:rPr>
          <w:color w:val="auto"/>
        </w:rPr>
        <w:t xml:space="preserve">Feed fish daily with enough blackworms </w:t>
      </w:r>
      <w:r w:rsidR="00AA1370">
        <w:rPr>
          <w:color w:val="auto"/>
        </w:rPr>
        <w:t>so</w:t>
      </w:r>
      <w:r w:rsidR="00AA1370" w:rsidRPr="00A1728C">
        <w:rPr>
          <w:color w:val="auto"/>
        </w:rPr>
        <w:t xml:space="preserve"> </w:t>
      </w:r>
      <w:r w:rsidRPr="00A1728C">
        <w:rPr>
          <w:color w:val="auto"/>
        </w:rPr>
        <w:t>that a small amount of blackworms are present at the next feeding</w:t>
      </w:r>
      <w:r w:rsidR="00AA1370">
        <w:rPr>
          <w:color w:val="auto"/>
        </w:rPr>
        <w:t>.</w:t>
      </w:r>
      <w:r w:rsidRPr="00A1728C">
        <w:rPr>
          <w:color w:val="auto"/>
        </w:rPr>
        <w:t xml:space="preserve"> </w:t>
      </w:r>
      <w:r w:rsidR="00AA1370" w:rsidRPr="00A1728C">
        <w:rPr>
          <w:color w:val="auto"/>
        </w:rPr>
        <w:t xml:space="preserve">This </w:t>
      </w:r>
      <w:r w:rsidRPr="00A1728C">
        <w:rPr>
          <w:color w:val="auto"/>
        </w:rPr>
        <w:t>ad libitum feeding allow</w:t>
      </w:r>
      <w:r w:rsidR="00AA1370">
        <w:rPr>
          <w:color w:val="auto"/>
        </w:rPr>
        <w:t>s</w:t>
      </w:r>
      <w:r w:rsidRPr="00A1728C">
        <w:rPr>
          <w:color w:val="auto"/>
        </w:rPr>
        <w:t xml:space="preserve"> maximal growth.</w:t>
      </w:r>
    </w:p>
    <w:p w14:paraId="6B697EDD" w14:textId="77777777" w:rsidR="009B58A7" w:rsidRPr="00A1728C" w:rsidRDefault="009B58A7" w:rsidP="00A1728C">
      <w:pPr>
        <w:pStyle w:val="ListParagraph"/>
        <w:ind w:left="840"/>
        <w:rPr>
          <w:b/>
          <w:color w:val="auto"/>
        </w:rPr>
      </w:pPr>
    </w:p>
    <w:p w14:paraId="4934DF3E" w14:textId="77777777" w:rsidR="009B58A7" w:rsidRPr="00A1728C" w:rsidRDefault="009B58A7" w:rsidP="00A1728C">
      <w:pPr>
        <w:pStyle w:val="ListParagraph"/>
        <w:numPr>
          <w:ilvl w:val="1"/>
          <w:numId w:val="43"/>
        </w:numPr>
        <w:rPr>
          <w:b/>
          <w:color w:val="auto"/>
        </w:rPr>
      </w:pPr>
      <w:r w:rsidRPr="00A1728C">
        <w:rPr>
          <w:color w:val="auto"/>
        </w:rPr>
        <w:t>A few times a week, it can be helpful to supplement the blackworm feeding with bloodworms.</w:t>
      </w:r>
    </w:p>
    <w:p w14:paraId="0C652A37" w14:textId="77777777" w:rsidR="009B58A7" w:rsidRPr="00A1728C" w:rsidRDefault="009B58A7" w:rsidP="00A1728C">
      <w:pPr>
        <w:pStyle w:val="ListParagraph"/>
        <w:rPr>
          <w:color w:val="auto"/>
        </w:rPr>
      </w:pPr>
    </w:p>
    <w:p w14:paraId="2011278B" w14:textId="2211BCF7" w:rsidR="009B58A7" w:rsidRPr="00A1728C" w:rsidRDefault="009B58A7" w:rsidP="00A1728C">
      <w:pPr>
        <w:pStyle w:val="ListParagraph"/>
        <w:numPr>
          <w:ilvl w:val="1"/>
          <w:numId w:val="43"/>
        </w:numPr>
        <w:rPr>
          <w:b/>
          <w:color w:val="auto"/>
        </w:rPr>
      </w:pPr>
      <w:r w:rsidRPr="00A1728C">
        <w:rPr>
          <w:color w:val="auto"/>
        </w:rPr>
        <w:t>Clean tanks every 2</w:t>
      </w:r>
      <w:r w:rsidR="0088463F">
        <w:rPr>
          <w:color w:val="auto"/>
        </w:rPr>
        <w:t>–</w:t>
      </w:r>
      <w:r w:rsidRPr="00A1728C">
        <w:rPr>
          <w:color w:val="auto"/>
        </w:rPr>
        <w:t>4 weeks with a 20</w:t>
      </w:r>
      <w:r w:rsidR="00AA1370">
        <w:rPr>
          <w:color w:val="auto"/>
        </w:rPr>
        <w:t>%</w:t>
      </w:r>
      <w:r w:rsidR="0088463F">
        <w:rPr>
          <w:color w:val="auto"/>
        </w:rPr>
        <w:t>–</w:t>
      </w:r>
      <w:r w:rsidRPr="00A1728C">
        <w:rPr>
          <w:color w:val="auto"/>
        </w:rPr>
        <w:t xml:space="preserve">30% water change. If the yarn mop gets full of </w:t>
      </w:r>
      <w:r w:rsidRPr="00A1728C">
        <w:rPr>
          <w:color w:val="auto"/>
        </w:rPr>
        <w:lastRenderedPageBreak/>
        <w:t>biofilm/algae, rub it clean under RO water.</w:t>
      </w:r>
    </w:p>
    <w:p w14:paraId="65E2901F" w14:textId="77777777" w:rsidR="009B58A7" w:rsidRPr="00A1728C" w:rsidRDefault="009B58A7" w:rsidP="00A1728C">
      <w:pPr>
        <w:rPr>
          <w:color w:val="auto"/>
        </w:rPr>
      </w:pPr>
    </w:p>
    <w:p w14:paraId="3FBFD4A5" w14:textId="77777777" w:rsidR="009B58A7" w:rsidRPr="00A1728C" w:rsidRDefault="009B58A7" w:rsidP="00A1728C">
      <w:pPr>
        <w:pStyle w:val="NormalWeb"/>
        <w:spacing w:before="0" w:beforeAutospacing="0" w:after="0" w:afterAutospacing="0"/>
        <w:rPr>
          <w:color w:val="auto"/>
        </w:rPr>
      </w:pPr>
      <w:r w:rsidRPr="00A1728C">
        <w:rPr>
          <w:b/>
          <w:color w:val="auto"/>
        </w:rPr>
        <w:t xml:space="preserve">REPRESENTATIVE RESULTS: </w:t>
      </w:r>
    </w:p>
    <w:p w14:paraId="3D4DA08C" w14:textId="0A4DEFAB" w:rsidR="009B58A7" w:rsidRDefault="00AA1370" w:rsidP="00A1728C">
      <w:pPr>
        <w:rPr>
          <w:color w:val="auto"/>
        </w:rPr>
      </w:pPr>
      <w:r>
        <w:rPr>
          <w:color w:val="auto"/>
        </w:rPr>
        <w:t xml:space="preserve">The </w:t>
      </w:r>
      <w:r w:rsidR="009B58A7" w:rsidRPr="00A1728C">
        <w:rPr>
          <w:color w:val="auto"/>
        </w:rPr>
        <w:t xml:space="preserve">sgRNA target sites were identified within exon 1 of </w:t>
      </w:r>
      <w:r w:rsidR="009B58A7" w:rsidRPr="00A1728C">
        <w:rPr>
          <w:i/>
          <w:color w:val="auto"/>
        </w:rPr>
        <w:t>scn4aa</w:t>
      </w:r>
      <w:r w:rsidR="009B58A7" w:rsidRPr="00A1728C">
        <w:rPr>
          <w:color w:val="auto"/>
        </w:rPr>
        <w:t xml:space="preserve"> in both </w:t>
      </w:r>
      <w:r w:rsidR="009B58A7" w:rsidRPr="00A1728C">
        <w:rPr>
          <w:i/>
          <w:color w:val="auto"/>
        </w:rPr>
        <w:t xml:space="preserve">B. </w:t>
      </w:r>
      <w:proofErr w:type="spellStart"/>
      <w:r w:rsidR="009B58A7" w:rsidRPr="00A1728C">
        <w:rPr>
          <w:i/>
          <w:color w:val="auto"/>
        </w:rPr>
        <w:t>gauderio</w:t>
      </w:r>
      <w:proofErr w:type="spellEnd"/>
      <w:r w:rsidR="009B58A7" w:rsidRPr="00A1728C">
        <w:rPr>
          <w:color w:val="auto"/>
        </w:rPr>
        <w:t xml:space="preserve"> and </w:t>
      </w:r>
      <w:r w:rsidR="009B58A7" w:rsidRPr="00A1728C">
        <w:rPr>
          <w:i/>
          <w:color w:val="auto"/>
        </w:rPr>
        <w:t xml:space="preserve">B. </w:t>
      </w:r>
      <w:proofErr w:type="spellStart"/>
      <w:r w:rsidR="009B58A7" w:rsidRPr="00A1728C">
        <w:rPr>
          <w:i/>
          <w:color w:val="auto"/>
        </w:rPr>
        <w:t>brachyistius</w:t>
      </w:r>
      <w:proofErr w:type="spellEnd"/>
      <w:r w:rsidR="009B58A7" w:rsidRPr="00A1728C">
        <w:rPr>
          <w:color w:val="auto"/>
        </w:rPr>
        <w:t xml:space="preserve"> as described in Section 1. </w:t>
      </w:r>
      <w:r>
        <w:rPr>
          <w:color w:val="auto"/>
        </w:rPr>
        <w:t xml:space="preserve">The </w:t>
      </w:r>
      <w:r w:rsidR="009B58A7" w:rsidRPr="00A1728C">
        <w:rPr>
          <w:color w:val="auto"/>
        </w:rPr>
        <w:t>sgRNAs were generated as described in Section 2.</w:t>
      </w:r>
      <w:r w:rsidR="00EA1C1D">
        <w:rPr>
          <w:color w:val="auto"/>
        </w:rPr>
        <w:t xml:space="preserve"> </w:t>
      </w:r>
      <w:r w:rsidR="009B58A7" w:rsidRPr="00A1728C">
        <w:rPr>
          <w:color w:val="auto"/>
        </w:rPr>
        <w:t>Following successful sgRNA selection and synthesis (</w:t>
      </w:r>
      <w:r w:rsidR="00EA1C1D" w:rsidRPr="00EA1C1D">
        <w:rPr>
          <w:b/>
          <w:color w:val="auto"/>
        </w:rPr>
        <w:t>Figure 1</w:t>
      </w:r>
      <w:r w:rsidR="009B58A7" w:rsidRPr="00A1728C">
        <w:rPr>
          <w:color w:val="auto"/>
        </w:rPr>
        <w:t xml:space="preserve">), </w:t>
      </w:r>
      <w:r w:rsidRPr="00D81FC0">
        <w:rPr>
          <w:rFonts w:asciiTheme="minorHAnsi" w:hAnsiTheme="minorHAnsi"/>
        </w:rPr>
        <w:t>in vitro</w:t>
      </w:r>
      <w:r w:rsidR="009B58A7" w:rsidRPr="00A1728C">
        <w:rPr>
          <w:color w:val="auto"/>
        </w:rPr>
        <w:t xml:space="preserve"> cleavage was tested (</w:t>
      </w:r>
      <w:r w:rsidR="00EA1C1D" w:rsidRPr="00EA1C1D">
        <w:rPr>
          <w:b/>
          <w:color w:val="auto"/>
        </w:rPr>
        <w:t>Figure 2</w:t>
      </w:r>
      <w:r w:rsidR="009B58A7" w:rsidRPr="00A1728C">
        <w:rPr>
          <w:color w:val="auto"/>
        </w:rPr>
        <w:t xml:space="preserve">). </w:t>
      </w:r>
      <w:r>
        <w:rPr>
          <w:color w:val="auto"/>
        </w:rPr>
        <w:t xml:space="preserve">The </w:t>
      </w:r>
      <w:r w:rsidR="009B58A7" w:rsidRPr="00A1728C">
        <w:rPr>
          <w:color w:val="auto"/>
        </w:rPr>
        <w:t xml:space="preserve">sgRNAs demonstrating </w:t>
      </w:r>
      <w:r w:rsidRPr="00D81FC0">
        <w:rPr>
          <w:rFonts w:asciiTheme="minorHAnsi" w:hAnsiTheme="minorHAnsi"/>
        </w:rPr>
        <w:t>in vitro</w:t>
      </w:r>
      <w:r w:rsidR="009B58A7" w:rsidRPr="00A1728C">
        <w:rPr>
          <w:i/>
          <w:color w:val="auto"/>
        </w:rPr>
        <w:t xml:space="preserve"> </w:t>
      </w:r>
      <w:r w:rsidR="009B58A7" w:rsidRPr="00A1728C">
        <w:rPr>
          <w:color w:val="auto"/>
        </w:rPr>
        <w:t xml:space="preserve">cutting were then selected for single cell microinjections. </w:t>
      </w:r>
    </w:p>
    <w:p w14:paraId="6A90C813" w14:textId="77777777" w:rsidR="0088463F" w:rsidRPr="00A1728C" w:rsidRDefault="0088463F" w:rsidP="00A1728C">
      <w:pPr>
        <w:rPr>
          <w:color w:val="auto"/>
        </w:rPr>
      </w:pPr>
    </w:p>
    <w:p w14:paraId="6614F632" w14:textId="2A204DC8" w:rsidR="009B58A7" w:rsidRPr="00A1728C" w:rsidRDefault="009B58A7" w:rsidP="00A1728C">
      <w:pPr>
        <w:rPr>
          <w:color w:val="auto"/>
        </w:rPr>
      </w:pPr>
      <w:r w:rsidRPr="00A1728C">
        <w:rPr>
          <w:color w:val="auto"/>
        </w:rPr>
        <w:t>Adult</w:t>
      </w:r>
      <w:r w:rsidR="00AA1370">
        <w:rPr>
          <w:color w:val="auto"/>
        </w:rPr>
        <w:t xml:space="preserve"> fish</w:t>
      </w:r>
      <w:r w:rsidRPr="00A1728C">
        <w:rPr>
          <w:color w:val="auto"/>
        </w:rPr>
        <w:t xml:space="preserve"> were conditioned for reproduction (Section 4.1), then injected with </w:t>
      </w:r>
      <w:r w:rsidR="00AA1370">
        <w:rPr>
          <w:color w:val="auto"/>
        </w:rPr>
        <w:t xml:space="preserve">a </w:t>
      </w:r>
      <w:r w:rsidR="00935932" w:rsidRPr="00A1728C">
        <w:rPr>
          <w:color w:val="auto"/>
        </w:rPr>
        <w:t>spawning agent</w:t>
      </w:r>
      <w:r w:rsidRPr="00A1728C">
        <w:rPr>
          <w:color w:val="auto"/>
        </w:rPr>
        <w:t xml:space="preserve"> (Section 4.2) and subsequently squeezed (</w:t>
      </w:r>
      <w:r w:rsidRPr="00A1728C">
        <w:rPr>
          <w:i/>
          <w:color w:val="auto"/>
        </w:rPr>
        <w:t xml:space="preserve">B. </w:t>
      </w:r>
      <w:proofErr w:type="spellStart"/>
      <w:r w:rsidRPr="00A1728C">
        <w:rPr>
          <w:i/>
          <w:color w:val="auto"/>
        </w:rPr>
        <w:t>gauderio</w:t>
      </w:r>
      <w:proofErr w:type="spellEnd"/>
      <w:r w:rsidRPr="00A1728C">
        <w:rPr>
          <w:color w:val="auto"/>
        </w:rPr>
        <w:t>) for IVF as described in Section 4.4 or allowed to spawn naturally (</w:t>
      </w:r>
      <w:r w:rsidRPr="00A1728C">
        <w:rPr>
          <w:i/>
          <w:color w:val="auto"/>
        </w:rPr>
        <w:t xml:space="preserve">B. </w:t>
      </w:r>
      <w:proofErr w:type="spellStart"/>
      <w:r w:rsidRPr="00A1728C">
        <w:rPr>
          <w:i/>
          <w:color w:val="auto"/>
        </w:rPr>
        <w:t>brachyistius</w:t>
      </w:r>
      <w:proofErr w:type="spellEnd"/>
      <w:r w:rsidRPr="00A1728C">
        <w:rPr>
          <w:color w:val="auto"/>
        </w:rPr>
        <w:t>) as described in Section 4.3.</w:t>
      </w:r>
      <w:r w:rsidRPr="00A1728C">
        <w:rPr>
          <w:i/>
          <w:color w:val="auto"/>
        </w:rPr>
        <w:t xml:space="preserve"> </w:t>
      </w:r>
      <w:r w:rsidRPr="00A1728C">
        <w:rPr>
          <w:color w:val="auto"/>
        </w:rPr>
        <w:t xml:space="preserve">These efforts yielded single cell embryos for microinjection in both species. As described in Section 5, </w:t>
      </w:r>
      <w:r w:rsidR="00AA1370" w:rsidRPr="00A1728C">
        <w:rPr>
          <w:color w:val="auto"/>
        </w:rPr>
        <w:t>1.5</w:t>
      </w:r>
      <w:r w:rsidR="00AA1370" w:rsidRPr="003D007E">
        <w:rPr>
          <w:color w:val="auto"/>
        </w:rPr>
        <w:t>−</w:t>
      </w:r>
      <w:r w:rsidR="00AA1370" w:rsidRPr="00A1728C">
        <w:rPr>
          <w:color w:val="auto"/>
        </w:rPr>
        <w:t xml:space="preserve">2.0 </w:t>
      </w:r>
      <w:proofErr w:type="spellStart"/>
      <w:r w:rsidR="00AA1370" w:rsidRPr="00A1728C">
        <w:rPr>
          <w:color w:val="auto"/>
        </w:rPr>
        <w:t>nL</w:t>
      </w:r>
      <w:proofErr w:type="spellEnd"/>
      <w:r w:rsidR="00AA1370" w:rsidRPr="00A1728C">
        <w:rPr>
          <w:color w:val="auto"/>
        </w:rPr>
        <w:t xml:space="preserve"> </w:t>
      </w:r>
      <w:r w:rsidR="00AA1370">
        <w:rPr>
          <w:color w:val="auto"/>
        </w:rPr>
        <w:t xml:space="preserve">of </w:t>
      </w:r>
      <w:r w:rsidR="00AA1370" w:rsidRPr="00A1728C">
        <w:rPr>
          <w:color w:val="auto"/>
        </w:rPr>
        <w:t xml:space="preserve">the </w:t>
      </w:r>
      <w:r w:rsidR="00AA1370" w:rsidRPr="00A1728C">
        <w:rPr>
          <w:i/>
          <w:color w:val="auto"/>
        </w:rPr>
        <w:t>scn4aa</w:t>
      </w:r>
      <w:r w:rsidR="00AA1370" w:rsidRPr="00A1728C">
        <w:rPr>
          <w:color w:val="auto"/>
        </w:rPr>
        <w:t xml:space="preserve"> sgRNA/Cas9/phenol red complex (65-190 ng/</w:t>
      </w:r>
      <w:proofErr w:type="spellStart"/>
      <w:r w:rsidR="00AA1370" w:rsidRPr="00A1728C">
        <w:rPr>
          <w:color w:val="auto"/>
        </w:rPr>
        <w:t>uL</w:t>
      </w:r>
      <w:proofErr w:type="spellEnd"/>
      <w:r w:rsidR="00AA1370" w:rsidRPr="00A1728C">
        <w:rPr>
          <w:color w:val="auto"/>
        </w:rPr>
        <w:t xml:space="preserve"> sgRNA, 450 ng/</w:t>
      </w:r>
      <w:proofErr w:type="spellStart"/>
      <w:r w:rsidR="00AA1370" w:rsidRPr="00A1728C">
        <w:rPr>
          <w:color w:val="auto"/>
        </w:rPr>
        <w:t>uL</w:t>
      </w:r>
      <w:proofErr w:type="spellEnd"/>
      <w:r w:rsidR="00AA1370" w:rsidRPr="00A1728C">
        <w:rPr>
          <w:color w:val="auto"/>
        </w:rPr>
        <w:t xml:space="preserve"> Cas9, 1%</w:t>
      </w:r>
      <w:r w:rsidR="00AA1370">
        <w:rPr>
          <w:color w:val="auto"/>
        </w:rPr>
        <w:t>−</w:t>
      </w:r>
      <w:r w:rsidR="00AA1370" w:rsidRPr="00A1728C">
        <w:rPr>
          <w:color w:val="auto"/>
        </w:rPr>
        <w:t>10% phenol red</w:t>
      </w:r>
      <w:r w:rsidR="00AA1370">
        <w:rPr>
          <w:color w:val="auto"/>
        </w:rPr>
        <w:t>,</w:t>
      </w:r>
      <w:r w:rsidR="00AA1370" w:rsidRPr="00A1728C">
        <w:rPr>
          <w:color w:val="auto"/>
        </w:rPr>
        <w:t xml:space="preserve"> final concentrations) </w:t>
      </w:r>
      <w:r w:rsidRPr="00A1728C">
        <w:rPr>
          <w:color w:val="auto"/>
        </w:rPr>
        <w:t xml:space="preserve">was injected at the </w:t>
      </w:r>
      <w:r w:rsidR="00AA1370" w:rsidRPr="00D81FC0">
        <w:rPr>
          <w:color w:val="auto"/>
        </w:rPr>
        <w:t>one</w:t>
      </w:r>
      <w:r w:rsidRPr="00A1728C">
        <w:rPr>
          <w:color w:val="auto"/>
        </w:rPr>
        <w:t xml:space="preserve">-cell stage. Eggs from the same clutch were used as </w:t>
      </w:r>
      <w:proofErr w:type="spellStart"/>
      <w:r w:rsidRPr="00A1728C">
        <w:rPr>
          <w:color w:val="auto"/>
        </w:rPr>
        <w:t>uninjected</w:t>
      </w:r>
      <w:proofErr w:type="spellEnd"/>
      <w:r w:rsidRPr="00A1728C">
        <w:rPr>
          <w:color w:val="auto"/>
        </w:rPr>
        <w:t xml:space="preserve"> controls. All embryos were cared for as described in Section 6.</w:t>
      </w:r>
      <w:r w:rsidR="001E1D96" w:rsidRPr="00A1728C">
        <w:rPr>
          <w:color w:val="auto"/>
        </w:rPr>
        <w:t xml:space="preserve"> </w:t>
      </w:r>
      <w:r w:rsidR="00AA1370" w:rsidRPr="00A1728C">
        <w:rPr>
          <w:color w:val="auto"/>
        </w:rPr>
        <w:t>Following IVF</w:t>
      </w:r>
      <w:r w:rsidR="00AA1370">
        <w:rPr>
          <w:color w:val="auto"/>
        </w:rPr>
        <w:t>,</w:t>
      </w:r>
      <w:r w:rsidR="00AA1370" w:rsidRPr="00A1728C">
        <w:rPr>
          <w:color w:val="auto"/>
        </w:rPr>
        <w:t xml:space="preserve"> </w:t>
      </w:r>
      <w:r w:rsidR="00EA1C1D" w:rsidRPr="00A1728C">
        <w:rPr>
          <w:color w:val="auto"/>
        </w:rPr>
        <w:t>40</w:t>
      </w:r>
      <w:r w:rsidR="00EA1C1D">
        <w:rPr>
          <w:color w:val="auto"/>
        </w:rPr>
        <w:t>%–</w:t>
      </w:r>
      <w:r w:rsidR="00EA1C1D" w:rsidRPr="00A1728C">
        <w:rPr>
          <w:color w:val="auto"/>
        </w:rPr>
        <w:t>90</w:t>
      </w:r>
      <w:r w:rsidR="00EA1C1D">
        <w:rPr>
          <w:color w:val="auto"/>
        </w:rPr>
        <w:t>%</w:t>
      </w:r>
      <w:r w:rsidR="001E1D96" w:rsidRPr="00A1728C">
        <w:rPr>
          <w:color w:val="auto"/>
        </w:rPr>
        <w:t xml:space="preserve"> of eggs </w:t>
      </w:r>
      <w:r w:rsidR="00AA1370">
        <w:rPr>
          <w:color w:val="auto"/>
        </w:rPr>
        <w:t>were</w:t>
      </w:r>
      <w:r w:rsidR="00AA1370" w:rsidRPr="00A1728C">
        <w:rPr>
          <w:color w:val="auto"/>
        </w:rPr>
        <w:t xml:space="preserve"> </w:t>
      </w:r>
      <w:r w:rsidR="001E1D96" w:rsidRPr="00A1728C">
        <w:rPr>
          <w:color w:val="auto"/>
        </w:rPr>
        <w:t>fertilized</w:t>
      </w:r>
      <w:r w:rsidR="00AA1370">
        <w:rPr>
          <w:color w:val="auto"/>
        </w:rPr>
        <w:t>,</w:t>
      </w:r>
      <w:r w:rsidR="001E1D96" w:rsidRPr="00A1728C">
        <w:rPr>
          <w:color w:val="auto"/>
        </w:rPr>
        <w:t xml:space="preserve"> and </w:t>
      </w:r>
      <w:r w:rsidR="00EA1C1D" w:rsidRPr="00A1728C">
        <w:rPr>
          <w:color w:val="auto"/>
        </w:rPr>
        <w:t>70</w:t>
      </w:r>
      <w:r w:rsidR="00EA1C1D">
        <w:rPr>
          <w:color w:val="auto"/>
        </w:rPr>
        <w:t>%–</w:t>
      </w:r>
      <w:r w:rsidR="00EA1C1D" w:rsidRPr="00A1728C">
        <w:rPr>
          <w:color w:val="auto"/>
        </w:rPr>
        <w:t>90</w:t>
      </w:r>
      <w:r w:rsidR="00EA1C1D">
        <w:rPr>
          <w:color w:val="auto"/>
        </w:rPr>
        <w:t>%</w:t>
      </w:r>
      <w:r w:rsidR="001E1D96" w:rsidRPr="00A1728C">
        <w:rPr>
          <w:color w:val="auto"/>
        </w:rPr>
        <w:t xml:space="preserve"> of embryos survive</w:t>
      </w:r>
      <w:r w:rsidR="00AA1370">
        <w:rPr>
          <w:color w:val="auto"/>
        </w:rPr>
        <w:t>d</w:t>
      </w:r>
      <w:r w:rsidR="001E1D96" w:rsidRPr="00A1728C">
        <w:rPr>
          <w:color w:val="auto"/>
        </w:rPr>
        <w:t xml:space="preserve"> to hatching following injection. </w:t>
      </w:r>
      <w:r w:rsidR="00FC5BA5" w:rsidRPr="00A1728C">
        <w:rPr>
          <w:color w:val="auto"/>
        </w:rPr>
        <w:br/>
      </w:r>
    </w:p>
    <w:p w14:paraId="59E7DA68" w14:textId="190B33EA" w:rsidR="002B6FDF" w:rsidRDefault="001E1D96" w:rsidP="00A1728C">
      <w:pPr>
        <w:rPr>
          <w:color w:val="auto"/>
        </w:rPr>
      </w:pPr>
      <w:r w:rsidRPr="00A1728C">
        <w:rPr>
          <w:color w:val="auto"/>
        </w:rPr>
        <w:t>About 75% of fish survive</w:t>
      </w:r>
      <w:r w:rsidR="00AA1370">
        <w:rPr>
          <w:color w:val="auto"/>
        </w:rPr>
        <w:t>d</w:t>
      </w:r>
      <w:r w:rsidRPr="00A1728C">
        <w:rPr>
          <w:color w:val="auto"/>
        </w:rPr>
        <w:t xml:space="preserve"> to 6</w:t>
      </w:r>
      <w:r w:rsidR="00AA1370" w:rsidRPr="00D81FC0">
        <w:rPr>
          <w:color w:val="auto"/>
        </w:rPr>
        <w:t>−</w:t>
      </w:r>
      <w:r w:rsidRPr="00A1728C">
        <w:rPr>
          <w:color w:val="auto"/>
        </w:rPr>
        <w:t>11</w:t>
      </w:r>
      <w:r w:rsidR="00AA1370">
        <w:rPr>
          <w:color w:val="auto"/>
        </w:rPr>
        <w:t xml:space="preserve"> </w:t>
      </w:r>
      <w:r w:rsidR="007D6EFD" w:rsidRPr="007D6EFD">
        <w:rPr>
          <w:caps/>
          <w:color w:val="auto"/>
        </w:rPr>
        <w:t>DPF</w:t>
      </w:r>
      <w:r w:rsidRPr="00A1728C">
        <w:rPr>
          <w:color w:val="auto"/>
        </w:rPr>
        <w:t xml:space="preserve"> and </w:t>
      </w:r>
      <w:r w:rsidR="00AA1370">
        <w:rPr>
          <w:color w:val="auto"/>
        </w:rPr>
        <w:t>were</w:t>
      </w:r>
      <w:r w:rsidR="00AA1370" w:rsidRPr="00A1728C">
        <w:rPr>
          <w:color w:val="auto"/>
        </w:rPr>
        <w:t xml:space="preserve"> </w:t>
      </w:r>
      <w:r w:rsidRPr="00A1728C">
        <w:rPr>
          <w:color w:val="auto"/>
        </w:rPr>
        <w:t xml:space="preserve">then </w:t>
      </w:r>
      <w:proofErr w:type="spellStart"/>
      <w:r w:rsidRPr="00A1728C">
        <w:rPr>
          <w:color w:val="auto"/>
        </w:rPr>
        <w:t>phenotyped</w:t>
      </w:r>
      <w:proofErr w:type="spellEnd"/>
      <w:r w:rsidR="00AA1370">
        <w:rPr>
          <w:color w:val="auto"/>
        </w:rPr>
        <w:t>.</w:t>
      </w:r>
      <w:r w:rsidR="009B58A7" w:rsidRPr="00A1728C">
        <w:rPr>
          <w:color w:val="auto"/>
        </w:rPr>
        <w:t xml:space="preserve"> </w:t>
      </w:r>
      <w:r w:rsidR="00AA1370" w:rsidRPr="00A1728C">
        <w:rPr>
          <w:color w:val="auto"/>
        </w:rPr>
        <w:t xml:space="preserve">Larval </w:t>
      </w:r>
      <w:r w:rsidR="009B58A7" w:rsidRPr="00A1728C">
        <w:rPr>
          <w:color w:val="auto"/>
        </w:rPr>
        <w:t xml:space="preserve">fish were placed into a 35 mm </w:t>
      </w:r>
      <w:r w:rsidR="00AA1370">
        <w:rPr>
          <w:color w:val="auto"/>
        </w:rPr>
        <w:t xml:space="preserve">Petri </w:t>
      </w:r>
      <w:r w:rsidR="009B58A7" w:rsidRPr="00A1728C">
        <w:rPr>
          <w:color w:val="auto"/>
        </w:rPr>
        <w:t xml:space="preserve">dish embedded in a larger dish with </w:t>
      </w:r>
      <w:proofErr w:type="spellStart"/>
      <w:r w:rsidR="009B58A7" w:rsidRPr="00A1728C">
        <w:rPr>
          <w:color w:val="auto"/>
        </w:rPr>
        <w:t>Sylgard</w:t>
      </w:r>
      <w:proofErr w:type="spellEnd"/>
      <w:r w:rsidR="009B58A7" w:rsidRPr="00A1728C">
        <w:rPr>
          <w:color w:val="auto"/>
        </w:rPr>
        <w:t xml:space="preserve"> immobilized Ag/Cl recording electrodes (</w:t>
      </w:r>
      <w:r w:rsidR="00EA1C1D" w:rsidRPr="00EA1C1D">
        <w:rPr>
          <w:b/>
          <w:color w:val="auto"/>
        </w:rPr>
        <w:t>Figure 7A</w:t>
      </w:r>
      <w:r w:rsidR="009B58A7" w:rsidRPr="00A1728C">
        <w:rPr>
          <w:color w:val="auto"/>
        </w:rPr>
        <w:t>).</w:t>
      </w:r>
      <w:r w:rsidR="00EA1C1D">
        <w:rPr>
          <w:color w:val="auto"/>
        </w:rPr>
        <w:t xml:space="preserve"> </w:t>
      </w:r>
      <w:r w:rsidR="009B58A7" w:rsidRPr="00A1728C">
        <w:rPr>
          <w:color w:val="auto"/>
        </w:rPr>
        <w:t>Embryo movement was restricted using 3% agarose molds made with system water and cut to fit the embryo (</w:t>
      </w:r>
      <w:r w:rsidR="00EA1C1D" w:rsidRPr="00EA1C1D">
        <w:rPr>
          <w:b/>
          <w:color w:val="auto"/>
        </w:rPr>
        <w:t>Figure 7B</w:t>
      </w:r>
      <w:r w:rsidR="009B58A7" w:rsidRPr="00A1728C">
        <w:rPr>
          <w:color w:val="auto"/>
        </w:rPr>
        <w:t>).</w:t>
      </w:r>
      <w:r w:rsidR="00714977" w:rsidRPr="00A1728C">
        <w:rPr>
          <w:color w:val="auto"/>
        </w:rPr>
        <w:t xml:space="preserve"> The same recording chamber was used for both species and the same agarose mold was used among species comparisons.</w:t>
      </w:r>
      <w:r w:rsidR="009B58A7" w:rsidRPr="00A1728C">
        <w:rPr>
          <w:color w:val="auto"/>
        </w:rPr>
        <w:t xml:space="preserve"> Embryos were recorded for 60 </w:t>
      </w:r>
      <w:r w:rsidR="00AA1370">
        <w:rPr>
          <w:color w:val="auto"/>
        </w:rPr>
        <w:t>s</w:t>
      </w:r>
      <w:r w:rsidR="009B58A7" w:rsidRPr="00A1728C">
        <w:rPr>
          <w:color w:val="auto"/>
        </w:rPr>
        <w:t xml:space="preserve">, which is </w:t>
      </w:r>
      <w:proofErr w:type="gramStart"/>
      <w:r w:rsidR="009B58A7" w:rsidRPr="00A1728C">
        <w:rPr>
          <w:color w:val="auto"/>
        </w:rPr>
        <w:t>sufficient</w:t>
      </w:r>
      <w:proofErr w:type="gramEnd"/>
      <w:r w:rsidR="009B58A7" w:rsidRPr="00A1728C">
        <w:rPr>
          <w:color w:val="auto"/>
        </w:rPr>
        <w:t xml:space="preserve"> to capture hundreds of EODs.</w:t>
      </w:r>
      <w:r w:rsidR="00EA1C1D">
        <w:rPr>
          <w:color w:val="auto"/>
        </w:rPr>
        <w:t xml:space="preserve"> </w:t>
      </w:r>
      <w:r w:rsidR="009B58A7" w:rsidRPr="00A1728C">
        <w:rPr>
          <w:color w:val="auto"/>
        </w:rPr>
        <w:t xml:space="preserve">Age and size-matched </w:t>
      </w:r>
      <w:proofErr w:type="spellStart"/>
      <w:r w:rsidR="009B58A7" w:rsidRPr="00A1728C">
        <w:rPr>
          <w:color w:val="auto"/>
        </w:rPr>
        <w:t>uninjected</w:t>
      </w:r>
      <w:proofErr w:type="spellEnd"/>
      <w:r w:rsidR="009B58A7" w:rsidRPr="00A1728C">
        <w:rPr>
          <w:color w:val="auto"/>
        </w:rPr>
        <w:t xml:space="preserve"> controls were selected for comparison. </w:t>
      </w:r>
      <w:proofErr w:type="gramStart"/>
      <w:r w:rsidR="00D81FC0" w:rsidRPr="00A1728C">
        <w:rPr>
          <w:color w:val="auto"/>
        </w:rPr>
        <w:t>At this time</w:t>
      </w:r>
      <w:proofErr w:type="gramEnd"/>
      <w:r w:rsidR="00D81FC0" w:rsidRPr="00A1728C">
        <w:rPr>
          <w:color w:val="auto"/>
        </w:rPr>
        <w:t xml:space="preserve"> point</w:t>
      </w:r>
      <w:r w:rsidR="00D81FC0">
        <w:rPr>
          <w:color w:val="auto"/>
        </w:rPr>
        <w:t>,</w:t>
      </w:r>
      <w:r w:rsidR="00D81FC0" w:rsidRPr="00A1728C">
        <w:rPr>
          <w:color w:val="auto"/>
        </w:rPr>
        <w:t xml:space="preserve"> </w:t>
      </w:r>
      <w:r w:rsidR="00EA1C1D" w:rsidRPr="00A1728C">
        <w:rPr>
          <w:color w:val="auto"/>
        </w:rPr>
        <w:t>10</w:t>
      </w:r>
      <w:r w:rsidR="00EA1C1D">
        <w:rPr>
          <w:color w:val="auto"/>
        </w:rPr>
        <w:t>%–</w:t>
      </w:r>
      <w:r w:rsidR="00EA1C1D" w:rsidRPr="00A1728C">
        <w:rPr>
          <w:color w:val="auto"/>
        </w:rPr>
        <w:t>30</w:t>
      </w:r>
      <w:r w:rsidR="00EA1C1D">
        <w:rPr>
          <w:color w:val="auto"/>
        </w:rPr>
        <w:t>%</w:t>
      </w:r>
      <w:r w:rsidRPr="00A1728C">
        <w:rPr>
          <w:color w:val="auto"/>
        </w:rPr>
        <w:t xml:space="preserve"> of surviving embryos show a reduced amplitude EOD. </w:t>
      </w:r>
      <w:r w:rsidR="009B58A7" w:rsidRPr="00A1728C">
        <w:rPr>
          <w:color w:val="auto"/>
        </w:rPr>
        <w:t xml:space="preserve">Embryos displaying a reduction in EOD amplitude with no obvious morphological defects and control </w:t>
      </w:r>
      <w:proofErr w:type="spellStart"/>
      <w:r w:rsidR="009B58A7" w:rsidRPr="00A1728C">
        <w:rPr>
          <w:color w:val="auto"/>
        </w:rPr>
        <w:t>uninjected</w:t>
      </w:r>
      <w:proofErr w:type="spellEnd"/>
      <w:r w:rsidR="009B58A7" w:rsidRPr="00A1728C">
        <w:rPr>
          <w:color w:val="auto"/>
        </w:rPr>
        <w:t xml:space="preserve"> whole embryos were digested for DNA extraction and subsequent PCR of the </w:t>
      </w:r>
      <w:r w:rsidR="009B58A7" w:rsidRPr="00A1728C">
        <w:rPr>
          <w:i/>
          <w:color w:val="auto"/>
        </w:rPr>
        <w:t>scn4aa</w:t>
      </w:r>
      <w:r w:rsidR="009B58A7" w:rsidRPr="00A1728C">
        <w:rPr>
          <w:color w:val="auto"/>
        </w:rPr>
        <w:t xml:space="preserve"> target site. </w:t>
      </w:r>
      <w:r w:rsidR="00D81FC0" w:rsidRPr="00A1728C">
        <w:rPr>
          <w:color w:val="auto"/>
        </w:rPr>
        <w:t xml:space="preserve">There </w:t>
      </w:r>
      <w:r w:rsidR="00D81FC0">
        <w:rPr>
          <w:color w:val="auto"/>
        </w:rPr>
        <w:t xml:space="preserve">was </w:t>
      </w:r>
      <w:r w:rsidR="00D81FC0" w:rsidRPr="00A1728C">
        <w:rPr>
          <w:color w:val="auto"/>
        </w:rPr>
        <w:t>often a range of penetrance of the phenotype, with some individuals having a stronger reduction in EOD amplitude than others</w:t>
      </w:r>
      <w:r w:rsidR="00D81FC0">
        <w:rPr>
          <w:color w:val="auto"/>
        </w:rPr>
        <w:t>.</w:t>
      </w:r>
    </w:p>
    <w:p w14:paraId="73F1B0E0" w14:textId="77777777" w:rsidR="002B6FDF" w:rsidRDefault="002B6FDF" w:rsidP="00A1728C">
      <w:pPr>
        <w:rPr>
          <w:color w:val="auto"/>
        </w:rPr>
      </w:pPr>
    </w:p>
    <w:p w14:paraId="4D35C61D" w14:textId="17EE6A18" w:rsidR="009B58A7" w:rsidRPr="00A1728C" w:rsidRDefault="009B58A7" w:rsidP="00A1728C">
      <w:pPr>
        <w:rPr>
          <w:color w:val="auto"/>
        </w:rPr>
      </w:pPr>
      <w:r w:rsidRPr="00A1728C">
        <w:rPr>
          <w:color w:val="auto"/>
        </w:rPr>
        <w:t>After PCR clean up and cloning, 30+ clones from each embryo were selected for Sanger sequencing.</w:t>
      </w:r>
      <w:r w:rsidR="00EA1C1D">
        <w:rPr>
          <w:color w:val="auto"/>
        </w:rPr>
        <w:t xml:space="preserve"> </w:t>
      </w:r>
      <w:r w:rsidRPr="00A1728C">
        <w:rPr>
          <w:color w:val="auto"/>
        </w:rPr>
        <w:t xml:space="preserve">CRISPR/Cas9 induced mutations were identified in </w:t>
      </w:r>
      <w:r w:rsidR="008066F6" w:rsidRPr="00A1728C">
        <w:rPr>
          <w:i/>
          <w:color w:val="auto"/>
        </w:rPr>
        <w:t xml:space="preserve">B. </w:t>
      </w:r>
      <w:proofErr w:type="spellStart"/>
      <w:r w:rsidR="008066F6" w:rsidRPr="00A1728C">
        <w:rPr>
          <w:i/>
          <w:color w:val="auto"/>
        </w:rPr>
        <w:t>gauderio</w:t>
      </w:r>
      <w:proofErr w:type="spellEnd"/>
      <w:r w:rsidR="008066F6" w:rsidRPr="00A1728C">
        <w:rPr>
          <w:color w:val="auto"/>
        </w:rPr>
        <w:t xml:space="preserve"> </w:t>
      </w:r>
      <w:r w:rsidRPr="00A1728C">
        <w:rPr>
          <w:color w:val="auto"/>
        </w:rPr>
        <w:t>(</w:t>
      </w:r>
      <w:r w:rsidRPr="008066F6">
        <w:rPr>
          <w:b/>
          <w:bCs/>
          <w:color w:val="auto"/>
        </w:rPr>
        <w:t>Fi</w:t>
      </w:r>
      <w:r w:rsidR="008066F6" w:rsidRPr="008066F6">
        <w:rPr>
          <w:b/>
          <w:bCs/>
          <w:color w:val="auto"/>
        </w:rPr>
        <w:t>gure</w:t>
      </w:r>
      <w:r w:rsidRPr="008066F6">
        <w:rPr>
          <w:b/>
          <w:bCs/>
          <w:color w:val="auto"/>
        </w:rPr>
        <w:t xml:space="preserve"> 8</w:t>
      </w:r>
      <w:proofErr w:type="gramStart"/>
      <w:r w:rsidRPr="008066F6">
        <w:rPr>
          <w:b/>
          <w:bCs/>
          <w:color w:val="auto"/>
        </w:rPr>
        <w:t>A</w:t>
      </w:r>
      <w:r w:rsidRPr="000F1CEB">
        <w:rPr>
          <w:color w:val="auto"/>
        </w:rPr>
        <w:t>,</w:t>
      </w:r>
      <w:r w:rsidRPr="008066F6">
        <w:rPr>
          <w:b/>
          <w:bCs/>
          <w:color w:val="auto"/>
        </w:rPr>
        <w:t>B</w:t>
      </w:r>
      <w:proofErr w:type="gramEnd"/>
      <w:r w:rsidRPr="00A1728C">
        <w:rPr>
          <w:color w:val="auto"/>
        </w:rPr>
        <w:t xml:space="preserve">) and </w:t>
      </w:r>
      <w:r w:rsidR="008066F6" w:rsidRPr="00A1728C">
        <w:rPr>
          <w:i/>
          <w:color w:val="auto"/>
        </w:rPr>
        <w:t xml:space="preserve">B. </w:t>
      </w:r>
      <w:proofErr w:type="spellStart"/>
      <w:r w:rsidR="008066F6" w:rsidRPr="00A1728C">
        <w:rPr>
          <w:i/>
          <w:color w:val="auto"/>
        </w:rPr>
        <w:t>brachyistius</w:t>
      </w:r>
      <w:proofErr w:type="spellEnd"/>
      <w:r w:rsidR="008066F6" w:rsidRPr="00A1728C">
        <w:rPr>
          <w:color w:val="auto"/>
        </w:rPr>
        <w:t xml:space="preserve"> </w:t>
      </w:r>
      <w:r w:rsidRPr="00A1728C">
        <w:rPr>
          <w:color w:val="auto"/>
        </w:rPr>
        <w:t>(</w:t>
      </w:r>
      <w:r w:rsidRPr="008066F6">
        <w:rPr>
          <w:b/>
          <w:bCs/>
          <w:color w:val="auto"/>
        </w:rPr>
        <w:t>Fig</w:t>
      </w:r>
      <w:r w:rsidR="008066F6" w:rsidRPr="008066F6">
        <w:rPr>
          <w:b/>
          <w:bCs/>
          <w:color w:val="auto"/>
        </w:rPr>
        <w:t>ure</w:t>
      </w:r>
      <w:r w:rsidRPr="008066F6">
        <w:rPr>
          <w:b/>
          <w:bCs/>
          <w:color w:val="auto"/>
        </w:rPr>
        <w:t xml:space="preserve"> 9A</w:t>
      </w:r>
      <w:r w:rsidRPr="000F1CEB">
        <w:rPr>
          <w:color w:val="auto"/>
        </w:rPr>
        <w:t>,</w:t>
      </w:r>
      <w:r w:rsidRPr="008066F6">
        <w:rPr>
          <w:b/>
          <w:bCs/>
          <w:color w:val="auto"/>
        </w:rPr>
        <w:t>B</w:t>
      </w:r>
      <w:r w:rsidRPr="00A1728C">
        <w:rPr>
          <w:color w:val="auto"/>
        </w:rPr>
        <w:t>) individuals with strong EOD amplitude reduction (</w:t>
      </w:r>
      <w:r w:rsidR="00EA1C1D" w:rsidRPr="00EA1C1D">
        <w:rPr>
          <w:b/>
          <w:color w:val="auto"/>
        </w:rPr>
        <w:t>Figure 8C</w:t>
      </w:r>
      <w:r w:rsidRPr="00A1728C">
        <w:rPr>
          <w:color w:val="auto"/>
        </w:rPr>
        <w:t xml:space="preserve"> and</w:t>
      </w:r>
      <w:r w:rsidR="008066F6">
        <w:rPr>
          <w:color w:val="auto"/>
        </w:rPr>
        <w:t xml:space="preserve"> </w:t>
      </w:r>
      <w:r w:rsidR="008066F6" w:rsidRPr="008066F6">
        <w:rPr>
          <w:b/>
          <w:bCs/>
          <w:color w:val="auto"/>
        </w:rPr>
        <w:t>F</w:t>
      </w:r>
      <w:r w:rsidR="008066F6">
        <w:rPr>
          <w:b/>
          <w:bCs/>
          <w:color w:val="auto"/>
        </w:rPr>
        <w:t>i</w:t>
      </w:r>
      <w:r w:rsidR="008066F6" w:rsidRPr="008066F6">
        <w:rPr>
          <w:b/>
          <w:bCs/>
          <w:color w:val="auto"/>
        </w:rPr>
        <w:t>gure</w:t>
      </w:r>
      <w:r w:rsidRPr="008066F6">
        <w:rPr>
          <w:b/>
          <w:bCs/>
          <w:color w:val="auto"/>
        </w:rPr>
        <w:t xml:space="preserve"> 9C</w:t>
      </w:r>
      <w:r w:rsidRPr="00A1728C">
        <w:rPr>
          <w:color w:val="auto"/>
        </w:rPr>
        <w:t xml:space="preserve">, respectively), where </w:t>
      </w:r>
      <w:proofErr w:type="spellStart"/>
      <w:r w:rsidRPr="00A1728C">
        <w:rPr>
          <w:color w:val="auto"/>
        </w:rPr>
        <w:t>uninjected</w:t>
      </w:r>
      <w:proofErr w:type="spellEnd"/>
      <w:r w:rsidRPr="00A1728C">
        <w:rPr>
          <w:color w:val="auto"/>
        </w:rPr>
        <w:t xml:space="preserve"> controls had only reference genotypes.</w:t>
      </w:r>
      <w:r w:rsidR="00EA1C1D">
        <w:rPr>
          <w:color w:val="auto"/>
        </w:rPr>
        <w:t xml:space="preserve"> </w:t>
      </w:r>
      <w:r w:rsidR="00A90C61" w:rsidRPr="00A1728C">
        <w:rPr>
          <w:color w:val="auto"/>
        </w:rPr>
        <w:t>Visualization</w:t>
      </w:r>
      <w:r w:rsidR="00A229A4" w:rsidRPr="00A1728C">
        <w:rPr>
          <w:color w:val="auto"/>
        </w:rPr>
        <w:t xml:space="preserve"> of EOD amplitude between confirmed mutants</w:t>
      </w:r>
      <w:r w:rsidR="00881EDB" w:rsidRPr="00A1728C">
        <w:rPr>
          <w:color w:val="auto"/>
        </w:rPr>
        <w:t xml:space="preserve"> (“</w:t>
      </w:r>
      <w:r w:rsidR="00E82624" w:rsidRPr="00A1728C">
        <w:rPr>
          <w:color w:val="auto"/>
        </w:rPr>
        <w:t>CRISPR”</w:t>
      </w:r>
      <w:r w:rsidR="00A229A4" w:rsidRPr="00A1728C">
        <w:rPr>
          <w:color w:val="auto"/>
        </w:rPr>
        <w:t xml:space="preserve">) and age/size matched </w:t>
      </w:r>
      <w:proofErr w:type="spellStart"/>
      <w:r w:rsidR="00A229A4" w:rsidRPr="00A1728C">
        <w:rPr>
          <w:color w:val="auto"/>
        </w:rPr>
        <w:t>uninjected</w:t>
      </w:r>
      <w:proofErr w:type="spellEnd"/>
      <w:r w:rsidR="00A229A4" w:rsidRPr="00A1728C">
        <w:rPr>
          <w:color w:val="auto"/>
        </w:rPr>
        <w:t xml:space="preserve"> controls </w:t>
      </w:r>
      <w:r w:rsidR="00A90C61" w:rsidRPr="00A1728C">
        <w:rPr>
          <w:color w:val="auto"/>
        </w:rPr>
        <w:t>demonstrate</w:t>
      </w:r>
      <w:r w:rsidR="00D81FC0">
        <w:rPr>
          <w:color w:val="auto"/>
        </w:rPr>
        <w:t>d</w:t>
      </w:r>
      <w:r w:rsidR="00A90C61" w:rsidRPr="00A1728C">
        <w:rPr>
          <w:color w:val="auto"/>
        </w:rPr>
        <w:t xml:space="preserve"> </w:t>
      </w:r>
      <w:r w:rsidR="00A229A4" w:rsidRPr="00A1728C">
        <w:rPr>
          <w:color w:val="auto"/>
        </w:rPr>
        <w:t xml:space="preserve">that </w:t>
      </w:r>
      <w:r w:rsidR="008D7F87" w:rsidRPr="00A1728C">
        <w:rPr>
          <w:color w:val="auto"/>
        </w:rPr>
        <w:t xml:space="preserve">both </w:t>
      </w:r>
      <w:r w:rsidR="00A229A4" w:rsidRPr="00A1728C">
        <w:rPr>
          <w:i/>
          <w:iCs/>
          <w:color w:val="auto"/>
        </w:rPr>
        <w:t>s</w:t>
      </w:r>
      <w:r w:rsidR="00414F58" w:rsidRPr="00A1728C">
        <w:rPr>
          <w:i/>
          <w:iCs/>
          <w:color w:val="auto"/>
        </w:rPr>
        <w:t>c</w:t>
      </w:r>
      <w:r w:rsidR="00A229A4" w:rsidRPr="00A1728C">
        <w:rPr>
          <w:i/>
          <w:iCs/>
          <w:color w:val="auto"/>
        </w:rPr>
        <w:t xml:space="preserve">n4aa </w:t>
      </w:r>
      <w:r w:rsidR="00A229A4" w:rsidRPr="00A1728C">
        <w:rPr>
          <w:color w:val="auto"/>
        </w:rPr>
        <w:t xml:space="preserve">mutant </w:t>
      </w:r>
      <w:r w:rsidR="00A229A4" w:rsidRPr="00A1728C">
        <w:rPr>
          <w:i/>
          <w:iCs/>
          <w:color w:val="auto"/>
        </w:rPr>
        <w:t xml:space="preserve">B. </w:t>
      </w:r>
      <w:proofErr w:type="spellStart"/>
      <w:r w:rsidR="00A229A4" w:rsidRPr="00A1728C">
        <w:rPr>
          <w:i/>
          <w:iCs/>
          <w:color w:val="auto"/>
        </w:rPr>
        <w:t>brachyistius</w:t>
      </w:r>
      <w:proofErr w:type="spellEnd"/>
      <w:r w:rsidR="00A229A4" w:rsidRPr="00A1728C">
        <w:rPr>
          <w:i/>
          <w:iCs/>
          <w:color w:val="auto"/>
        </w:rPr>
        <w:t xml:space="preserve"> </w:t>
      </w:r>
      <w:r w:rsidR="00A229A4" w:rsidRPr="00A1728C">
        <w:rPr>
          <w:color w:val="auto"/>
        </w:rPr>
        <w:t>(</w:t>
      </w:r>
      <w:r w:rsidR="00EA1C1D" w:rsidRPr="008066F6">
        <w:rPr>
          <w:b/>
          <w:color w:val="auto"/>
        </w:rPr>
        <w:t>Figure 10</w:t>
      </w:r>
      <w:r w:rsidR="00A229A4" w:rsidRPr="008066F6">
        <w:rPr>
          <w:b/>
          <w:color w:val="auto"/>
        </w:rPr>
        <w:t>A</w:t>
      </w:r>
      <w:r w:rsidR="00A229A4" w:rsidRPr="00A1728C">
        <w:rPr>
          <w:color w:val="auto"/>
        </w:rPr>
        <w:t xml:space="preserve">) and </w:t>
      </w:r>
      <w:r w:rsidR="00A229A4" w:rsidRPr="00A1728C">
        <w:rPr>
          <w:i/>
          <w:iCs/>
          <w:color w:val="auto"/>
        </w:rPr>
        <w:t xml:space="preserve">B. </w:t>
      </w:r>
      <w:proofErr w:type="spellStart"/>
      <w:r w:rsidR="00A229A4" w:rsidRPr="00A1728C">
        <w:rPr>
          <w:i/>
          <w:iCs/>
          <w:color w:val="auto"/>
        </w:rPr>
        <w:t>gauderio</w:t>
      </w:r>
      <w:proofErr w:type="spellEnd"/>
      <w:r w:rsidR="00A229A4" w:rsidRPr="00A1728C">
        <w:rPr>
          <w:i/>
          <w:iCs/>
          <w:color w:val="auto"/>
        </w:rPr>
        <w:t xml:space="preserve"> </w:t>
      </w:r>
      <w:r w:rsidR="00A229A4" w:rsidRPr="00A1728C">
        <w:rPr>
          <w:color w:val="auto"/>
        </w:rPr>
        <w:t>(</w:t>
      </w:r>
      <w:r w:rsidR="00EA1C1D" w:rsidRPr="008066F6">
        <w:rPr>
          <w:b/>
          <w:color w:val="auto"/>
        </w:rPr>
        <w:t>Figure 10</w:t>
      </w:r>
      <w:r w:rsidR="00A229A4" w:rsidRPr="008066F6">
        <w:rPr>
          <w:b/>
          <w:color w:val="auto"/>
        </w:rPr>
        <w:t>B</w:t>
      </w:r>
      <w:r w:rsidR="00A229A4" w:rsidRPr="00A1728C">
        <w:rPr>
          <w:color w:val="auto"/>
        </w:rPr>
        <w:t>)</w:t>
      </w:r>
      <w:r w:rsidR="00A90C61" w:rsidRPr="00A1728C">
        <w:rPr>
          <w:color w:val="auto"/>
        </w:rPr>
        <w:t xml:space="preserve"> embryos ha</w:t>
      </w:r>
      <w:r w:rsidR="00D81FC0">
        <w:rPr>
          <w:color w:val="auto"/>
        </w:rPr>
        <w:t>d</w:t>
      </w:r>
      <w:r w:rsidR="00A90C61" w:rsidRPr="00A1728C">
        <w:rPr>
          <w:color w:val="auto"/>
        </w:rPr>
        <w:t xml:space="preserve"> </w:t>
      </w:r>
      <w:r w:rsidR="008D7F87" w:rsidRPr="00A1728C">
        <w:rPr>
          <w:color w:val="auto"/>
        </w:rPr>
        <w:t xml:space="preserve">significantly </w:t>
      </w:r>
      <w:r w:rsidR="00A90C61" w:rsidRPr="00A1728C">
        <w:rPr>
          <w:color w:val="auto"/>
        </w:rPr>
        <w:t>lower EOD amplitude than controls</w:t>
      </w:r>
      <w:r w:rsidR="008D7F87" w:rsidRPr="00A1728C">
        <w:rPr>
          <w:color w:val="auto"/>
        </w:rPr>
        <w:t xml:space="preserve"> (</w:t>
      </w:r>
      <w:r w:rsidR="0049330B" w:rsidRPr="000F1CEB">
        <w:rPr>
          <w:color w:val="auto"/>
          <w:shd w:val="clear" w:color="auto" w:fill="FFFFFF"/>
        </w:rPr>
        <w:t>p</w:t>
      </w:r>
      <w:r w:rsidR="008066F6" w:rsidRPr="00D81FC0">
        <w:rPr>
          <w:color w:val="auto"/>
          <w:shd w:val="clear" w:color="auto" w:fill="FFFFFF"/>
        </w:rPr>
        <w:t xml:space="preserve"> </w:t>
      </w:r>
      <w:r w:rsidR="0049330B" w:rsidRPr="00A1728C">
        <w:rPr>
          <w:color w:val="auto"/>
          <w:shd w:val="clear" w:color="auto" w:fill="FFFFFF"/>
        </w:rPr>
        <w:t>&lt;</w:t>
      </w:r>
      <w:r w:rsidR="008066F6">
        <w:rPr>
          <w:color w:val="auto"/>
          <w:shd w:val="clear" w:color="auto" w:fill="FFFFFF"/>
        </w:rPr>
        <w:t xml:space="preserve"> </w:t>
      </w:r>
      <w:r w:rsidR="0049330B" w:rsidRPr="00A1728C">
        <w:rPr>
          <w:color w:val="auto"/>
          <w:shd w:val="clear" w:color="auto" w:fill="FFFFFF"/>
        </w:rPr>
        <w:t>2.2</w:t>
      </w:r>
      <w:r w:rsidR="008066F6">
        <w:rPr>
          <w:color w:val="auto"/>
          <w:shd w:val="clear" w:color="auto" w:fill="FFFFFF"/>
        </w:rPr>
        <w:t xml:space="preserve"> x 10</w:t>
      </w:r>
      <w:r w:rsidR="008066F6">
        <w:rPr>
          <w:color w:val="auto"/>
          <w:shd w:val="clear" w:color="auto" w:fill="FFFFFF"/>
          <w:vertAlign w:val="superscript"/>
        </w:rPr>
        <w:t>-16</w:t>
      </w:r>
      <w:r w:rsidR="0049330B" w:rsidRPr="00A1728C">
        <w:rPr>
          <w:color w:val="auto"/>
          <w:shd w:val="clear" w:color="auto" w:fill="FFFFFF"/>
        </w:rPr>
        <w:t>, Welch two</w:t>
      </w:r>
      <w:r w:rsidR="00D81FC0">
        <w:rPr>
          <w:color w:val="auto"/>
          <w:shd w:val="clear" w:color="auto" w:fill="FFFFFF"/>
        </w:rPr>
        <w:t>-</w:t>
      </w:r>
      <w:r w:rsidR="0049330B" w:rsidRPr="00A1728C">
        <w:rPr>
          <w:color w:val="auto"/>
          <w:shd w:val="clear" w:color="auto" w:fill="FFFFFF"/>
        </w:rPr>
        <w:t>sample t-test</w:t>
      </w:r>
      <w:r w:rsidR="00D81FC0">
        <w:rPr>
          <w:color w:val="auto"/>
          <w:shd w:val="clear" w:color="auto" w:fill="FFFFFF"/>
        </w:rPr>
        <w:t>)</w:t>
      </w:r>
      <w:r w:rsidR="0049330B" w:rsidRPr="00A1728C">
        <w:rPr>
          <w:color w:val="auto"/>
          <w:shd w:val="clear" w:color="auto" w:fill="FFFFFF"/>
        </w:rPr>
        <w:t xml:space="preserve">. </w:t>
      </w:r>
      <w:r w:rsidRPr="00A1728C">
        <w:rPr>
          <w:color w:val="auto"/>
        </w:rPr>
        <w:t xml:space="preserve">CRISPR/Cas9 targeting of </w:t>
      </w:r>
      <w:r w:rsidRPr="00A1728C">
        <w:rPr>
          <w:i/>
          <w:color w:val="auto"/>
        </w:rPr>
        <w:t>scn4aa</w:t>
      </w:r>
      <w:r w:rsidRPr="00A1728C">
        <w:rPr>
          <w:color w:val="auto"/>
        </w:rPr>
        <w:t xml:space="preserve"> was successful in both </w:t>
      </w:r>
      <w:r w:rsidRPr="00A1728C">
        <w:rPr>
          <w:i/>
          <w:color w:val="auto"/>
        </w:rPr>
        <w:t xml:space="preserve">B. </w:t>
      </w:r>
      <w:proofErr w:type="spellStart"/>
      <w:r w:rsidRPr="00A1728C">
        <w:rPr>
          <w:i/>
          <w:color w:val="auto"/>
        </w:rPr>
        <w:t>brachyistius</w:t>
      </w:r>
      <w:proofErr w:type="spellEnd"/>
      <w:r w:rsidRPr="00A1728C">
        <w:rPr>
          <w:i/>
          <w:color w:val="auto"/>
        </w:rPr>
        <w:t xml:space="preserve"> </w:t>
      </w:r>
      <w:r w:rsidRPr="00A1728C">
        <w:rPr>
          <w:color w:val="auto"/>
        </w:rPr>
        <w:t xml:space="preserve">and </w:t>
      </w:r>
      <w:r w:rsidRPr="00A1728C">
        <w:rPr>
          <w:i/>
          <w:color w:val="auto"/>
        </w:rPr>
        <w:t xml:space="preserve">B. </w:t>
      </w:r>
      <w:proofErr w:type="spellStart"/>
      <w:r w:rsidRPr="00A1728C">
        <w:rPr>
          <w:i/>
          <w:color w:val="auto"/>
        </w:rPr>
        <w:t>gauderio</w:t>
      </w:r>
      <w:proofErr w:type="spellEnd"/>
      <w:r w:rsidRPr="00A1728C">
        <w:rPr>
          <w:i/>
          <w:color w:val="auto"/>
        </w:rPr>
        <w:t xml:space="preserve"> </w:t>
      </w:r>
      <w:r w:rsidRPr="00A1728C">
        <w:rPr>
          <w:color w:val="auto"/>
        </w:rPr>
        <w:t xml:space="preserve">and implicate </w:t>
      </w:r>
      <w:r w:rsidRPr="00A1728C">
        <w:rPr>
          <w:i/>
          <w:color w:val="auto"/>
        </w:rPr>
        <w:t>scn4aa</w:t>
      </w:r>
      <w:r w:rsidRPr="00A1728C">
        <w:rPr>
          <w:color w:val="auto"/>
        </w:rPr>
        <w:t xml:space="preserve"> in the larval/early </w:t>
      </w:r>
      <w:proofErr w:type="spellStart"/>
      <w:r w:rsidRPr="00A1728C">
        <w:rPr>
          <w:color w:val="auto"/>
        </w:rPr>
        <w:t>electrocyte</w:t>
      </w:r>
      <w:proofErr w:type="spellEnd"/>
      <w:r w:rsidRPr="00A1728C">
        <w:rPr>
          <w:color w:val="auto"/>
        </w:rPr>
        <w:t xml:space="preserve"> discharge in both species</w:t>
      </w:r>
      <w:r w:rsidRPr="00A1728C">
        <w:rPr>
          <w:i/>
          <w:color w:val="auto"/>
        </w:rPr>
        <w:t>.</w:t>
      </w:r>
    </w:p>
    <w:p w14:paraId="22FE1A3B" w14:textId="3152FA90" w:rsidR="009B58A7" w:rsidRDefault="009B58A7" w:rsidP="00A1728C">
      <w:pPr>
        <w:rPr>
          <w:color w:val="auto"/>
        </w:rPr>
      </w:pPr>
    </w:p>
    <w:p w14:paraId="7AEDE955" w14:textId="3068DB29" w:rsidR="0088463F" w:rsidRPr="00A1728C" w:rsidRDefault="0088463F" w:rsidP="0088463F">
      <w:pPr>
        <w:rPr>
          <w:color w:val="auto"/>
        </w:rPr>
      </w:pPr>
      <w:r w:rsidRPr="00A1728C">
        <w:rPr>
          <w:b/>
          <w:color w:val="auto"/>
        </w:rPr>
        <w:t>FIGURE CAPTIONS:</w:t>
      </w:r>
    </w:p>
    <w:p w14:paraId="141D5D5D" w14:textId="5DC90E77" w:rsidR="0088463F" w:rsidRPr="00A1728C" w:rsidRDefault="00EA1C1D" w:rsidP="0088463F">
      <w:pPr>
        <w:rPr>
          <w:color w:val="auto"/>
        </w:rPr>
      </w:pPr>
      <w:r w:rsidRPr="00EA1C1D">
        <w:rPr>
          <w:b/>
          <w:color w:val="auto"/>
        </w:rPr>
        <w:t>Figure 1</w:t>
      </w:r>
      <w:r w:rsidR="0088463F" w:rsidRPr="00A1728C">
        <w:rPr>
          <w:b/>
          <w:color w:val="auto"/>
        </w:rPr>
        <w:t>:</w:t>
      </w:r>
      <w:r w:rsidR="0088463F" w:rsidRPr="00A1728C">
        <w:rPr>
          <w:color w:val="auto"/>
        </w:rPr>
        <w:t xml:space="preserve"> </w:t>
      </w:r>
      <w:r w:rsidR="002B6FDF" w:rsidRPr="002B6FDF">
        <w:rPr>
          <w:b/>
          <w:bCs/>
          <w:color w:val="auto"/>
        </w:rPr>
        <w:t>sgRNA template synthesis and transcription.</w:t>
      </w:r>
      <w:r w:rsidR="002B6FDF">
        <w:rPr>
          <w:color w:val="auto"/>
        </w:rPr>
        <w:t xml:space="preserve"> </w:t>
      </w:r>
      <w:r w:rsidR="0088463F" w:rsidRPr="000F1CEB">
        <w:rPr>
          <w:bCs/>
          <w:color w:val="auto"/>
        </w:rPr>
        <w:t>(</w:t>
      </w:r>
      <w:r w:rsidR="0088463F" w:rsidRPr="00A1728C">
        <w:rPr>
          <w:b/>
          <w:color w:val="auto"/>
        </w:rPr>
        <w:t>A</w:t>
      </w:r>
      <w:r w:rsidR="0088463F" w:rsidRPr="000F1CEB">
        <w:rPr>
          <w:bCs/>
          <w:color w:val="auto"/>
        </w:rPr>
        <w:t>)</w:t>
      </w:r>
      <w:r w:rsidR="0088463F" w:rsidRPr="00A1728C">
        <w:rPr>
          <w:b/>
          <w:color w:val="auto"/>
        </w:rPr>
        <w:t xml:space="preserve"> </w:t>
      </w:r>
      <w:r w:rsidR="002B6FDF">
        <w:rPr>
          <w:bCs/>
          <w:color w:val="auto"/>
        </w:rPr>
        <w:t xml:space="preserve">Gel image of </w:t>
      </w:r>
      <w:r w:rsidR="0088463F" w:rsidRPr="00A1728C">
        <w:rPr>
          <w:color w:val="auto"/>
        </w:rPr>
        <w:t>sgRNA template synthesis</w:t>
      </w:r>
      <w:r w:rsidR="00D81FC0">
        <w:rPr>
          <w:color w:val="auto"/>
        </w:rPr>
        <w:t>.</w:t>
      </w:r>
      <w:r w:rsidR="0088463F" w:rsidRPr="00A1728C">
        <w:rPr>
          <w:color w:val="auto"/>
        </w:rPr>
        <w:t xml:space="preserve"> </w:t>
      </w:r>
      <w:r w:rsidR="00D81FC0" w:rsidRPr="00A1728C">
        <w:rPr>
          <w:color w:val="auto"/>
        </w:rPr>
        <w:t xml:space="preserve">Labels </w:t>
      </w:r>
      <w:r w:rsidR="0088463F" w:rsidRPr="00A1728C">
        <w:rPr>
          <w:color w:val="auto"/>
        </w:rPr>
        <w:t xml:space="preserve">correspond to different sgRNAs for </w:t>
      </w:r>
      <w:proofErr w:type="spellStart"/>
      <w:r w:rsidR="0088463F" w:rsidRPr="00A1728C">
        <w:rPr>
          <w:i/>
          <w:color w:val="auto"/>
        </w:rPr>
        <w:t>myod</w:t>
      </w:r>
      <w:proofErr w:type="spellEnd"/>
      <w:r w:rsidR="0088463F" w:rsidRPr="00A1728C">
        <w:rPr>
          <w:color w:val="auto"/>
        </w:rPr>
        <w:t xml:space="preserve"> (MYO2, MYO1) and three sgRNAs for </w:t>
      </w:r>
      <w:r w:rsidR="0088463F" w:rsidRPr="00A1728C">
        <w:rPr>
          <w:i/>
          <w:color w:val="auto"/>
        </w:rPr>
        <w:t>scn4aa</w:t>
      </w:r>
      <w:r w:rsidR="0088463F" w:rsidRPr="00A1728C">
        <w:rPr>
          <w:color w:val="auto"/>
        </w:rPr>
        <w:t xml:space="preserve"> (S1</w:t>
      </w:r>
      <w:r w:rsidR="000815D5" w:rsidRPr="00623A4C">
        <w:rPr>
          <w:color w:val="auto"/>
        </w:rPr>
        <w:t>−</w:t>
      </w:r>
      <w:r w:rsidR="0088463F" w:rsidRPr="00A1728C">
        <w:rPr>
          <w:color w:val="auto"/>
        </w:rPr>
        <w:t>S3). After annealing the oligomers, a ~120 bp template is produced.</w:t>
      </w:r>
      <w:r>
        <w:rPr>
          <w:color w:val="auto"/>
        </w:rPr>
        <w:t xml:space="preserve"> </w:t>
      </w:r>
      <w:r w:rsidR="0088463F" w:rsidRPr="000F1CEB">
        <w:rPr>
          <w:bCs/>
          <w:color w:val="auto"/>
        </w:rPr>
        <w:t>(</w:t>
      </w:r>
      <w:r w:rsidR="0088463F" w:rsidRPr="00623A4C">
        <w:rPr>
          <w:b/>
          <w:color w:val="auto"/>
        </w:rPr>
        <w:t>B</w:t>
      </w:r>
      <w:r w:rsidR="0088463F" w:rsidRPr="000F1CEB">
        <w:rPr>
          <w:bCs/>
          <w:color w:val="auto"/>
        </w:rPr>
        <w:t>)</w:t>
      </w:r>
      <w:r w:rsidR="0088463F" w:rsidRPr="00A1728C">
        <w:rPr>
          <w:color w:val="auto"/>
        </w:rPr>
        <w:t xml:space="preserve"> Gel image of </w:t>
      </w:r>
      <w:r w:rsidR="0088463F" w:rsidRPr="00A1728C">
        <w:rPr>
          <w:color w:val="auto"/>
        </w:rPr>
        <w:lastRenderedPageBreak/>
        <w:t xml:space="preserve">sgRNA transcription for three sgRNAs for </w:t>
      </w:r>
      <w:r w:rsidR="0088463F" w:rsidRPr="00853596">
        <w:rPr>
          <w:i/>
          <w:iCs/>
          <w:color w:val="auto"/>
        </w:rPr>
        <w:t xml:space="preserve">B. </w:t>
      </w:r>
      <w:proofErr w:type="spellStart"/>
      <w:r w:rsidR="0088463F" w:rsidRPr="00853596">
        <w:rPr>
          <w:i/>
          <w:iCs/>
          <w:color w:val="auto"/>
        </w:rPr>
        <w:t>gauderio</w:t>
      </w:r>
      <w:proofErr w:type="spellEnd"/>
      <w:r w:rsidR="0088463F" w:rsidRPr="00A1728C">
        <w:rPr>
          <w:color w:val="auto"/>
        </w:rPr>
        <w:t xml:space="preserve"> (bg2017) and two for </w:t>
      </w:r>
      <w:r w:rsidR="0088463F" w:rsidRPr="00853596">
        <w:rPr>
          <w:i/>
          <w:iCs/>
          <w:color w:val="auto"/>
        </w:rPr>
        <w:t xml:space="preserve">B. </w:t>
      </w:r>
      <w:proofErr w:type="spellStart"/>
      <w:r w:rsidR="0088463F" w:rsidRPr="00853596">
        <w:rPr>
          <w:i/>
          <w:iCs/>
          <w:color w:val="auto"/>
        </w:rPr>
        <w:t>brachyistius</w:t>
      </w:r>
      <w:proofErr w:type="spellEnd"/>
      <w:r w:rsidR="0088463F" w:rsidRPr="00A1728C">
        <w:rPr>
          <w:color w:val="auto"/>
        </w:rPr>
        <w:t xml:space="preserve"> (bb2016, 2017). </w:t>
      </w:r>
      <w:r w:rsidR="00D81FC0">
        <w:rPr>
          <w:color w:val="auto"/>
        </w:rPr>
        <w:t xml:space="preserve">The </w:t>
      </w:r>
      <w:r w:rsidR="0088463F" w:rsidRPr="00A1728C">
        <w:rPr>
          <w:color w:val="auto"/>
        </w:rPr>
        <w:t xml:space="preserve">sgRNA will appear as </w:t>
      </w:r>
      <w:r w:rsidR="000815D5" w:rsidRPr="00623A4C">
        <w:rPr>
          <w:color w:val="auto"/>
        </w:rPr>
        <w:t>two</w:t>
      </w:r>
      <w:r w:rsidR="000815D5" w:rsidRPr="00A1728C">
        <w:rPr>
          <w:color w:val="auto"/>
        </w:rPr>
        <w:t xml:space="preserve"> </w:t>
      </w:r>
      <w:r w:rsidR="0088463F" w:rsidRPr="00A1728C">
        <w:rPr>
          <w:color w:val="auto"/>
        </w:rPr>
        <w:t>bands due to secondary structure and will be between 50</w:t>
      </w:r>
      <w:r w:rsidR="000815D5" w:rsidRPr="00623A4C">
        <w:rPr>
          <w:color w:val="auto"/>
        </w:rPr>
        <w:t>−</w:t>
      </w:r>
      <w:r w:rsidR="0088463F" w:rsidRPr="00A1728C">
        <w:rPr>
          <w:color w:val="auto"/>
        </w:rPr>
        <w:t xml:space="preserve">150 bp when using a dsDNA ladder. </w:t>
      </w:r>
    </w:p>
    <w:p w14:paraId="45937973" w14:textId="77777777" w:rsidR="0088463F" w:rsidRPr="00A1728C" w:rsidRDefault="0088463F" w:rsidP="0088463F">
      <w:pPr>
        <w:rPr>
          <w:color w:val="auto"/>
        </w:rPr>
      </w:pPr>
      <w:r w:rsidRPr="00A1728C">
        <w:rPr>
          <w:color w:val="auto"/>
        </w:rPr>
        <w:t xml:space="preserve"> </w:t>
      </w:r>
    </w:p>
    <w:p w14:paraId="45A70140" w14:textId="3011AD72" w:rsidR="0088463F" w:rsidRPr="00A1728C" w:rsidRDefault="00EA1C1D" w:rsidP="0088463F">
      <w:pPr>
        <w:rPr>
          <w:color w:val="auto"/>
        </w:rPr>
      </w:pPr>
      <w:r w:rsidRPr="00EA1C1D">
        <w:rPr>
          <w:b/>
          <w:color w:val="auto"/>
        </w:rPr>
        <w:t>Figure 2</w:t>
      </w:r>
      <w:r w:rsidR="0088463F" w:rsidRPr="00A1728C">
        <w:rPr>
          <w:b/>
          <w:color w:val="auto"/>
        </w:rPr>
        <w:t>:</w:t>
      </w:r>
      <w:r w:rsidR="0088463F" w:rsidRPr="00A1728C">
        <w:rPr>
          <w:color w:val="auto"/>
        </w:rPr>
        <w:t xml:space="preserve"> </w:t>
      </w:r>
      <w:r w:rsidR="0088463F" w:rsidRPr="002B6FDF">
        <w:rPr>
          <w:b/>
          <w:bCs/>
          <w:color w:val="auto"/>
        </w:rPr>
        <w:t>Representative gel image of successful (sg1) and unsuccessful (sg2) in vitro CRISPR assay</w:t>
      </w:r>
      <w:r w:rsidR="00D81FC0">
        <w:rPr>
          <w:b/>
          <w:bCs/>
          <w:color w:val="auto"/>
        </w:rPr>
        <w:t>s</w:t>
      </w:r>
      <w:r w:rsidR="0088463F" w:rsidRPr="002B6FDF">
        <w:rPr>
          <w:b/>
          <w:bCs/>
          <w:color w:val="auto"/>
        </w:rPr>
        <w:t>.</w:t>
      </w:r>
      <w:r w:rsidR="0088463F" w:rsidRPr="00A1728C">
        <w:rPr>
          <w:color w:val="auto"/>
        </w:rPr>
        <w:t xml:space="preserve"> An equivalent amount of template without CRISPR components is shown in </w:t>
      </w:r>
      <w:r w:rsidR="00D81FC0">
        <w:rPr>
          <w:color w:val="auto"/>
        </w:rPr>
        <w:t xml:space="preserve">the </w:t>
      </w:r>
      <w:r w:rsidR="0088463F" w:rsidRPr="00A1728C">
        <w:rPr>
          <w:color w:val="auto"/>
        </w:rPr>
        <w:t xml:space="preserve">scn4aa lane. Note the duplicate bands in sg1 that </w:t>
      </w:r>
      <w:r w:rsidR="00D81FC0">
        <w:rPr>
          <w:color w:val="auto"/>
        </w:rPr>
        <w:t xml:space="preserve">show </w:t>
      </w:r>
      <w:r w:rsidR="0088463F" w:rsidRPr="00A1728C">
        <w:rPr>
          <w:color w:val="auto"/>
        </w:rPr>
        <w:t>that cutting has occurred.</w:t>
      </w:r>
    </w:p>
    <w:p w14:paraId="32E7D13D" w14:textId="77777777" w:rsidR="0088463F" w:rsidRPr="00A1728C" w:rsidRDefault="0088463F" w:rsidP="0088463F">
      <w:pPr>
        <w:rPr>
          <w:color w:val="auto"/>
        </w:rPr>
      </w:pPr>
    </w:p>
    <w:p w14:paraId="0252D49A" w14:textId="1910668B" w:rsidR="0088463F" w:rsidRPr="00A1728C" w:rsidRDefault="00EA1C1D" w:rsidP="0088463F">
      <w:pPr>
        <w:rPr>
          <w:color w:val="auto"/>
        </w:rPr>
      </w:pPr>
      <w:r w:rsidRPr="00EA1C1D">
        <w:rPr>
          <w:b/>
          <w:color w:val="auto"/>
        </w:rPr>
        <w:t>Figure 3</w:t>
      </w:r>
      <w:r w:rsidR="0088463F" w:rsidRPr="00A1728C">
        <w:rPr>
          <w:b/>
          <w:color w:val="auto"/>
        </w:rPr>
        <w:t>:</w:t>
      </w:r>
      <w:r w:rsidR="0088463F" w:rsidRPr="002B6FDF">
        <w:rPr>
          <w:b/>
          <w:bCs/>
          <w:color w:val="auto"/>
        </w:rPr>
        <w:t xml:space="preserve"> Breeding tank setups for weakly electric fish.</w:t>
      </w:r>
      <w:r w:rsidR="0088463F" w:rsidRPr="00A1728C">
        <w:rPr>
          <w:color w:val="auto"/>
        </w:rPr>
        <w:t xml:space="preserve"> </w:t>
      </w:r>
      <w:r w:rsidR="0088463F" w:rsidRPr="000F1CEB">
        <w:rPr>
          <w:bCs/>
          <w:color w:val="auto"/>
        </w:rPr>
        <w:t>(</w:t>
      </w:r>
      <w:r w:rsidR="0088463F" w:rsidRPr="00623A4C">
        <w:rPr>
          <w:b/>
          <w:color w:val="auto"/>
        </w:rPr>
        <w:t>A</w:t>
      </w:r>
      <w:r w:rsidR="0088463F" w:rsidRPr="000F1CEB">
        <w:rPr>
          <w:bCs/>
          <w:color w:val="auto"/>
        </w:rPr>
        <w:t>)</w:t>
      </w:r>
      <w:r w:rsidR="0088463F" w:rsidRPr="00A1728C">
        <w:rPr>
          <w:color w:val="auto"/>
        </w:rPr>
        <w:t xml:space="preserve"> </w:t>
      </w:r>
      <w:r w:rsidR="002B6FDF">
        <w:rPr>
          <w:color w:val="auto"/>
        </w:rPr>
        <w:t>S</w:t>
      </w:r>
      <w:r w:rsidR="0088463F" w:rsidRPr="00A1728C">
        <w:rPr>
          <w:color w:val="auto"/>
        </w:rPr>
        <w:t>chemati</w:t>
      </w:r>
      <w:r w:rsidR="002B6FDF">
        <w:rPr>
          <w:color w:val="auto"/>
        </w:rPr>
        <w:t xml:space="preserve">c of </w:t>
      </w:r>
      <w:r w:rsidR="0088463F" w:rsidRPr="00A1728C">
        <w:rPr>
          <w:color w:val="auto"/>
        </w:rPr>
        <w:t xml:space="preserve">the typical setup for wireless video monitoring of spawning behavior. Three commercially available CCTV cameras (Swann, Inc.) capable of producing infrared light are aimed at the top of the water and connected to a digital video recorder (DVR). Video is monitored in real time for spawning behavior in an adjacent room from a network connected computer (PC). </w:t>
      </w:r>
      <w:r w:rsidR="0088463F" w:rsidRPr="000F1CEB">
        <w:rPr>
          <w:bCs/>
          <w:color w:val="auto"/>
        </w:rPr>
        <w:t>(</w:t>
      </w:r>
      <w:r w:rsidR="0088463F" w:rsidRPr="00623A4C">
        <w:rPr>
          <w:b/>
          <w:color w:val="auto"/>
        </w:rPr>
        <w:t>B</w:t>
      </w:r>
      <w:r w:rsidR="0088463F" w:rsidRPr="000F1CEB">
        <w:rPr>
          <w:bCs/>
          <w:color w:val="auto"/>
        </w:rPr>
        <w:t>)</w:t>
      </w:r>
      <w:r w:rsidR="002B6FDF">
        <w:rPr>
          <w:b/>
          <w:color w:val="auto"/>
        </w:rPr>
        <w:t xml:space="preserve"> </w:t>
      </w:r>
      <w:r w:rsidR="002B6FDF" w:rsidRPr="002B6FDF">
        <w:rPr>
          <w:bCs/>
          <w:color w:val="auto"/>
        </w:rPr>
        <w:t>S</w:t>
      </w:r>
      <w:r w:rsidR="0088463F" w:rsidRPr="00A1728C">
        <w:rPr>
          <w:color w:val="auto"/>
        </w:rPr>
        <w:t xml:space="preserve">pawning behavior captured with such a setup in </w:t>
      </w:r>
      <w:r w:rsidR="0088463F" w:rsidRPr="00A1728C">
        <w:rPr>
          <w:i/>
          <w:color w:val="auto"/>
        </w:rPr>
        <w:t xml:space="preserve">B. </w:t>
      </w:r>
      <w:proofErr w:type="spellStart"/>
      <w:r w:rsidR="0088463F" w:rsidRPr="00A1728C">
        <w:rPr>
          <w:i/>
          <w:color w:val="auto"/>
        </w:rPr>
        <w:t>brachyistius</w:t>
      </w:r>
      <w:proofErr w:type="spellEnd"/>
      <w:r w:rsidR="0088463F" w:rsidRPr="00A1728C">
        <w:rPr>
          <w:color w:val="auto"/>
        </w:rPr>
        <w:t xml:space="preserve">. </w:t>
      </w:r>
      <w:r w:rsidR="0088463F" w:rsidRPr="000F1CEB">
        <w:rPr>
          <w:bCs/>
          <w:color w:val="auto"/>
        </w:rPr>
        <w:t>(</w:t>
      </w:r>
      <w:r w:rsidR="0088463F" w:rsidRPr="00623A4C">
        <w:rPr>
          <w:b/>
          <w:color w:val="auto"/>
        </w:rPr>
        <w:t>C</w:t>
      </w:r>
      <w:r w:rsidR="0088463F" w:rsidRPr="000F1CEB">
        <w:rPr>
          <w:bCs/>
          <w:color w:val="auto"/>
        </w:rPr>
        <w:t>)</w:t>
      </w:r>
      <w:r w:rsidR="0088463F" w:rsidRPr="00A1728C">
        <w:rPr>
          <w:color w:val="auto"/>
        </w:rPr>
        <w:t xml:space="preserve"> </w:t>
      </w:r>
      <w:r w:rsidR="002B6FDF">
        <w:rPr>
          <w:color w:val="auto"/>
        </w:rPr>
        <w:t xml:space="preserve">A </w:t>
      </w:r>
      <w:r w:rsidR="0088463F" w:rsidRPr="00A1728C">
        <w:rPr>
          <w:color w:val="auto"/>
        </w:rPr>
        <w:t xml:space="preserve">typical breeding setup for </w:t>
      </w:r>
      <w:r w:rsidR="0088463F" w:rsidRPr="00A1728C">
        <w:rPr>
          <w:i/>
          <w:color w:val="auto"/>
        </w:rPr>
        <w:t xml:space="preserve">B. </w:t>
      </w:r>
      <w:proofErr w:type="spellStart"/>
      <w:r w:rsidR="0088463F" w:rsidRPr="00A1728C">
        <w:rPr>
          <w:i/>
          <w:color w:val="auto"/>
        </w:rPr>
        <w:t>gauderio</w:t>
      </w:r>
      <w:proofErr w:type="spellEnd"/>
      <w:r w:rsidR="0088463F" w:rsidRPr="00A1728C">
        <w:rPr>
          <w:color w:val="auto"/>
        </w:rPr>
        <w:t xml:space="preserve"> with PVC hiding tubes and yarn mops. </w:t>
      </w:r>
    </w:p>
    <w:p w14:paraId="3EB2B757" w14:textId="77777777" w:rsidR="0088463F" w:rsidRPr="00A1728C" w:rsidRDefault="0088463F" w:rsidP="0088463F">
      <w:pPr>
        <w:rPr>
          <w:color w:val="auto"/>
        </w:rPr>
      </w:pPr>
    </w:p>
    <w:p w14:paraId="69306291" w14:textId="369730D9" w:rsidR="0088463F" w:rsidRPr="00A1728C" w:rsidRDefault="00EA1C1D" w:rsidP="0088463F">
      <w:pPr>
        <w:rPr>
          <w:color w:val="auto"/>
        </w:rPr>
      </w:pPr>
      <w:r w:rsidRPr="00EA1C1D">
        <w:rPr>
          <w:b/>
          <w:color w:val="auto"/>
        </w:rPr>
        <w:t>Figure 4</w:t>
      </w:r>
      <w:r w:rsidR="0088463F" w:rsidRPr="00A1728C">
        <w:rPr>
          <w:b/>
          <w:color w:val="auto"/>
        </w:rPr>
        <w:t>:</w:t>
      </w:r>
      <w:r w:rsidR="0088463F" w:rsidRPr="00A1728C">
        <w:rPr>
          <w:color w:val="auto"/>
        </w:rPr>
        <w:t xml:space="preserve"> </w:t>
      </w:r>
      <w:r w:rsidR="0088463F" w:rsidRPr="002B6FDF">
        <w:rPr>
          <w:b/>
          <w:bCs/>
          <w:color w:val="auto"/>
        </w:rPr>
        <w:t>Breeding male</w:t>
      </w:r>
      <w:r w:rsidR="002B6FDF" w:rsidRPr="002B6FDF">
        <w:rPr>
          <w:b/>
          <w:bCs/>
          <w:color w:val="auto"/>
        </w:rPr>
        <w:t>s</w:t>
      </w:r>
      <w:r w:rsidR="0088463F" w:rsidRPr="002B6FDF">
        <w:rPr>
          <w:b/>
          <w:bCs/>
          <w:color w:val="auto"/>
        </w:rPr>
        <w:t xml:space="preserve"> and female</w:t>
      </w:r>
      <w:r w:rsidR="002B6FDF" w:rsidRPr="002B6FDF">
        <w:rPr>
          <w:b/>
          <w:bCs/>
          <w:color w:val="auto"/>
        </w:rPr>
        <w:t>s.</w:t>
      </w:r>
      <w:r w:rsidR="0088463F" w:rsidRPr="00A1728C">
        <w:rPr>
          <w:color w:val="auto"/>
        </w:rPr>
        <w:t xml:space="preserve"> </w:t>
      </w:r>
      <w:r w:rsidR="0088463F" w:rsidRPr="000F1CEB">
        <w:rPr>
          <w:bCs/>
          <w:color w:val="auto"/>
        </w:rPr>
        <w:t>(</w:t>
      </w:r>
      <w:r w:rsidR="0088463F" w:rsidRPr="00623A4C">
        <w:rPr>
          <w:b/>
          <w:color w:val="auto"/>
        </w:rPr>
        <w:t>A</w:t>
      </w:r>
      <w:r w:rsidR="0088463F" w:rsidRPr="000F1CEB">
        <w:rPr>
          <w:bCs/>
          <w:color w:val="auto"/>
        </w:rPr>
        <w:t>)</w:t>
      </w:r>
      <w:r w:rsidR="0088463F" w:rsidRPr="00A1728C">
        <w:rPr>
          <w:color w:val="auto"/>
        </w:rPr>
        <w:t xml:space="preserve"> </w:t>
      </w:r>
      <w:r w:rsidR="0088463F" w:rsidRPr="00A1728C">
        <w:rPr>
          <w:i/>
          <w:color w:val="auto"/>
        </w:rPr>
        <w:t xml:space="preserve">B. </w:t>
      </w:r>
      <w:proofErr w:type="spellStart"/>
      <w:r w:rsidR="0088463F" w:rsidRPr="00A1728C">
        <w:rPr>
          <w:i/>
          <w:color w:val="auto"/>
        </w:rPr>
        <w:t>brachyistius</w:t>
      </w:r>
      <w:proofErr w:type="spellEnd"/>
      <w:r w:rsidR="0088463F" w:rsidRPr="00A1728C">
        <w:rPr>
          <w:color w:val="auto"/>
        </w:rPr>
        <w:t xml:space="preserve"> and </w:t>
      </w:r>
      <w:r w:rsidR="0088463F" w:rsidRPr="000F1CEB">
        <w:rPr>
          <w:bCs/>
          <w:color w:val="auto"/>
        </w:rPr>
        <w:t>(</w:t>
      </w:r>
      <w:r w:rsidR="0088463F" w:rsidRPr="00623A4C">
        <w:rPr>
          <w:b/>
          <w:color w:val="auto"/>
        </w:rPr>
        <w:t>B</w:t>
      </w:r>
      <w:r w:rsidR="0088463F" w:rsidRPr="000F1CEB">
        <w:rPr>
          <w:bCs/>
          <w:color w:val="auto"/>
        </w:rPr>
        <w:t>)</w:t>
      </w:r>
      <w:r w:rsidR="0088463F" w:rsidRPr="00A1728C">
        <w:rPr>
          <w:color w:val="auto"/>
        </w:rPr>
        <w:t xml:space="preserve"> </w:t>
      </w:r>
      <w:r w:rsidR="0088463F" w:rsidRPr="00A1728C">
        <w:rPr>
          <w:i/>
          <w:color w:val="auto"/>
        </w:rPr>
        <w:t xml:space="preserve">B. </w:t>
      </w:r>
      <w:proofErr w:type="spellStart"/>
      <w:r w:rsidR="0088463F" w:rsidRPr="00A1728C">
        <w:rPr>
          <w:i/>
          <w:color w:val="auto"/>
        </w:rPr>
        <w:t>gauderio</w:t>
      </w:r>
      <w:proofErr w:type="spellEnd"/>
      <w:r w:rsidR="0088463F" w:rsidRPr="00A1728C">
        <w:rPr>
          <w:i/>
          <w:color w:val="auto"/>
        </w:rPr>
        <w:t>.</w:t>
      </w:r>
      <w:r w:rsidR="0088463F" w:rsidRPr="00A1728C">
        <w:rPr>
          <w:color w:val="auto"/>
        </w:rPr>
        <w:t xml:space="preserve"> Both species are sexually dimorphic and easily distinguished visually when sexually mature. Both females are gravid in these photos, exhibiting characteristically swollen bellies that are full of ripe eggs. </w:t>
      </w:r>
    </w:p>
    <w:p w14:paraId="00423CFB" w14:textId="77777777" w:rsidR="0088463F" w:rsidRPr="00A1728C" w:rsidRDefault="0088463F" w:rsidP="0088463F">
      <w:pPr>
        <w:rPr>
          <w:color w:val="auto"/>
        </w:rPr>
      </w:pPr>
    </w:p>
    <w:p w14:paraId="082A16AB" w14:textId="3EF65F7A" w:rsidR="0088463F" w:rsidRPr="00A1728C" w:rsidRDefault="00EA1C1D" w:rsidP="0088463F">
      <w:pPr>
        <w:rPr>
          <w:color w:val="auto"/>
        </w:rPr>
      </w:pPr>
      <w:r w:rsidRPr="00EA1C1D">
        <w:rPr>
          <w:b/>
          <w:color w:val="auto"/>
        </w:rPr>
        <w:t>Figure 5</w:t>
      </w:r>
      <w:r w:rsidR="0088463F" w:rsidRPr="00A1728C">
        <w:rPr>
          <w:b/>
          <w:color w:val="auto"/>
        </w:rPr>
        <w:t>:</w:t>
      </w:r>
      <w:r w:rsidR="0088463F" w:rsidRPr="00A1728C">
        <w:rPr>
          <w:color w:val="auto"/>
        </w:rPr>
        <w:t xml:space="preserve"> </w:t>
      </w:r>
      <w:r w:rsidR="002B6FDF" w:rsidRPr="002B6FDF">
        <w:rPr>
          <w:b/>
          <w:bCs/>
          <w:color w:val="auto"/>
        </w:rPr>
        <w:t xml:space="preserve">Microinjection. </w:t>
      </w:r>
      <w:r w:rsidR="0088463F" w:rsidRPr="00A1728C">
        <w:rPr>
          <w:color w:val="auto"/>
        </w:rPr>
        <w:t>(</w:t>
      </w:r>
      <w:r w:rsidR="0088463F" w:rsidRPr="00A1728C">
        <w:rPr>
          <w:b/>
          <w:color w:val="auto"/>
        </w:rPr>
        <w:t>A</w:t>
      </w:r>
      <w:r w:rsidR="0088463F" w:rsidRPr="00A1728C">
        <w:rPr>
          <w:color w:val="auto"/>
        </w:rPr>
        <w:t xml:space="preserve">) Glass capillary needle tips must be broken to deliver </w:t>
      </w:r>
      <w:r w:rsidR="00D81FC0">
        <w:rPr>
          <w:color w:val="auto"/>
        </w:rPr>
        <w:t xml:space="preserve">an </w:t>
      </w:r>
      <w:r w:rsidR="0088463F" w:rsidRPr="00A1728C">
        <w:rPr>
          <w:color w:val="auto"/>
        </w:rPr>
        <w:t xml:space="preserve">appropriate microinjection volume. </w:t>
      </w:r>
      <w:r w:rsidR="00D81FC0">
        <w:rPr>
          <w:color w:val="auto"/>
        </w:rPr>
        <w:t>The t</w:t>
      </w:r>
      <w:r w:rsidR="0088463F" w:rsidRPr="00A1728C">
        <w:rPr>
          <w:color w:val="auto"/>
        </w:rPr>
        <w:t>ip on the left is unbroken</w:t>
      </w:r>
      <w:r w:rsidR="00D81FC0">
        <w:rPr>
          <w:color w:val="auto"/>
        </w:rPr>
        <w:t>.</w:t>
      </w:r>
      <w:r w:rsidR="0088463F" w:rsidRPr="00A1728C">
        <w:rPr>
          <w:color w:val="auto"/>
        </w:rPr>
        <w:t xml:space="preserve"> </w:t>
      </w:r>
      <w:r w:rsidR="00D81FC0">
        <w:rPr>
          <w:color w:val="auto"/>
        </w:rPr>
        <w:t xml:space="preserve">The </w:t>
      </w:r>
      <w:r w:rsidR="0088463F" w:rsidRPr="00A1728C">
        <w:rPr>
          <w:color w:val="auto"/>
        </w:rPr>
        <w:t>middle and right tips are broken with a slightly angled bevel to pierce the egg chorion. (</w:t>
      </w:r>
      <w:r w:rsidR="0088463F" w:rsidRPr="00A1728C">
        <w:rPr>
          <w:b/>
          <w:color w:val="auto"/>
        </w:rPr>
        <w:t>B</w:t>
      </w:r>
      <w:r w:rsidR="0088463F" w:rsidRPr="00A1728C">
        <w:rPr>
          <w:color w:val="auto"/>
        </w:rPr>
        <w:t xml:space="preserve">) Eggs are lined against </w:t>
      </w:r>
      <w:r w:rsidR="00D81FC0">
        <w:rPr>
          <w:color w:val="auto"/>
        </w:rPr>
        <w:t xml:space="preserve">a </w:t>
      </w:r>
      <w:r w:rsidR="0088463F" w:rsidRPr="00A1728C">
        <w:rPr>
          <w:color w:val="auto"/>
        </w:rPr>
        <w:t>glass slide (</w:t>
      </w:r>
      <w:r w:rsidRPr="00A1728C">
        <w:rPr>
          <w:color w:val="auto"/>
        </w:rPr>
        <w:t>1</w:t>
      </w:r>
      <w:r>
        <w:rPr>
          <w:color w:val="auto"/>
        </w:rPr>
        <w:t>%–</w:t>
      </w:r>
      <w:r w:rsidRPr="00A1728C">
        <w:rPr>
          <w:color w:val="auto"/>
        </w:rPr>
        <w:t>10</w:t>
      </w:r>
      <w:r>
        <w:rPr>
          <w:color w:val="auto"/>
        </w:rPr>
        <w:t>%</w:t>
      </w:r>
      <w:r w:rsidR="0088463F" w:rsidRPr="00A1728C">
        <w:rPr>
          <w:color w:val="auto"/>
        </w:rPr>
        <w:t xml:space="preserve"> phenol red is included as a tracer to visualize the delivery of the injection) and injected with glass capillary needles.</w:t>
      </w:r>
      <w:r>
        <w:rPr>
          <w:color w:val="auto"/>
        </w:rPr>
        <w:t xml:space="preserve"> </w:t>
      </w:r>
    </w:p>
    <w:p w14:paraId="51B45B6A" w14:textId="77777777" w:rsidR="0088463F" w:rsidRPr="00A1728C" w:rsidRDefault="0088463F" w:rsidP="0088463F">
      <w:pPr>
        <w:rPr>
          <w:color w:val="auto"/>
        </w:rPr>
      </w:pPr>
    </w:p>
    <w:p w14:paraId="0F23C9B1" w14:textId="55BCAAC7" w:rsidR="0088463F" w:rsidRPr="00A1728C" w:rsidRDefault="00EA1C1D" w:rsidP="0088463F">
      <w:pPr>
        <w:rPr>
          <w:color w:val="auto"/>
        </w:rPr>
      </w:pPr>
      <w:r w:rsidRPr="00EA1C1D">
        <w:rPr>
          <w:b/>
          <w:color w:val="auto"/>
        </w:rPr>
        <w:t>Figure 6</w:t>
      </w:r>
      <w:r w:rsidR="0088463F" w:rsidRPr="00A1728C">
        <w:rPr>
          <w:b/>
          <w:color w:val="auto"/>
        </w:rPr>
        <w:t>:</w:t>
      </w:r>
      <w:r>
        <w:rPr>
          <w:color w:val="auto"/>
        </w:rPr>
        <w:t xml:space="preserve"> </w:t>
      </w:r>
      <w:r w:rsidR="0088463F" w:rsidRPr="002B6FDF">
        <w:rPr>
          <w:b/>
          <w:bCs/>
          <w:color w:val="auto"/>
        </w:rPr>
        <w:t>Developmental stages</w:t>
      </w:r>
      <w:r w:rsidR="002B6FDF">
        <w:rPr>
          <w:color w:val="auto"/>
        </w:rPr>
        <w:t>.</w:t>
      </w:r>
      <w:r w:rsidR="0088463F" w:rsidRPr="00A1728C">
        <w:rPr>
          <w:color w:val="auto"/>
        </w:rPr>
        <w:t xml:space="preserve"> </w:t>
      </w:r>
      <w:r w:rsidR="0088463F" w:rsidRPr="000F1CEB">
        <w:rPr>
          <w:bCs/>
          <w:color w:val="auto"/>
        </w:rPr>
        <w:t>(</w:t>
      </w:r>
      <w:r w:rsidR="0088463F" w:rsidRPr="00623A4C">
        <w:rPr>
          <w:b/>
          <w:color w:val="auto"/>
        </w:rPr>
        <w:t>A</w:t>
      </w:r>
      <w:r w:rsidR="0088463F" w:rsidRPr="000F1CEB">
        <w:rPr>
          <w:bCs/>
          <w:color w:val="auto"/>
        </w:rPr>
        <w:t>)</w:t>
      </w:r>
      <w:r w:rsidR="0088463F" w:rsidRPr="00A1728C">
        <w:rPr>
          <w:color w:val="auto"/>
        </w:rPr>
        <w:t xml:space="preserve"> </w:t>
      </w:r>
      <w:r w:rsidR="0088463F" w:rsidRPr="00A1728C">
        <w:rPr>
          <w:i/>
          <w:color w:val="auto"/>
        </w:rPr>
        <w:t>B</w:t>
      </w:r>
      <w:r w:rsidR="00D81FC0">
        <w:rPr>
          <w:i/>
          <w:color w:val="auto"/>
        </w:rPr>
        <w:t>.</w:t>
      </w:r>
      <w:r w:rsidR="0088463F" w:rsidRPr="00A1728C">
        <w:rPr>
          <w:i/>
          <w:color w:val="auto"/>
        </w:rPr>
        <w:t xml:space="preserve"> </w:t>
      </w:r>
      <w:proofErr w:type="spellStart"/>
      <w:r w:rsidR="0088463F" w:rsidRPr="00A1728C">
        <w:rPr>
          <w:i/>
          <w:color w:val="auto"/>
        </w:rPr>
        <w:t>gauderio</w:t>
      </w:r>
      <w:proofErr w:type="spellEnd"/>
      <w:r w:rsidR="0088463F" w:rsidRPr="00A1728C">
        <w:rPr>
          <w:i/>
          <w:color w:val="auto"/>
        </w:rPr>
        <w:t xml:space="preserve"> </w:t>
      </w:r>
      <w:r w:rsidR="0088463F" w:rsidRPr="00A1728C">
        <w:rPr>
          <w:color w:val="auto"/>
        </w:rPr>
        <w:t xml:space="preserve">and </w:t>
      </w:r>
      <w:r w:rsidR="0088463F" w:rsidRPr="000F1CEB">
        <w:rPr>
          <w:bCs/>
          <w:color w:val="auto"/>
        </w:rPr>
        <w:t>(</w:t>
      </w:r>
      <w:r w:rsidR="0088463F" w:rsidRPr="00623A4C">
        <w:rPr>
          <w:b/>
          <w:color w:val="auto"/>
        </w:rPr>
        <w:t>B</w:t>
      </w:r>
      <w:r w:rsidR="0088463F" w:rsidRPr="000F1CEB">
        <w:rPr>
          <w:bCs/>
          <w:color w:val="auto"/>
        </w:rPr>
        <w:t>)</w:t>
      </w:r>
      <w:r w:rsidR="0088463F" w:rsidRPr="00A1728C">
        <w:rPr>
          <w:color w:val="auto"/>
        </w:rPr>
        <w:t xml:space="preserve"> </w:t>
      </w:r>
      <w:r w:rsidR="00D81FC0">
        <w:rPr>
          <w:i/>
          <w:color w:val="auto"/>
        </w:rPr>
        <w:t xml:space="preserve">B. </w:t>
      </w:r>
      <w:proofErr w:type="spellStart"/>
      <w:r w:rsidR="0088463F" w:rsidRPr="00A1728C">
        <w:rPr>
          <w:i/>
          <w:color w:val="auto"/>
        </w:rPr>
        <w:t>brachyistius</w:t>
      </w:r>
      <w:proofErr w:type="spellEnd"/>
      <w:r w:rsidR="0088463F" w:rsidRPr="00A1728C">
        <w:rPr>
          <w:color w:val="auto"/>
        </w:rPr>
        <w:t>. All eggs are assumed fertilized and development is monitored to 24</w:t>
      </w:r>
      <w:r w:rsidR="00D81FC0">
        <w:rPr>
          <w:color w:val="auto"/>
        </w:rPr>
        <w:t xml:space="preserve"> </w:t>
      </w:r>
      <w:r w:rsidR="009103CF" w:rsidRPr="009103CF">
        <w:rPr>
          <w:caps/>
          <w:color w:val="auto"/>
        </w:rPr>
        <w:t>HPF</w:t>
      </w:r>
      <w:r w:rsidR="0088463F" w:rsidRPr="00A1728C">
        <w:rPr>
          <w:color w:val="auto"/>
        </w:rPr>
        <w:t>. Between 12</w:t>
      </w:r>
      <w:r w:rsidR="00D81FC0" w:rsidRPr="00D81FC0">
        <w:rPr>
          <w:color w:val="auto"/>
        </w:rPr>
        <w:t>−</w:t>
      </w:r>
      <w:r w:rsidR="0088463F" w:rsidRPr="00A1728C">
        <w:rPr>
          <w:color w:val="auto"/>
        </w:rPr>
        <w:t>24</w:t>
      </w:r>
      <w:r w:rsidR="00D81FC0">
        <w:rPr>
          <w:color w:val="auto"/>
        </w:rPr>
        <w:t xml:space="preserve"> </w:t>
      </w:r>
      <w:r w:rsidR="009103CF" w:rsidRPr="009103CF">
        <w:rPr>
          <w:caps/>
          <w:color w:val="auto"/>
        </w:rPr>
        <w:t>HPF</w:t>
      </w:r>
      <w:r w:rsidR="0088463F" w:rsidRPr="00A1728C">
        <w:rPr>
          <w:color w:val="auto"/>
        </w:rPr>
        <w:t xml:space="preserve"> embryos are visible in viable eggs, otherwise eggs exhibit degradation. </w:t>
      </w:r>
      <w:r w:rsidR="00D81FC0" w:rsidRPr="00A1728C">
        <w:rPr>
          <w:color w:val="auto"/>
        </w:rPr>
        <w:t xml:space="preserve">Several </w:t>
      </w:r>
      <w:r w:rsidR="0088463F" w:rsidRPr="00A1728C">
        <w:rPr>
          <w:color w:val="auto"/>
        </w:rPr>
        <w:t>divisions appear to take place on egg activation, regardless of fertilization. Unfertilized eggs exhibit unusual patterns of cleavage that are much more symmetrical in fertilized eggs.</w:t>
      </w:r>
    </w:p>
    <w:p w14:paraId="6AFD4DD6" w14:textId="77777777" w:rsidR="0088463F" w:rsidRPr="00A1728C" w:rsidRDefault="0088463F" w:rsidP="0088463F">
      <w:pPr>
        <w:rPr>
          <w:color w:val="auto"/>
        </w:rPr>
      </w:pPr>
    </w:p>
    <w:p w14:paraId="129FEFF9" w14:textId="3FC5FF96" w:rsidR="0088463F" w:rsidRPr="00A1728C" w:rsidRDefault="00EA1C1D" w:rsidP="0088463F">
      <w:pPr>
        <w:rPr>
          <w:color w:val="auto"/>
          <w:shd w:val="clear" w:color="auto" w:fill="FFFFFF"/>
        </w:rPr>
      </w:pPr>
      <w:r w:rsidRPr="00EA1C1D">
        <w:rPr>
          <w:b/>
          <w:color w:val="auto"/>
          <w:shd w:val="clear" w:color="auto" w:fill="FFFFFF"/>
        </w:rPr>
        <w:t>Figure 7</w:t>
      </w:r>
      <w:r w:rsidR="0088463F" w:rsidRPr="00A1728C">
        <w:rPr>
          <w:b/>
          <w:color w:val="auto"/>
          <w:shd w:val="clear" w:color="auto" w:fill="FFFFFF"/>
        </w:rPr>
        <w:t>:</w:t>
      </w:r>
      <w:r w:rsidR="0088463F" w:rsidRPr="002B6FDF">
        <w:rPr>
          <w:b/>
          <w:bCs/>
          <w:color w:val="auto"/>
          <w:shd w:val="clear" w:color="auto" w:fill="FFFFFF"/>
        </w:rPr>
        <w:t xml:space="preserve"> Photograph of larval recording chamber used in this study. </w:t>
      </w:r>
      <w:r w:rsidR="0088463F" w:rsidRPr="000F1CEB">
        <w:rPr>
          <w:bCs/>
          <w:color w:val="auto"/>
          <w:shd w:val="clear" w:color="auto" w:fill="FFFFFF"/>
        </w:rPr>
        <w:t>(</w:t>
      </w:r>
      <w:r w:rsidR="0088463F" w:rsidRPr="00623A4C">
        <w:rPr>
          <w:b/>
          <w:color w:val="auto"/>
          <w:shd w:val="clear" w:color="auto" w:fill="FFFFFF"/>
        </w:rPr>
        <w:t>A</w:t>
      </w:r>
      <w:r w:rsidR="0088463F" w:rsidRPr="000F1CEB">
        <w:rPr>
          <w:bCs/>
          <w:color w:val="auto"/>
          <w:shd w:val="clear" w:color="auto" w:fill="FFFFFF"/>
        </w:rPr>
        <w:t>)</w:t>
      </w:r>
      <w:r w:rsidR="0088463F" w:rsidRPr="00A1728C">
        <w:rPr>
          <w:color w:val="auto"/>
          <w:shd w:val="clear" w:color="auto" w:fill="FFFFFF"/>
        </w:rPr>
        <w:t xml:space="preserve"> The electrodes are embedded within </w:t>
      </w:r>
      <w:proofErr w:type="spellStart"/>
      <w:r w:rsidR="0088463F" w:rsidRPr="00A1728C">
        <w:rPr>
          <w:color w:val="auto"/>
          <w:shd w:val="clear" w:color="auto" w:fill="FFFFFF"/>
        </w:rPr>
        <w:t>Sylguard</w:t>
      </w:r>
      <w:proofErr w:type="spellEnd"/>
      <w:r w:rsidR="0088463F" w:rsidRPr="00A1728C">
        <w:rPr>
          <w:color w:val="auto"/>
          <w:shd w:val="clear" w:color="auto" w:fill="FFFFFF"/>
        </w:rPr>
        <w:t xml:space="preserve"> but extend into the 35mm dish containing an embryo restricted via </w:t>
      </w:r>
      <w:r w:rsidR="00D81FC0">
        <w:rPr>
          <w:color w:val="auto"/>
          <w:shd w:val="clear" w:color="auto" w:fill="FFFFFF"/>
        </w:rPr>
        <w:t xml:space="preserve">a </w:t>
      </w:r>
      <w:r w:rsidR="0088463F" w:rsidRPr="00A1728C">
        <w:rPr>
          <w:color w:val="auto"/>
          <w:shd w:val="clear" w:color="auto" w:fill="FFFFFF"/>
        </w:rPr>
        <w:t xml:space="preserve">3% agarose mold. </w:t>
      </w:r>
      <w:r w:rsidR="0088463F" w:rsidRPr="000F1CEB">
        <w:rPr>
          <w:bCs/>
          <w:color w:val="auto"/>
          <w:shd w:val="clear" w:color="auto" w:fill="FFFFFF"/>
        </w:rPr>
        <w:t>(</w:t>
      </w:r>
      <w:r w:rsidR="0088463F" w:rsidRPr="00623A4C">
        <w:rPr>
          <w:b/>
          <w:color w:val="auto"/>
          <w:shd w:val="clear" w:color="auto" w:fill="FFFFFF"/>
        </w:rPr>
        <w:t>B</w:t>
      </w:r>
      <w:r w:rsidR="0088463F" w:rsidRPr="000F1CEB">
        <w:rPr>
          <w:bCs/>
          <w:color w:val="auto"/>
          <w:shd w:val="clear" w:color="auto" w:fill="FFFFFF"/>
        </w:rPr>
        <w:t>)</w:t>
      </w:r>
      <w:r w:rsidR="0088463F" w:rsidRPr="00A1728C">
        <w:rPr>
          <w:color w:val="auto"/>
          <w:shd w:val="clear" w:color="auto" w:fill="FFFFFF"/>
        </w:rPr>
        <w:t xml:space="preserve"> Higher magnification image highlighting the restricted movement of the embryo due to agarose. Note </w:t>
      </w:r>
      <w:r w:rsidR="00D81FC0">
        <w:rPr>
          <w:color w:val="auto"/>
          <w:shd w:val="clear" w:color="auto" w:fill="FFFFFF"/>
        </w:rPr>
        <w:t xml:space="preserve">the </w:t>
      </w:r>
      <w:r w:rsidR="0088463F" w:rsidRPr="00A1728C">
        <w:rPr>
          <w:color w:val="auto"/>
          <w:shd w:val="clear" w:color="auto" w:fill="FFFFFF"/>
        </w:rPr>
        <w:t xml:space="preserve">pieces of agarose that can be removed as the embryo changes size. </w:t>
      </w:r>
      <w:r w:rsidR="0088463F" w:rsidRPr="00A1728C">
        <w:rPr>
          <w:i/>
          <w:color w:val="auto"/>
          <w:shd w:val="clear" w:color="auto" w:fill="FFFFFF"/>
        </w:rPr>
        <w:t xml:space="preserve">B. </w:t>
      </w:r>
      <w:proofErr w:type="spellStart"/>
      <w:r w:rsidR="0088463F" w:rsidRPr="00A1728C">
        <w:rPr>
          <w:i/>
          <w:color w:val="auto"/>
          <w:shd w:val="clear" w:color="auto" w:fill="FFFFFF"/>
        </w:rPr>
        <w:t>gauderio</w:t>
      </w:r>
      <w:proofErr w:type="spellEnd"/>
      <w:r w:rsidR="0088463F" w:rsidRPr="00A1728C">
        <w:rPr>
          <w:i/>
          <w:color w:val="auto"/>
          <w:shd w:val="clear" w:color="auto" w:fill="FFFFFF"/>
        </w:rPr>
        <w:t xml:space="preserve"> </w:t>
      </w:r>
      <w:r w:rsidR="0088463F" w:rsidRPr="00A1728C">
        <w:rPr>
          <w:color w:val="auto"/>
          <w:shd w:val="clear" w:color="auto" w:fill="FFFFFF"/>
        </w:rPr>
        <w:t>embryo is facing the positive electrode.</w:t>
      </w:r>
    </w:p>
    <w:p w14:paraId="1CC5E638" w14:textId="77777777" w:rsidR="0088463F" w:rsidRPr="00A1728C" w:rsidRDefault="0088463F" w:rsidP="0088463F">
      <w:pPr>
        <w:rPr>
          <w:color w:val="auto"/>
        </w:rPr>
      </w:pPr>
    </w:p>
    <w:p w14:paraId="6F1DC61C" w14:textId="06EB3A84" w:rsidR="0088463F" w:rsidRPr="00A1728C" w:rsidRDefault="00EA1C1D" w:rsidP="0088463F">
      <w:pPr>
        <w:tabs>
          <w:tab w:val="left" w:pos="9450"/>
        </w:tabs>
        <w:rPr>
          <w:color w:val="auto"/>
          <w:shd w:val="clear" w:color="auto" w:fill="FFFFFF"/>
        </w:rPr>
      </w:pPr>
      <w:r w:rsidRPr="00EA1C1D">
        <w:rPr>
          <w:b/>
          <w:color w:val="auto"/>
        </w:rPr>
        <w:t>Figure 8</w:t>
      </w:r>
      <w:r w:rsidR="0088463F" w:rsidRPr="00A1728C">
        <w:rPr>
          <w:b/>
          <w:color w:val="auto"/>
        </w:rPr>
        <w:t>:</w:t>
      </w:r>
      <w:r w:rsidR="008066F6">
        <w:rPr>
          <w:b/>
          <w:color w:val="auto"/>
        </w:rPr>
        <w:t xml:space="preserve"> </w:t>
      </w:r>
      <w:r w:rsidR="008066F6" w:rsidRPr="008066F6">
        <w:rPr>
          <w:b/>
          <w:bCs/>
          <w:color w:val="auto"/>
        </w:rPr>
        <w:t xml:space="preserve">CRISPR/Cas9 induced mutations in </w:t>
      </w:r>
      <w:r w:rsidR="008066F6" w:rsidRPr="008066F6">
        <w:rPr>
          <w:b/>
          <w:bCs/>
          <w:i/>
          <w:color w:val="auto"/>
        </w:rPr>
        <w:t xml:space="preserve">B. </w:t>
      </w:r>
      <w:proofErr w:type="spellStart"/>
      <w:r w:rsidR="008066F6" w:rsidRPr="008066F6">
        <w:rPr>
          <w:b/>
          <w:bCs/>
          <w:i/>
          <w:color w:val="auto"/>
        </w:rPr>
        <w:t>gauderio</w:t>
      </w:r>
      <w:proofErr w:type="spellEnd"/>
      <w:r w:rsidR="008066F6" w:rsidRPr="008066F6">
        <w:rPr>
          <w:b/>
          <w:bCs/>
          <w:iCs/>
          <w:color w:val="auto"/>
        </w:rPr>
        <w:t>.</w:t>
      </w:r>
      <w:r w:rsidR="0088463F" w:rsidRPr="008066F6">
        <w:rPr>
          <w:b/>
          <w:bCs/>
          <w:color w:val="auto"/>
        </w:rPr>
        <w:t xml:space="preserve"> </w:t>
      </w:r>
      <w:r w:rsidR="0088463F" w:rsidRPr="000F1CEB">
        <w:rPr>
          <w:bCs/>
          <w:color w:val="auto"/>
        </w:rPr>
        <w:t>(</w:t>
      </w:r>
      <w:r w:rsidR="0088463F" w:rsidRPr="00623A4C">
        <w:rPr>
          <w:b/>
          <w:color w:val="auto"/>
        </w:rPr>
        <w:t>A</w:t>
      </w:r>
      <w:r w:rsidR="0088463F" w:rsidRPr="000F1CEB">
        <w:rPr>
          <w:bCs/>
          <w:color w:val="auto"/>
        </w:rPr>
        <w:t>)</w:t>
      </w:r>
      <w:r w:rsidR="0088463F" w:rsidRPr="00623A4C">
        <w:rPr>
          <w:bCs/>
          <w:color w:val="auto"/>
        </w:rPr>
        <w:t xml:space="preserve"> </w:t>
      </w:r>
      <w:r w:rsidR="00D81FC0">
        <w:rPr>
          <w:color w:val="auto"/>
        </w:rPr>
        <w:t>Thirty-two</w:t>
      </w:r>
      <w:r w:rsidR="0088463F" w:rsidRPr="00A1728C">
        <w:rPr>
          <w:color w:val="auto"/>
        </w:rPr>
        <w:t xml:space="preserve"> clone sequences from genomic DNA of Cas9-induced mutations in a single </w:t>
      </w:r>
      <w:r w:rsidR="0088463F" w:rsidRPr="00A1728C">
        <w:rPr>
          <w:i/>
          <w:color w:val="auto"/>
        </w:rPr>
        <w:t>scn4aa</w:t>
      </w:r>
      <w:r w:rsidR="0088463F" w:rsidRPr="00A1728C">
        <w:rPr>
          <w:color w:val="auto"/>
        </w:rPr>
        <w:t xml:space="preserve"> targeted F</w:t>
      </w:r>
      <w:r w:rsidR="0088463F" w:rsidRPr="00A1728C">
        <w:rPr>
          <w:color w:val="auto"/>
          <w:vertAlign w:val="subscript"/>
        </w:rPr>
        <w:t>0</w:t>
      </w:r>
      <w:r w:rsidR="0088463F" w:rsidRPr="00A1728C">
        <w:rPr>
          <w:color w:val="auto"/>
        </w:rPr>
        <w:t xml:space="preserve"> </w:t>
      </w:r>
      <w:r w:rsidR="0088463F" w:rsidRPr="00A1728C">
        <w:rPr>
          <w:i/>
          <w:color w:val="auto"/>
        </w:rPr>
        <w:t xml:space="preserve">B. </w:t>
      </w:r>
      <w:proofErr w:type="spellStart"/>
      <w:r w:rsidR="0088463F" w:rsidRPr="00A1728C">
        <w:rPr>
          <w:i/>
          <w:color w:val="auto"/>
        </w:rPr>
        <w:t>gauderio</w:t>
      </w:r>
      <w:proofErr w:type="spellEnd"/>
      <w:r w:rsidR="0088463F" w:rsidRPr="00A1728C">
        <w:rPr>
          <w:color w:val="auto"/>
        </w:rPr>
        <w:t xml:space="preserve"> embryo (11</w:t>
      </w:r>
      <w:r w:rsidR="009103CF">
        <w:rPr>
          <w:color w:val="auto"/>
        </w:rPr>
        <w:t xml:space="preserve"> </w:t>
      </w:r>
      <w:r w:rsidR="007D6EFD" w:rsidRPr="007D6EFD">
        <w:rPr>
          <w:caps/>
          <w:color w:val="auto"/>
        </w:rPr>
        <w:t>DPF</w:t>
      </w:r>
      <w:r w:rsidR="0088463F" w:rsidRPr="00A1728C">
        <w:rPr>
          <w:color w:val="auto"/>
        </w:rPr>
        <w:t xml:space="preserve">). The reference sequence is underlined with the sgRNA target site highlighted in gray, the protospacer-adjacent motif (PAM) sequence highlighted in red, and the Cas9 cut site marked with </w:t>
      </w:r>
      <w:r w:rsidR="009F36EF">
        <w:rPr>
          <w:color w:val="auto"/>
        </w:rPr>
        <w:t>"</w:t>
      </w:r>
      <w:r w:rsidR="0088463F" w:rsidRPr="00A1728C">
        <w:rPr>
          <w:color w:val="auto"/>
        </w:rPr>
        <w:t>|</w:t>
      </w:r>
      <w:r w:rsidR="009F36EF">
        <w:rPr>
          <w:color w:val="auto"/>
        </w:rPr>
        <w:t>"</w:t>
      </w:r>
      <w:r w:rsidR="0088463F" w:rsidRPr="00A1728C">
        <w:rPr>
          <w:color w:val="auto"/>
        </w:rPr>
        <w:t xml:space="preserve">. The change from the expected </w:t>
      </w:r>
      <w:r w:rsidR="0088463F" w:rsidRPr="00A1728C">
        <w:rPr>
          <w:color w:val="auto"/>
          <w:shd w:val="clear" w:color="auto" w:fill="FFFFFF"/>
        </w:rPr>
        <w:t>wild type sequence is given and the number of clones for each sequence is given in parenthesis.</w:t>
      </w:r>
      <w:r w:rsidR="009103CF">
        <w:rPr>
          <w:color w:val="auto"/>
          <w:shd w:val="clear" w:color="auto" w:fill="FFFFFF"/>
        </w:rPr>
        <w:t xml:space="preserve"> (Abbreviations: </w:t>
      </w:r>
      <w:r w:rsidR="009103CF" w:rsidRPr="00A1728C">
        <w:rPr>
          <w:color w:val="auto"/>
          <w:shd w:val="clear" w:color="auto" w:fill="FFFFFF"/>
        </w:rPr>
        <w:t>+</w:t>
      </w:r>
      <w:r w:rsidR="009103CF">
        <w:rPr>
          <w:color w:val="auto"/>
          <w:shd w:val="clear" w:color="auto" w:fill="FFFFFF"/>
        </w:rPr>
        <w:t xml:space="preserve"> =</w:t>
      </w:r>
      <w:r w:rsidR="009103CF" w:rsidRPr="00A1728C">
        <w:rPr>
          <w:color w:val="auto"/>
          <w:shd w:val="clear" w:color="auto" w:fill="FFFFFF"/>
        </w:rPr>
        <w:t xml:space="preserve"> insertion, -</w:t>
      </w:r>
      <w:r w:rsidR="009103CF">
        <w:rPr>
          <w:color w:val="auto"/>
          <w:shd w:val="clear" w:color="auto" w:fill="FFFFFF"/>
        </w:rPr>
        <w:t xml:space="preserve"> =</w:t>
      </w:r>
      <w:r w:rsidR="009103CF" w:rsidRPr="00A1728C">
        <w:rPr>
          <w:color w:val="auto"/>
          <w:shd w:val="clear" w:color="auto" w:fill="FFFFFF"/>
        </w:rPr>
        <w:t xml:space="preserve"> deletion, +/-</w:t>
      </w:r>
      <w:r w:rsidR="009103CF">
        <w:rPr>
          <w:color w:val="auto"/>
          <w:shd w:val="clear" w:color="auto" w:fill="FFFFFF"/>
        </w:rPr>
        <w:t xml:space="preserve"> =</w:t>
      </w:r>
      <w:r w:rsidR="009103CF" w:rsidRPr="00A1728C">
        <w:rPr>
          <w:color w:val="auto"/>
          <w:shd w:val="clear" w:color="auto" w:fill="FFFFFF"/>
        </w:rPr>
        <w:t xml:space="preserve"> indel)</w:t>
      </w:r>
      <w:r w:rsidR="0088463F" w:rsidRPr="00A1728C">
        <w:rPr>
          <w:color w:val="auto"/>
          <w:shd w:val="clear" w:color="auto" w:fill="FFFFFF"/>
        </w:rPr>
        <w:t xml:space="preserve"> Any non-</w:t>
      </w:r>
      <w:r w:rsidR="0088463F" w:rsidRPr="00A1728C">
        <w:rPr>
          <w:color w:val="auto"/>
          <w:shd w:val="clear" w:color="auto" w:fill="FFFFFF"/>
        </w:rPr>
        <w:lastRenderedPageBreak/>
        <w:t>CRISPR associated sequence dissimilarities are bolded. Figure modeled after</w:t>
      </w:r>
      <w:r w:rsidR="00D81FC0">
        <w:rPr>
          <w:color w:val="auto"/>
          <w:shd w:val="clear" w:color="auto" w:fill="FFFFFF"/>
        </w:rPr>
        <w:t xml:space="preserve"> </w:t>
      </w:r>
      <w:proofErr w:type="spellStart"/>
      <w:r w:rsidR="00D81FC0">
        <w:rPr>
          <w:color w:val="auto"/>
          <w:shd w:val="clear" w:color="auto" w:fill="FFFFFF"/>
        </w:rPr>
        <w:t>Jao</w:t>
      </w:r>
      <w:proofErr w:type="spellEnd"/>
      <w:r w:rsidR="00D81FC0">
        <w:rPr>
          <w:color w:val="auto"/>
          <w:shd w:val="clear" w:color="auto" w:fill="FFFFFF"/>
        </w:rPr>
        <w:t xml:space="preserve"> et al.</w:t>
      </w:r>
      <w:r w:rsidR="0088463F" w:rsidRPr="00A1728C">
        <w:rPr>
          <w:color w:val="auto"/>
          <w:shd w:val="clear" w:color="auto" w:fill="FFFFFF"/>
          <w:vertAlign w:val="superscript"/>
        </w:rPr>
        <w:t>60</w:t>
      </w:r>
      <w:r w:rsidR="0088463F" w:rsidRPr="00A1728C">
        <w:rPr>
          <w:color w:val="auto"/>
          <w:shd w:val="clear" w:color="auto" w:fill="FFFFFF"/>
        </w:rPr>
        <w:t xml:space="preserve">. </w:t>
      </w:r>
      <w:r w:rsidR="0088463F" w:rsidRPr="000F1CEB">
        <w:rPr>
          <w:bCs/>
          <w:color w:val="auto"/>
          <w:shd w:val="clear" w:color="auto" w:fill="FFFFFF"/>
        </w:rPr>
        <w:t>(</w:t>
      </w:r>
      <w:r w:rsidR="0088463F" w:rsidRPr="00623A4C">
        <w:rPr>
          <w:b/>
          <w:color w:val="auto"/>
          <w:shd w:val="clear" w:color="auto" w:fill="FFFFFF"/>
        </w:rPr>
        <w:t>B</w:t>
      </w:r>
      <w:r w:rsidR="0088463F" w:rsidRPr="000F1CEB">
        <w:rPr>
          <w:bCs/>
          <w:color w:val="auto"/>
          <w:shd w:val="clear" w:color="auto" w:fill="FFFFFF"/>
        </w:rPr>
        <w:t>)</w:t>
      </w:r>
      <w:r w:rsidR="0088463F" w:rsidRPr="00A1728C">
        <w:rPr>
          <w:color w:val="auto"/>
          <w:shd w:val="clear" w:color="auto" w:fill="FFFFFF"/>
        </w:rPr>
        <w:t xml:space="preserve"> Amino acid sequence predicted from sequenced clones of </w:t>
      </w:r>
      <w:r w:rsidR="0088463F" w:rsidRPr="00A1728C">
        <w:rPr>
          <w:i/>
          <w:color w:val="auto"/>
          <w:shd w:val="clear" w:color="auto" w:fill="FFFFFF"/>
        </w:rPr>
        <w:t xml:space="preserve">scn4aa </w:t>
      </w:r>
      <w:r w:rsidR="0088463F" w:rsidRPr="00A1728C">
        <w:rPr>
          <w:color w:val="auto"/>
          <w:shd w:val="clear" w:color="auto" w:fill="FFFFFF"/>
        </w:rPr>
        <w:t xml:space="preserve">knockdown </w:t>
      </w:r>
      <w:r w:rsidR="0088463F" w:rsidRPr="00A1728C">
        <w:rPr>
          <w:i/>
          <w:color w:val="auto"/>
          <w:shd w:val="clear" w:color="auto" w:fill="FFFFFF"/>
        </w:rPr>
        <w:t xml:space="preserve">B. </w:t>
      </w:r>
      <w:proofErr w:type="spellStart"/>
      <w:r w:rsidR="0088463F" w:rsidRPr="00A1728C">
        <w:rPr>
          <w:i/>
          <w:color w:val="auto"/>
          <w:shd w:val="clear" w:color="auto" w:fill="FFFFFF"/>
        </w:rPr>
        <w:t>gauderio</w:t>
      </w:r>
      <w:proofErr w:type="spellEnd"/>
      <w:r w:rsidR="0088463F" w:rsidRPr="00A1728C">
        <w:rPr>
          <w:i/>
          <w:color w:val="auto"/>
          <w:shd w:val="clear" w:color="auto" w:fill="FFFFFF"/>
        </w:rPr>
        <w:t xml:space="preserve"> </w:t>
      </w:r>
      <w:r w:rsidR="0088463F" w:rsidRPr="00A1728C">
        <w:rPr>
          <w:iCs/>
          <w:color w:val="auto"/>
          <w:shd w:val="clear" w:color="auto" w:fill="FFFFFF"/>
        </w:rPr>
        <w:t xml:space="preserve">from </w:t>
      </w:r>
      <w:r w:rsidR="00D81FC0">
        <w:rPr>
          <w:iCs/>
          <w:color w:val="auto"/>
          <w:shd w:val="clear" w:color="auto" w:fill="FFFFFF"/>
        </w:rPr>
        <w:t>(</w:t>
      </w:r>
      <w:r w:rsidR="0088463F" w:rsidRPr="00D81FC0">
        <w:rPr>
          <w:b/>
          <w:bCs/>
          <w:iCs/>
          <w:color w:val="auto"/>
          <w:shd w:val="clear" w:color="auto" w:fill="FFFFFF"/>
        </w:rPr>
        <w:t>A</w:t>
      </w:r>
      <w:r w:rsidR="00D81FC0">
        <w:rPr>
          <w:iCs/>
          <w:color w:val="auto"/>
          <w:shd w:val="clear" w:color="auto" w:fill="FFFFFF"/>
        </w:rPr>
        <w:t>)</w:t>
      </w:r>
      <w:r w:rsidR="0088463F" w:rsidRPr="00A1728C">
        <w:rPr>
          <w:color w:val="auto"/>
          <w:shd w:val="clear" w:color="auto" w:fill="FFFFFF"/>
        </w:rPr>
        <w:t>. Cas9</w:t>
      </w:r>
      <w:r w:rsidR="00D81FC0">
        <w:rPr>
          <w:color w:val="auto"/>
          <w:shd w:val="clear" w:color="auto" w:fill="FFFFFF"/>
        </w:rPr>
        <w:t>-</w:t>
      </w:r>
      <w:r w:rsidR="0088463F" w:rsidRPr="00A1728C">
        <w:rPr>
          <w:color w:val="auto"/>
          <w:shd w:val="clear" w:color="auto" w:fill="FFFFFF"/>
        </w:rPr>
        <w:t>induced changes from the wild type sequence are highlighted in red and the nucleotide</w:t>
      </w:r>
      <w:r w:rsidR="00D81FC0">
        <w:rPr>
          <w:color w:val="auto"/>
          <w:shd w:val="clear" w:color="auto" w:fill="FFFFFF"/>
        </w:rPr>
        <w:t>-</w:t>
      </w:r>
      <w:r w:rsidR="0088463F" w:rsidRPr="00A1728C">
        <w:rPr>
          <w:color w:val="auto"/>
          <w:shd w:val="clear" w:color="auto" w:fill="FFFFFF"/>
        </w:rPr>
        <w:t xml:space="preserve">induced change number is given. </w:t>
      </w:r>
      <w:r w:rsidR="0088463F" w:rsidRPr="000F1CEB">
        <w:rPr>
          <w:bCs/>
          <w:color w:val="auto"/>
          <w:shd w:val="clear" w:color="auto" w:fill="FFFFFF"/>
        </w:rPr>
        <w:t>(</w:t>
      </w:r>
      <w:r w:rsidR="0088463F" w:rsidRPr="00623A4C">
        <w:rPr>
          <w:b/>
          <w:color w:val="auto"/>
          <w:shd w:val="clear" w:color="auto" w:fill="FFFFFF"/>
        </w:rPr>
        <w:t>C</w:t>
      </w:r>
      <w:r w:rsidR="0088463F" w:rsidRPr="000F1CEB">
        <w:rPr>
          <w:bCs/>
          <w:color w:val="auto"/>
          <w:shd w:val="clear" w:color="auto" w:fill="FFFFFF"/>
        </w:rPr>
        <w:t>)</w:t>
      </w:r>
      <w:r w:rsidR="0088463F" w:rsidRPr="00A1728C">
        <w:rPr>
          <w:b/>
          <w:color w:val="auto"/>
          <w:shd w:val="clear" w:color="auto" w:fill="FFFFFF"/>
        </w:rPr>
        <w:t xml:space="preserve"> </w:t>
      </w:r>
      <w:r w:rsidR="00D81FC0">
        <w:rPr>
          <w:color w:val="auto"/>
          <w:shd w:val="clear" w:color="auto" w:fill="FFFFFF"/>
        </w:rPr>
        <w:t>Twenty</w:t>
      </w:r>
      <w:r w:rsidR="0088463F" w:rsidRPr="00A1728C">
        <w:rPr>
          <w:color w:val="auto"/>
          <w:shd w:val="clear" w:color="auto" w:fill="FFFFFF"/>
        </w:rPr>
        <w:t xml:space="preserve">-second electrical recordings from five size-matched larvae, all recorded 6 </w:t>
      </w:r>
      <w:r w:rsidR="00D81FC0">
        <w:rPr>
          <w:color w:val="auto"/>
          <w:shd w:val="clear" w:color="auto" w:fill="FFFFFF"/>
        </w:rPr>
        <w:t>DPF</w:t>
      </w:r>
      <w:r w:rsidR="0088463F" w:rsidRPr="00A1728C">
        <w:rPr>
          <w:color w:val="auto"/>
          <w:shd w:val="clear" w:color="auto" w:fill="FFFFFF"/>
        </w:rPr>
        <w:t xml:space="preserve"> in the same recording chamber. Gain settings are identical for all traces. Traces in red are from </w:t>
      </w:r>
      <w:r w:rsidR="0088463F" w:rsidRPr="00A1728C">
        <w:rPr>
          <w:i/>
          <w:color w:val="auto"/>
          <w:shd w:val="clear" w:color="auto" w:fill="FFFFFF"/>
        </w:rPr>
        <w:t xml:space="preserve">B. </w:t>
      </w:r>
      <w:proofErr w:type="spellStart"/>
      <w:r w:rsidR="0088463F" w:rsidRPr="00A1728C">
        <w:rPr>
          <w:i/>
          <w:color w:val="auto"/>
          <w:shd w:val="clear" w:color="auto" w:fill="FFFFFF"/>
        </w:rPr>
        <w:t>gauderio</w:t>
      </w:r>
      <w:proofErr w:type="spellEnd"/>
      <w:r w:rsidR="0088463F" w:rsidRPr="00A1728C">
        <w:rPr>
          <w:i/>
          <w:color w:val="auto"/>
          <w:shd w:val="clear" w:color="auto" w:fill="FFFFFF"/>
        </w:rPr>
        <w:t xml:space="preserve"> </w:t>
      </w:r>
      <w:r w:rsidR="0088463F" w:rsidRPr="00A1728C">
        <w:rPr>
          <w:color w:val="auto"/>
          <w:shd w:val="clear" w:color="auto" w:fill="FFFFFF"/>
        </w:rPr>
        <w:t xml:space="preserve">larvae with confirmed mutations (one individual shown in </w:t>
      </w:r>
      <w:r w:rsidR="00D81FC0" w:rsidRPr="00D81FC0">
        <w:rPr>
          <w:b/>
          <w:bCs/>
          <w:color w:val="auto"/>
          <w:shd w:val="clear" w:color="auto" w:fill="FFFFFF"/>
        </w:rPr>
        <w:t>Figure 8</w:t>
      </w:r>
      <w:r w:rsidR="0088463F" w:rsidRPr="00D81FC0">
        <w:rPr>
          <w:b/>
          <w:bCs/>
          <w:color w:val="auto"/>
          <w:shd w:val="clear" w:color="auto" w:fill="FFFFFF"/>
        </w:rPr>
        <w:t>A</w:t>
      </w:r>
      <w:r w:rsidR="0088463F" w:rsidRPr="00A1728C">
        <w:rPr>
          <w:color w:val="auto"/>
          <w:shd w:val="clear" w:color="auto" w:fill="FFFFFF"/>
        </w:rPr>
        <w:t>,</w:t>
      </w:r>
      <w:r w:rsidR="0088463F" w:rsidRPr="00D81FC0">
        <w:rPr>
          <w:b/>
          <w:bCs/>
          <w:color w:val="auto"/>
          <w:shd w:val="clear" w:color="auto" w:fill="FFFFFF"/>
        </w:rPr>
        <w:t xml:space="preserve"> B</w:t>
      </w:r>
      <w:r w:rsidR="0088463F" w:rsidRPr="00A1728C">
        <w:rPr>
          <w:color w:val="auto"/>
          <w:shd w:val="clear" w:color="auto" w:fill="FFFFFF"/>
        </w:rPr>
        <w:t xml:space="preserve"> above), traces in black are from </w:t>
      </w:r>
      <w:proofErr w:type="spellStart"/>
      <w:r w:rsidR="0088463F" w:rsidRPr="00A1728C">
        <w:rPr>
          <w:color w:val="auto"/>
          <w:shd w:val="clear" w:color="auto" w:fill="FFFFFF"/>
        </w:rPr>
        <w:t>uninjected</w:t>
      </w:r>
      <w:proofErr w:type="spellEnd"/>
      <w:r w:rsidR="0088463F" w:rsidRPr="00A1728C">
        <w:rPr>
          <w:color w:val="auto"/>
          <w:shd w:val="clear" w:color="auto" w:fill="FFFFFF"/>
        </w:rPr>
        <w:t xml:space="preserve"> </w:t>
      </w:r>
      <w:r w:rsidR="0088463F" w:rsidRPr="00A1728C">
        <w:rPr>
          <w:i/>
          <w:color w:val="auto"/>
          <w:shd w:val="clear" w:color="auto" w:fill="FFFFFF"/>
        </w:rPr>
        <w:t xml:space="preserve">B. </w:t>
      </w:r>
      <w:proofErr w:type="spellStart"/>
      <w:r w:rsidR="0088463F" w:rsidRPr="00A1728C">
        <w:rPr>
          <w:i/>
          <w:color w:val="auto"/>
          <w:shd w:val="clear" w:color="auto" w:fill="FFFFFF"/>
        </w:rPr>
        <w:t>gauderio</w:t>
      </w:r>
      <w:proofErr w:type="spellEnd"/>
      <w:r w:rsidR="0088463F" w:rsidRPr="00A1728C">
        <w:rPr>
          <w:color w:val="auto"/>
          <w:shd w:val="clear" w:color="auto" w:fill="FFFFFF"/>
        </w:rPr>
        <w:t xml:space="preserve"> larvae. Overall, CRISPR/Cas9 editing of </w:t>
      </w:r>
      <w:r w:rsidR="0088463F" w:rsidRPr="00A1728C">
        <w:rPr>
          <w:i/>
          <w:color w:val="auto"/>
          <w:shd w:val="clear" w:color="auto" w:fill="FFFFFF"/>
        </w:rPr>
        <w:t>scn4aa</w:t>
      </w:r>
      <w:r w:rsidR="0088463F" w:rsidRPr="00A1728C">
        <w:rPr>
          <w:color w:val="auto"/>
          <w:shd w:val="clear" w:color="auto" w:fill="FFFFFF"/>
        </w:rPr>
        <w:t xml:space="preserve"> show</w:t>
      </w:r>
      <w:r w:rsidR="009F36EF">
        <w:rPr>
          <w:color w:val="auto"/>
          <w:shd w:val="clear" w:color="auto" w:fill="FFFFFF"/>
        </w:rPr>
        <w:t>ed</w:t>
      </w:r>
      <w:r w:rsidR="0088463F" w:rsidRPr="00A1728C">
        <w:rPr>
          <w:color w:val="auto"/>
          <w:shd w:val="clear" w:color="auto" w:fill="FFFFFF"/>
        </w:rPr>
        <w:t xml:space="preserve"> a reduction in EOD amplitude, though the effect </w:t>
      </w:r>
      <w:r w:rsidR="009F36EF">
        <w:rPr>
          <w:color w:val="auto"/>
          <w:shd w:val="clear" w:color="auto" w:fill="FFFFFF"/>
        </w:rPr>
        <w:t>was</w:t>
      </w:r>
      <w:r w:rsidR="0088463F" w:rsidRPr="00A1728C">
        <w:rPr>
          <w:color w:val="auto"/>
          <w:shd w:val="clear" w:color="auto" w:fill="FFFFFF"/>
        </w:rPr>
        <w:t xml:space="preserve"> heterogeneous.</w:t>
      </w:r>
      <w:r>
        <w:rPr>
          <w:color w:val="auto"/>
          <w:shd w:val="clear" w:color="auto" w:fill="FFFFFF"/>
        </w:rPr>
        <w:t xml:space="preserve"> </w:t>
      </w:r>
    </w:p>
    <w:p w14:paraId="64462338" w14:textId="77777777" w:rsidR="0088463F" w:rsidRPr="00A1728C" w:rsidRDefault="0088463F" w:rsidP="0088463F">
      <w:pPr>
        <w:rPr>
          <w:color w:val="auto"/>
        </w:rPr>
      </w:pPr>
    </w:p>
    <w:p w14:paraId="71C20FB4" w14:textId="4332E781" w:rsidR="0088463F" w:rsidRPr="00A1728C" w:rsidRDefault="00EA1C1D" w:rsidP="0088463F">
      <w:pPr>
        <w:rPr>
          <w:color w:val="auto"/>
          <w:shd w:val="clear" w:color="auto" w:fill="FFFFFF"/>
        </w:rPr>
      </w:pPr>
      <w:r w:rsidRPr="00EA1C1D">
        <w:rPr>
          <w:b/>
          <w:color w:val="auto"/>
        </w:rPr>
        <w:t>Figure 9</w:t>
      </w:r>
      <w:r w:rsidR="0088463F" w:rsidRPr="00A1728C">
        <w:rPr>
          <w:b/>
          <w:color w:val="auto"/>
        </w:rPr>
        <w:t>:</w:t>
      </w:r>
      <w:r w:rsidR="008066F6">
        <w:rPr>
          <w:b/>
          <w:color w:val="auto"/>
        </w:rPr>
        <w:t xml:space="preserve"> </w:t>
      </w:r>
      <w:r w:rsidR="008066F6" w:rsidRPr="008066F6">
        <w:rPr>
          <w:b/>
          <w:bCs/>
          <w:color w:val="auto"/>
        </w:rPr>
        <w:t xml:space="preserve">CRISPR/Cas9 induced mutations in </w:t>
      </w:r>
      <w:r w:rsidR="008066F6" w:rsidRPr="008066F6">
        <w:rPr>
          <w:b/>
          <w:bCs/>
          <w:i/>
          <w:color w:val="auto"/>
        </w:rPr>
        <w:t xml:space="preserve">B. </w:t>
      </w:r>
      <w:proofErr w:type="spellStart"/>
      <w:r w:rsidR="008066F6" w:rsidRPr="008066F6">
        <w:rPr>
          <w:b/>
          <w:bCs/>
          <w:i/>
          <w:color w:val="auto"/>
        </w:rPr>
        <w:t>brachyistius</w:t>
      </w:r>
      <w:proofErr w:type="spellEnd"/>
      <w:r w:rsidR="008066F6" w:rsidRPr="008066F6">
        <w:rPr>
          <w:b/>
          <w:bCs/>
          <w:iCs/>
          <w:color w:val="auto"/>
        </w:rPr>
        <w:t>.</w:t>
      </w:r>
      <w:r w:rsidR="0088463F" w:rsidRPr="00A1728C">
        <w:rPr>
          <w:color w:val="auto"/>
        </w:rPr>
        <w:t xml:space="preserve"> </w:t>
      </w:r>
      <w:r w:rsidR="0088463F" w:rsidRPr="000F1CEB">
        <w:rPr>
          <w:bCs/>
          <w:color w:val="auto"/>
        </w:rPr>
        <w:t>(</w:t>
      </w:r>
      <w:r w:rsidR="0088463F" w:rsidRPr="00623A4C">
        <w:rPr>
          <w:b/>
          <w:color w:val="auto"/>
        </w:rPr>
        <w:t>A</w:t>
      </w:r>
      <w:r w:rsidR="0088463F" w:rsidRPr="000F1CEB">
        <w:rPr>
          <w:bCs/>
          <w:color w:val="auto"/>
        </w:rPr>
        <w:t>)</w:t>
      </w:r>
      <w:r w:rsidR="0088463F" w:rsidRPr="00A1728C">
        <w:rPr>
          <w:color w:val="auto"/>
        </w:rPr>
        <w:t xml:space="preserve"> </w:t>
      </w:r>
      <w:r w:rsidR="009103CF">
        <w:rPr>
          <w:color w:val="auto"/>
        </w:rPr>
        <w:t>Forty-two</w:t>
      </w:r>
      <w:r w:rsidR="0088463F" w:rsidRPr="00A1728C">
        <w:rPr>
          <w:color w:val="auto"/>
        </w:rPr>
        <w:t xml:space="preserve"> clone sequences from genomic DNA of Cas9-induced mutations in a single </w:t>
      </w:r>
      <w:r w:rsidR="0088463F" w:rsidRPr="00A1728C">
        <w:rPr>
          <w:i/>
          <w:color w:val="auto"/>
        </w:rPr>
        <w:t>scn4aa</w:t>
      </w:r>
      <w:r w:rsidR="0088463F" w:rsidRPr="00A1728C">
        <w:rPr>
          <w:color w:val="auto"/>
        </w:rPr>
        <w:t xml:space="preserve"> targeted F</w:t>
      </w:r>
      <w:r w:rsidR="0088463F" w:rsidRPr="009103CF">
        <w:rPr>
          <w:color w:val="auto"/>
          <w:vertAlign w:val="subscript"/>
        </w:rPr>
        <w:t>0</w:t>
      </w:r>
      <w:r w:rsidR="0088463F" w:rsidRPr="00A1728C">
        <w:rPr>
          <w:color w:val="auto"/>
        </w:rPr>
        <w:t xml:space="preserve"> </w:t>
      </w:r>
      <w:r w:rsidR="0088463F" w:rsidRPr="00A1728C">
        <w:rPr>
          <w:i/>
          <w:color w:val="auto"/>
        </w:rPr>
        <w:t xml:space="preserve">B. </w:t>
      </w:r>
      <w:proofErr w:type="spellStart"/>
      <w:r w:rsidR="0088463F" w:rsidRPr="00A1728C">
        <w:rPr>
          <w:i/>
          <w:color w:val="auto"/>
        </w:rPr>
        <w:t>brachyistius</w:t>
      </w:r>
      <w:proofErr w:type="spellEnd"/>
      <w:r w:rsidR="0088463F" w:rsidRPr="00A1728C">
        <w:rPr>
          <w:color w:val="auto"/>
        </w:rPr>
        <w:t xml:space="preserve"> embryo (11</w:t>
      </w:r>
      <w:r w:rsidR="009103CF">
        <w:rPr>
          <w:color w:val="auto"/>
        </w:rPr>
        <w:t xml:space="preserve"> </w:t>
      </w:r>
      <w:r w:rsidR="007D6EFD" w:rsidRPr="007D6EFD">
        <w:rPr>
          <w:caps/>
          <w:color w:val="auto"/>
        </w:rPr>
        <w:t>DPF</w:t>
      </w:r>
      <w:r w:rsidR="0088463F" w:rsidRPr="00A1728C">
        <w:rPr>
          <w:color w:val="auto"/>
        </w:rPr>
        <w:t xml:space="preserve">). The reference sequence is underlined with the sgRNA target site highlighted in gray, the protospacer-adjacent motif (PAM) sequence highlighted in red, and the Cas9 cut site marked with “|”. The change from the expected </w:t>
      </w:r>
      <w:r w:rsidR="0088463F" w:rsidRPr="00A1728C">
        <w:rPr>
          <w:color w:val="auto"/>
          <w:shd w:val="clear" w:color="auto" w:fill="FFFFFF"/>
        </w:rPr>
        <w:t xml:space="preserve">wild type sequence is given and the number of clones for each sequence is given in parenthesis. </w:t>
      </w:r>
      <w:r w:rsidR="009103CF">
        <w:rPr>
          <w:color w:val="auto"/>
          <w:shd w:val="clear" w:color="auto" w:fill="FFFFFF"/>
        </w:rPr>
        <w:t xml:space="preserve">(Abbreviations: </w:t>
      </w:r>
      <w:r w:rsidR="009103CF" w:rsidRPr="00A1728C">
        <w:rPr>
          <w:color w:val="auto"/>
          <w:shd w:val="clear" w:color="auto" w:fill="FFFFFF"/>
        </w:rPr>
        <w:t>+</w:t>
      </w:r>
      <w:r w:rsidR="009103CF">
        <w:rPr>
          <w:color w:val="auto"/>
          <w:shd w:val="clear" w:color="auto" w:fill="FFFFFF"/>
        </w:rPr>
        <w:t xml:space="preserve"> =</w:t>
      </w:r>
      <w:r w:rsidR="009103CF" w:rsidRPr="00A1728C">
        <w:rPr>
          <w:color w:val="auto"/>
          <w:shd w:val="clear" w:color="auto" w:fill="FFFFFF"/>
        </w:rPr>
        <w:t xml:space="preserve"> insertion, -</w:t>
      </w:r>
      <w:r w:rsidR="009103CF">
        <w:rPr>
          <w:color w:val="auto"/>
          <w:shd w:val="clear" w:color="auto" w:fill="FFFFFF"/>
        </w:rPr>
        <w:t xml:space="preserve"> =</w:t>
      </w:r>
      <w:r w:rsidR="009103CF" w:rsidRPr="00A1728C">
        <w:rPr>
          <w:color w:val="auto"/>
          <w:shd w:val="clear" w:color="auto" w:fill="FFFFFF"/>
        </w:rPr>
        <w:t xml:space="preserve"> deletion, +/-</w:t>
      </w:r>
      <w:r w:rsidR="009103CF">
        <w:rPr>
          <w:color w:val="auto"/>
          <w:shd w:val="clear" w:color="auto" w:fill="FFFFFF"/>
        </w:rPr>
        <w:t xml:space="preserve"> =</w:t>
      </w:r>
      <w:r w:rsidR="009103CF" w:rsidRPr="00A1728C">
        <w:rPr>
          <w:color w:val="auto"/>
          <w:shd w:val="clear" w:color="auto" w:fill="FFFFFF"/>
        </w:rPr>
        <w:t xml:space="preserve"> indel) </w:t>
      </w:r>
      <w:r w:rsidR="0088463F" w:rsidRPr="00A1728C">
        <w:rPr>
          <w:color w:val="auto"/>
          <w:shd w:val="clear" w:color="auto" w:fill="FFFFFF"/>
        </w:rPr>
        <w:t>Any non-CRISPR associated sequence dissimilarities are bolded. Figure modeled after</w:t>
      </w:r>
      <w:r w:rsidR="009103CF">
        <w:rPr>
          <w:color w:val="auto"/>
          <w:shd w:val="clear" w:color="auto" w:fill="FFFFFF"/>
        </w:rPr>
        <w:t xml:space="preserve"> </w:t>
      </w:r>
      <w:proofErr w:type="spellStart"/>
      <w:r w:rsidR="009103CF">
        <w:rPr>
          <w:color w:val="auto"/>
          <w:shd w:val="clear" w:color="auto" w:fill="FFFFFF"/>
        </w:rPr>
        <w:t>Jao</w:t>
      </w:r>
      <w:proofErr w:type="spellEnd"/>
      <w:r w:rsidR="009103CF">
        <w:rPr>
          <w:color w:val="auto"/>
          <w:shd w:val="clear" w:color="auto" w:fill="FFFFFF"/>
        </w:rPr>
        <w:t xml:space="preserve"> et al.</w:t>
      </w:r>
      <w:r w:rsidR="0088463F" w:rsidRPr="00A1728C">
        <w:rPr>
          <w:noProof/>
          <w:color w:val="auto"/>
          <w:shd w:val="clear" w:color="auto" w:fill="FFFFFF"/>
          <w:vertAlign w:val="superscript"/>
        </w:rPr>
        <w:t>60</w:t>
      </w:r>
      <w:r w:rsidR="0088463F" w:rsidRPr="00A1728C">
        <w:rPr>
          <w:color w:val="auto"/>
          <w:shd w:val="clear" w:color="auto" w:fill="FFFFFF"/>
        </w:rPr>
        <w:t xml:space="preserve">. </w:t>
      </w:r>
      <w:r w:rsidR="0088463F" w:rsidRPr="000F1CEB">
        <w:rPr>
          <w:bCs/>
          <w:color w:val="auto"/>
          <w:shd w:val="clear" w:color="auto" w:fill="FFFFFF"/>
        </w:rPr>
        <w:t>(</w:t>
      </w:r>
      <w:r w:rsidR="0088463F" w:rsidRPr="00623A4C">
        <w:rPr>
          <w:b/>
          <w:color w:val="auto"/>
          <w:shd w:val="clear" w:color="auto" w:fill="FFFFFF"/>
        </w:rPr>
        <w:t>B</w:t>
      </w:r>
      <w:r w:rsidR="0088463F" w:rsidRPr="000F1CEB">
        <w:rPr>
          <w:bCs/>
          <w:color w:val="auto"/>
          <w:shd w:val="clear" w:color="auto" w:fill="FFFFFF"/>
        </w:rPr>
        <w:t>)</w:t>
      </w:r>
      <w:r w:rsidR="0088463F" w:rsidRPr="00A1728C">
        <w:rPr>
          <w:color w:val="auto"/>
          <w:shd w:val="clear" w:color="auto" w:fill="FFFFFF"/>
        </w:rPr>
        <w:t xml:space="preserve"> Amino acid sequence predicted from sequenced clones from </w:t>
      </w:r>
      <w:r w:rsidR="0088463F" w:rsidRPr="00A1728C">
        <w:rPr>
          <w:i/>
          <w:color w:val="auto"/>
          <w:shd w:val="clear" w:color="auto" w:fill="FFFFFF"/>
        </w:rPr>
        <w:t xml:space="preserve">scn4aa </w:t>
      </w:r>
      <w:r w:rsidR="0088463F" w:rsidRPr="00A1728C">
        <w:rPr>
          <w:color w:val="auto"/>
          <w:shd w:val="clear" w:color="auto" w:fill="FFFFFF"/>
        </w:rPr>
        <w:t xml:space="preserve">knockdown </w:t>
      </w:r>
      <w:r w:rsidR="0088463F" w:rsidRPr="00A1728C">
        <w:rPr>
          <w:i/>
          <w:color w:val="auto"/>
          <w:shd w:val="clear" w:color="auto" w:fill="FFFFFF"/>
        </w:rPr>
        <w:t xml:space="preserve">B. </w:t>
      </w:r>
      <w:proofErr w:type="spellStart"/>
      <w:r w:rsidR="0088463F" w:rsidRPr="00A1728C">
        <w:rPr>
          <w:i/>
          <w:color w:val="auto"/>
          <w:shd w:val="clear" w:color="auto" w:fill="FFFFFF"/>
        </w:rPr>
        <w:t>brachyistius</w:t>
      </w:r>
      <w:proofErr w:type="spellEnd"/>
      <w:r w:rsidR="0088463F" w:rsidRPr="00A1728C">
        <w:rPr>
          <w:i/>
          <w:color w:val="auto"/>
          <w:shd w:val="clear" w:color="auto" w:fill="FFFFFF"/>
        </w:rPr>
        <w:t xml:space="preserve"> </w:t>
      </w:r>
      <w:r w:rsidR="0088463F" w:rsidRPr="00A1728C">
        <w:rPr>
          <w:iCs/>
          <w:color w:val="auto"/>
          <w:shd w:val="clear" w:color="auto" w:fill="FFFFFF"/>
        </w:rPr>
        <w:t xml:space="preserve">in </w:t>
      </w:r>
      <w:r w:rsidR="009103CF">
        <w:rPr>
          <w:iCs/>
          <w:color w:val="auto"/>
          <w:shd w:val="clear" w:color="auto" w:fill="FFFFFF"/>
        </w:rPr>
        <w:t>(</w:t>
      </w:r>
      <w:r w:rsidR="0088463F" w:rsidRPr="009103CF">
        <w:rPr>
          <w:b/>
          <w:bCs/>
          <w:iCs/>
          <w:color w:val="auto"/>
          <w:shd w:val="clear" w:color="auto" w:fill="FFFFFF"/>
        </w:rPr>
        <w:t>A</w:t>
      </w:r>
      <w:r w:rsidR="009103CF">
        <w:rPr>
          <w:iCs/>
          <w:color w:val="auto"/>
          <w:shd w:val="clear" w:color="auto" w:fill="FFFFFF"/>
        </w:rPr>
        <w:t>)</w:t>
      </w:r>
      <w:r w:rsidR="0088463F" w:rsidRPr="00A1728C">
        <w:rPr>
          <w:color w:val="auto"/>
          <w:shd w:val="clear" w:color="auto" w:fill="FFFFFF"/>
        </w:rPr>
        <w:t>. Cas9</w:t>
      </w:r>
      <w:r w:rsidR="009103CF">
        <w:rPr>
          <w:color w:val="auto"/>
          <w:shd w:val="clear" w:color="auto" w:fill="FFFFFF"/>
        </w:rPr>
        <w:t>-</w:t>
      </w:r>
      <w:r w:rsidR="0088463F" w:rsidRPr="00A1728C">
        <w:rPr>
          <w:color w:val="auto"/>
          <w:shd w:val="clear" w:color="auto" w:fill="FFFFFF"/>
        </w:rPr>
        <w:t xml:space="preserve">induced changes from the wild type sequence are highlighted in red and the nucleotide induced change number is given. </w:t>
      </w:r>
      <w:r w:rsidR="0088463F" w:rsidRPr="000F1CEB">
        <w:rPr>
          <w:bCs/>
          <w:color w:val="auto"/>
          <w:shd w:val="clear" w:color="auto" w:fill="FFFFFF"/>
        </w:rPr>
        <w:t>(</w:t>
      </w:r>
      <w:r w:rsidR="0088463F" w:rsidRPr="00623A4C">
        <w:rPr>
          <w:b/>
          <w:color w:val="auto"/>
          <w:shd w:val="clear" w:color="auto" w:fill="FFFFFF"/>
        </w:rPr>
        <w:t>C</w:t>
      </w:r>
      <w:r w:rsidR="0088463F" w:rsidRPr="000F1CEB">
        <w:rPr>
          <w:bCs/>
          <w:color w:val="auto"/>
          <w:shd w:val="clear" w:color="auto" w:fill="FFFFFF"/>
        </w:rPr>
        <w:t>)</w:t>
      </w:r>
      <w:r w:rsidR="0088463F" w:rsidRPr="00A1728C">
        <w:rPr>
          <w:b/>
          <w:color w:val="auto"/>
          <w:shd w:val="clear" w:color="auto" w:fill="FFFFFF"/>
        </w:rPr>
        <w:t xml:space="preserve"> </w:t>
      </w:r>
      <w:r w:rsidR="009103CF">
        <w:rPr>
          <w:color w:val="auto"/>
          <w:shd w:val="clear" w:color="auto" w:fill="FFFFFF"/>
        </w:rPr>
        <w:t xml:space="preserve">Ten </w:t>
      </w:r>
      <w:r w:rsidR="0088463F" w:rsidRPr="00A1728C">
        <w:rPr>
          <w:color w:val="auto"/>
          <w:shd w:val="clear" w:color="auto" w:fill="FFFFFF"/>
        </w:rPr>
        <w:t xml:space="preserve">second electrical recordings from four size-matched larvae, all recorded 10 </w:t>
      </w:r>
      <w:r w:rsidR="009103CF">
        <w:rPr>
          <w:color w:val="auto"/>
          <w:shd w:val="clear" w:color="auto" w:fill="FFFFFF"/>
        </w:rPr>
        <w:t>DPF</w:t>
      </w:r>
      <w:r w:rsidR="0088463F" w:rsidRPr="00A1728C">
        <w:rPr>
          <w:color w:val="auto"/>
          <w:shd w:val="clear" w:color="auto" w:fill="FFFFFF"/>
        </w:rPr>
        <w:t xml:space="preserve"> in the same recording chamber. Gain settings are identical for all traces. Traces in red are from </w:t>
      </w:r>
      <w:r w:rsidR="0088463F" w:rsidRPr="00A1728C">
        <w:rPr>
          <w:i/>
          <w:color w:val="auto"/>
          <w:shd w:val="clear" w:color="auto" w:fill="FFFFFF"/>
        </w:rPr>
        <w:t xml:space="preserve">B. </w:t>
      </w:r>
      <w:proofErr w:type="spellStart"/>
      <w:r w:rsidR="0088463F" w:rsidRPr="00A1728C">
        <w:rPr>
          <w:i/>
          <w:color w:val="auto"/>
          <w:shd w:val="clear" w:color="auto" w:fill="FFFFFF"/>
        </w:rPr>
        <w:t>brachyistius</w:t>
      </w:r>
      <w:proofErr w:type="spellEnd"/>
      <w:r w:rsidR="0088463F" w:rsidRPr="00A1728C">
        <w:rPr>
          <w:i/>
          <w:color w:val="auto"/>
          <w:shd w:val="clear" w:color="auto" w:fill="FFFFFF"/>
        </w:rPr>
        <w:t xml:space="preserve"> </w:t>
      </w:r>
      <w:r w:rsidR="0088463F" w:rsidRPr="00A1728C">
        <w:rPr>
          <w:color w:val="auto"/>
          <w:shd w:val="clear" w:color="auto" w:fill="FFFFFF"/>
        </w:rPr>
        <w:t xml:space="preserve">larvae with confirmed mutations (one individual shown in </w:t>
      </w:r>
      <w:r w:rsidR="0088463F" w:rsidRPr="009103CF">
        <w:rPr>
          <w:b/>
          <w:bCs/>
          <w:color w:val="auto"/>
          <w:shd w:val="clear" w:color="auto" w:fill="FFFFFF"/>
        </w:rPr>
        <w:t>A</w:t>
      </w:r>
      <w:r w:rsidR="0088463F" w:rsidRPr="00A1728C">
        <w:rPr>
          <w:color w:val="auto"/>
          <w:shd w:val="clear" w:color="auto" w:fill="FFFFFF"/>
        </w:rPr>
        <w:t xml:space="preserve">, </w:t>
      </w:r>
      <w:r w:rsidR="0088463F" w:rsidRPr="009103CF">
        <w:rPr>
          <w:b/>
          <w:bCs/>
          <w:color w:val="auto"/>
          <w:shd w:val="clear" w:color="auto" w:fill="FFFFFF"/>
        </w:rPr>
        <w:t>B</w:t>
      </w:r>
      <w:r w:rsidR="0088463F" w:rsidRPr="00A1728C">
        <w:rPr>
          <w:color w:val="auto"/>
          <w:shd w:val="clear" w:color="auto" w:fill="FFFFFF"/>
        </w:rPr>
        <w:t xml:space="preserve"> above), traces in black are from </w:t>
      </w:r>
      <w:proofErr w:type="spellStart"/>
      <w:r w:rsidR="0088463F" w:rsidRPr="00A1728C">
        <w:rPr>
          <w:color w:val="auto"/>
          <w:shd w:val="clear" w:color="auto" w:fill="FFFFFF"/>
        </w:rPr>
        <w:t>uninjected</w:t>
      </w:r>
      <w:proofErr w:type="spellEnd"/>
      <w:r w:rsidR="0088463F" w:rsidRPr="00A1728C">
        <w:rPr>
          <w:color w:val="auto"/>
          <w:shd w:val="clear" w:color="auto" w:fill="FFFFFF"/>
        </w:rPr>
        <w:t xml:space="preserve"> </w:t>
      </w:r>
      <w:r w:rsidR="0088463F" w:rsidRPr="00A1728C">
        <w:rPr>
          <w:i/>
          <w:color w:val="auto"/>
          <w:shd w:val="clear" w:color="auto" w:fill="FFFFFF"/>
        </w:rPr>
        <w:t xml:space="preserve">B. </w:t>
      </w:r>
      <w:proofErr w:type="spellStart"/>
      <w:r w:rsidR="0088463F" w:rsidRPr="00A1728C">
        <w:rPr>
          <w:i/>
          <w:color w:val="auto"/>
          <w:shd w:val="clear" w:color="auto" w:fill="FFFFFF"/>
        </w:rPr>
        <w:t>brachyistius</w:t>
      </w:r>
      <w:proofErr w:type="spellEnd"/>
      <w:r w:rsidR="0088463F" w:rsidRPr="00A1728C">
        <w:rPr>
          <w:color w:val="auto"/>
          <w:shd w:val="clear" w:color="auto" w:fill="FFFFFF"/>
        </w:rPr>
        <w:t xml:space="preserve"> larvae.</w:t>
      </w:r>
      <w:r>
        <w:rPr>
          <w:color w:val="auto"/>
          <w:shd w:val="clear" w:color="auto" w:fill="FFFFFF"/>
        </w:rPr>
        <w:t xml:space="preserve"> </w:t>
      </w:r>
      <w:r w:rsidR="0088463F" w:rsidRPr="00A1728C">
        <w:rPr>
          <w:color w:val="auto"/>
          <w:shd w:val="clear" w:color="auto" w:fill="FFFFFF"/>
        </w:rPr>
        <w:t xml:space="preserve">Overall, CRISPR/Cas9 editing of </w:t>
      </w:r>
      <w:r w:rsidR="0088463F" w:rsidRPr="00A1728C">
        <w:rPr>
          <w:i/>
          <w:color w:val="auto"/>
          <w:shd w:val="clear" w:color="auto" w:fill="FFFFFF"/>
        </w:rPr>
        <w:t>scn4aa</w:t>
      </w:r>
      <w:r w:rsidR="0088463F" w:rsidRPr="00A1728C">
        <w:rPr>
          <w:color w:val="auto"/>
          <w:shd w:val="clear" w:color="auto" w:fill="FFFFFF"/>
        </w:rPr>
        <w:t xml:space="preserve"> show</w:t>
      </w:r>
      <w:r w:rsidR="009F36EF">
        <w:rPr>
          <w:color w:val="auto"/>
          <w:shd w:val="clear" w:color="auto" w:fill="FFFFFF"/>
        </w:rPr>
        <w:t>ed</w:t>
      </w:r>
      <w:r w:rsidR="0088463F" w:rsidRPr="00A1728C">
        <w:rPr>
          <w:color w:val="auto"/>
          <w:shd w:val="clear" w:color="auto" w:fill="FFFFFF"/>
        </w:rPr>
        <w:t xml:space="preserve"> a reduction in EOD amplitude, though the effect </w:t>
      </w:r>
      <w:r w:rsidR="009F36EF">
        <w:rPr>
          <w:color w:val="auto"/>
          <w:shd w:val="clear" w:color="auto" w:fill="FFFFFF"/>
        </w:rPr>
        <w:t>was</w:t>
      </w:r>
      <w:r w:rsidR="009F36EF" w:rsidRPr="00A1728C">
        <w:rPr>
          <w:color w:val="auto"/>
          <w:shd w:val="clear" w:color="auto" w:fill="FFFFFF"/>
        </w:rPr>
        <w:t xml:space="preserve"> </w:t>
      </w:r>
      <w:r w:rsidR="0088463F" w:rsidRPr="00A1728C">
        <w:rPr>
          <w:color w:val="auto"/>
          <w:shd w:val="clear" w:color="auto" w:fill="FFFFFF"/>
        </w:rPr>
        <w:t>heterogeneous.</w:t>
      </w:r>
      <w:r>
        <w:rPr>
          <w:color w:val="auto"/>
          <w:shd w:val="clear" w:color="auto" w:fill="FFFFFF"/>
        </w:rPr>
        <w:t xml:space="preserve"> </w:t>
      </w:r>
      <w:r w:rsidR="0088463F" w:rsidRPr="00A1728C">
        <w:rPr>
          <w:color w:val="auto"/>
          <w:shd w:val="clear" w:color="auto" w:fill="FFFFFF"/>
        </w:rPr>
        <w:t>Inverted EODs are from the fish changing orientation during the recording</w:t>
      </w:r>
      <w:r w:rsidR="009103CF">
        <w:rPr>
          <w:color w:val="auto"/>
          <w:shd w:val="clear" w:color="auto" w:fill="FFFFFF"/>
        </w:rPr>
        <w:t xml:space="preserve">. </w:t>
      </w:r>
      <w:r w:rsidR="009103CF" w:rsidRPr="00A1728C">
        <w:rPr>
          <w:color w:val="auto"/>
          <w:shd w:val="clear" w:color="auto" w:fill="FFFFFF"/>
        </w:rPr>
        <w:t xml:space="preserve">No </w:t>
      </w:r>
      <w:r w:rsidR="0088463F" w:rsidRPr="00A1728C">
        <w:rPr>
          <w:color w:val="auto"/>
          <w:shd w:val="clear" w:color="auto" w:fill="FFFFFF"/>
        </w:rPr>
        <w:t xml:space="preserve">difference </w:t>
      </w:r>
      <w:r w:rsidR="009103CF">
        <w:rPr>
          <w:color w:val="auto"/>
          <w:shd w:val="clear" w:color="auto" w:fill="FFFFFF"/>
        </w:rPr>
        <w:t xml:space="preserve">is discernible </w:t>
      </w:r>
      <w:r w:rsidR="0088463F" w:rsidRPr="00A1728C">
        <w:rPr>
          <w:color w:val="auto"/>
          <w:shd w:val="clear" w:color="auto" w:fill="FFFFFF"/>
        </w:rPr>
        <w:t>between experimental fish and controls despite this.</w:t>
      </w:r>
    </w:p>
    <w:p w14:paraId="3CE16FF7" w14:textId="77777777" w:rsidR="0088463F" w:rsidRPr="00A1728C" w:rsidRDefault="0088463F" w:rsidP="0088463F">
      <w:pPr>
        <w:rPr>
          <w:color w:val="auto"/>
          <w:shd w:val="clear" w:color="auto" w:fill="FFFFFF"/>
        </w:rPr>
      </w:pPr>
    </w:p>
    <w:p w14:paraId="2F912F12" w14:textId="5ADF7F1F" w:rsidR="0088463F" w:rsidRDefault="00EA1C1D" w:rsidP="0088463F">
      <w:pPr>
        <w:rPr>
          <w:color w:val="auto"/>
          <w:shd w:val="clear" w:color="auto" w:fill="FFFFFF"/>
        </w:rPr>
      </w:pPr>
      <w:r w:rsidRPr="00EA1C1D">
        <w:rPr>
          <w:b/>
          <w:bCs/>
          <w:color w:val="auto"/>
          <w:shd w:val="clear" w:color="auto" w:fill="FFFFFF"/>
        </w:rPr>
        <w:t>Figure 10</w:t>
      </w:r>
      <w:r w:rsidR="0088463F" w:rsidRPr="00A1728C">
        <w:rPr>
          <w:b/>
          <w:bCs/>
          <w:color w:val="auto"/>
          <w:shd w:val="clear" w:color="auto" w:fill="FFFFFF"/>
        </w:rPr>
        <w:t>:</w:t>
      </w:r>
      <w:r w:rsidR="0088463F" w:rsidRPr="00A1728C">
        <w:rPr>
          <w:color w:val="auto"/>
          <w:shd w:val="clear" w:color="auto" w:fill="FFFFFF"/>
        </w:rPr>
        <w:t xml:space="preserve"> </w:t>
      </w:r>
      <w:r w:rsidR="0088463F" w:rsidRPr="002B6FDF">
        <w:rPr>
          <w:b/>
          <w:bCs/>
          <w:color w:val="auto"/>
          <w:shd w:val="clear" w:color="auto" w:fill="FFFFFF"/>
        </w:rPr>
        <w:t>Box plot</w:t>
      </w:r>
      <w:r w:rsidR="002B6FDF">
        <w:rPr>
          <w:b/>
          <w:bCs/>
          <w:color w:val="auto"/>
          <w:shd w:val="clear" w:color="auto" w:fill="FFFFFF"/>
        </w:rPr>
        <w:t>s</w:t>
      </w:r>
      <w:r w:rsidR="0088463F" w:rsidRPr="002B6FDF">
        <w:rPr>
          <w:b/>
          <w:bCs/>
          <w:color w:val="auto"/>
          <w:shd w:val="clear" w:color="auto" w:fill="FFFFFF"/>
        </w:rPr>
        <w:t xml:space="preserve"> of average EOD amplitude of CRISPR and </w:t>
      </w:r>
      <w:proofErr w:type="spellStart"/>
      <w:r w:rsidR="0088463F" w:rsidRPr="002B6FDF">
        <w:rPr>
          <w:b/>
          <w:bCs/>
          <w:color w:val="auto"/>
          <w:shd w:val="clear" w:color="auto" w:fill="FFFFFF"/>
        </w:rPr>
        <w:t>uninjected</w:t>
      </w:r>
      <w:proofErr w:type="spellEnd"/>
      <w:r w:rsidR="0088463F" w:rsidRPr="002B6FDF">
        <w:rPr>
          <w:b/>
          <w:bCs/>
          <w:color w:val="auto"/>
          <w:shd w:val="clear" w:color="auto" w:fill="FFFFFF"/>
        </w:rPr>
        <w:t xml:space="preserve"> size/age matched siblings. </w:t>
      </w:r>
      <w:r w:rsidR="0088463F" w:rsidRPr="00A1728C">
        <w:rPr>
          <w:color w:val="auto"/>
          <w:shd w:val="clear" w:color="auto" w:fill="FFFFFF"/>
        </w:rPr>
        <w:t>(</w:t>
      </w:r>
      <w:r w:rsidR="0088463F" w:rsidRPr="000F1CEB">
        <w:rPr>
          <w:b/>
          <w:bCs/>
          <w:color w:val="auto"/>
          <w:shd w:val="clear" w:color="auto" w:fill="FFFFFF"/>
        </w:rPr>
        <w:t>A</w:t>
      </w:r>
      <w:r w:rsidR="0088463F" w:rsidRPr="00A1728C">
        <w:rPr>
          <w:color w:val="auto"/>
          <w:shd w:val="clear" w:color="auto" w:fill="FFFFFF"/>
        </w:rPr>
        <w:t xml:space="preserve">) EOD amplitude of </w:t>
      </w:r>
      <w:r w:rsidR="0088463F" w:rsidRPr="00A1728C">
        <w:rPr>
          <w:i/>
          <w:iCs/>
          <w:color w:val="auto"/>
          <w:shd w:val="clear" w:color="auto" w:fill="FFFFFF"/>
        </w:rPr>
        <w:t xml:space="preserve">B. </w:t>
      </w:r>
      <w:proofErr w:type="spellStart"/>
      <w:r w:rsidR="0088463F" w:rsidRPr="00A1728C">
        <w:rPr>
          <w:i/>
          <w:iCs/>
          <w:color w:val="auto"/>
          <w:shd w:val="clear" w:color="auto" w:fill="FFFFFF"/>
        </w:rPr>
        <w:t>brachyistius</w:t>
      </w:r>
      <w:proofErr w:type="spellEnd"/>
      <w:r w:rsidR="0088463F" w:rsidRPr="00A1728C">
        <w:rPr>
          <w:color w:val="auto"/>
          <w:shd w:val="clear" w:color="auto" w:fill="FFFFFF"/>
        </w:rPr>
        <w:t xml:space="preserve"> larvae at 10 </w:t>
      </w:r>
      <w:r w:rsidR="00A600B3">
        <w:rPr>
          <w:color w:val="auto"/>
          <w:shd w:val="clear" w:color="auto" w:fill="FFFFFF"/>
        </w:rPr>
        <w:t>DPF</w:t>
      </w:r>
      <w:r w:rsidR="0088463F" w:rsidRPr="00A1728C">
        <w:rPr>
          <w:color w:val="auto"/>
          <w:shd w:val="clear" w:color="auto" w:fill="FFFFFF"/>
        </w:rPr>
        <w:t>. Recorded with a gain of 100, CRISPR n</w:t>
      </w:r>
      <w:r w:rsidR="000815D5">
        <w:rPr>
          <w:color w:val="auto"/>
          <w:shd w:val="clear" w:color="auto" w:fill="FFFFFF"/>
        </w:rPr>
        <w:t xml:space="preserve"> = </w:t>
      </w:r>
      <w:r w:rsidR="0088463F" w:rsidRPr="00A1728C">
        <w:rPr>
          <w:color w:val="auto"/>
          <w:shd w:val="clear" w:color="auto" w:fill="FFFFFF"/>
        </w:rPr>
        <w:t xml:space="preserve">56 EODs from </w:t>
      </w:r>
      <w:r w:rsidR="00A600B3" w:rsidRPr="00A600B3">
        <w:rPr>
          <w:color w:val="auto"/>
          <w:shd w:val="clear" w:color="auto" w:fill="FFFFFF"/>
        </w:rPr>
        <w:t>two</w:t>
      </w:r>
      <w:r w:rsidR="0088463F" w:rsidRPr="00A1728C">
        <w:rPr>
          <w:color w:val="auto"/>
          <w:shd w:val="clear" w:color="auto" w:fill="FFFFFF"/>
        </w:rPr>
        <w:t xml:space="preserve"> individuals, </w:t>
      </w:r>
      <w:proofErr w:type="spellStart"/>
      <w:r w:rsidR="0088463F" w:rsidRPr="00A1728C">
        <w:rPr>
          <w:color w:val="auto"/>
          <w:shd w:val="clear" w:color="auto" w:fill="FFFFFF"/>
        </w:rPr>
        <w:t>uninjected</w:t>
      </w:r>
      <w:proofErr w:type="spellEnd"/>
      <w:r w:rsidR="0088463F" w:rsidRPr="00A1728C">
        <w:rPr>
          <w:color w:val="auto"/>
          <w:shd w:val="clear" w:color="auto" w:fill="FFFFFF"/>
        </w:rPr>
        <w:t xml:space="preserve"> </w:t>
      </w:r>
      <w:proofErr w:type="gramStart"/>
      <w:r w:rsidR="0088463F" w:rsidRPr="00A1728C">
        <w:rPr>
          <w:color w:val="auto"/>
          <w:shd w:val="clear" w:color="auto" w:fill="FFFFFF"/>
        </w:rPr>
        <w:t>n</w:t>
      </w:r>
      <w:r w:rsidR="000815D5">
        <w:rPr>
          <w:color w:val="auto"/>
          <w:shd w:val="clear" w:color="auto" w:fill="FFFFFF"/>
        </w:rPr>
        <w:t xml:space="preserve">  =</w:t>
      </w:r>
      <w:proofErr w:type="gramEnd"/>
      <w:r w:rsidR="00F94BA1">
        <w:rPr>
          <w:color w:val="auto"/>
          <w:shd w:val="clear" w:color="auto" w:fill="FFFFFF"/>
        </w:rPr>
        <w:t xml:space="preserve"> </w:t>
      </w:r>
      <w:r w:rsidR="0088463F" w:rsidRPr="00A1728C">
        <w:rPr>
          <w:color w:val="auto"/>
          <w:shd w:val="clear" w:color="auto" w:fill="FFFFFF"/>
        </w:rPr>
        <w:t xml:space="preserve">114 EODs from </w:t>
      </w:r>
      <w:r w:rsidR="00A600B3" w:rsidRPr="00A600B3">
        <w:rPr>
          <w:color w:val="auto"/>
          <w:shd w:val="clear" w:color="auto" w:fill="FFFFFF"/>
        </w:rPr>
        <w:t>three</w:t>
      </w:r>
      <w:r w:rsidR="0088463F" w:rsidRPr="00A1728C">
        <w:rPr>
          <w:color w:val="auto"/>
          <w:shd w:val="clear" w:color="auto" w:fill="FFFFFF"/>
        </w:rPr>
        <w:t xml:space="preserve"> individuals. (</w:t>
      </w:r>
      <w:r w:rsidR="0088463F" w:rsidRPr="000F1CEB">
        <w:rPr>
          <w:b/>
          <w:bCs/>
          <w:color w:val="auto"/>
          <w:shd w:val="clear" w:color="auto" w:fill="FFFFFF"/>
        </w:rPr>
        <w:t>B</w:t>
      </w:r>
      <w:r w:rsidR="0088463F" w:rsidRPr="00A1728C">
        <w:rPr>
          <w:color w:val="auto"/>
          <w:shd w:val="clear" w:color="auto" w:fill="FFFFFF"/>
        </w:rPr>
        <w:t xml:space="preserve">) EOD amplitude of </w:t>
      </w:r>
      <w:r w:rsidR="0088463F" w:rsidRPr="00A1728C">
        <w:rPr>
          <w:i/>
          <w:iCs/>
          <w:color w:val="auto"/>
          <w:shd w:val="clear" w:color="auto" w:fill="FFFFFF"/>
        </w:rPr>
        <w:t xml:space="preserve">B. </w:t>
      </w:r>
      <w:proofErr w:type="spellStart"/>
      <w:r w:rsidR="0088463F" w:rsidRPr="00A1728C">
        <w:rPr>
          <w:i/>
          <w:iCs/>
          <w:color w:val="auto"/>
          <w:shd w:val="clear" w:color="auto" w:fill="FFFFFF"/>
        </w:rPr>
        <w:t>gauderio</w:t>
      </w:r>
      <w:proofErr w:type="spellEnd"/>
      <w:r w:rsidR="0088463F" w:rsidRPr="00A1728C">
        <w:rPr>
          <w:color w:val="auto"/>
          <w:shd w:val="clear" w:color="auto" w:fill="FFFFFF"/>
        </w:rPr>
        <w:t xml:space="preserve"> larvae at 6 </w:t>
      </w:r>
      <w:r w:rsidR="00A600B3">
        <w:rPr>
          <w:color w:val="auto"/>
          <w:shd w:val="clear" w:color="auto" w:fill="FFFFFF"/>
        </w:rPr>
        <w:t>DPF</w:t>
      </w:r>
      <w:r w:rsidR="0088463F" w:rsidRPr="00A1728C">
        <w:rPr>
          <w:color w:val="auto"/>
          <w:shd w:val="clear" w:color="auto" w:fill="FFFFFF"/>
        </w:rPr>
        <w:t>. Recorded with a gain of 500, CRISPR n</w:t>
      </w:r>
      <w:r w:rsidR="000815D5">
        <w:rPr>
          <w:color w:val="auto"/>
          <w:shd w:val="clear" w:color="auto" w:fill="FFFFFF"/>
        </w:rPr>
        <w:t xml:space="preserve"> = </w:t>
      </w:r>
      <w:r w:rsidR="0088463F" w:rsidRPr="00A1728C">
        <w:rPr>
          <w:color w:val="auto"/>
          <w:shd w:val="clear" w:color="auto" w:fill="FFFFFF"/>
        </w:rPr>
        <w:t xml:space="preserve">34 EODs from </w:t>
      </w:r>
      <w:r w:rsidR="00A600B3" w:rsidRPr="00A600B3">
        <w:rPr>
          <w:color w:val="auto"/>
          <w:shd w:val="clear" w:color="auto" w:fill="FFFFFF"/>
        </w:rPr>
        <w:t>two</w:t>
      </w:r>
      <w:r w:rsidR="0088463F" w:rsidRPr="00A1728C">
        <w:rPr>
          <w:color w:val="auto"/>
          <w:shd w:val="clear" w:color="auto" w:fill="FFFFFF"/>
        </w:rPr>
        <w:t xml:space="preserve"> individuals, </w:t>
      </w:r>
      <w:proofErr w:type="spellStart"/>
      <w:r w:rsidR="0088463F" w:rsidRPr="00A1728C">
        <w:rPr>
          <w:color w:val="auto"/>
          <w:shd w:val="clear" w:color="auto" w:fill="FFFFFF"/>
        </w:rPr>
        <w:t>uninjected</w:t>
      </w:r>
      <w:proofErr w:type="spellEnd"/>
      <w:r w:rsidR="0088463F" w:rsidRPr="00A1728C">
        <w:rPr>
          <w:color w:val="auto"/>
          <w:shd w:val="clear" w:color="auto" w:fill="FFFFFF"/>
        </w:rPr>
        <w:t xml:space="preserve"> n</w:t>
      </w:r>
      <w:r w:rsidR="000815D5">
        <w:rPr>
          <w:color w:val="auto"/>
          <w:shd w:val="clear" w:color="auto" w:fill="FFFFFF"/>
        </w:rPr>
        <w:t xml:space="preserve"> =</w:t>
      </w:r>
      <w:r w:rsidR="00F94BA1">
        <w:rPr>
          <w:color w:val="auto"/>
          <w:shd w:val="clear" w:color="auto" w:fill="FFFFFF"/>
        </w:rPr>
        <w:t xml:space="preserve"> </w:t>
      </w:r>
      <w:r w:rsidR="0088463F" w:rsidRPr="00A1728C">
        <w:rPr>
          <w:color w:val="auto"/>
          <w:shd w:val="clear" w:color="auto" w:fill="FFFFFF"/>
        </w:rPr>
        <w:t xml:space="preserve">148 EODs from </w:t>
      </w:r>
      <w:r w:rsidR="00A600B3" w:rsidRPr="00A600B3">
        <w:rPr>
          <w:color w:val="auto"/>
          <w:shd w:val="clear" w:color="auto" w:fill="FFFFFF"/>
        </w:rPr>
        <w:t>three</w:t>
      </w:r>
      <w:r w:rsidR="0088463F" w:rsidRPr="00A1728C">
        <w:rPr>
          <w:color w:val="auto"/>
          <w:shd w:val="clear" w:color="auto" w:fill="FFFFFF"/>
        </w:rPr>
        <w:t xml:space="preserve"> individuals.</w:t>
      </w:r>
      <w:r>
        <w:rPr>
          <w:color w:val="auto"/>
          <w:shd w:val="clear" w:color="auto" w:fill="FFFFFF"/>
        </w:rPr>
        <w:t xml:space="preserve"> </w:t>
      </w:r>
      <w:r w:rsidR="0088463F" w:rsidRPr="00A1728C">
        <w:rPr>
          <w:color w:val="auto"/>
          <w:shd w:val="clear" w:color="auto" w:fill="FFFFFF"/>
        </w:rPr>
        <w:t xml:space="preserve">Amplitude of CRISPR fish was significantly less than </w:t>
      </w:r>
      <w:proofErr w:type="spellStart"/>
      <w:r w:rsidR="0088463F" w:rsidRPr="00A1728C">
        <w:rPr>
          <w:color w:val="auto"/>
          <w:shd w:val="clear" w:color="auto" w:fill="FFFFFF"/>
        </w:rPr>
        <w:t>uninjected</w:t>
      </w:r>
      <w:proofErr w:type="spellEnd"/>
      <w:r w:rsidR="0088463F" w:rsidRPr="00A1728C">
        <w:rPr>
          <w:color w:val="auto"/>
          <w:shd w:val="clear" w:color="auto" w:fill="FFFFFF"/>
        </w:rPr>
        <w:t xml:space="preserve"> controls (</w:t>
      </w:r>
      <w:r w:rsidR="0088463F" w:rsidRPr="00A600B3">
        <w:rPr>
          <w:color w:val="auto"/>
          <w:shd w:val="clear" w:color="auto" w:fill="FFFFFF"/>
        </w:rPr>
        <w:t>p</w:t>
      </w:r>
      <w:r>
        <w:rPr>
          <w:color w:val="auto"/>
          <w:shd w:val="clear" w:color="auto" w:fill="FFFFFF"/>
        </w:rPr>
        <w:t xml:space="preserve"> </w:t>
      </w:r>
      <w:r w:rsidR="0088463F" w:rsidRPr="00A1728C">
        <w:rPr>
          <w:color w:val="auto"/>
          <w:shd w:val="clear" w:color="auto" w:fill="FFFFFF"/>
        </w:rPr>
        <w:t>&lt;</w:t>
      </w:r>
      <w:r>
        <w:rPr>
          <w:color w:val="auto"/>
          <w:shd w:val="clear" w:color="auto" w:fill="FFFFFF"/>
        </w:rPr>
        <w:t xml:space="preserve"> </w:t>
      </w:r>
      <w:r w:rsidR="0088463F" w:rsidRPr="00A1728C">
        <w:rPr>
          <w:color w:val="auto"/>
          <w:shd w:val="clear" w:color="auto" w:fill="FFFFFF"/>
        </w:rPr>
        <w:t>2.2</w:t>
      </w:r>
      <w:r w:rsidR="008066F6">
        <w:rPr>
          <w:color w:val="auto"/>
          <w:shd w:val="clear" w:color="auto" w:fill="FFFFFF"/>
        </w:rPr>
        <w:t xml:space="preserve"> x 10</w:t>
      </w:r>
      <w:r w:rsidR="008066F6">
        <w:rPr>
          <w:color w:val="auto"/>
          <w:shd w:val="clear" w:color="auto" w:fill="FFFFFF"/>
          <w:vertAlign w:val="superscript"/>
        </w:rPr>
        <w:t>-16</w:t>
      </w:r>
      <w:r w:rsidR="0088463F" w:rsidRPr="00A1728C">
        <w:rPr>
          <w:color w:val="auto"/>
          <w:shd w:val="clear" w:color="auto" w:fill="FFFFFF"/>
        </w:rPr>
        <w:t>, Welch two</w:t>
      </w:r>
      <w:r w:rsidR="00A600B3">
        <w:rPr>
          <w:color w:val="auto"/>
          <w:shd w:val="clear" w:color="auto" w:fill="FFFFFF"/>
        </w:rPr>
        <w:t>-</w:t>
      </w:r>
      <w:r w:rsidR="0088463F" w:rsidRPr="00A1728C">
        <w:rPr>
          <w:color w:val="auto"/>
          <w:shd w:val="clear" w:color="auto" w:fill="FFFFFF"/>
        </w:rPr>
        <w:t xml:space="preserve">sample t-test). All individuals were recorded with the recording chamber described in </w:t>
      </w:r>
      <w:r w:rsidRPr="00EA1C1D">
        <w:rPr>
          <w:b/>
          <w:color w:val="auto"/>
          <w:shd w:val="clear" w:color="auto" w:fill="FFFFFF"/>
        </w:rPr>
        <w:t>Figure 7</w:t>
      </w:r>
      <w:r w:rsidR="0088463F" w:rsidRPr="00A1728C">
        <w:rPr>
          <w:color w:val="auto"/>
          <w:shd w:val="clear" w:color="auto" w:fill="FFFFFF"/>
        </w:rPr>
        <w:t>.</w:t>
      </w:r>
    </w:p>
    <w:p w14:paraId="6F849304" w14:textId="0868662D" w:rsidR="002B6FDF" w:rsidRDefault="002B6FDF" w:rsidP="0088463F">
      <w:pPr>
        <w:rPr>
          <w:color w:val="auto"/>
          <w:shd w:val="clear" w:color="auto" w:fill="FFFFFF"/>
        </w:rPr>
      </w:pPr>
    </w:p>
    <w:p w14:paraId="6EE16BF3" w14:textId="4B1CB3B5" w:rsidR="002B6FDF" w:rsidRPr="002B6FDF" w:rsidRDefault="00EA1C1D" w:rsidP="002B6FDF">
      <w:pPr>
        <w:rPr>
          <w:b/>
          <w:color w:val="auto"/>
        </w:rPr>
      </w:pPr>
      <w:r w:rsidRPr="00EA1C1D">
        <w:rPr>
          <w:b/>
          <w:color w:val="auto"/>
        </w:rPr>
        <w:t>Table 1</w:t>
      </w:r>
      <w:r w:rsidR="002B6FDF" w:rsidRPr="002B6FDF">
        <w:rPr>
          <w:b/>
          <w:color w:val="auto"/>
        </w:rPr>
        <w:t xml:space="preserve">: Oligonucleotides necessary for the protocol. </w:t>
      </w:r>
    </w:p>
    <w:p w14:paraId="57632F84" w14:textId="77777777" w:rsidR="0088463F" w:rsidRPr="00A1728C" w:rsidRDefault="0088463F" w:rsidP="00A1728C">
      <w:pPr>
        <w:rPr>
          <w:color w:val="auto"/>
        </w:rPr>
      </w:pPr>
    </w:p>
    <w:p w14:paraId="09411F28" w14:textId="77777777" w:rsidR="009B58A7" w:rsidRPr="00A1728C" w:rsidRDefault="009B58A7" w:rsidP="00A1728C">
      <w:pPr>
        <w:rPr>
          <w:b/>
          <w:bCs/>
          <w:color w:val="auto"/>
        </w:rPr>
      </w:pPr>
      <w:r w:rsidRPr="00A1728C">
        <w:rPr>
          <w:b/>
          <w:color w:val="auto"/>
        </w:rPr>
        <w:t>DISCUSSION</w:t>
      </w:r>
      <w:r w:rsidRPr="00A1728C">
        <w:rPr>
          <w:b/>
          <w:bCs/>
          <w:color w:val="auto"/>
        </w:rPr>
        <w:t xml:space="preserve">: </w:t>
      </w:r>
    </w:p>
    <w:p w14:paraId="2254ED37" w14:textId="09876100" w:rsidR="009B58A7" w:rsidRDefault="009B58A7" w:rsidP="00A1728C">
      <w:pPr>
        <w:rPr>
          <w:bCs/>
          <w:color w:val="auto"/>
        </w:rPr>
      </w:pPr>
      <w:r w:rsidRPr="00A1728C">
        <w:rPr>
          <w:bCs/>
          <w:color w:val="auto"/>
        </w:rPr>
        <w:t>The phenotypic richness of weakly electric fish, together with a recent proliferation of genomics resources, motivates a strong need for functional genomic tools in the weakly electric fish model.</w:t>
      </w:r>
      <w:r w:rsidR="00EA1C1D">
        <w:rPr>
          <w:bCs/>
          <w:color w:val="auto"/>
        </w:rPr>
        <w:t xml:space="preserve"> </w:t>
      </w:r>
      <w:r w:rsidRPr="00A1728C">
        <w:rPr>
          <w:bCs/>
          <w:color w:val="auto"/>
        </w:rPr>
        <w:t>This system is particularly attractive because of the convergent evolution of numerous phenotypic traits in parallel lineages of fish, which are easily kept in the laboratory.</w:t>
      </w:r>
    </w:p>
    <w:p w14:paraId="39E7032B" w14:textId="77777777" w:rsidR="0088463F" w:rsidRPr="00A1728C" w:rsidRDefault="0088463F" w:rsidP="00A1728C">
      <w:pPr>
        <w:rPr>
          <w:bCs/>
          <w:color w:val="auto"/>
        </w:rPr>
      </w:pPr>
    </w:p>
    <w:p w14:paraId="1B4325F7" w14:textId="6CCE58F5" w:rsidR="0088463F" w:rsidRDefault="009B58A7" w:rsidP="00A1728C">
      <w:pPr>
        <w:rPr>
          <w:color w:val="auto"/>
        </w:rPr>
      </w:pPr>
      <w:r w:rsidRPr="00A1728C">
        <w:rPr>
          <w:color w:val="auto"/>
        </w:rPr>
        <w:t xml:space="preserve">The protocol described here demonstrates the efficacy of the CRISPR/Cas9 technique in lineages of weakly electric fish that evolved electrogenesis and electroreception in parallel, and therefore </w:t>
      </w:r>
      <w:r w:rsidRPr="00A1728C">
        <w:rPr>
          <w:color w:val="auto"/>
        </w:rPr>
        <w:lastRenderedPageBreak/>
        <w:t>represents a major step for this model</w:t>
      </w:r>
      <w:r w:rsidR="007C2E13" w:rsidRPr="007C2E13">
        <w:rPr>
          <w:color w:val="auto"/>
        </w:rPr>
        <w:t>’s</w:t>
      </w:r>
      <w:r w:rsidRPr="00A1728C">
        <w:rPr>
          <w:color w:val="auto"/>
        </w:rPr>
        <w:t xml:space="preserve"> promise addressing future work in comparative genomics of phenotypic evolution.</w:t>
      </w:r>
    </w:p>
    <w:p w14:paraId="2F1D2CDA" w14:textId="1643AD8F" w:rsidR="009B58A7" w:rsidRPr="00A1728C" w:rsidRDefault="009B58A7" w:rsidP="00A1728C">
      <w:pPr>
        <w:rPr>
          <w:color w:val="auto"/>
        </w:rPr>
      </w:pPr>
    </w:p>
    <w:p w14:paraId="0D4E60D2" w14:textId="272712BA" w:rsidR="009B58A7" w:rsidRDefault="009B58A7" w:rsidP="00A1728C">
      <w:pPr>
        <w:rPr>
          <w:color w:val="auto"/>
        </w:rPr>
      </w:pPr>
      <w:r w:rsidRPr="00A1728C">
        <w:rPr>
          <w:color w:val="auto"/>
        </w:rPr>
        <w:t>This simple methodological approach requires only basic molecular biology skills and training, following a basic adoption of the Gagnon protocol</w:t>
      </w:r>
      <w:r w:rsidRPr="00A1728C">
        <w:rPr>
          <w:noProof/>
          <w:color w:val="auto"/>
          <w:vertAlign w:val="superscript"/>
        </w:rPr>
        <w:t>38</w:t>
      </w:r>
      <w:r w:rsidRPr="00A1728C">
        <w:rPr>
          <w:color w:val="auto"/>
        </w:rPr>
        <w:t xml:space="preserve">, widely used for zebrafish. </w:t>
      </w:r>
      <w:r w:rsidR="000B3EDF" w:rsidRPr="00A1728C">
        <w:rPr>
          <w:color w:val="auto"/>
        </w:rPr>
        <w:t xml:space="preserve">It is worth noting that as technology progresses, there are more commercial kits for sgRNA production as well as companies </w:t>
      </w:r>
      <w:r w:rsidR="009F36EF">
        <w:rPr>
          <w:color w:val="auto"/>
        </w:rPr>
        <w:t>that</w:t>
      </w:r>
      <w:r w:rsidR="009F36EF" w:rsidRPr="00A1728C">
        <w:rPr>
          <w:color w:val="auto"/>
        </w:rPr>
        <w:t xml:space="preserve"> </w:t>
      </w:r>
      <w:r w:rsidR="000B3EDF" w:rsidRPr="00A1728C">
        <w:rPr>
          <w:color w:val="auto"/>
        </w:rPr>
        <w:t>can synthesize guide RNAs</w:t>
      </w:r>
      <w:r w:rsidR="00FC5BA5" w:rsidRPr="00A1728C">
        <w:rPr>
          <w:color w:val="auto"/>
        </w:rPr>
        <w:t>,</w:t>
      </w:r>
      <w:r w:rsidR="000B3EDF" w:rsidRPr="00A1728C">
        <w:rPr>
          <w:color w:val="auto"/>
        </w:rPr>
        <w:t xml:space="preserve"> making this protocol more accessible to laboratories that lack molecular biology experience</w:t>
      </w:r>
      <w:r w:rsidR="009B429A">
        <w:rPr>
          <w:color w:val="auto"/>
        </w:rPr>
        <w:t xml:space="preserve"> and </w:t>
      </w:r>
      <w:r w:rsidR="000B3EDF" w:rsidRPr="00A1728C">
        <w:rPr>
          <w:color w:val="auto"/>
        </w:rPr>
        <w:t xml:space="preserve">equipment. </w:t>
      </w:r>
      <w:r w:rsidRPr="00A1728C">
        <w:rPr>
          <w:color w:val="auto"/>
        </w:rPr>
        <w:t>We note first that the high mutagenesis efficiency allows direct phenotyping of injected larvae</w:t>
      </w:r>
      <w:r w:rsidR="009B429A">
        <w:rPr>
          <w:color w:val="auto"/>
        </w:rPr>
        <w:t>.</w:t>
      </w:r>
      <w:r w:rsidRPr="00A1728C">
        <w:rPr>
          <w:color w:val="auto"/>
        </w:rPr>
        <w:t xml:space="preserve"> </w:t>
      </w:r>
      <w:r w:rsidR="009B429A" w:rsidRPr="00A1728C">
        <w:rPr>
          <w:color w:val="auto"/>
        </w:rPr>
        <w:t>However</w:t>
      </w:r>
      <w:r w:rsidR="005E3DD0" w:rsidRPr="00A1728C">
        <w:rPr>
          <w:color w:val="auto"/>
        </w:rPr>
        <w:t>,</w:t>
      </w:r>
      <w:r w:rsidRPr="00A1728C">
        <w:rPr>
          <w:color w:val="auto"/>
        </w:rPr>
        <w:t xml:space="preserve"> </w:t>
      </w:r>
      <w:r w:rsidR="00391795" w:rsidRPr="00A1728C">
        <w:rPr>
          <w:color w:val="auto"/>
        </w:rPr>
        <w:t xml:space="preserve">there </w:t>
      </w:r>
      <w:r w:rsidRPr="00A1728C">
        <w:rPr>
          <w:color w:val="auto"/>
        </w:rPr>
        <w:t>appears to be a substantial degree of phenotypic mosaicism, which is not uncommon</w:t>
      </w:r>
      <w:r w:rsidR="00391795" w:rsidRPr="00A1728C">
        <w:rPr>
          <w:color w:val="auto"/>
        </w:rPr>
        <w:t xml:space="preserve"> and is consistent with the literature</w:t>
      </w:r>
      <w:r w:rsidR="00693059" w:rsidRPr="00A1728C">
        <w:rPr>
          <w:noProof/>
          <w:color w:val="auto"/>
          <w:vertAlign w:val="superscript"/>
        </w:rPr>
        <w:t>41-44</w:t>
      </w:r>
      <w:r w:rsidRPr="00A1728C">
        <w:rPr>
          <w:color w:val="auto"/>
        </w:rPr>
        <w:t>.</w:t>
      </w:r>
      <w:r w:rsidR="00EA1C1D">
        <w:rPr>
          <w:color w:val="auto"/>
        </w:rPr>
        <w:t xml:space="preserve"> </w:t>
      </w:r>
      <w:r w:rsidRPr="00A1728C">
        <w:rPr>
          <w:color w:val="auto"/>
        </w:rPr>
        <w:t xml:space="preserve">For example, in </w:t>
      </w:r>
      <w:r w:rsidR="009B429A">
        <w:rPr>
          <w:color w:val="auto"/>
        </w:rPr>
        <w:t>this</w:t>
      </w:r>
      <w:r w:rsidRPr="00A1728C">
        <w:rPr>
          <w:color w:val="auto"/>
        </w:rPr>
        <w:t xml:space="preserve"> </w:t>
      </w:r>
      <w:r w:rsidRPr="00A1728C">
        <w:rPr>
          <w:i/>
          <w:color w:val="auto"/>
        </w:rPr>
        <w:t>scn4aa</w:t>
      </w:r>
      <w:r w:rsidRPr="00A1728C">
        <w:rPr>
          <w:color w:val="auto"/>
        </w:rPr>
        <w:t xml:space="preserve"> study, some individuals carrying mutations exhibited much larger amplitude EODs than others </w:t>
      </w:r>
      <w:r w:rsidR="009B429A" w:rsidRPr="009B429A">
        <w:rPr>
          <w:color w:val="auto"/>
        </w:rPr>
        <w:t>that</w:t>
      </w:r>
      <w:r w:rsidRPr="00A1728C">
        <w:rPr>
          <w:color w:val="auto"/>
        </w:rPr>
        <w:t xml:space="preserve"> were comparatively silent (</w:t>
      </w:r>
      <w:r w:rsidRPr="009B429A">
        <w:rPr>
          <w:b/>
          <w:bCs/>
          <w:color w:val="auto"/>
        </w:rPr>
        <w:t>Fig</w:t>
      </w:r>
      <w:r w:rsidR="009B429A" w:rsidRPr="009B429A">
        <w:rPr>
          <w:b/>
          <w:bCs/>
          <w:color w:val="auto"/>
        </w:rPr>
        <w:t>ure</w:t>
      </w:r>
      <w:r w:rsidRPr="00A1728C">
        <w:rPr>
          <w:color w:val="auto"/>
        </w:rPr>
        <w:t xml:space="preserve"> </w:t>
      </w:r>
      <w:r w:rsidRPr="009B429A">
        <w:rPr>
          <w:b/>
          <w:bCs/>
          <w:color w:val="auto"/>
        </w:rPr>
        <w:t>7</w:t>
      </w:r>
      <w:r w:rsidRPr="00A1728C">
        <w:rPr>
          <w:color w:val="auto"/>
        </w:rPr>
        <w:t>,</w:t>
      </w:r>
      <w:r w:rsidR="009B429A">
        <w:rPr>
          <w:color w:val="auto"/>
        </w:rPr>
        <w:t xml:space="preserve"> </w:t>
      </w:r>
      <w:r w:rsidR="009B429A" w:rsidRPr="009B429A">
        <w:rPr>
          <w:b/>
          <w:bCs/>
          <w:color w:val="auto"/>
        </w:rPr>
        <w:t>Figure</w:t>
      </w:r>
      <w:r w:rsidRPr="009B429A">
        <w:rPr>
          <w:b/>
          <w:bCs/>
          <w:color w:val="auto"/>
        </w:rPr>
        <w:t xml:space="preserve"> 8</w:t>
      </w:r>
      <w:r w:rsidRPr="00A1728C">
        <w:rPr>
          <w:color w:val="auto"/>
        </w:rPr>
        <w:t xml:space="preserve">). </w:t>
      </w:r>
      <w:r w:rsidR="009B429A">
        <w:rPr>
          <w:color w:val="auto"/>
        </w:rPr>
        <w:t>It is</w:t>
      </w:r>
      <w:r w:rsidRPr="00A1728C">
        <w:rPr>
          <w:color w:val="auto"/>
        </w:rPr>
        <w:t xml:space="preserve"> presently unclear how many of these mutations are carried into the germline</w:t>
      </w:r>
      <w:r w:rsidR="009B429A">
        <w:rPr>
          <w:color w:val="auto"/>
        </w:rPr>
        <w:t>.</w:t>
      </w:r>
      <w:r w:rsidRPr="00A1728C">
        <w:rPr>
          <w:color w:val="auto"/>
        </w:rPr>
        <w:t xml:space="preserve"> </w:t>
      </w:r>
      <w:r w:rsidR="009B429A" w:rsidRPr="00A1728C">
        <w:rPr>
          <w:color w:val="auto"/>
        </w:rPr>
        <w:t xml:space="preserve">Immediate </w:t>
      </w:r>
      <w:r w:rsidRPr="00A1728C">
        <w:rPr>
          <w:color w:val="auto"/>
        </w:rPr>
        <w:t>future efforts will be directed at creating stable mutant lines.</w:t>
      </w:r>
    </w:p>
    <w:p w14:paraId="13C475E7" w14:textId="77777777" w:rsidR="0088463F" w:rsidRPr="00A1728C" w:rsidRDefault="0088463F" w:rsidP="00A1728C">
      <w:pPr>
        <w:rPr>
          <w:color w:val="auto"/>
        </w:rPr>
      </w:pPr>
    </w:p>
    <w:p w14:paraId="059C887C" w14:textId="06DC55C3" w:rsidR="0088463F" w:rsidRDefault="009B429A" w:rsidP="00A1728C">
      <w:pPr>
        <w:rPr>
          <w:color w:val="auto"/>
        </w:rPr>
      </w:pPr>
      <w:r w:rsidRPr="00A1728C">
        <w:rPr>
          <w:color w:val="auto"/>
        </w:rPr>
        <w:t xml:space="preserve">Utilizing </w:t>
      </w:r>
      <w:r w:rsidR="009B58A7" w:rsidRPr="00A1728C">
        <w:rPr>
          <w:color w:val="auto"/>
        </w:rPr>
        <w:t xml:space="preserve">the NHEJ pathway for knockouts is only one of the several potential applications of CRISPR/Cas9 gene editing: the methods outlined here are a </w:t>
      </w:r>
      <w:proofErr w:type="gramStart"/>
      <w:r w:rsidR="009B58A7" w:rsidRPr="00A1728C">
        <w:rPr>
          <w:color w:val="auto"/>
        </w:rPr>
        <w:t>stepping stone</w:t>
      </w:r>
      <w:proofErr w:type="gramEnd"/>
      <w:r w:rsidR="009B58A7" w:rsidRPr="00A1728C">
        <w:rPr>
          <w:color w:val="auto"/>
        </w:rPr>
        <w:t xml:space="preserve"> for more advanced applications</w:t>
      </w:r>
      <w:r w:rsidR="009B58A7" w:rsidRPr="00A1728C">
        <w:rPr>
          <w:noProof/>
          <w:color w:val="auto"/>
          <w:vertAlign w:val="superscript"/>
        </w:rPr>
        <w:t>5</w:t>
      </w:r>
      <w:r w:rsidR="00C04050" w:rsidRPr="00A1728C">
        <w:rPr>
          <w:noProof/>
          <w:color w:val="auto"/>
          <w:vertAlign w:val="superscript"/>
        </w:rPr>
        <w:t>5,56</w:t>
      </w:r>
      <w:r w:rsidR="009B58A7" w:rsidRPr="00A1728C">
        <w:rPr>
          <w:color w:val="auto"/>
        </w:rPr>
        <w:t xml:space="preserve">. </w:t>
      </w:r>
      <w:r w:rsidRPr="00A1728C">
        <w:rPr>
          <w:color w:val="auto"/>
        </w:rPr>
        <w:t xml:space="preserve">Future </w:t>
      </w:r>
      <w:r w:rsidR="009B58A7" w:rsidRPr="00A1728C">
        <w:rPr>
          <w:color w:val="auto"/>
        </w:rPr>
        <w:t>efforts should be aimed at designing co-injected DNA donor templates with the sgRNA/Cas9 complex. This simple modification would leverage endogenous template-based repair mechanisms (</w:t>
      </w:r>
      <w:r>
        <w:rPr>
          <w:color w:val="auto"/>
        </w:rPr>
        <w:t xml:space="preserve">i.e., </w:t>
      </w:r>
      <w:r w:rsidR="009B58A7" w:rsidRPr="00A1728C">
        <w:rPr>
          <w:color w:val="auto"/>
        </w:rPr>
        <w:t>homology directed repair</w:t>
      </w:r>
      <w:r>
        <w:rPr>
          <w:color w:val="auto"/>
        </w:rPr>
        <w:t xml:space="preserve">, or </w:t>
      </w:r>
      <w:r w:rsidR="009B58A7" w:rsidRPr="00A1728C">
        <w:rPr>
          <w:color w:val="auto"/>
        </w:rPr>
        <w:t>HDR) and allow precise knock</w:t>
      </w:r>
      <w:r w:rsidR="009A3A53" w:rsidRPr="00A1728C">
        <w:rPr>
          <w:color w:val="auto"/>
        </w:rPr>
        <w:t>-</w:t>
      </w:r>
      <w:r w:rsidR="009B58A7" w:rsidRPr="00A1728C">
        <w:rPr>
          <w:color w:val="auto"/>
        </w:rPr>
        <w:t>ins</w:t>
      </w:r>
      <w:r>
        <w:rPr>
          <w:color w:val="auto"/>
        </w:rPr>
        <w:t>.</w:t>
      </w:r>
      <w:r w:rsidR="009B58A7" w:rsidRPr="00A1728C">
        <w:rPr>
          <w:color w:val="auto"/>
        </w:rPr>
        <w:t xml:space="preserve"> </w:t>
      </w:r>
      <w:r w:rsidRPr="00A1728C">
        <w:rPr>
          <w:color w:val="auto"/>
        </w:rPr>
        <w:t xml:space="preserve">Although </w:t>
      </w:r>
      <w:r w:rsidR="009B58A7" w:rsidRPr="00A1728C">
        <w:rPr>
          <w:color w:val="auto"/>
        </w:rPr>
        <w:t xml:space="preserve">HDR occurs at a lower efficiency than NHEJ approaches, progress </w:t>
      </w:r>
      <w:r w:rsidR="009F36EF" w:rsidRPr="00A1728C">
        <w:rPr>
          <w:color w:val="auto"/>
        </w:rPr>
        <w:t xml:space="preserve">has been </w:t>
      </w:r>
      <w:r w:rsidR="009B58A7" w:rsidRPr="00A1728C">
        <w:rPr>
          <w:color w:val="auto"/>
        </w:rPr>
        <w:t>made to increase its efficacy</w:t>
      </w:r>
      <w:r w:rsidR="009B58A7" w:rsidRPr="00A1728C">
        <w:rPr>
          <w:noProof/>
          <w:color w:val="auto"/>
          <w:vertAlign w:val="superscript"/>
        </w:rPr>
        <w:t>5</w:t>
      </w:r>
      <w:r w:rsidR="00C04050" w:rsidRPr="00A1728C">
        <w:rPr>
          <w:noProof/>
          <w:color w:val="auto"/>
          <w:vertAlign w:val="superscript"/>
        </w:rPr>
        <w:t>7,58</w:t>
      </w:r>
      <w:r w:rsidR="009B58A7" w:rsidRPr="00A1728C">
        <w:rPr>
          <w:color w:val="auto"/>
        </w:rPr>
        <w:t xml:space="preserve">. This lower efficiency will require efforts to optimize the design of the DNA donor template/CRISPR/Cas9 construct, make the endogenous repair mechanisms more efficient, and increase embryo production (see below). If this issue of efficiency can be solved, </w:t>
      </w:r>
      <w:proofErr w:type="spellStart"/>
      <w:r w:rsidR="009B58A7" w:rsidRPr="00A1728C">
        <w:rPr>
          <w:color w:val="auto"/>
        </w:rPr>
        <w:t>knockins</w:t>
      </w:r>
      <w:proofErr w:type="spellEnd"/>
      <w:r w:rsidR="009B58A7" w:rsidRPr="00A1728C">
        <w:rPr>
          <w:color w:val="auto"/>
        </w:rPr>
        <w:t xml:space="preserve"> could be utilized to add fluorescent tags, express a mutated form of the gene product, or change promoter or enhancer sequences.</w:t>
      </w:r>
    </w:p>
    <w:p w14:paraId="12E4FF8E" w14:textId="3A29BBEA" w:rsidR="009B58A7" w:rsidRPr="00A1728C" w:rsidRDefault="009B58A7" w:rsidP="00A1728C">
      <w:pPr>
        <w:rPr>
          <w:color w:val="auto"/>
        </w:rPr>
      </w:pPr>
    </w:p>
    <w:p w14:paraId="762CA4F4" w14:textId="688322FF" w:rsidR="009B58A7" w:rsidRPr="00A1728C" w:rsidRDefault="009B58A7" w:rsidP="00A1728C">
      <w:pPr>
        <w:rPr>
          <w:color w:val="auto"/>
        </w:rPr>
      </w:pPr>
      <w:r w:rsidRPr="00A1728C">
        <w:rPr>
          <w:color w:val="auto"/>
        </w:rPr>
        <w:t xml:space="preserve">While the molecular biology behind this technique is </w:t>
      </w:r>
      <w:proofErr w:type="gramStart"/>
      <w:r w:rsidRPr="00A1728C">
        <w:rPr>
          <w:color w:val="auto"/>
        </w:rPr>
        <w:t>fairly straightforward</w:t>
      </w:r>
      <w:proofErr w:type="gramEnd"/>
      <w:r w:rsidRPr="00A1728C">
        <w:rPr>
          <w:color w:val="auto"/>
        </w:rPr>
        <w:t>, the husbandry requirements are substantial, but not insurmountable.</w:t>
      </w:r>
      <w:r w:rsidR="00EA1C1D">
        <w:rPr>
          <w:color w:val="auto"/>
        </w:rPr>
        <w:t xml:space="preserve"> </w:t>
      </w:r>
      <w:r w:rsidRPr="00A1728C">
        <w:rPr>
          <w:i/>
          <w:color w:val="auto"/>
        </w:rPr>
        <w:t xml:space="preserve">B. </w:t>
      </w:r>
      <w:proofErr w:type="spellStart"/>
      <w:r w:rsidRPr="00A1728C">
        <w:rPr>
          <w:i/>
          <w:color w:val="auto"/>
        </w:rPr>
        <w:t>gauderio</w:t>
      </w:r>
      <w:proofErr w:type="spellEnd"/>
      <w:r w:rsidRPr="00A1728C">
        <w:rPr>
          <w:color w:val="auto"/>
        </w:rPr>
        <w:t xml:space="preserve"> are widely available and breed rapidly enough for any research program to have a colony in under a year.</w:t>
      </w:r>
      <w:r w:rsidR="00EA1C1D">
        <w:rPr>
          <w:color w:val="auto"/>
        </w:rPr>
        <w:t xml:space="preserve"> </w:t>
      </w:r>
      <w:r w:rsidR="009B429A">
        <w:rPr>
          <w:color w:val="auto"/>
        </w:rPr>
        <w:t>In</w:t>
      </w:r>
      <w:r w:rsidRPr="00A1728C">
        <w:rPr>
          <w:color w:val="auto"/>
        </w:rPr>
        <w:t xml:space="preserve"> contrast, </w:t>
      </w:r>
      <w:r w:rsidRPr="00A1728C">
        <w:rPr>
          <w:i/>
          <w:color w:val="auto"/>
        </w:rPr>
        <w:t>B</w:t>
      </w:r>
      <w:r w:rsidR="009B429A">
        <w:rPr>
          <w:i/>
          <w:color w:val="auto"/>
        </w:rPr>
        <w:t>.</w:t>
      </w:r>
      <w:r w:rsidRPr="00A1728C">
        <w:rPr>
          <w:i/>
          <w:color w:val="auto"/>
        </w:rPr>
        <w:t xml:space="preserve"> </w:t>
      </w:r>
      <w:proofErr w:type="spellStart"/>
      <w:r w:rsidRPr="00A1728C">
        <w:rPr>
          <w:i/>
          <w:color w:val="auto"/>
        </w:rPr>
        <w:t>brachyistius</w:t>
      </w:r>
      <w:proofErr w:type="spellEnd"/>
      <w:r w:rsidRPr="00A1728C">
        <w:rPr>
          <w:i/>
          <w:color w:val="auto"/>
        </w:rPr>
        <w:t xml:space="preserve"> </w:t>
      </w:r>
      <w:r w:rsidRPr="00A1728C">
        <w:rPr>
          <w:color w:val="auto"/>
        </w:rPr>
        <w:t xml:space="preserve">develop slowly, and anatomical peculiarities have proven attempts at IVF thus far unsuccessful. Other, larger species, such as </w:t>
      </w:r>
      <w:r w:rsidRPr="00A1728C">
        <w:rPr>
          <w:i/>
          <w:color w:val="auto"/>
        </w:rPr>
        <w:t>Campylomormyrus</w:t>
      </w:r>
      <w:r w:rsidRPr="00A1728C">
        <w:rPr>
          <w:noProof/>
          <w:color w:val="auto"/>
          <w:vertAlign w:val="superscript"/>
        </w:rPr>
        <w:t>5</w:t>
      </w:r>
      <w:r w:rsidR="00C04050" w:rsidRPr="00A1728C">
        <w:rPr>
          <w:noProof/>
          <w:color w:val="auto"/>
          <w:vertAlign w:val="superscript"/>
        </w:rPr>
        <w:t>9</w:t>
      </w:r>
      <w:r w:rsidRPr="00A1728C">
        <w:rPr>
          <w:color w:val="auto"/>
        </w:rPr>
        <w:t xml:space="preserve"> may be more conducive to this approach. For </w:t>
      </w:r>
      <w:r w:rsidRPr="00A1728C">
        <w:rPr>
          <w:i/>
          <w:color w:val="auto"/>
        </w:rPr>
        <w:t xml:space="preserve">B. </w:t>
      </w:r>
      <w:proofErr w:type="spellStart"/>
      <w:r w:rsidRPr="00A1728C">
        <w:rPr>
          <w:i/>
          <w:color w:val="auto"/>
        </w:rPr>
        <w:t>brachyistius</w:t>
      </w:r>
      <w:proofErr w:type="spellEnd"/>
      <w:r w:rsidRPr="00A1728C">
        <w:rPr>
          <w:color w:val="auto"/>
        </w:rPr>
        <w:t xml:space="preserve">, all injected embryos were collected utilizing </w:t>
      </w:r>
      <w:r w:rsidR="009B429A">
        <w:rPr>
          <w:color w:val="auto"/>
        </w:rPr>
        <w:t xml:space="preserve">the </w:t>
      </w:r>
      <w:r w:rsidRPr="00A1728C">
        <w:rPr>
          <w:color w:val="auto"/>
        </w:rPr>
        <w:t>natural spawning approach, which is significantly more labor intensive.</w:t>
      </w:r>
      <w:r w:rsidR="00EA1C1D">
        <w:rPr>
          <w:color w:val="auto"/>
        </w:rPr>
        <w:t xml:space="preserve"> </w:t>
      </w:r>
      <w:r w:rsidRPr="00A1728C">
        <w:rPr>
          <w:color w:val="auto"/>
        </w:rPr>
        <w:t xml:space="preserve">Future efforts to increase efficiency in </w:t>
      </w:r>
      <w:r w:rsidRPr="00A1728C">
        <w:rPr>
          <w:i/>
          <w:color w:val="auto"/>
        </w:rPr>
        <w:t xml:space="preserve">B. </w:t>
      </w:r>
      <w:proofErr w:type="spellStart"/>
      <w:r w:rsidRPr="00A1728C">
        <w:rPr>
          <w:i/>
          <w:color w:val="auto"/>
        </w:rPr>
        <w:t>brachyistius</w:t>
      </w:r>
      <w:proofErr w:type="spellEnd"/>
      <w:r w:rsidRPr="00A1728C">
        <w:rPr>
          <w:i/>
          <w:color w:val="auto"/>
        </w:rPr>
        <w:t xml:space="preserve"> </w:t>
      </w:r>
      <w:r w:rsidRPr="00A1728C">
        <w:rPr>
          <w:color w:val="auto"/>
        </w:rPr>
        <w:t xml:space="preserve">IVF will allow for </w:t>
      </w:r>
      <w:r w:rsidR="009B429A">
        <w:rPr>
          <w:color w:val="auto"/>
        </w:rPr>
        <w:t xml:space="preserve">a </w:t>
      </w:r>
      <w:r w:rsidRPr="00A1728C">
        <w:rPr>
          <w:color w:val="auto"/>
        </w:rPr>
        <w:t>higher yield of embryos for the efficiency issues described above.</w:t>
      </w:r>
    </w:p>
    <w:p w14:paraId="6ECC8586" w14:textId="77777777" w:rsidR="009B58A7" w:rsidRPr="00A1728C" w:rsidRDefault="009B58A7" w:rsidP="00A1728C">
      <w:pPr>
        <w:rPr>
          <w:color w:val="auto"/>
        </w:rPr>
      </w:pPr>
    </w:p>
    <w:p w14:paraId="372B644F" w14:textId="77777777" w:rsidR="009B58A7" w:rsidRPr="00A1728C" w:rsidRDefault="009B58A7" w:rsidP="00A1728C">
      <w:pPr>
        <w:pStyle w:val="NormalWeb"/>
        <w:spacing w:before="0" w:beforeAutospacing="0" w:after="0" w:afterAutospacing="0"/>
        <w:rPr>
          <w:color w:val="auto"/>
        </w:rPr>
      </w:pPr>
      <w:r w:rsidRPr="00A1728C">
        <w:rPr>
          <w:b/>
          <w:bCs/>
          <w:color w:val="auto"/>
        </w:rPr>
        <w:t xml:space="preserve">ACKNOWLEDGMENTS: </w:t>
      </w:r>
    </w:p>
    <w:p w14:paraId="16B403A4" w14:textId="4DD2CFA3" w:rsidR="009B58A7" w:rsidRPr="00A1728C" w:rsidRDefault="009B58A7" w:rsidP="00A1728C">
      <w:pPr>
        <w:rPr>
          <w:color w:val="auto"/>
        </w:rPr>
      </w:pPr>
      <w:r w:rsidRPr="00A1728C">
        <w:rPr>
          <w:color w:val="auto"/>
        </w:rPr>
        <w:t>The authors acknowledge the heroic efforts of Monica Lucas, Katherine Shaw, Ryan Taylor, Jared Thompson, Nicole Robichaud, and Hope Healey for help with fish husbandry, data collection</w:t>
      </w:r>
      <w:r w:rsidR="000815D5">
        <w:rPr>
          <w:color w:val="auto"/>
        </w:rPr>
        <w:t>,</w:t>
      </w:r>
      <w:r w:rsidRPr="00A1728C">
        <w:rPr>
          <w:color w:val="auto"/>
        </w:rPr>
        <w:t xml:space="preserve"> and early protocol development.</w:t>
      </w:r>
      <w:r w:rsidR="00EA1C1D">
        <w:rPr>
          <w:color w:val="auto"/>
        </w:rPr>
        <w:t xml:space="preserve"> </w:t>
      </w:r>
      <w:r w:rsidR="00501962" w:rsidRPr="00A1728C">
        <w:rPr>
          <w:color w:val="auto"/>
        </w:rPr>
        <w:t>We would also like to thank the three reviewers for their suggestions to the manuscript</w:t>
      </w:r>
      <w:r w:rsidR="000815D5">
        <w:rPr>
          <w:color w:val="auto"/>
        </w:rPr>
        <w:t>.</w:t>
      </w:r>
      <w:r w:rsidR="00501962" w:rsidRPr="00A1728C">
        <w:rPr>
          <w:color w:val="auto"/>
        </w:rPr>
        <w:t xml:space="preserve"> </w:t>
      </w:r>
      <w:r w:rsidR="000815D5" w:rsidRPr="00A1728C">
        <w:rPr>
          <w:color w:val="auto"/>
        </w:rPr>
        <w:t xml:space="preserve">We </w:t>
      </w:r>
      <w:r w:rsidR="00501962" w:rsidRPr="00A1728C">
        <w:rPr>
          <w:color w:val="auto"/>
        </w:rPr>
        <w:t xml:space="preserve">believe the final product to be of better quality after addressing their comments. </w:t>
      </w:r>
      <w:r w:rsidRPr="00A1728C">
        <w:rPr>
          <w:color w:val="auto"/>
        </w:rPr>
        <w:t>This work was funded by support from the National Science Foundation #1644965 and #1455405 to JRG, and the Natural Sciences and Engineering Research Council DG grant to VLS.</w:t>
      </w:r>
    </w:p>
    <w:p w14:paraId="12FC755C" w14:textId="77777777" w:rsidR="009B58A7" w:rsidRPr="00A1728C" w:rsidRDefault="009B58A7" w:rsidP="00A1728C">
      <w:pPr>
        <w:rPr>
          <w:b/>
          <w:bCs/>
          <w:color w:val="auto"/>
        </w:rPr>
      </w:pPr>
    </w:p>
    <w:p w14:paraId="7A2F0889" w14:textId="77777777" w:rsidR="009B58A7" w:rsidRPr="00A1728C" w:rsidRDefault="009B58A7" w:rsidP="00A1728C">
      <w:pPr>
        <w:pStyle w:val="NormalWeb"/>
        <w:spacing w:before="0" w:beforeAutospacing="0" w:after="0" w:afterAutospacing="0"/>
        <w:rPr>
          <w:color w:val="auto"/>
        </w:rPr>
      </w:pPr>
      <w:r w:rsidRPr="00A1728C">
        <w:rPr>
          <w:b/>
          <w:color w:val="auto"/>
        </w:rPr>
        <w:t>DISCLOSURES</w:t>
      </w:r>
      <w:r w:rsidRPr="00A1728C">
        <w:rPr>
          <w:b/>
          <w:bCs/>
          <w:color w:val="auto"/>
        </w:rPr>
        <w:t xml:space="preserve">: </w:t>
      </w:r>
    </w:p>
    <w:p w14:paraId="0DD570F0" w14:textId="0D2B4992" w:rsidR="009B58A7" w:rsidRPr="00A1728C" w:rsidRDefault="009B58A7" w:rsidP="00A1728C">
      <w:pPr>
        <w:rPr>
          <w:color w:val="auto"/>
        </w:rPr>
      </w:pPr>
      <w:r w:rsidRPr="00A1728C">
        <w:rPr>
          <w:color w:val="auto"/>
        </w:rPr>
        <w:t>The authors have nothing to disclose.</w:t>
      </w:r>
    </w:p>
    <w:p w14:paraId="5DC5DA8A" w14:textId="77777777" w:rsidR="009B58A7" w:rsidRPr="00A1728C" w:rsidRDefault="009B58A7" w:rsidP="00A1728C">
      <w:pPr>
        <w:rPr>
          <w:color w:val="auto"/>
        </w:rPr>
      </w:pPr>
    </w:p>
    <w:p w14:paraId="0A5DC72A" w14:textId="77777777" w:rsidR="009B58A7" w:rsidRPr="00A1728C" w:rsidRDefault="009B58A7" w:rsidP="00A1728C">
      <w:pPr>
        <w:pStyle w:val="EndNoteBibliographyTitle"/>
        <w:jc w:val="both"/>
        <w:rPr>
          <w:b/>
          <w:noProof/>
          <w:color w:val="auto"/>
        </w:rPr>
      </w:pPr>
      <w:r w:rsidRPr="00A1728C">
        <w:rPr>
          <w:b/>
          <w:noProof/>
          <w:color w:val="auto"/>
        </w:rPr>
        <w:t>REFERENCES:</w:t>
      </w:r>
    </w:p>
    <w:p w14:paraId="4AAE405E" w14:textId="77777777" w:rsidR="009B58A7" w:rsidRPr="00A1728C" w:rsidRDefault="009B58A7" w:rsidP="00A1728C">
      <w:pPr>
        <w:pStyle w:val="EndNoteBibliographyTitle"/>
        <w:jc w:val="both"/>
        <w:rPr>
          <w:noProof/>
          <w:color w:val="auto"/>
        </w:rPr>
      </w:pPr>
    </w:p>
    <w:p w14:paraId="19E83323" w14:textId="2B748A17" w:rsidR="009B58A7" w:rsidRPr="00A1728C" w:rsidRDefault="009B58A7" w:rsidP="00A1728C">
      <w:pPr>
        <w:pStyle w:val="EndNoteBibliography"/>
        <w:ind w:left="720" w:hanging="720"/>
        <w:rPr>
          <w:noProof/>
          <w:color w:val="auto"/>
        </w:rPr>
      </w:pPr>
      <w:r w:rsidRPr="00A1728C">
        <w:rPr>
          <w:noProof/>
          <w:color w:val="auto"/>
        </w:rPr>
        <w:t>1</w:t>
      </w:r>
      <w:r w:rsidR="000815D5">
        <w:rPr>
          <w:noProof/>
          <w:color w:val="auto"/>
        </w:rPr>
        <w:t>.</w:t>
      </w:r>
      <w:r w:rsidRPr="00A1728C">
        <w:rPr>
          <w:noProof/>
          <w:color w:val="auto"/>
        </w:rPr>
        <w:tab/>
        <w:t>Gallant, J. R.</w:t>
      </w:r>
      <w:r w:rsidRPr="00A1728C">
        <w:rPr>
          <w:i/>
          <w:noProof/>
          <w:color w:val="auto"/>
        </w:rPr>
        <w:t xml:space="preserve"> </w:t>
      </w:r>
      <w:r w:rsidR="00EA1C1D" w:rsidRPr="00EA1C1D">
        <w:rPr>
          <w:noProof/>
          <w:color w:val="auto"/>
        </w:rPr>
        <w:t>et al.</w:t>
      </w:r>
      <w:r w:rsidRPr="00A1728C">
        <w:rPr>
          <w:noProof/>
          <w:color w:val="auto"/>
        </w:rPr>
        <w:t xml:space="preserve"> Genomic basis for the convergent evolution of electric organs. </w:t>
      </w:r>
      <w:r w:rsidRPr="00A1728C">
        <w:rPr>
          <w:i/>
          <w:noProof/>
          <w:color w:val="auto"/>
        </w:rPr>
        <w:t>Science.</w:t>
      </w:r>
      <w:r w:rsidRPr="00A1728C">
        <w:rPr>
          <w:noProof/>
          <w:color w:val="auto"/>
        </w:rPr>
        <w:t xml:space="preserve"> </w:t>
      </w:r>
      <w:r w:rsidRPr="00A1728C">
        <w:rPr>
          <w:b/>
          <w:noProof/>
          <w:color w:val="auto"/>
        </w:rPr>
        <w:t>344</w:t>
      </w:r>
      <w:r w:rsidRPr="00A1728C">
        <w:rPr>
          <w:noProof/>
          <w:color w:val="auto"/>
        </w:rPr>
        <w:t xml:space="preserve"> (6191), 1522</w:t>
      </w:r>
      <w:r w:rsidR="00481319">
        <w:rPr>
          <w:noProof/>
          <w:color w:val="auto"/>
        </w:rPr>
        <w:t>–</w:t>
      </w:r>
      <w:r w:rsidRPr="00A1728C">
        <w:rPr>
          <w:noProof/>
          <w:color w:val="auto"/>
        </w:rPr>
        <w:t>1525 (2014).</w:t>
      </w:r>
    </w:p>
    <w:p w14:paraId="7BFE8926" w14:textId="32239944" w:rsidR="009B58A7" w:rsidRPr="00A1728C" w:rsidRDefault="009B58A7" w:rsidP="00A1728C">
      <w:pPr>
        <w:pStyle w:val="EndNoteBibliography"/>
        <w:ind w:left="720" w:hanging="720"/>
        <w:rPr>
          <w:noProof/>
          <w:color w:val="auto"/>
        </w:rPr>
      </w:pPr>
      <w:r w:rsidRPr="00A1728C">
        <w:rPr>
          <w:noProof/>
          <w:color w:val="auto"/>
        </w:rPr>
        <w:t>2</w:t>
      </w:r>
      <w:r w:rsidR="000815D5">
        <w:rPr>
          <w:noProof/>
          <w:color w:val="auto"/>
        </w:rPr>
        <w:t>.</w:t>
      </w:r>
      <w:r w:rsidRPr="00A1728C">
        <w:rPr>
          <w:noProof/>
          <w:color w:val="auto"/>
        </w:rPr>
        <w:tab/>
        <w:t>Zakon, H. H., Lu, Y., Zwickl, D. J.</w:t>
      </w:r>
      <w:r w:rsidR="00EA1C1D">
        <w:rPr>
          <w:noProof/>
          <w:color w:val="auto"/>
        </w:rPr>
        <w:t>,</w:t>
      </w:r>
      <w:r w:rsidRPr="00A1728C">
        <w:rPr>
          <w:noProof/>
          <w:color w:val="auto"/>
        </w:rPr>
        <w:t xml:space="preserve"> Hillis, D. M. Sodium channel genes and the evolution of diversity in communication signals of electric fishes: convergent molecular evolution. </w:t>
      </w:r>
      <w:r w:rsidRPr="00A1728C">
        <w:rPr>
          <w:i/>
          <w:noProof/>
          <w:color w:val="auto"/>
        </w:rPr>
        <w:t>Proc</w:t>
      </w:r>
      <w:r w:rsidR="00DA2674" w:rsidRPr="00A1728C">
        <w:rPr>
          <w:i/>
          <w:noProof/>
          <w:color w:val="auto"/>
        </w:rPr>
        <w:t>eedings of the</w:t>
      </w:r>
      <w:r w:rsidRPr="00A1728C">
        <w:rPr>
          <w:i/>
          <w:noProof/>
          <w:color w:val="auto"/>
        </w:rPr>
        <w:t xml:space="preserve"> Nat</w:t>
      </w:r>
      <w:r w:rsidR="00DA2674" w:rsidRPr="00A1728C">
        <w:rPr>
          <w:i/>
          <w:noProof/>
          <w:color w:val="auto"/>
        </w:rPr>
        <w:t>ional</w:t>
      </w:r>
      <w:r w:rsidRPr="00A1728C">
        <w:rPr>
          <w:i/>
          <w:noProof/>
          <w:color w:val="auto"/>
        </w:rPr>
        <w:t xml:space="preserve"> Acad</w:t>
      </w:r>
      <w:r w:rsidR="00DA2674" w:rsidRPr="00A1728C">
        <w:rPr>
          <w:i/>
          <w:noProof/>
          <w:color w:val="auto"/>
        </w:rPr>
        <w:t>emy of</w:t>
      </w:r>
      <w:r w:rsidRPr="00A1728C">
        <w:rPr>
          <w:i/>
          <w:noProof/>
          <w:color w:val="auto"/>
        </w:rPr>
        <w:t xml:space="preserve"> Sci</w:t>
      </w:r>
      <w:r w:rsidR="00DA2674" w:rsidRPr="00A1728C">
        <w:rPr>
          <w:i/>
          <w:noProof/>
          <w:color w:val="auto"/>
        </w:rPr>
        <w:t>ences</w:t>
      </w:r>
      <w:r w:rsidR="00EA1C1D">
        <w:rPr>
          <w:i/>
          <w:noProof/>
          <w:color w:val="auto"/>
        </w:rPr>
        <w:t xml:space="preserve"> of the</w:t>
      </w:r>
      <w:r w:rsidRPr="00A1728C">
        <w:rPr>
          <w:i/>
          <w:noProof/>
          <w:color w:val="auto"/>
        </w:rPr>
        <w:t xml:space="preserve"> U</w:t>
      </w:r>
      <w:r w:rsidR="00EA1C1D">
        <w:rPr>
          <w:i/>
          <w:noProof/>
          <w:color w:val="auto"/>
        </w:rPr>
        <w:t xml:space="preserve">nited </w:t>
      </w:r>
      <w:r w:rsidRPr="00A1728C">
        <w:rPr>
          <w:i/>
          <w:noProof/>
          <w:color w:val="auto"/>
        </w:rPr>
        <w:t>S</w:t>
      </w:r>
      <w:r w:rsidR="00EA1C1D">
        <w:rPr>
          <w:i/>
          <w:noProof/>
          <w:color w:val="auto"/>
        </w:rPr>
        <w:t xml:space="preserve">tates of </w:t>
      </w:r>
      <w:r w:rsidRPr="00A1728C">
        <w:rPr>
          <w:i/>
          <w:noProof/>
          <w:color w:val="auto"/>
        </w:rPr>
        <w:t>A</w:t>
      </w:r>
      <w:r w:rsidR="00EA1C1D">
        <w:rPr>
          <w:i/>
          <w:noProof/>
          <w:color w:val="auto"/>
        </w:rPr>
        <w:t>merica</w:t>
      </w:r>
      <w:r w:rsidRPr="00A1728C">
        <w:rPr>
          <w:i/>
          <w:noProof/>
          <w:color w:val="auto"/>
        </w:rPr>
        <w:t>.</w:t>
      </w:r>
      <w:r w:rsidRPr="00A1728C">
        <w:rPr>
          <w:noProof/>
          <w:color w:val="auto"/>
        </w:rPr>
        <w:t xml:space="preserve"> </w:t>
      </w:r>
      <w:r w:rsidRPr="00A1728C">
        <w:rPr>
          <w:b/>
          <w:noProof/>
          <w:color w:val="auto"/>
        </w:rPr>
        <w:t>103</w:t>
      </w:r>
      <w:r w:rsidRPr="00A1728C">
        <w:rPr>
          <w:noProof/>
          <w:color w:val="auto"/>
        </w:rPr>
        <w:t xml:space="preserve"> (10), 3675</w:t>
      </w:r>
      <w:r w:rsidR="00481319">
        <w:rPr>
          <w:noProof/>
          <w:color w:val="auto"/>
        </w:rPr>
        <w:t>–</w:t>
      </w:r>
      <w:r w:rsidRPr="00A1728C">
        <w:rPr>
          <w:noProof/>
          <w:color w:val="auto"/>
        </w:rPr>
        <w:t>3680</w:t>
      </w:r>
      <w:r w:rsidR="00EA1C1D">
        <w:rPr>
          <w:noProof/>
          <w:color w:val="auto"/>
        </w:rPr>
        <w:t xml:space="preserve"> (</w:t>
      </w:r>
      <w:r w:rsidRPr="00A1728C">
        <w:rPr>
          <w:noProof/>
          <w:color w:val="auto"/>
        </w:rPr>
        <w:t>2006).</w:t>
      </w:r>
    </w:p>
    <w:p w14:paraId="6EE062EC" w14:textId="5E89C872" w:rsidR="009B58A7" w:rsidRPr="00A1728C" w:rsidRDefault="009B58A7" w:rsidP="00A1728C">
      <w:pPr>
        <w:pStyle w:val="EndNoteBibliography"/>
        <w:ind w:left="720" w:hanging="720"/>
        <w:rPr>
          <w:noProof/>
          <w:color w:val="auto"/>
        </w:rPr>
      </w:pPr>
      <w:r w:rsidRPr="00A1728C">
        <w:rPr>
          <w:noProof/>
          <w:color w:val="auto"/>
        </w:rPr>
        <w:t>3</w:t>
      </w:r>
      <w:r w:rsidR="000815D5">
        <w:rPr>
          <w:noProof/>
          <w:color w:val="auto"/>
        </w:rPr>
        <w:t>.</w:t>
      </w:r>
      <w:r w:rsidRPr="00A1728C">
        <w:rPr>
          <w:noProof/>
          <w:color w:val="auto"/>
        </w:rPr>
        <w:tab/>
        <w:t>Arnegard, M. E., Zwickl, D. J., Lu, Y.</w:t>
      </w:r>
      <w:r w:rsidR="00EA1C1D">
        <w:rPr>
          <w:noProof/>
          <w:color w:val="auto"/>
        </w:rPr>
        <w:t>,</w:t>
      </w:r>
      <w:r w:rsidRPr="00A1728C">
        <w:rPr>
          <w:noProof/>
          <w:color w:val="auto"/>
        </w:rPr>
        <w:t xml:space="preserve"> Zakon, H. H. Old gene duplication facilitates origin and diversification of an innovative communication system--twice. </w:t>
      </w:r>
      <w:r w:rsidRPr="00A1728C">
        <w:rPr>
          <w:i/>
          <w:noProof/>
          <w:color w:val="auto"/>
        </w:rPr>
        <w:t>Proceedings of the National Academy of Sciences</w:t>
      </w:r>
      <w:r w:rsidR="00EA1C1D">
        <w:rPr>
          <w:i/>
          <w:noProof/>
          <w:color w:val="auto"/>
        </w:rPr>
        <w:t xml:space="preserve"> of the United States of America</w:t>
      </w:r>
      <w:r w:rsidRPr="00A1728C">
        <w:rPr>
          <w:i/>
          <w:noProof/>
          <w:color w:val="auto"/>
        </w:rPr>
        <w:t>.</w:t>
      </w:r>
      <w:r w:rsidRPr="00A1728C">
        <w:rPr>
          <w:noProof/>
          <w:color w:val="auto"/>
        </w:rPr>
        <w:t xml:space="preserve"> </w:t>
      </w:r>
      <w:r w:rsidRPr="00A1728C">
        <w:rPr>
          <w:b/>
          <w:noProof/>
          <w:color w:val="auto"/>
        </w:rPr>
        <w:t>107</w:t>
      </w:r>
      <w:r w:rsidR="00C74FE7">
        <w:rPr>
          <w:bCs/>
          <w:noProof/>
          <w:color w:val="auto"/>
        </w:rPr>
        <w:t>,</w:t>
      </w:r>
      <w:r w:rsidRPr="00A1728C">
        <w:rPr>
          <w:noProof/>
          <w:color w:val="auto"/>
        </w:rPr>
        <w:t xml:space="preserve"> 22172</w:t>
      </w:r>
      <w:r w:rsidR="00481319">
        <w:rPr>
          <w:noProof/>
          <w:color w:val="auto"/>
        </w:rPr>
        <w:t>–</w:t>
      </w:r>
      <w:r w:rsidRPr="00A1728C">
        <w:rPr>
          <w:noProof/>
          <w:color w:val="auto"/>
        </w:rPr>
        <w:t xml:space="preserve">22177, </w:t>
      </w:r>
      <w:r w:rsidR="00EA1C1D">
        <w:rPr>
          <w:noProof/>
          <w:color w:val="auto"/>
        </w:rPr>
        <w:t>(</w:t>
      </w:r>
      <w:r w:rsidRPr="00A1728C">
        <w:rPr>
          <w:noProof/>
          <w:color w:val="auto"/>
        </w:rPr>
        <w:t>2010).</w:t>
      </w:r>
    </w:p>
    <w:p w14:paraId="313FFC22" w14:textId="66DBB080" w:rsidR="009B58A7" w:rsidRPr="00A1728C" w:rsidRDefault="009B58A7" w:rsidP="00A1728C">
      <w:pPr>
        <w:pStyle w:val="EndNoteBibliography"/>
        <w:ind w:left="720" w:hanging="720"/>
        <w:rPr>
          <w:noProof/>
          <w:color w:val="auto"/>
        </w:rPr>
      </w:pPr>
      <w:r w:rsidRPr="00A1728C">
        <w:rPr>
          <w:noProof/>
          <w:color w:val="auto"/>
        </w:rPr>
        <w:t>4</w:t>
      </w:r>
      <w:r w:rsidR="000815D5">
        <w:rPr>
          <w:noProof/>
          <w:color w:val="auto"/>
        </w:rPr>
        <w:t>.</w:t>
      </w:r>
      <w:r w:rsidRPr="00A1728C">
        <w:rPr>
          <w:noProof/>
          <w:color w:val="auto"/>
        </w:rPr>
        <w:tab/>
        <w:t xml:space="preserve">Lissmann, H. W. Continuous electrical signals from the tail of a fish. Gymnarchus niloticus Cuv. </w:t>
      </w:r>
      <w:r w:rsidRPr="00A1728C">
        <w:rPr>
          <w:i/>
          <w:noProof/>
          <w:color w:val="auto"/>
        </w:rPr>
        <w:t>Nature.</w:t>
      </w:r>
      <w:r w:rsidRPr="00A1728C">
        <w:rPr>
          <w:noProof/>
          <w:color w:val="auto"/>
        </w:rPr>
        <w:t xml:space="preserve"> </w:t>
      </w:r>
      <w:r w:rsidRPr="00A1728C">
        <w:rPr>
          <w:b/>
          <w:noProof/>
          <w:color w:val="auto"/>
        </w:rPr>
        <w:t>167</w:t>
      </w:r>
      <w:r w:rsidRPr="00A1728C">
        <w:rPr>
          <w:noProof/>
          <w:color w:val="auto"/>
        </w:rPr>
        <w:t xml:space="preserve"> (4240), 201</w:t>
      </w:r>
      <w:r w:rsidR="00481319">
        <w:rPr>
          <w:noProof/>
          <w:color w:val="auto"/>
        </w:rPr>
        <w:t>–</w:t>
      </w:r>
      <w:r w:rsidRPr="00A1728C">
        <w:rPr>
          <w:noProof/>
          <w:color w:val="auto"/>
        </w:rPr>
        <w:t>202 (1951).</w:t>
      </w:r>
    </w:p>
    <w:p w14:paraId="7EB87CB0" w14:textId="0019B111" w:rsidR="009B58A7" w:rsidRPr="00A1728C" w:rsidRDefault="009B58A7" w:rsidP="00A1728C">
      <w:pPr>
        <w:pStyle w:val="EndNoteBibliography"/>
        <w:ind w:left="720" w:hanging="720"/>
        <w:rPr>
          <w:noProof/>
          <w:color w:val="auto"/>
        </w:rPr>
      </w:pPr>
      <w:r w:rsidRPr="00A1728C">
        <w:rPr>
          <w:noProof/>
          <w:color w:val="auto"/>
        </w:rPr>
        <w:t>5</w:t>
      </w:r>
      <w:r w:rsidR="000815D5">
        <w:rPr>
          <w:noProof/>
          <w:color w:val="auto"/>
        </w:rPr>
        <w:t>.</w:t>
      </w:r>
      <w:r w:rsidRPr="00A1728C">
        <w:rPr>
          <w:noProof/>
          <w:color w:val="auto"/>
        </w:rPr>
        <w:tab/>
        <w:t>Cuellar, H., Kim, J. A.</w:t>
      </w:r>
      <w:r w:rsidR="00EA1C1D">
        <w:rPr>
          <w:noProof/>
          <w:color w:val="auto"/>
        </w:rPr>
        <w:t>,</w:t>
      </w:r>
      <w:r w:rsidRPr="00A1728C">
        <w:rPr>
          <w:noProof/>
          <w:color w:val="auto"/>
        </w:rPr>
        <w:t xml:space="preserve"> Unguez, G. A. Evidence of post-transcriptional regulation in the maintenance of a partial muscle phenotype by electrogenic cells of S. macrurus. </w:t>
      </w:r>
      <w:r w:rsidRPr="00A1728C">
        <w:rPr>
          <w:i/>
          <w:noProof/>
          <w:color w:val="auto"/>
        </w:rPr>
        <w:t>FASEB J</w:t>
      </w:r>
      <w:r w:rsidR="00DD2327" w:rsidRPr="00A1728C">
        <w:rPr>
          <w:i/>
          <w:noProof/>
          <w:color w:val="auto"/>
        </w:rPr>
        <w:t>ournal</w:t>
      </w:r>
      <w:r w:rsidRPr="00A1728C">
        <w:rPr>
          <w:i/>
          <w:noProof/>
          <w:color w:val="auto"/>
        </w:rPr>
        <w:t>.</w:t>
      </w:r>
      <w:r w:rsidRPr="00A1728C">
        <w:rPr>
          <w:noProof/>
          <w:color w:val="auto"/>
        </w:rPr>
        <w:t xml:space="preserve"> </w:t>
      </w:r>
      <w:r w:rsidRPr="00A1728C">
        <w:rPr>
          <w:b/>
          <w:noProof/>
          <w:color w:val="auto"/>
        </w:rPr>
        <w:t>20</w:t>
      </w:r>
      <w:r w:rsidRPr="00A1728C">
        <w:rPr>
          <w:noProof/>
          <w:color w:val="auto"/>
        </w:rPr>
        <w:t xml:space="preserve"> (14), 2540</w:t>
      </w:r>
      <w:r w:rsidR="00C74FE7">
        <w:rPr>
          <w:noProof/>
          <w:color w:val="auto"/>
        </w:rPr>
        <w:t xml:space="preserve"> </w:t>
      </w:r>
      <w:r w:rsidR="00EA1C1D">
        <w:rPr>
          <w:noProof/>
          <w:color w:val="auto"/>
        </w:rPr>
        <w:t>(</w:t>
      </w:r>
      <w:r w:rsidRPr="00A1728C">
        <w:rPr>
          <w:noProof/>
          <w:color w:val="auto"/>
        </w:rPr>
        <w:t>2006).</w:t>
      </w:r>
    </w:p>
    <w:p w14:paraId="06947210" w14:textId="4DD1751E" w:rsidR="009B58A7" w:rsidRPr="00A1728C" w:rsidRDefault="009B58A7" w:rsidP="00A1728C">
      <w:pPr>
        <w:pStyle w:val="EndNoteBibliography"/>
        <w:ind w:left="720" w:hanging="720"/>
        <w:rPr>
          <w:noProof/>
          <w:color w:val="auto"/>
        </w:rPr>
      </w:pPr>
      <w:r w:rsidRPr="00A1728C">
        <w:rPr>
          <w:noProof/>
          <w:color w:val="auto"/>
        </w:rPr>
        <w:t>6</w:t>
      </w:r>
      <w:r w:rsidR="000815D5">
        <w:rPr>
          <w:noProof/>
          <w:color w:val="auto"/>
        </w:rPr>
        <w:t>.</w:t>
      </w:r>
      <w:r w:rsidRPr="00A1728C">
        <w:rPr>
          <w:noProof/>
          <w:color w:val="auto"/>
        </w:rPr>
        <w:tab/>
        <w:t>Modrell, M. S.</w:t>
      </w:r>
      <w:r w:rsidR="00EA1C1D">
        <w:rPr>
          <w:noProof/>
          <w:color w:val="auto"/>
        </w:rPr>
        <w:t>,</w:t>
      </w:r>
      <w:r w:rsidRPr="00A1728C">
        <w:rPr>
          <w:noProof/>
          <w:color w:val="auto"/>
        </w:rPr>
        <w:t xml:space="preserve"> Baker, C. V. Evolution of electrosensory ampullary organs: conservation of Eya4 expression during lateral line development in jawed vertebrates. </w:t>
      </w:r>
      <w:r w:rsidRPr="00A1728C">
        <w:rPr>
          <w:i/>
          <w:noProof/>
          <w:color w:val="auto"/>
        </w:rPr>
        <w:t>Evol</w:t>
      </w:r>
      <w:r w:rsidR="00DD2327" w:rsidRPr="00A1728C">
        <w:rPr>
          <w:i/>
          <w:noProof/>
          <w:color w:val="auto"/>
        </w:rPr>
        <w:t>ution &amp;</w:t>
      </w:r>
      <w:r w:rsidRPr="00A1728C">
        <w:rPr>
          <w:i/>
          <w:noProof/>
          <w:color w:val="auto"/>
        </w:rPr>
        <w:t xml:space="preserve"> Dev</w:t>
      </w:r>
      <w:r w:rsidR="00DD2327" w:rsidRPr="00A1728C">
        <w:rPr>
          <w:i/>
          <w:noProof/>
          <w:color w:val="auto"/>
        </w:rPr>
        <w:t>elopment</w:t>
      </w:r>
      <w:r w:rsidRPr="00A1728C">
        <w:rPr>
          <w:i/>
          <w:noProof/>
          <w:color w:val="auto"/>
        </w:rPr>
        <w:t>.</w:t>
      </w:r>
      <w:r w:rsidRPr="00A1728C">
        <w:rPr>
          <w:noProof/>
          <w:color w:val="auto"/>
        </w:rPr>
        <w:t xml:space="preserve"> </w:t>
      </w:r>
      <w:r w:rsidRPr="00A1728C">
        <w:rPr>
          <w:b/>
          <w:noProof/>
          <w:color w:val="auto"/>
        </w:rPr>
        <w:t>14</w:t>
      </w:r>
      <w:r w:rsidRPr="00A1728C">
        <w:rPr>
          <w:noProof/>
          <w:color w:val="auto"/>
        </w:rPr>
        <w:t xml:space="preserve"> (3), 277</w:t>
      </w:r>
      <w:r w:rsidR="00481319">
        <w:rPr>
          <w:noProof/>
          <w:color w:val="auto"/>
        </w:rPr>
        <w:t>–</w:t>
      </w:r>
      <w:r w:rsidRPr="00A1728C">
        <w:rPr>
          <w:noProof/>
          <w:color w:val="auto"/>
        </w:rPr>
        <w:t>285</w:t>
      </w:r>
      <w:r w:rsidR="00EA1C1D">
        <w:rPr>
          <w:noProof/>
          <w:color w:val="auto"/>
        </w:rPr>
        <w:t xml:space="preserve"> (</w:t>
      </w:r>
      <w:r w:rsidRPr="00A1728C">
        <w:rPr>
          <w:noProof/>
          <w:color w:val="auto"/>
        </w:rPr>
        <w:t>2012).</w:t>
      </w:r>
    </w:p>
    <w:p w14:paraId="07E888B0" w14:textId="0B5079DA" w:rsidR="009B58A7" w:rsidRPr="00A1728C" w:rsidRDefault="009B58A7" w:rsidP="00A1728C">
      <w:pPr>
        <w:pStyle w:val="EndNoteBibliography"/>
        <w:ind w:left="720" w:hanging="720"/>
        <w:rPr>
          <w:noProof/>
          <w:color w:val="auto"/>
        </w:rPr>
      </w:pPr>
      <w:r w:rsidRPr="00A1728C">
        <w:rPr>
          <w:noProof/>
          <w:color w:val="auto"/>
        </w:rPr>
        <w:t>7</w:t>
      </w:r>
      <w:r w:rsidR="000815D5">
        <w:rPr>
          <w:noProof/>
          <w:color w:val="auto"/>
        </w:rPr>
        <w:t>.</w:t>
      </w:r>
      <w:r w:rsidRPr="00A1728C">
        <w:rPr>
          <w:noProof/>
          <w:color w:val="auto"/>
        </w:rPr>
        <w:tab/>
        <w:t xml:space="preserve">Hopkins, C. D. Design features for electric communication. </w:t>
      </w:r>
      <w:r w:rsidR="00DD2327" w:rsidRPr="00A1728C">
        <w:rPr>
          <w:i/>
          <w:noProof/>
          <w:color w:val="auto"/>
        </w:rPr>
        <w:t>Journal of Experimental Biology</w:t>
      </w:r>
      <w:r w:rsidRPr="00A1728C">
        <w:rPr>
          <w:i/>
          <w:noProof/>
          <w:color w:val="auto"/>
        </w:rPr>
        <w:t>.</w:t>
      </w:r>
      <w:r w:rsidRPr="00A1728C">
        <w:rPr>
          <w:noProof/>
          <w:color w:val="auto"/>
        </w:rPr>
        <w:t xml:space="preserve"> </w:t>
      </w:r>
      <w:r w:rsidRPr="00A1728C">
        <w:rPr>
          <w:b/>
          <w:noProof/>
          <w:color w:val="auto"/>
        </w:rPr>
        <w:t>202</w:t>
      </w:r>
      <w:r w:rsidRPr="00A1728C">
        <w:rPr>
          <w:noProof/>
          <w:color w:val="auto"/>
        </w:rPr>
        <w:t xml:space="preserve"> (Pt 10), 1217</w:t>
      </w:r>
      <w:r w:rsidR="00481319">
        <w:rPr>
          <w:noProof/>
          <w:color w:val="auto"/>
        </w:rPr>
        <w:t>–</w:t>
      </w:r>
      <w:r w:rsidRPr="00A1728C">
        <w:rPr>
          <w:noProof/>
          <w:color w:val="auto"/>
        </w:rPr>
        <w:t>1228 (1999).</w:t>
      </w:r>
    </w:p>
    <w:p w14:paraId="7ED0763D" w14:textId="6D8FE9C1" w:rsidR="009B58A7" w:rsidRPr="00A1728C" w:rsidRDefault="009B58A7" w:rsidP="00A1728C">
      <w:pPr>
        <w:pStyle w:val="EndNoteBibliography"/>
        <w:ind w:left="720" w:hanging="720"/>
        <w:rPr>
          <w:noProof/>
          <w:color w:val="auto"/>
        </w:rPr>
      </w:pPr>
      <w:r w:rsidRPr="00A1728C">
        <w:rPr>
          <w:noProof/>
          <w:color w:val="auto"/>
        </w:rPr>
        <w:t>8</w:t>
      </w:r>
      <w:r w:rsidR="000815D5">
        <w:rPr>
          <w:noProof/>
          <w:color w:val="auto"/>
        </w:rPr>
        <w:t>.</w:t>
      </w:r>
      <w:r w:rsidRPr="00A1728C">
        <w:rPr>
          <w:noProof/>
          <w:color w:val="auto"/>
        </w:rPr>
        <w:tab/>
        <w:t xml:space="preserve">Kawasaki, M. Sensory hyperacuity in the jamming avoidance response of weakly electric fish. </w:t>
      </w:r>
      <w:r w:rsidRPr="00A1728C">
        <w:rPr>
          <w:i/>
          <w:noProof/>
          <w:color w:val="auto"/>
        </w:rPr>
        <w:t>Current Opinion in Neurobiology.</w:t>
      </w:r>
      <w:r w:rsidRPr="00A1728C">
        <w:rPr>
          <w:noProof/>
          <w:color w:val="auto"/>
        </w:rPr>
        <w:t xml:space="preserve"> </w:t>
      </w:r>
      <w:r w:rsidRPr="00A1728C">
        <w:rPr>
          <w:b/>
          <w:noProof/>
          <w:color w:val="auto"/>
        </w:rPr>
        <w:t>7</w:t>
      </w:r>
      <w:r w:rsidRPr="00A1728C">
        <w:rPr>
          <w:noProof/>
          <w:color w:val="auto"/>
        </w:rPr>
        <w:t xml:space="preserve"> (4), 473</w:t>
      </w:r>
      <w:r w:rsidR="00481319">
        <w:rPr>
          <w:noProof/>
          <w:color w:val="auto"/>
        </w:rPr>
        <w:t>–</w:t>
      </w:r>
      <w:r w:rsidRPr="00A1728C">
        <w:rPr>
          <w:noProof/>
          <w:color w:val="auto"/>
        </w:rPr>
        <w:t xml:space="preserve">479 </w:t>
      </w:r>
      <w:r w:rsidR="00EA1C1D">
        <w:rPr>
          <w:noProof/>
          <w:color w:val="auto"/>
        </w:rPr>
        <w:t>(</w:t>
      </w:r>
      <w:r w:rsidRPr="00A1728C">
        <w:rPr>
          <w:noProof/>
          <w:color w:val="auto"/>
        </w:rPr>
        <w:t>1997).</w:t>
      </w:r>
    </w:p>
    <w:p w14:paraId="1E550C1B" w14:textId="4F146FCC" w:rsidR="009B58A7" w:rsidRPr="00A1728C" w:rsidRDefault="009B58A7" w:rsidP="00A1728C">
      <w:pPr>
        <w:pStyle w:val="EndNoteBibliography"/>
        <w:ind w:left="720" w:hanging="720"/>
        <w:rPr>
          <w:noProof/>
          <w:color w:val="auto"/>
        </w:rPr>
      </w:pPr>
      <w:r w:rsidRPr="00A1728C">
        <w:rPr>
          <w:noProof/>
          <w:color w:val="auto"/>
        </w:rPr>
        <w:t>9</w:t>
      </w:r>
      <w:r w:rsidR="000815D5">
        <w:rPr>
          <w:noProof/>
          <w:color w:val="auto"/>
        </w:rPr>
        <w:t>.</w:t>
      </w:r>
      <w:r w:rsidRPr="00A1728C">
        <w:rPr>
          <w:noProof/>
          <w:color w:val="auto"/>
        </w:rPr>
        <w:tab/>
        <w:t>Bell, C. C., Han, V. Z., Sugawara, Y.</w:t>
      </w:r>
      <w:r w:rsidR="00EA1C1D">
        <w:rPr>
          <w:noProof/>
          <w:color w:val="auto"/>
        </w:rPr>
        <w:t>,</w:t>
      </w:r>
      <w:r w:rsidRPr="00A1728C">
        <w:rPr>
          <w:noProof/>
          <w:color w:val="auto"/>
        </w:rPr>
        <w:t xml:space="preserve"> Grant, K. Synaptic plasticity in a cerebellum-like structure depends on temporal order. </w:t>
      </w:r>
      <w:r w:rsidRPr="00A1728C">
        <w:rPr>
          <w:i/>
          <w:noProof/>
          <w:color w:val="auto"/>
        </w:rPr>
        <w:t>Nature.</w:t>
      </w:r>
      <w:r w:rsidRPr="00A1728C">
        <w:rPr>
          <w:noProof/>
          <w:color w:val="auto"/>
        </w:rPr>
        <w:t xml:space="preserve"> </w:t>
      </w:r>
      <w:r w:rsidRPr="00A1728C">
        <w:rPr>
          <w:b/>
          <w:noProof/>
          <w:color w:val="auto"/>
        </w:rPr>
        <w:t>387</w:t>
      </w:r>
      <w:r w:rsidRPr="00A1728C">
        <w:rPr>
          <w:noProof/>
          <w:color w:val="auto"/>
        </w:rPr>
        <w:t xml:space="preserve"> (6630), 278</w:t>
      </w:r>
      <w:r w:rsidR="00481319">
        <w:rPr>
          <w:noProof/>
          <w:color w:val="auto"/>
        </w:rPr>
        <w:t>–</w:t>
      </w:r>
      <w:r w:rsidRPr="00A1728C">
        <w:rPr>
          <w:noProof/>
          <w:color w:val="auto"/>
        </w:rPr>
        <w:t xml:space="preserve">281 </w:t>
      </w:r>
      <w:r w:rsidR="00EA1C1D">
        <w:rPr>
          <w:noProof/>
          <w:color w:val="auto"/>
        </w:rPr>
        <w:t>(</w:t>
      </w:r>
      <w:r w:rsidRPr="00A1728C">
        <w:rPr>
          <w:noProof/>
          <w:color w:val="auto"/>
        </w:rPr>
        <w:t>1997).</w:t>
      </w:r>
    </w:p>
    <w:p w14:paraId="3FBE2AB8" w14:textId="5CB2D167" w:rsidR="009B58A7" w:rsidRPr="00A1728C" w:rsidRDefault="009B58A7" w:rsidP="00A1728C">
      <w:pPr>
        <w:pStyle w:val="EndNoteBibliography"/>
        <w:ind w:left="720" w:hanging="720"/>
        <w:rPr>
          <w:noProof/>
          <w:color w:val="auto"/>
        </w:rPr>
      </w:pPr>
      <w:r w:rsidRPr="00A1728C">
        <w:rPr>
          <w:noProof/>
          <w:color w:val="auto"/>
        </w:rPr>
        <w:t>10</w:t>
      </w:r>
      <w:r w:rsidR="000815D5">
        <w:rPr>
          <w:noProof/>
          <w:color w:val="auto"/>
        </w:rPr>
        <w:t>.</w:t>
      </w:r>
      <w:r w:rsidRPr="00A1728C">
        <w:rPr>
          <w:noProof/>
          <w:color w:val="auto"/>
        </w:rPr>
        <w:tab/>
        <w:t xml:space="preserve">Heiligenberg, W. </w:t>
      </w:r>
      <w:r w:rsidRPr="00A1728C">
        <w:rPr>
          <w:i/>
          <w:noProof/>
          <w:color w:val="auto"/>
        </w:rPr>
        <w:t>Neural Nets in Electric Fish</w:t>
      </w:r>
      <w:r w:rsidRPr="00A1728C">
        <w:rPr>
          <w:noProof/>
          <w:color w:val="auto"/>
        </w:rPr>
        <w:t>.</w:t>
      </w:r>
      <w:r w:rsidR="00EA1C1D">
        <w:rPr>
          <w:noProof/>
          <w:color w:val="auto"/>
        </w:rPr>
        <w:t xml:space="preserve"> </w:t>
      </w:r>
      <w:r w:rsidRPr="00A1728C">
        <w:rPr>
          <w:noProof/>
          <w:color w:val="auto"/>
        </w:rPr>
        <w:t>(1991).</w:t>
      </w:r>
    </w:p>
    <w:p w14:paraId="7D79B68C" w14:textId="5E11B821" w:rsidR="009B58A7" w:rsidRPr="00A1728C" w:rsidRDefault="009B58A7" w:rsidP="00A1728C">
      <w:pPr>
        <w:pStyle w:val="EndNoteBibliography"/>
        <w:ind w:left="720" w:hanging="720"/>
        <w:rPr>
          <w:noProof/>
          <w:color w:val="auto"/>
        </w:rPr>
      </w:pPr>
      <w:r w:rsidRPr="00A1728C">
        <w:rPr>
          <w:noProof/>
          <w:color w:val="auto"/>
        </w:rPr>
        <w:t>11</w:t>
      </w:r>
      <w:r w:rsidR="000815D5">
        <w:rPr>
          <w:noProof/>
          <w:color w:val="auto"/>
        </w:rPr>
        <w:t>.</w:t>
      </w:r>
      <w:r w:rsidRPr="00A1728C">
        <w:rPr>
          <w:noProof/>
          <w:color w:val="auto"/>
        </w:rPr>
        <w:tab/>
        <w:t>Ban, Y., Smith, B. E.</w:t>
      </w:r>
      <w:r w:rsidR="00EA1C1D">
        <w:rPr>
          <w:noProof/>
          <w:color w:val="auto"/>
        </w:rPr>
        <w:t>,</w:t>
      </w:r>
      <w:r w:rsidRPr="00A1728C">
        <w:rPr>
          <w:noProof/>
          <w:color w:val="auto"/>
        </w:rPr>
        <w:t xml:space="preserve"> Markham, M. R. A highly polarized excitable cell separates sodium channels from sodium-activated potassium channels by more than a millimeter. </w:t>
      </w:r>
      <w:r w:rsidRPr="00A1728C">
        <w:rPr>
          <w:i/>
          <w:noProof/>
          <w:color w:val="auto"/>
        </w:rPr>
        <w:t>Journal of Neurophysiology.</w:t>
      </w:r>
      <w:r w:rsidRPr="00A1728C">
        <w:rPr>
          <w:noProof/>
          <w:color w:val="auto"/>
        </w:rPr>
        <w:t xml:space="preserve"> </w:t>
      </w:r>
      <w:r w:rsidRPr="00A1728C">
        <w:rPr>
          <w:b/>
          <w:noProof/>
          <w:color w:val="auto"/>
        </w:rPr>
        <w:t>114</w:t>
      </w:r>
      <w:r w:rsidRPr="00A1728C">
        <w:rPr>
          <w:noProof/>
          <w:color w:val="auto"/>
        </w:rPr>
        <w:t xml:space="preserve"> (1), 520</w:t>
      </w:r>
      <w:r w:rsidR="00481319">
        <w:rPr>
          <w:noProof/>
          <w:color w:val="auto"/>
        </w:rPr>
        <w:t>–</w:t>
      </w:r>
      <w:r w:rsidRPr="00A1728C">
        <w:rPr>
          <w:noProof/>
          <w:color w:val="auto"/>
        </w:rPr>
        <w:t>530 (2015).</w:t>
      </w:r>
    </w:p>
    <w:p w14:paraId="415D13AB" w14:textId="23DC4BE6" w:rsidR="009B58A7" w:rsidRPr="00A1728C" w:rsidRDefault="009B58A7" w:rsidP="00A1728C">
      <w:pPr>
        <w:pStyle w:val="EndNoteBibliography"/>
        <w:ind w:left="720" w:hanging="720"/>
        <w:rPr>
          <w:noProof/>
          <w:color w:val="auto"/>
        </w:rPr>
      </w:pPr>
      <w:r w:rsidRPr="00A1728C">
        <w:rPr>
          <w:noProof/>
          <w:color w:val="auto"/>
        </w:rPr>
        <w:t>12</w:t>
      </w:r>
      <w:r w:rsidR="000815D5">
        <w:rPr>
          <w:noProof/>
          <w:color w:val="auto"/>
        </w:rPr>
        <w:t>.</w:t>
      </w:r>
      <w:r w:rsidRPr="00A1728C">
        <w:rPr>
          <w:noProof/>
          <w:color w:val="auto"/>
        </w:rPr>
        <w:tab/>
        <w:t>Markham, M. R., Kaczmarek, L. K.</w:t>
      </w:r>
      <w:r w:rsidR="00EA1C1D">
        <w:rPr>
          <w:noProof/>
          <w:color w:val="auto"/>
        </w:rPr>
        <w:t>,</w:t>
      </w:r>
      <w:r w:rsidRPr="00A1728C">
        <w:rPr>
          <w:noProof/>
          <w:color w:val="auto"/>
        </w:rPr>
        <w:t xml:space="preserve"> Zakon, H. H. A sodium-activated potassium channel supports high-frequency firing and reduces energetic costs during rapid modulations of action potential amplitude. </w:t>
      </w:r>
      <w:r w:rsidRPr="00A1728C">
        <w:rPr>
          <w:i/>
          <w:noProof/>
          <w:color w:val="auto"/>
        </w:rPr>
        <w:t>Journal of Neurophysiology.</w:t>
      </w:r>
      <w:r w:rsidRPr="00A1728C">
        <w:rPr>
          <w:noProof/>
          <w:color w:val="auto"/>
        </w:rPr>
        <w:t xml:space="preserve"> </w:t>
      </w:r>
      <w:r w:rsidRPr="00A1728C">
        <w:rPr>
          <w:b/>
          <w:noProof/>
          <w:color w:val="auto"/>
        </w:rPr>
        <w:t>109</w:t>
      </w:r>
      <w:r w:rsidRPr="00A1728C">
        <w:rPr>
          <w:noProof/>
          <w:color w:val="auto"/>
        </w:rPr>
        <w:t xml:space="preserve"> (7), 1713</w:t>
      </w:r>
      <w:r w:rsidR="00481319">
        <w:rPr>
          <w:noProof/>
          <w:color w:val="auto"/>
        </w:rPr>
        <w:t>–</w:t>
      </w:r>
      <w:r w:rsidRPr="00A1728C">
        <w:rPr>
          <w:noProof/>
          <w:color w:val="auto"/>
        </w:rPr>
        <w:t>1723</w:t>
      </w:r>
      <w:r w:rsidR="00C74FE7">
        <w:rPr>
          <w:noProof/>
          <w:color w:val="auto"/>
        </w:rPr>
        <w:t xml:space="preserve"> </w:t>
      </w:r>
      <w:r w:rsidR="00EA1C1D">
        <w:rPr>
          <w:noProof/>
          <w:color w:val="auto"/>
        </w:rPr>
        <w:t>(</w:t>
      </w:r>
      <w:r w:rsidRPr="00A1728C">
        <w:rPr>
          <w:noProof/>
          <w:color w:val="auto"/>
        </w:rPr>
        <w:t>2013).</w:t>
      </w:r>
    </w:p>
    <w:p w14:paraId="2AC855DF" w14:textId="5E92CFEB" w:rsidR="009B58A7" w:rsidRPr="00A1728C" w:rsidRDefault="009B58A7" w:rsidP="00A1728C">
      <w:pPr>
        <w:pStyle w:val="EndNoteBibliography"/>
        <w:ind w:left="720" w:hanging="720"/>
        <w:rPr>
          <w:noProof/>
          <w:color w:val="auto"/>
        </w:rPr>
      </w:pPr>
      <w:r w:rsidRPr="00A1728C">
        <w:rPr>
          <w:noProof/>
          <w:color w:val="auto"/>
        </w:rPr>
        <w:t>13</w:t>
      </w:r>
      <w:r w:rsidR="000815D5">
        <w:rPr>
          <w:noProof/>
          <w:color w:val="auto"/>
        </w:rPr>
        <w:t>.</w:t>
      </w:r>
      <w:r w:rsidRPr="00A1728C">
        <w:rPr>
          <w:noProof/>
          <w:color w:val="auto"/>
        </w:rPr>
        <w:tab/>
        <w:t>Gavassa, S.</w:t>
      </w:r>
      <w:r w:rsidR="00EA1C1D">
        <w:rPr>
          <w:noProof/>
          <w:color w:val="auto"/>
        </w:rPr>
        <w:t>,</w:t>
      </w:r>
      <w:r w:rsidRPr="00A1728C">
        <w:rPr>
          <w:noProof/>
          <w:color w:val="auto"/>
        </w:rPr>
        <w:t xml:space="preserve"> Stoddard, P. K. Food restriction promotes signaling effort in response to social challenge in a short-lived electric fish. </w:t>
      </w:r>
      <w:r w:rsidRPr="00A1728C">
        <w:rPr>
          <w:i/>
          <w:noProof/>
          <w:color w:val="auto"/>
        </w:rPr>
        <w:t>Horm</w:t>
      </w:r>
      <w:r w:rsidR="00DD2327" w:rsidRPr="00A1728C">
        <w:rPr>
          <w:i/>
          <w:noProof/>
          <w:color w:val="auto"/>
        </w:rPr>
        <w:t>ones and</w:t>
      </w:r>
      <w:r w:rsidRPr="00A1728C">
        <w:rPr>
          <w:i/>
          <w:noProof/>
          <w:color w:val="auto"/>
        </w:rPr>
        <w:t xml:space="preserve"> Behav</w:t>
      </w:r>
      <w:r w:rsidR="00DD2327" w:rsidRPr="00A1728C">
        <w:rPr>
          <w:i/>
          <w:noProof/>
          <w:color w:val="auto"/>
        </w:rPr>
        <w:t>ior</w:t>
      </w:r>
      <w:r w:rsidRPr="00A1728C">
        <w:rPr>
          <w:i/>
          <w:noProof/>
          <w:color w:val="auto"/>
        </w:rPr>
        <w:t>.</w:t>
      </w:r>
      <w:r w:rsidRPr="00A1728C">
        <w:rPr>
          <w:noProof/>
          <w:color w:val="auto"/>
        </w:rPr>
        <w:t xml:space="preserve"> </w:t>
      </w:r>
      <w:r w:rsidRPr="00A1728C">
        <w:rPr>
          <w:b/>
          <w:noProof/>
          <w:color w:val="auto"/>
        </w:rPr>
        <w:t>62</w:t>
      </w:r>
      <w:r w:rsidRPr="00A1728C">
        <w:rPr>
          <w:noProof/>
          <w:color w:val="auto"/>
        </w:rPr>
        <w:t xml:space="preserve"> (4), 381</w:t>
      </w:r>
      <w:r w:rsidR="00481319">
        <w:rPr>
          <w:noProof/>
          <w:color w:val="auto"/>
        </w:rPr>
        <w:t>–</w:t>
      </w:r>
      <w:r w:rsidRPr="00A1728C">
        <w:rPr>
          <w:noProof/>
          <w:color w:val="auto"/>
        </w:rPr>
        <w:t>388</w:t>
      </w:r>
      <w:r w:rsidR="00C74FE7">
        <w:rPr>
          <w:noProof/>
          <w:color w:val="auto"/>
        </w:rPr>
        <w:t xml:space="preserve"> </w:t>
      </w:r>
      <w:r w:rsidR="00EA1C1D">
        <w:rPr>
          <w:noProof/>
          <w:color w:val="auto"/>
        </w:rPr>
        <w:t>(</w:t>
      </w:r>
      <w:r w:rsidRPr="00A1728C">
        <w:rPr>
          <w:noProof/>
          <w:color w:val="auto"/>
        </w:rPr>
        <w:t>2012).</w:t>
      </w:r>
    </w:p>
    <w:p w14:paraId="6293222D" w14:textId="36C633A6" w:rsidR="009B58A7" w:rsidRPr="00A1728C" w:rsidRDefault="009B58A7" w:rsidP="00A1728C">
      <w:pPr>
        <w:pStyle w:val="EndNoteBibliography"/>
        <w:ind w:left="720" w:hanging="720"/>
        <w:rPr>
          <w:noProof/>
          <w:color w:val="auto"/>
        </w:rPr>
      </w:pPr>
      <w:r w:rsidRPr="00A1728C">
        <w:rPr>
          <w:noProof/>
          <w:color w:val="auto"/>
        </w:rPr>
        <w:t>14</w:t>
      </w:r>
      <w:r w:rsidR="000815D5">
        <w:rPr>
          <w:noProof/>
          <w:color w:val="auto"/>
        </w:rPr>
        <w:t>.</w:t>
      </w:r>
      <w:r w:rsidRPr="00A1728C">
        <w:rPr>
          <w:noProof/>
          <w:color w:val="auto"/>
        </w:rPr>
        <w:tab/>
        <w:t>Sinnett, P. M.</w:t>
      </w:r>
      <w:r w:rsidR="00EA1C1D">
        <w:rPr>
          <w:noProof/>
          <w:color w:val="auto"/>
        </w:rPr>
        <w:t>,</w:t>
      </w:r>
      <w:r w:rsidRPr="00A1728C">
        <w:rPr>
          <w:noProof/>
          <w:color w:val="auto"/>
        </w:rPr>
        <w:t xml:space="preserve"> Markham, M. R. Food deprivation reduces and leptin increases the amplitude of an active sensory and communication signal in a weakly electric fish. </w:t>
      </w:r>
      <w:r w:rsidRPr="00A1728C">
        <w:rPr>
          <w:i/>
          <w:noProof/>
          <w:color w:val="auto"/>
        </w:rPr>
        <w:t>Horm</w:t>
      </w:r>
      <w:r w:rsidR="00DD2327" w:rsidRPr="00A1728C">
        <w:rPr>
          <w:i/>
          <w:noProof/>
          <w:color w:val="auto"/>
        </w:rPr>
        <w:t>ones and</w:t>
      </w:r>
      <w:r w:rsidRPr="00A1728C">
        <w:rPr>
          <w:i/>
          <w:noProof/>
          <w:color w:val="auto"/>
        </w:rPr>
        <w:t xml:space="preserve"> Behav</w:t>
      </w:r>
      <w:r w:rsidR="00DD2327" w:rsidRPr="00A1728C">
        <w:rPr>
          <w:i/>
          <w:noProof/>
          <w:color w:val="auto"/>
        </w:rPr>
        <w:t>ior</w:t>
      </w:r>
      <w:r w:rsidRPr="00A1728C">
        <w:rPr>
          <w:i/>
          <w:noProof/>
          <w:color w:val="auto"/>
        </w:rPr>
        <w:t>.</w:t>
      </w:r>
      <w:r w:rsidRPr="00A1728C">
        <w:rPr>
          <w:noProof/>
          <w:color w:val="auto"/>
        </w:rPr>
        <w:t xml:space="preserve"> </w:t>
      </w:r>
      <w:r w:rsidRPr="00A1728C">
        <w:rPr>
          <w:b/>
          <w:noProof/>
          <w:color w:val="auto"/>
        </w:rPr>
        <w:t>71</w:t>
      </w:r>
      <w:r w:rsidRPr="00A1728C">
        <w:rPr>
          <w:noProof/>
          <w:color w:val="auto"/>
        </w:rPr>
        <w:t xml:space="preserve"> 31</w:t>
      </w:r>
      <w:r w:rsidR="00481319">
        <w:rPr>
          <w:noProof/>
          <w:color w:val="auto"/>
        </w:rPr>
        <w:t>–</w:t>
      </w:r>
      <w:r w:rsidRPr="00A1728C">
        <w:rPr>
          <w:noProof/>
          <w:color w:val="auto"/>
        </w:rPr>
        <w:t>40</w:t>
      </w:r>
      <w:r w:rsidR="00EA1C1D">
        <w:rPr>
          <w:noProof/>
          <w:color w:val="auto"/>
        </w:rPr>
        <w:t xml:space="preserve"> (</w:t>
      </w:r>
      <w:r w:rsidRPr="00A1728C">
        <w:rPr>
          <w:noProof/>
          <w:color w:val="auto"/>
        </w:rPr>
        <w:t>2015).</w:t>
      </w:r>
    </w:p>
    <w:p w14:paraId="427AF265" w14:textId="617B9DC0" w:rsidR="009B58A7" w:rsidRPr="00A1728C" w:rsidRDefault="009B58A7" w:rsidP="00A1728C">
      <w:pPr>
        <w:pStyle w:val="EndNoteBibliography"/>
        <w:ind w:left="720" w:hanging="720"/>
        <w:rPr>
          <w:noProof/>
          <w:color w:val="auto"/>
        </w:rPr>
      </w:pPr>
      <w:r w:rsidRPr="00A1728C">
        <w:rPr>
          <w:noProof/>
          <w:color w:val="auto"/>
        </w:rPr>
        <w:t>15</w:t>
      </w:r>
      <w:r w:rsidR="000815D5">
        <w:rPr>
          <w:noProof/>
          <w:color w:val="auto"/>
        </w:rPr>
        <w:t>.</w:t>
      </w:r>
      <w:r w:rsidRPr="00A1728C">
        <w:rPr>
          <w:noProof/>
          <w:color w:val="auto"/>
        </w:rPr>
        <w:tab/>
        <w:t>Salazar, V. L.</w:t>
      </w:r>
      <w:r w:rsidR="00EA1C1D">
        <w:rPr>
          <w:noProof/>
          <w:color w:val="auto"/>
        </w:rPr>
        <w:t>,</w:t>
      </w:r>
      <w:r w:rsidRPr="00A1728C">
        <w:rPr>
          <w:noProof/>
          <w:color w:val="auto"/>
        </w:rPr>
        <w:t xml:space="preserve"> Stoddard, P. K. Sex differences in energetic costs explain sexual dimorphism in the circadian rhythm modulation of the electrocommunication signal of the gymnotiform fish </w:t>
      </w:r>
      <w:r w:rsidRPr="00A1728C">
        <w:rPr>
          <w:i/>
          <w:noProof/>
          <w:color w:val="auto"/>
        </w:rPr>
        <w:t>Brachyhypopomus pinnicaudatus</w:t>
      </w:r>
      <w:r w:rsidRPr="00A1728C">
        <w:rPr>
          <w:noProof/>
          <w:color w:val="auto"/>
        </w:rPr>
        <w:t xml:space="preserve">. </w:t>
      </w:r>
      <w:r w:rsidRPr="00A1728C">
        <w:rPr>
          <w:i/>
          <w:noProof/>
          <w:color w:val="auto"/>
        </w:rPr>
        <w:t>Journal of Experimental Biology.</w:t>
      </w:r>
      <w:r w:rsidRPr="00A1728C">
        <w:rPr>
          <w:noProof/>
          <w:color w:val="auto"/>
        </w:rPr>
        <w:t xml:space="preserve"> </w:t>
      </w:r>
      <w:r w:rsidRPr="00A1728C">
        <w:rPr>
          <w:b/>
          <w:noProof/>
          <w:color w:val="auto"/>
        </w:rPr>
        <w:t>211</w:t>
      </w:r>
      <w:r w:rsidRPr="00A1728C">
        <w:rPr>
          <w:noProof/>
          <w:color w:val="auto"/>
        </w:rPr>
        <w:t xml:space="preserve"> </w:t>
      </w:r>
      <w:r w:rsidRPr="00A1728C">
        <w:rPr>
          <w:noProof/>
          <w:color w:val="auto"/>
        </w:rPr>
        <w:lastRenderedPageBreak/>
        <w:t>(Pt 6), 1012</w:t>
      </w:r>
      <w:r w:rsidR="00481319">
        <w:rPr>
          <w:noProof/>
          <w:color w:val="auto"/>
        </w:rPr>
        <w:t>–</w:t>
      </w:r>
      <w:r w:rsidRPr="00A1728C">
        <w:rPr>
          <w:noProof/>
          <w:color w:val="auto"/>
        </w:rPr>
        <w:t>1020</w:t>
      </w:r>
      <w:r w:rsidR="00EA1C1D">
        <w:rPr>
          <w:noProof/>
          <w:color w:val="auto"/>
        </w:rPr>
        <w:t xml:space="preserve"> (</w:t>
      </w:r>
      <w:r w:rsidRPr="00A1728C">
        <w:rPr>
          <w:noProof/>
          <w:color w:val="auto"/>
        </w:rPr>
        <w:t>2008).</w:t>
      </w:r>
    </w:p>
    <w:p w14:paraId="01B1EEED" w14:textId="1723F6E9" w:rsidR="009B58A7" w:rsidRPr="00A1728C" w:rsidRDefault="009B58A7" w:rsidP="00A1728C">
      <w:pPr>
        <w:pStyle w:val="EndNoteBibliography"/>
        <w:ind w:left="720" w:hanging="720"/>
        <w:rPr>
          <w:noProof/>
          <w:color w:val="auto"/>
        </w:rPr>
      </w:pPr>
      <w:r w:rsidRPr="00A1728C">
        <w:rPr>
          <w:noProof/>
          <w:color w:val="auto"/>
        </w:rPr>
        <w:t>16</w:t>
      </w:r>
      <w:r w:rsidR="000815D5">
        <w:rPr>
          <w:noProof/>
          <w:color w:val="auto"/>
        </w:rPr>
        <w:t>.</w:t>
      </w:r>
      <w:r w:rsidRPr="00A1728C">
        <w:rPr>
          <w:noProof/>
          <w:color w:val="auto"/>
        </w:rPr>
        <w:tab/>
        <w:t>Lewis, J. E., Gilmour, K. M., Moorhead, M. J., Perry, S. F.</w:t>
      </w:r>
      <w:r w:rsidR="00EA1C1D">
        <w:rPr>
          <w:noProof/>
          <w:color w:val="auto"/>
        </w:rPr>
        <w:t>,</w:t>
      </w:r>
      <w:r w:rsidRPr="00A1728C">
        <w:rPr>
          <w:noProof/>
          <w:color w:val="auto"/>
        </w:rPr>
        <w:t xml:space="preserve"> Markham, M. R. Action potential energetics at the organismal level reveal a trade-off in efficiency at high firing rates. </w:t>
      </w:r>
      <w:r w:rsidRPr="00A1728C">
        <w:rPr>
          <w:i/>
          <w:noProof/>
          <w:color w:val="auto"/>
        </w:rPr>
        <w:t>Journal of Neuroscience.</w:t>
      </w:r>
      <w:r w:rsidRPr="00A1728C">
        <w:rPr>
          <w:noProof/>
          <w:color w:val="auto"/>
        </w:rPr>
        <w:t xml:space="preserve"> </w:t>
      </w:r>
      <w:r w:rsidRPr="00A1728C">
        <w:rPr>
          <w:b/>
          <w:noProof/>
          <w:color w:val="auto"/>
        </w:rPr>
        <w:t>34</w:t>
      </w:r>
      <w:r w:rsidRPr="00A1728C">
        <w:rPr>
          <w:noProof/>
          <w:color w:val="auto"/>
        </w:rPr>
        <w:t xml:space="preserve"> (1), 197</w:t>
      </w:r>
      <w:r w:rsidR="00481319">
        <w:rPr>
          <w:noProof/>
          <w:color w:val="auto"/>
        </w:rPr>
        <w:t>–</w:t>
      </w:r>
      <w:r w:rsidRPr="00A1728C">
        <w:rPr>
          <w:noProof/>
          <w:color w:val="auto"/>
        </w:rPr>
        <w:t>201</w:t>
      </w:r>
      <w:r w:rsidR="00EA1C1D">
        <w:rPr>
          <w:noProof/>
          <w:color w:val="auto"/>
        </w:rPr>
        <w:t xml:space="preserve"> (</w:t>
      </w:r>
      <w:r w:rsidRPr="00A1728C">
        <w:rPr>
          <w:noProof/>
          <w:color w:val="auto"/>
        </w:rPr>
        <w:t>2014).</w:t>
      </w:r>
    </w:p>
    <w:p w14:paraId="2227B299" w14:textId="4E8F443A" w:rsidR="009B58A7" w:rsidRPr="00A1728C" w:rsidRDefault="009B58A7" w:rsidP="00A1728C">
      <w:pPr>
        <w:pStyle w:val="EndNoteBibliography"/>
        <w:ind w:left="720" w:hanging="720"/>
        <w:rPr>
          <w:noProof/>
          <w:color w:val="auto"/>
        </w:rPr>
      </w:pPr>
      <w:r w:rsidRPr="00A1728C">
        <w:rPr>
          <w:noProof/>
          <w:color w:val="auto"/>
        </w:rPr>
        <w:t>17</w:t>
      </w:r>
      <w:r w:rsidR="000815D5">
        <w:rPr>
          <w:noProof/>
          <w:color w:val="auto"/>
        </w:rPr>
        <w:t>.</w:t>
      </w:r>
      <w:r w:rsidRPr="00A1728C">
        <w:rPr>
          <w:noProof/>
          <w:color w:val="auto"/>
        </w:rPr>
        <w:tab/>
        <w:t>Salazar, V. L., Krahe, R.</w:t>
      </w:r>
      <w:r w:rsidR="00EA1C1D">
        <w:rPr>
          <w:noProof/>
          <w:color w:val="auto"/>
        </w:rPr>
        <w:t>,</w:t>
      </w:r>
      <w:r w:rsidRPr="00A1728C">
        <w:rPr>
          <w:noProof/>
          <w:color w:val="auto"/>
        </w:rPr>
        <w:t xml:space="preserve"> Lewis, J. E. The energetics of electric organ discharge generation in gymnotiform weakly electric fish. </w:t>
      </w:r>
      <w:r w:rsidRPr="00A1728C">
        <w:rPr>
          <w:i/>
          <w:noProof/>
          <w:color w:val="auto"/>
        </w:rPr>
        <w:t>Journal of Experimental Biology.</w:t>
      </w:r>
      <w:r w:rsidRPr="00A1728C">
        <w:rPr>
          <w:noProof/>
          <w:color w:val="auto"/>
        </w:rPr>
        <w:t xml:space="preserve"> </w:t>
      </w:r>
      <w:r w:rsidRPr="00A1728C">
        <w:rPr>
          <w:b/>
          <w:noProof/>
          <w:color w:val="auto"/>
        </w:rPr>
        <w:t>216</w:t>
      </w:r>
      <w:r w:rsidRPr="00A1728C">
        <w:rPr>
          <w:noProof/>
          <w:color w:val="auto"/>
        </w:rPr>
        <w:t xml:space="preserve"> (13), 2459</w:t>
      </w:r>
      <w:r w:rsidR="00481319">
        <w:rPr>
          <w:noProof/>
          <w:color w:val="auto"/>
        </w:rPr>
        <w:t>–</w:t>
      </w:r>
      <w:r w:rsidRPr="00A1728C">
        <w:rPr>
          <w:noProof/>
          <w:color w:val="auto"/>
        </w:rPr>
        <w:t>2468</w:t>
      </w:r>
      <w:r w:rsidR="00EA1C1D">
        <w:rPr>
          <w:noProof/>
          <w:color w:val="auto"/>
        </w:rPr>
        <w:t xml:space="preserve"> (</w:t>
      </w:r>
      <w:r w:rsidRPr="00A1728C">
        <w:rPr>
          <w:noProof/>
          <w:color w:val="auto"/>
        </w:rPr>
        <w:t>2013).</w:t>
      </w:r>
    </w:p>
    <w:p w14:paraId="67FB4969" w14:textId="6939414E" w:rsidR="009B58A7" w:rsidRPr="00A1728C" w:rsidRDefault="009B58A7" w:rsidP="00A1728C">
      <w:pPr>
        <w:pStyle w:val="EndNoteBibliography"/>
        <w:ind w:left="720" w:hanging="720"/>
        <w:rPr>
          <w:noProof/>
          <w:color w:val="auto"/>
        </w:rPr>
      </w:pPr>
      <w:r w:rsidRPr="00A1728C">
        <w:rPr>
          <w:noProof/>
          <w:color w:val="auto"/>
        </w:rPr>
        <w:t>18</w:t>
      </w:r>
      <w:r w:rsidR="000815D5">
        <w:rPr>
          <w:noProof/>
          <w:color w:val="auto"/>
        </w:rPr>
        <w:t>.</w:t>
      </w:r>
      <w:r w:rsidRPr="00A1728C">
        <w:rPr>
          <w:noProof/>
          <w:color w:val="auto"/>
        </w:rPr>
        <w:tab/>
        <w:t>Hopkins, C. D.</w:t>
      </w:r>
      <w:r w:rsidR="00EA1C1D">
        <w:rPr>
          <w:noProof/>
          <w:color w:val="auto"/>
        </w:rPr>
        <w:t>,</w:t>
      </w:r>
      <w:r w:rsidRPr="00A1728C">
        <w:rPr>
          <w:noProof/>
          <w:color w:val="auto"/>
        </w:rPr>
        <w:t xml:space="preserve"> Bass, A. Temporal coding of species recognition signals in an electric fish. </w:t>
      </w:r>
      <w:r w:rsidRPr="00A1728C">
        <w:rPr>
          <w:i/>
          <w:noProof/>
          <w:color w:val="auto"/>
        </w:rPr>
        <w:t>Science.</w:t>
      </w:r>
      <w:r w:rsidRPr="00A1728C">
        <w:rPr>
          <w:noProof/>
          <w:color w:val="auto"/>
        </w:rPr>
        <w:t xml:space="preserve"> </w:t>
      </w:r>
      <w:r w:rsidRPr="00A1728C">
        <w:rPr>
          <w:b/>
          <w:noProof/>
          <w:color w:val="auto"/>
        </w:rPr>
        <w:t>212</w:t>
      </w:r>
      <w:r w:rsidRPr="00A1728C">
        <w:rPr>
          <w:noProof/>
          <w:color w:val="auto"/>
        </w:rPr>
        <w:t xml:space="preserve"> (4490), 85</w:t>
      </w:r>
      <w:r w:rsidR="00481319">
        <w:rPr>
          <w:noProof/>
          <w:color w:val="auto"/>
        </w:rPr>
        <w:t>–</w:t>
      </w:r>
      <w:r w:rsidRPr="00A1728C">
        <w:rPr>
          <w:noProof/>
          <w:color w:val="auto"/>
        </w:rPr>
        <w:t>87 (1981).</w:t>
      </w:r>
    </w:p>
    <w:p w14:paraId="2E3C29F8" w14:textId="7CDD3350" w:rsidR="009B58A7" w:rsidRPr="00A1728C" w:rsidRDefault="009B58A7" w:rsidP="00A1728C">
      <w:pPr>
        <w:pStyle w:val="EndNoteBibliography"/>
        <w:ind w:left="720" w:hanging="720"/>
        <w:rPr>
          <w:noProof/>
          <w:color w:val="auto"/>
        </w:rPr>
      </w:pPr>
      <w:r w:rsidRPr="00A1728C">
        <w:rPr>
          <w:noProof/>
          <w:color w:val="auto"/>
        </w:rPr>
        <w:t>19</w:t>
      </w:r>
      <w:r w:rsidR="000815D5">
        <w:rPr>
          <w:noProof/>
          <w:color w:val="auto"/>
        </w:rPr>
        <w:t>.</w:t>
      </w:r>
      <w:r w:rsidRPr="00A1728C">
        <w:rPr>
          <w:noProof/>
          <w:color w:val="auto"/>
        </w:rPr>
        <w:tab/>
        <w:t>Arnegard, M. E., Jackson, B. S.</w:t>
      </w:r>
      <w:r w:rsidR="00EA1C1D">
        <w:rPr>
          <w:noProof/>
          <w:color w:val="auto"/>
        </w:rPr>
        <w:t>,</w:t>
      </w:r>
      <w:r w:rsidRPr="00A1728C">
        <w:rPr>
          <w:noProof/>
          <w:color w:val="auto"/>
        </w:rPr>
        <w:t xml:space="preserve"> Hopkins, C. D. Time-domain signal divergence and discrimination without receptor modification in sympatric morphs of electric fishes. </w:t>
      </w:r>
      <w:r w:rsidRPr="00A1728C">
        <w:rPr>
          <w:i/>
          <w:noProof/>
          <w:color w:val="auto"/>
        </w:rPr>
        <w:t xml:space="preserve">The Journal of </w:t>
      </w:r>
      <w:r w:rsidR="00DD2327" w:rsidRPr="00A1728C">
        <w:rPr>
          <w:i/>
          <w:noProof/>
          <w:color w:val="auto"/>
        </w:rPr>
        <w:t>E</w:t>
      </w:r>
      <w:r w:rsidRPr="00A1728C">
        <w:rPr>
          <w:i/>
          <w:noProof/>
          <w:color w:val="auto"/>
        </w:rPr>
        <w:t xml:space="preserve">xperimental </w:t>
      </w:r>
      <w:r w:rsidR="00DD2327" w:rsidRPr="00A1728C">
        <w:rPr>
          <w:i/>
          <w:noProof/>
          <w:color w:val="auto"/>
        </w:rPr>
        <w:t>B</w:t>
      </w:r>
      <w:r w:rsidRPr="00A1728C">
        <w:rPr>
          <w:i/>
          <w:noProof/>
          <w:color w:val="auto"/>
        </w:rPr>
        <w:t>iology.</w:t>
      </w:r>
      <w:r w:rsidRPr="00A1728C">
        <w:rPr>
          <w:noProof/>
          <w:color w:val="auto"/>
        </w:rPr>
        <w:t xml:space="preserve"> </w:t>
      </w:r>
      <w:r w:rsidRPr="00A1728C">
        <w:rPr>
          <w:b/>
          <w:noProof/>
          <w:color w:val="auto"/>
        </w:rPr>
        <w:t>209</w:t>
      </w:r>
      <w:r w:rsidRPr="00A1728C">
        <w:rPr>
          <w:noProof/>
          <w:color w:val="auto"/>
        </w:rPr>
        <w:t xml:space="preserve"> (Pt 11), 2182</w:t>
      </w:r>
      <w:r w:rsidR="00481319">
        <w:rPr>
          <w:noProof/>
          <w:color w:val="auto"/>
        </w:rPr>
        <w:t>–</w:t>
      </w:r>
      <w:r w:rsidRPr="00A1728C">
        <w:rPr>
          <w:noProof/>
          <w:color w:val="auto"/>
        </w:rPr>
        <w:t>2198</w:t>
      </w:r>
      <w:r w:rsidR="00EA1C1D">
        <w:rPr>
          <w:noProof/>
          <w:color w:val="auto"/>
        </w:rPr>
        <w:t xml:space="preserve"> (</w:t>
      </w:r>
      <w:r w:rsidRPr="00A1728C">
        <w:rPr>
          <w:noProof/>
          <w:color w:val="auto"/>
        </w:rPr>
        <w:t>2006).</w:t>
      </w:r>
    </w:p>
    <w:p w14:paraId="5522ED5A" w14:textId="4D0684A4" w:rsidR="009B58A7" w:rsidRPr="00A1728C" w:rsidRDefault="009B58A7" w:rsidP="00A1728C">
      <w:pPr>
        <w:pStyle w:val="EndNoteBibliography"/>
        <w:ind w:left="720" w:hanging="720"/>
        <w:rPr>
          <w:noProof/>
          <w:color w:val="auto"/>
        </w:rPr>
      </w:pPr>
      <w:r w:rsidRPr="00A1728C">
        <w:rPr>
          <w:noProof/>
          <w:color w:val="auto"/>
        </w:rPr>
        <w:t>20</w:t>
      </w:r>
      <w:r w:rsidR="000815D5">
        <w:rPr>
          <w:noProof/>
          <w:color w:val="auto"/>
        </w:rPr>
        <w:t>.</w:t>
      </w:r>
      <w:r w:rsidRPr="00A1728C">
        <w:rPr>
          <w:noProof/>
          <w:color w:val="auto"/>
        </w:rPr>
        <w:tab/>
        <w:t>Sullivan, J. P., Lavoue, S., Arnegard, M. E.</w:t>
      </w:r>
      <w:r w:rsidR="00EA1C1D">
        <w:rPr>
          <w:noProof/>
          <w:color w:val="auto"/>
        </w:rPr>
        <w:t>,</w:t>
      </w:r>
      <w:r w:rsidRPr="00A1728C">
        <w:rPr>
          <w:noProof/>
          <w:color w:val="auto"/>
        </w:rPr>
        <w:t xml:space="preserve"> Hopkins, C. D. AFLPs resolve phylogeny and reveal mitochondrial introgression within a species flock of African electric fish (Mormyroidea: Teleostei). </w:t>
      </w:r>
      <w:r w:rsidRPr="00A1728C">
        <w:rPr>
          <w:i/>
          <w:noProof/>
          <w:color w:val="auto"/>
        </w:rPr>
        <w:t>Evolution.</w:t>
      </w:r>
      <w:r w:rsidRPr="00A1728C">
        <w:rPr>
          <w:noProof/>
          <w:color w:val="auto"/>
        </w:rPr>
        <w:t xml:space="preserve"> </w:t>
      </w:r>
      <w:r w:rsidRPr="00A1728C">
        <w:rPr>
          <w:b/>
          <w:noProof/>
          <w:color w:val="auto"/>
        </w:rPr>
        <w:t>58</w:t>
      </w:r>
      <w:r w:rsidRPr="00A1728C">
        <w:rPr>
          <w:noProof/>
          <w:color w:val="auto"/>
        </w:rPr>
        <w:t xml:space="preserve"> (4), 825</w:t>
      </w:r>
      <w:r w:rsidR="00481319">
        <w:rPr>
          <w:noProof/>
          <w:color w:val="auto"/>
        </w:rPr>
        <w:t>–</w:t>
      </w:r>
      <w:r w:rsidRPr="00A1728C">
        <w:rPr>
          <w:noProof/>
          <w:color w:val="auto"/>
        </w:rPr>
        <w:t>841 (2004).</w:t>
      </w:r>
    </w:p>
    <w:p w14:paraId="37F882DE" w14:textId="332C81F1" w:rsidR="009B58A7" w:rsidRPr="00A1728C" w:rsidRDefault="009B58A7" w:rsidP="00A1728C">
      <w:pPr>
        <w:pStyle w:val="EndNoteBibliography"/>
        <w:ind w:left="720" w:hanging="720"/>
        <w:rPr>
          <w:noProof/>
          <w:color w:val="auto"/>
        </w:rPr>
      </w:pPr>
      <w:r w:rsidRPr="00A1728C">
        <w:rPr>
          <w:noProof/>
          <w:color w:val="auto"/>
        </w:rPr>
        <w:t>21</w:t>
      </w:r>
      <w:r w:rsidR="000815D5">
        <w:rPr>
          <w:noProof/>
          <w:color w:val="auto"/>
        </w:rPr>
        <w:t>.</w:t>
      </w:r>
      <w:r w:rsidRPr="00A1728C">
        <w:rPr>
          <w:noProof/>
          <w:color w:val="auto"/>
        </w:rPr>
        <w:tab/>
        <w:t xml:space="preserve">Crampton, W. G. R. Effects of anoxia on the distribution, respiratory strategies and electric signal diversity of gymnotiform fishes. </w:t>
      </w:r>
      <w:r w:rsidRPr="00A1728C">
        <w:rPr>
          <w:i/>
          <w:noProof/>
          <w:color w:val="auto"/>
        </w:rPr>
        <w:t>Journal of Fish Biology.</w:t>
      </w:r>
      <w:r w:rsidRPr="00A1728C">
        <w:rPr>
          <w:noProof/>
          <w:color w:val="auto"/>
        </w:rPr>
        <w:t xml:space="preserve"> </w:t>
      </w:r>
      <w:r w:rsidRPr="00A1728C">
        <w:rPr>
          <w:b/>
          <w:noProof/>
          <w:color w:val="auto"/>
        </w:rPr>
        <w:t>53</w:t>
      </w:r>
      <w:r w:rsidRPr="00A1728C">
        <w:rPr>
          <w:noProof/>
          <w:color w:val="auto"/>
        </w:rPr>
        <w:t xml:space="preserve"> (sa), 307</w:t>
      </w:r>
      <w:r w:rsidR="00481319">
        <w:rPr>
          <w:noProof/>
          <w:color w:val="auto"/>
        </w:rPr>
        <w:t>–</w:t>
      </w:r>
      <w:r w:rsidRPr="00A1728C">
        <w:rPr>
          <w:noProof/>
          <w:color w:val="auto"/>
        </w:rPr>
        <w:t>330</w:t>
      </w:r>
      <w:r w:rsidR="00C74FE7">
        <w:rPr>
          <w:noProof/>
          <w:color w:val="auto"/>
        </w:rPr>
        <w:t xml:space="preserve"> </w:t>
      </w:r>
      <w:r w:rsidR="00EA1C1D">
        <w:rPr>
          <w:noProof/>
          <w:color w:val="auto"/>
        </w:rPr>
        <w:t>(</w:t>
      </w:r>
      <w:r w:rsidRPr="00A1728C">
        <w:rPr>
          <w:noProof/>
          <w:color w:val="auto"/>
        </w:rPr>
        <w:t>1998).</w:t>
      </w:r>
    </w:p>
    <w:p w14:paraId="53C14B13" w14:textId="4BA8F3A8" w:rsidR="009B58A7" w:rsidRPr="00A1728C" w:rsidRDefault="009B58A7" w:rsidP="00A1728C">
      <w:pPr>
        <w:pStyle w:val="EndNoteBibliography"/>
        <w:ind w:left="720" w:hanging="720"/>
        <w:rPr>
          <w:noProof/>
          <w:color w:val="auto"/>
        </w:rPr>
      </w:pPr>
      <w:r w:rsidRPr="00A1728C">
        <w:rPr>
          <w:noProof/>
          <w:color w:val="auto"/>
        </w:rPr>
        <w:t>22</w:t>
      </w:r>
      <w:r w:rsidR="000815D5">
        <w:rPr>
          <w:noProof/>
          <w:color w:val="auto"/>
        </w:rPr>
        <w:t>.</w:t>
      </w:r>
      <w:r w:rsidRPr="00A1728C">
        <w:rPr>
          <w:noProof/>
          <w:color w:val="auto"/>
        </w:rPr>
        <w:tab/>
        <w:t>Pinch, M., Guth, R., Samanta, M. P., Chaidez, A.</w:t>
      </w:r>
      <w:r w:rsidR="00EA1C1D">
        <w:rPr>
          <w:noProof/>
          <w:color w:val="auto"/>
        </w:rPr>
        <w:t>,</w:t>
      </w:r>
      <w:r w:rsidRPr="00A1728C">
        <w:rPr>
          <w:noProof/>
          <w:color w:val="auto"/>
        </w:rPr>
        <w:t xml:space="preserve"> Unguez, G. A. The myogenic electric organ of Sternopygus macrurus: a non-contractile tissue with a skeletal muscle transcriptome. </w:t>
      </w:r>
      <w:r w:rsidRPr="00A1728C">
        <w:rPr>
          <w:i/>
          <w:noProof/>
          <w:color w:val="auto"/>
        </w:rPr>
        <w:t>PeerJ.</w:t>
      </w:r>
      <w:r w:rsidRPr="00A1728C">
        <w:rPr>
          <w:noProof/>
          <w:color w:val="auto"/>
        </w:rPr>
        <w:t xml:space="preserve"> </w:t>
      </w:r>
      <w:r w:rsidRPr="00A1728C">
        <w:rPr>
          <w:b/>
          <w:noProof/>
          <w:color w:val="auto"/>
        </w:rPr>
        <w:t>4</w:t>
      </w:r>
      <w:r w:rsidR="00C74FE7">
        <w:rPr>
          <w:bCs/>
          <w:noProof/>
          <w:color w:val="auto"/>
        </w:rPr>
        <w:t>,</w:t>
      </w:r>
      <w:r w:rsidRPr="00A1728C">
        <w:rPr>
          <w:noProof/>
          <w:color w:val="auto"/>
        </w:rPr>
        <w:t xml:space="preserve"> e1828 </w:t>
      </w:r>
      <w:r w:rsidR="00EA1C1D">
        <w:rPr>
          <w:noProof/>
          <w:color w:val="auto"/>
        </w:rPr>
        <w:t>(</w:t>
      </w:r>
      <w:r w:rsidRPr="00A1728C">
        <w:rPr>
          <w:noProof/>
          <w:color w:val="auto"/>
        </w:rPr>
        <w:t>2016).</w:t>
      </w:r>
    </w:p>
    <w:p w14:paraId="3969FC3B" w14:textId="620C4841" w:rsidR="009B58A7" w:rsidRPr="00A1728C" w:rsidRDefault="009B58A7" w:rsidP="00A1728C">
      <w:pPr>
        <w:pStyle w:val="EndNoteBibliography"/>
        <w:ind w:left="720" w:hanging="720"/>
        <w:rPr>
          <w:noProof/>
          <w:color w:val="auto"/>
        </w:rPr>
      </w:pPr>
      <w:r w:rsidRPr="00A1728C">
        <w:rPr>
          <w:noProof/>
          <w:color w:val="auto"/>
        </w:rPr>
        <w:t>23</w:t>
      </w:r>
      <w:r w:rsidR="000815D5">
        <w:rPr>
          <w:noProof/>
          <w:color w:val="auto"/>
        </w:rPr>
        <w:t>.</w:t>
      </w:r>
      <w:r w:rsidRPr="00A1728C">
        <w:rPr>
          <w:noProof/>
          <w:color w:val="auto"/>
        </w:rPr>
        <w:tab/>
        <w:t>Lamanna, F., Kirschbaum, F., Waurick, I., Dieterich, C.</w:t>
      </w:r>
      <w:r w:rsidR="00EA1C1D">
        <w:rPr>
          <w:noProof/>
          <w:color w:val="auto"/>
        </w:rPr>
        <w:t>,</w:t>
      </w:r>
      <w:r w:rsidRPr="00A1728C">
        <w:rPr>
          <w:noProof/>
          <w:color w:val="auto"/>
        </w:rPr>
        <w:t xml:space="preserve"> Tiedemann, R. Cross-tissue and cross-species analysis of gene expression in skeletal muscle and electric organ of African weakly-electric fish (Teleostei; Mormyridae). </w:t>
      </w:r>
      <w:r w:rsidRPr="00A1728C">
        <w:rPr>
          <w:i/>
          <w:noProof/>
          <w:color w:val="auto"/>
        </w:rPr>
        <w:t>BMC Genomics.</w:t>
      </w:r>
      <w:r w:rsidRPr="00A1728C">
        <w:rPr>
          <w:noProof/>
          <w:color w:val="auto"/>
        </w:rPr>
        <w:t xml:space="preserve"> </w:t>
      </w:r>
      <w:r w:rsidRPr="00A1728C">
        <w:rPr>
          <w:b/>
          <w:noProof/>
          <w:color w:val="auto"/>
        </w:rPr>
        <w:t>16</w:t>
      </w:r>
      <w:r w:rsidR="00C74FE7">
        <w:rPr>
          <w:bCs/>
          <w:noProof/>
          <w:color w:val="auto"/>
        </w:rPr>
        <w:t>,</w:t>
      </w:r>
      <w:r w:rsidRPr="00A1728C">
        <w:rPr>
          <w:noProof/>
          <w:color w:val="auto"/>
        </w:rPr>
        <w:t xml:space="preserve"> 668 </w:t>
      </w:r>
      <w:r w:rsidR="00EA1C1D">
        <w:rPr>
          <w:noProof/>
          <w:color w:val="auto"/>
        </w:rPr>
        <w:t>(</w:t>
      </w:r>
      <w:r w:rsidRPr="00A1728C">
        <w:rPr>
          <w:noProof/>
          <w:color w:val="auto"/>
        </w:rPr>
        <w:t>2015).</w:t>
      </w:r>
    </w:p>
    <w:p w14:paraId="31FE4597" w14:textId="22F59B53" w:rsidR="009B58A7" w:rsidRPr="00A1728C" w:rsidRDefault="009B58A7" w:rsidP="00A1728C">
      <w:pPr>
        <w:pStyle w:val="EndNoteBibliography"/>
        <w:ind w:left="720" w:hanging="720"/>
        <w:rPr>
          <w:noProof/>
          <w:color w:val="auto"/>
        </w:rPr>
      </w:pPr>
      <w:r w:rsidRPr="00A1728C">
        <w:rPr>
          <w:noProof/>
          <w:color w:val="auto"/>
        </w:rPr>
        <w:t>24</w:t>
      </w:r>
      <w:r w:rsidR="000815D5">
        <w:rPr>
          <w:noProof/>
          <w:color w:val="auto"/>
        </w:rPr>
        <w:t>.</w:t>
      </w:r>
      <w:r w:rsidRPr="00A1728C">
        <w:rPr>
          <w:noProof/>
          <w:color w:val="auto"/>
        </w:rPr>
        <w:tab/>
        <w:t>Traeger, L. L.</w:t>
      </w:r>
      <w:r w:rsidRPr="00A1728C">
        <w:rPr>
          <w:i/>
          <w:noProof/>
          <w:color w:val="auto"/>
        </w:rPr>
        <w:t xml:space="preserve"> </w:t>
      </w:r>
      <w:r w:rsidR="00EA1C1D" w:rsidRPr="00EA1C1D">
        <w:rPr>
          <w:noProof/>
          <w:color w:val="auto"/>
        </w:rPr>
        <w:t>et al.</w:t>
      </w:r>
      <w:r w:rsidRPr="00A1728C">
        <w:rPr>
          <w:noProof/>
          <w:color w:val="auto"/>
        </w:rPr>
        <w:t xml:space="preserve"> Unique patterns of transcript and miRNA expression in the South American strong voltage electric eel (Electrophorus electricus). </w:t>
      </w:r>
      <w:r w:rsidRPr="00A1728C">
        <w:rPr>
          <w:i/>
          <w:noProof/>
          <w:color w:val="auto"/>
        </w:rPr>
        <w:t>BMC Genomics.</w:t>
      </w:r>
      <w:r w:rsidRPr="00A1728C">
        <w:rPr>
          <w:noProof/>
          <w:color w:val="auto"/>
        </w:rPr>
        <w:t xml:space="preserve"> </w:t>
      </w:r>
      <w:r w:rsidRPr="00A1728C">
        <w:rPr>
          <w:b/>
          <w:noProof/>
          <w:color w:val="auto"/>
        </w:rPr>
        <w:t>16</w:t>
      </w:r>
      <w:r w:rsidR="00C74FE7">
        <w:rPr>
          <w:bCs/>
          <w:noProof/>
          <w:color w:val="auto"/>
        </w:rPr>
        <w:t>,</w:t>
      </w:r>
      <w:r w:rsidRPr="00A1728C">
        <w:rPr>
          <w:noProof/>
          <w:color w:val="auto"/>
        </w:rPr>
        <w:t xml:space="preserve"> 243 </w:t>
      </w:r>
      <w:r w:rsidR="00EA1C1D">
        <w:rPr>
          <w:noProof/>
          <w:color w:val="auto"/>
        </w:rPr>
        <w:t>(</w:t>
      </w:r>
      <w:r w:rsidRPr="00A1728C">
        <w:rPr>
          <w:noProof/>
          <w:color w:val="auto"/>
        </w:rPr>
        <w:t>2015).</w:t>
      </w:r>
    </w:p>
    <w:p w14:paraId="02C089C0" w14:textId="43547FD1" w:rsidR="009B58A7" w:rsidRPr="00A1728C" w:rsidRDefault="009B58A7" w:rsidP="00A1728C">
      <w:pPr>
        <w:pStyle w:val="EndNoteBibliography"/>
        <w:ind w:left="720" w:hanging="720"/>
        <w:rPr>
          <w:noProof/>
          <w:color w:val="auto"/>
        </w:rPr>
      </w:pPr>
      <w:r w:rsidRPr="00A1728C">
        <w:rPr>
          <w:noProof/>
          <w:color w:val="auto"/>
        </w:rPr>
        <w:t>25</w:t>
      </w:r>
      <w:r w:rsidR="000815D5">
        <w:rPr>
          <w:noProof/>
          <w:color w:val="auto"/>
        </w:rPr>
        <w:t>.</w:t>
      </w:r>
      <w:r w:rsidRPr="00A1728C">
        <w:rPr>
          <w:noProof/>
          <w:color w:val="auto"/>
        </w:rPr>
        <w:tab/>
        <w:t>Salisbury, J. P.</w:t>
      </w:r>
      <w:r w:rsidRPr="00A1728C">
        <w:rPr>
          <w:i/>
          <w:noProof/>
          <w:color w:val="auto"/>
        </w:rPr>
        <w:t xml:space="preserve"> </w:t>
      </w:r>
      <w:r w:rsidR="00EA1C1D" w:rsidRPr="00EA1C1D">
        <w:rPr>
          <w:noProof/>
          <w:color w:val="auto"/>
        </w:rPr>
        <w:t>et al.</w:t>
      </w:r>
      <w:r w:rsidRPr="00A1728C">
        <w:rPr>
          <w:noProof/>
          <w:color w:val="auto"/>
        </w:rPr>
        <w:t xml:space="preserve"> The central nervous system transcriptome of the weakly electric brown ghost knifefish (Apteronotus leptorhynchus): de novo assembly, annotation, and proteomics validation. </w:t>
      </w:r>
      <w:r w:rsidRPr="00A1728C">
        <w:rPr>
          <w:i/>
          <w:noProof/>
          <w:color w:val="auto"/>
        </w:rPr>
        <w:t>BMC Genomics.</w:t>
      </w:r>
      <w:r w:rsidRPr="00A1728C">
        <w:rPr>
          <w:noProof/>
          <w:color w:val="auto"/>
        </w:rPr>
        <w:t xml:space="preserve"> </w:t>
      </w:r>
      <w:r w:rsidRPr="00A1728C">
        <w:rPr>
          <w:b/>
          <w:noProof/>
          <w:color w:val="auto"/>
        </w:rPr>
        <w:t>16</w:t>
      </w:r>
      <w:r w:rsidR="00C74FE7">
        <w:rPr>
          <w:bCs/>
          <w:noProof/>
          <w:color w:val="auto"/>
        </w:rPr>
        <w:t>,</w:t>
      </w:r>
      <w:r w:rsidRPr="00A1728C">
        <w:rPr>
          <w:noProof/>
          <w:color w:val="auto"/>
        </w:rPr>
        <w:t xml:space="preserve"> 166</w:t>
      </w:r>
      <w:r w:rsidR="00EA1C1D">
        <w:rPr>
          <w:noProof/>
          <w:color w:val="auto"/>
        </w:rPr>
        <w:t xml:space="preserve"> (</w:t>
      </w:r>
      <w:r w:rsidRPr="00A1728C">
        <w:rPr>
          <w:noProof/>
          <w:color w:val="auto"/>
        </w:rPr>
        <w:t>2015).</w:t>
      </w:r>
    </w:p>
    <w:p w14:paraId="2F7140B3" w14:textId="074B370B" w:rsidR="009B58A7" w:rsidRPr="00A1728C" w:rsidRDefault="009B58A7" w:rsidP="00A1728C">
      <w:pPr>
        <w:pStyle w:val="EndNoteBibliography"/>
        <w:ind w:left="720" w:hanging="720"/>
        <w:rPr>
          <w:noProof/>
          <w:color w:val="auto"/>
        </w:rPr>
      </w:pPr>
      <w:r w:rsidRPr="00A1728C">
        <w:rPr>
          <w:noProof/>
          <w:color w:val="auto"/>
        </w:rPr>
        <w:t>26</w:t>
      </w:r>
      <w:r w:rsidR="000815D5">
        <w:rPr>
          <w:noProof/>
          <w:color w:val="auto"/>
        </w:rPr>
        <w:t>.</w:t>
      </w:r>
      <w:r w:rsidRPr="00A1728C">
        <w:rPr>
          <w:noProof/>
          <w:color w:val="auto"/>
        </w:rPr>
        <w:tab/>
        <w:t>Lamanna, F., Kirschbaum, F.</w:t>
      </w:r>
      <w:r w:rsidR="00EA1C1D">
        <w:rPr>
          <w:noProof/>
          <w:color w:val="auto"/>
        </w:rPr>
        <w:t>,</w:t>
      </w:r>
      <w:r w:rsidRPr="00A1728C">
        <w:rPr>
          <w:noProof/>
          <w:color w:val="auto"/>
        </w:rPr>
        <w:t xml:space="preserve"> Tiedemann, R. De novo assembly and characterization of the skeletal muscle and electric organ transcriptomes of the African weakly electric fish Campylomormyrus compressirostris (Mormyridae, Teleostei). </w:t>
      </w:r>
      <w:r w:rsidRPr="00A1728C">
        <w:rPr>
          <w:i/>
          <w:noProof/>
          <w:color w:val="auto"/>
        </w:rPr>
        <w:t>Mol</w:t>
      </w:r>
      <w:r w:rsidR="00DD2327" w:rsidRPr="00A1728C">
        <w:rPr>
          <w:i/>
          <w:noProof/>
          <w:color w:val="auto"/>
        </w:rPr>
        <w:t>ecular</w:t>
      </w:r>
      <w:r w:rsidRPr="00A1728C">
        <w:rPr>
          <w:i/>
          <w:noProof/>
          <w:color w:val="auto"/>
        </w:rPr>
        <w:t xml:space="preserve"> Ecol</w:t>
      </w:r>
      <w:r w:rsidR="00DD2327" w:rsidRPr="00A1728C">
        <w:rPr>
          <w:i/>
          <w:noProof/>
          <w:color w:val="auto"/>
        </w:rPr>
        <w:t>ogy</w:t>
      </w:r>
      <w:r w:rsidRPr="00A1728C">
        <w:rPr>
          <w:i/>
          <w:noProof/>
          <w:color w:val="auto"/>
        </w:rPr>
        <w:t xml:space="preserve"> Resour</w:t>
      </w:r>
      <w:r w:rsidR="00DD2327" w:rsidRPr="00A1728C">
        <w:rPr>
          <w:i/>
          <w:noProof/>
          <w:color w:val="auto"/>
        </w:rPr>
        <w:t>ces</w:t>
      </w:r>
      <w:r w:rsidRPr="00A1728C">
        <w:rPr>
          <w:i/>
          <w:noProof/>
          <w:color w:val="auto"/>
        </w:rPr>
        <w:t>.</w:t>
      </w:r>
      <w:r w:rsidRPr="00A1728C">
        <w:rPr>
          <w:noProof/>
          <w:color w:val="auto"/>
        </w:rPr>
        <w:t xml:space="preserve"> </w:t>
      </w:r>
      <w:r w:rsidRPr="00A1728C">
        <w:rPr>
          <w:b/>
          <w:noProof/>
          <w:color w:val="auto"/>
        </w:rPr>
        <w:t>14</w:t>
      </w:r>
      <w:r w:rsidRPr="00A1728C">
        <w:rPr>
          <w:noProof/>
          <w:color w:val="auto"/>
        </w:rPr>
        <w:t xml:space="preserve"> (6), 1222</w:t>
      </w:r>
      <w:r w:rsidR="00481319">
        <w:rPr>
          <w:noProof/>
          <w:color w:val="auto"/>
        </w:rPr>
        <w:t>–</w:t>
      </w:r>
      <w:r w:rsidRPr="00A1728C">
        <w:rPr>
          <w:noProof/>
          <w:color w:val="auto"/>
        </w:rPr>
        <w:t>1230</w:t>
      </w:r>
      <w:r w:rsidR="00EA1C1D">
        <w:rPr>
          <w:noProof/>
          <w:color w:val="auto"/>
        </w:rPr>
        <w:t xml:space="preserve"> (</w:t>
      </w:r>
      <w:r w:rsidRPr="00A1728C">
        <w:rPr>
          <w:noProof/>
          <w:color w:val="auto"/>
        </w:rPr>
        <w:t>2014).</w:t>
      </w:r>
    </w:p>
    <w:p w14:paraId="26CBE47B" w14:textId="6B8B646E" w:rsidR="009B58A7" w:rsidRPr="00A1728C" w:rsidRDefault="009B58A7" w:rsidP="00A1728C">
      <w:pPr>
        <w:pStyle w:val="EndNoteBibliography"/>
        <w:ind w:left="720" w:hanging="720"/>
        <w:rPr>
          <w:noProof/>
          <w:color w:val="auto"/>
        </w:rPr>
      </w:pPr>
      <w:r w:rsidRPr="00A1728C">
        <w:rPr>
          <w:noProof/>
          <w:color w:val="auto"/>
        </w:rPr>
        <w:t>27</w:t>
      </w:r>
      <w:r w:rsidR="000815D5">
        <w:rPr>
          <w:noProof/>
          <w:color w:val="auto"/>
        </w:rPr>
        <w:t>.</w:t>
      </w:r>
      <w:r w:rsidRPr="00A1728C">
        <w:rPr>
          <w:noProof/>
          <w:color w:val="auto"/>
        </w:rPr>
        <w:tab/>
        <w:t>Mate, S. E., Brown, K. J.</w:t>
      </w:r>
      <w:r w:rsidR="00EA1C1D">
        <w:rPr>
          <w:noProof/>
          <w:color w:val="auto"/>
        </w:rPr>
        <w:t>,</w:t>
      </w:r>
      <w:r w:rsidRPr="00A1728C">
        <w:rPr>
          <w:noProof/>
          <w:color w:val="auto"/>
        </w:rPr>
        <w:t xml:space="preserve"> Hoffman, E. P. Integrated genomics and proteomics of the Torpedo californica electric organ: concordance with the mammalian neuromuscular junction. </w:t>
      </w:r>
      <w:r w:rsidRPr="00A1728C">
        <w:rPr>
          <w:i/>
          <w:noProof/>
          <w:color w:val="auto"/>
        </w:rPr>
        <w:t>Skelet</w:t>
      </w:r>
      <w:r w:rsidR="00DD2327" w:rsidRPr="00A1728C">
        <w:rPr>
          <w:i/>
          <w:noProof/>
          <w:color w:val="auto"/>
        </w:rPr>
        <w:t>al</w:t>
      </w:r>
      <w:r w:rsidRPr="00A1728C">
        <w:rPr>
          <w:i/>
          <w:noProof/>
          <w:color w:val="auto"/>
        </w:rPr>
        <w:t xml:space="preserve"> Muscle.</w:t>
      </w:r>
      <w:r w:rsidRPr="00A1728C">
        <w:rPr>
          <w:noProof/>
          <w:color w:val="auto"/>
        </w:rPr>
        <w:t xml:space="preserve"> </w:t>
      </w:r>
      <w:r w:rsidRPr="00A1728C">
        <w:rPr>
          <w:b/>
          <w:noProof/>
          <w:color w:val="auto"/>
        </w:rPr>
        <w:t>1</w:t>
      </w:r>
      <w:r w:rsidRPr="00A1728C">
        <w:rPr>
          <w:noProof/>
          <w:color w:val="auto"/>
        </w:rPr>
        <w:t xml:space="preserve"> (1), 20</w:t>
      </w:r>
      <w:r w:rsidR="00EA1C1D">
        <w:rPr>
          <w:noProof/>
          <w:color w:val="auto"/>
        </w:rPr>
        <w:t xml:space="preserve"> (</w:t>
      </w:r>
      <w:r w:rsidRPr="00A1728C">
        <w:rPr>
          <w:noProof/>
          <w:color w:val="auto"/>
        </w:rPr>
        <w:t>2011).</w:t>
      </w:r>
    </w:p>
    <w:p w14:paraId="7708F7CE" w14:textId="1B84C344" w:rsidR="009B58A7" w:rsidRPr="00A1728C" w:rsidRDefault="009B58A7" w:rsidP="00A1728C">
      <w:pPr>
        <w:pStyle w:val="EndNoteBibliography"/>
        <w:ind w:left="720" w:hanging="720"/>
        <w:rPr>
          <w:noProof/>
          <w:color w:val="auto"/>
        </w:rPr>
      </w:pPr>
      <w:r w:rsidRPr="00A1728C">
        <w:rPr>
          <w:noProof/>
          <w:color w:val="auto"/>
        </w:rPr>
        <w:t>28</w:t>
      </w:r>
      <w:r w:rsidR="000815D5">
        <w:rPr>
          <w:noProof/>
          <w:color w:val="auto"/>
        </w:rPr>
        <w:t>.</w:t>
      </w:r>
      <w:r w:rsidRPr="00A1728C">
        <w:rPr>
          <w:noProof/>
          <w:color w:val="auto"/>
        </w:rPr>
        <w:tab/>
        <w:t>Swapna, I.</w:t>
      </w:r>
      <w:r w:rsidRPr="00A1728C">
        <w:rPr>
          <w:i/>
          <w:noProof/>
          <w:color w:val="auto"/>
        </w:rPr>
        <w:t xml:space="preserve"> </w:t>
      </w:r>
      <w:r w:rsidR="00EA1C1D" w:rsidRPr="00EA1C1D">
        <w:rPr>
          <w:noProof/>
          <w:color w:val="auto"/>
        </w:rPr>
        <w:t>et al.</w:t>
      </w:r>
      <w:r w:rsidRPr="00A1728C">
        <w:rPr>
          <w:noProof/>
          <w:color w:val="auto"/>
        </w:rPr>
        <w:t xml:space="preserve"> Electrostatic Tuning of a Potassium Channel in Electric Fish. </w:t>
      </w:r>
      <w:r w:rsidRPr="00A1728C">
        <w:rPr>
          <w:i/>
          <w:noProof/>
          <w:color w:val="auto"/>
        </w:rPr>
        <w:t>bioRxiv.</w:t>
      </w:r>
      <w:r w:rsidR="00EA1C1D">
        <w:rPr>
          <w:noProof/>
          <w:color w:val="auto"/>
        </w:rPr>
        <w:t xml:space="preserve"> </w:t>
      </w:r>
      <w:r w:rsidRPr="00A1728C">
        <w:rPr>
          <w:noProof/>
          <w:color w:val="auto"/>
        </w:rPr>
        <w:t>(2017).</w:t>
      </w:r>
    </w:p>
    <w:p w14:paraId="2E1791B9" w14:textId="47744FAA" w:rsidR="009B58A7" w:rsidRPr="00A1728C" w:rsidRDefault="009B58A7" w:rsidP="00A1728C">
      <w:pPr>
        <w:pStyle w:val="EndNoteBibliography"/>
        <w:ind w:left="720" w:hanging="720"/>
        <w:rPr>
          <w:noProof/>
          <w:color w:val="auto"/>
        </w:rPr>
      </w:pPr>
      <w:r w:rsidRPr="00A1728C">
        <w:rPr>
          <w:noProof/>
          <w:color w:val="auto"/>
        </w:rPr>
        <w:t>29</w:t>
      </w:r>
      <w:r w:rsidR="000815D5">
        <w:rPr>
          <w:noProof/>
          <w:color w:val="auto"/>
        </w:rPr>
        <w:t>.</w:t>
      </w:r>
      <w:r w:rsidRPr="00A1728C">
        <w:rPr>
          <w:noProof/>
          <w:color w:val="auto"/>
        </w:rPr>
        <w:tab/>
        <w:t xml:space="preserve">Futuyma. </w:t>
      </w:r>
      <w:r w:rsidRPr="00A1728C">
        <w:rPr>
          <w:i/>
          <w:noProof/>
          <w:color w:val="auto"/>
        </w:rPr>
        <w:t>Evolution</w:t>
      </w:r>
      <w:r w:rsidRPr="00A1728C">
        <w:rPr>
          <w:noProof/>
          <w:color w:val="auto"/>
        </w:rPr>
        <w:t xml:space="preserve">. Third Edition </w:t>
      </w:r>
      <w:r w:rsidR="00EA1C1D">
        <w:rPr>
          <w:noProof/>
          <w:color w:val="auto"/>
        </w:rPr>
        <w:t>(</w:t>
      </w:r>
      <w:r w:rsidRPr="00A1728C">
        <w:rPr>
          <w:noProof/>
          <w:color w:val="auto"/>
        </w:rPr>
        <w:t>Sinauer Associates Inc., 2013).</w:t>
      </w:r>
    </w:p>
    <w:p w14:paraId="593E31A9" w14:textId="11CA8FF9" w:rsidR="009B58A7" w:rsidRPr="00A1728C" w:rsidRDefault="009B58A7" w:rsidP="00A1728C">
      <w:pPr>
        <w:pStyle w:val="EndNoteBibliography"/>
        <w:ind w:left="720" w:hanging="720"/>
        <w:rPr>
          <w:noProof/>
          <w:color w:val="auto"/>
        </w:rPr>
      </w:pPr>
      <w:r w:rsidRPr="00A1728C">
        <w:rPr>
          <w:noProof/>
          <w:color w:val="auto"/>
        </w:rPr>
        <w:t>30</w:t>
      </w:r>
      <w:r w:rsidR="000815D5">
        <w:rPr>
          <w:noProof/>
          <w:color w:val="auto"/>
        </w:rPr>
        <w:t>.</w:t>
      </w:r>
      <w:r w:rsidRPr="00A1728C">
        <w:rPr>
          <w:noProof/>
          <w:color w:val="auto"/>
        </w:rPr>
        <w:tab/>
        <w:t>Thompson, A., Vo, D., Comfort, C.</w:t>
      </w:r>
      <w:r w:rsidR="00EA1C1D">
        <w:rPr>
          <w:noProof/>
          <w:color w:val="auto"/>
        </w:rPr>
        <w:t>,</w:t>
      </w:r>
      <w:r w:rsidRPr="00A1728C">
        <w:rPr>
          <w:noProof/>
          <w:color w:val="auto"/>
        </w:rPr>
        <w:t xml:space="preserve"> Zakon, H. H. Expression Evolution Facilitated the Convergent Neofunctionalization of a Sodium Channel Gene. </w:t>
      </w:r>
      <w:r w:rsidRPr="00A1728C">
        <w:rPr>
          <w:i/>
          <w:noProof/>
          <w:color w:val="auto"/>
        </w:rPr>
        <w:t>Molecular Biology and Evolution.</w:t>
      </w:r>
      <w:r w:rsidRPr="00A1728C">
        <w:rPr>
          <w:noProof/>
          <w:color w:val="auto"/>
        </w:rPr>
        <w:t xml:space="preserve"> </w:t>
      </w:r>
      <w:r w:rsidRPr="00A1728C">
        <w:rPr>
          <w:b/>
          <w:noProof/>
          <w:color w:val="auto"/>
        </w:rPr>
        <w:t>31</w:t>
      </w:r>
      <w:r w:rsidRPr="00A1728C">
        <w:rPr>
          <w:noProof/>
          <w:color w:val="auto"/>
        </w:rPr>
        <w:t xml:space="preserve"> (8), 1941</w:t>
      </w:r>
      <w:r w:rsidR="00481319">
        <w:rPr>
          <w:noProof/>
          <w:color w:val="auto"/>
        </w:rPr>
        <w:t>–</w:t>
      </w:r>
      <w:r w:rsidRPr="00A1728C">
        <w:rPr>
          <w:noProof/>
          <w:color w:val="auto"/>
        </w:rPr>
        <w:t>1955</w:t>
      </w:r>
      <w:r w:rsidR="00EA1C1D">
        <w:rPr>
          <w:noProof/>
          <w:color w:val="auto"/>
        </w:rPr>
        <w:t xml:space="preserve"> (</w:t>
      </w:r>
      <w:r w:rsidRPr="00A1728C">
        <w:rPr>
          <w:noProof/>
          <w:color w:val="auto"/>
        </w:rPr>
        <w:t>2014).</w:t>
      </w:r>
    </w:p>
    <w:p w14:paraId="4203F6DD" w14:textId="1ED25055" w:rsidR="009B58A7" w:rsidRPr="00A1728C" w:rsidRDefault="009B58A7" w:rsidP="00A1728C">
      <w:pPr>
        <w:pStyle w:val="EndNoteBibliography"/>
        <w:ind w:left="720" w:hanging="720"/>
        <w:rPr>
          <w:noProof/>
          <w:color w:val="auto"/>
        </w:rPr>
      </w:pPr>
      <w:r w:rsidRPr="00A1728C">
        <w:rPr>
          <w:noProof/>
          <w:color w:val="auto"/>
        </w:rPr>
        <w:t>31</w:t>
      </w:r>
      <w:r w:rsidR="000815D5">
        <w:rPr>
          <w:noProof/>
          <w:color w:val="auto"/>
        </w:rPr>
        <w:t>.</w:t>
      </w:r>
      <w:r w:rsidRPr="00A1728C">
        <w:rPr>
          <w:noProof/>
          <w:color w:val="auto"/>
        </w:rPr>
        <w:tab/>
        <w:t>Pitchers, W. R., Constantinou, S. J., Losilla, M.</w:t>
      </w:r>
      <w:r w:rsidR="00EA1C1D">
        <w:rPr>
          <w:noProof/>
          <w:color w:val="auto"/>
        </w:rPr>
        <w:t>,</w:t>
      </w:r>
      <w:r w:rsidRPr="00A1728C">
        <w:rPr>
          <w:noProof/>
          <w:color w:val="auto"/>
        </w:rPr>
        <w:t xml:space="preserve"> Gallant, J. R. Electric fish genomics: Progress, prospects, and new tools for neuroethology. </w:t>
      </w:r>
      <w:r w:rsidRPr="00A1728C">
        <w:rPr>
          <w:i/>
          <w:noProof/>
          <w:color w:val="auto"/>
        </w:rPr>
        <w:t>J</w:t>
      </w:r>
      <w:r w:rsidR="00DD2327" w:rsidRPr="00A1728C">
        <w:rPr>
          <w:i/>
          <w:noProof/>
          <w:color w:val="auto"/>
        </w:rPr>
        <w:t>ournal of</w:t>
      </w:r>
      <w:r w:rsidRPr="00A1728C">
        <w:rPr>
          <w:i/>
          <w:noProof/>
          <w:color w:val="auto"/>
        </w:rPr>
        <w:t xml:space="preserve"> Physiol</w:t>
      </w:r>
      <w:r w:rsidR="00DD2327" w:rsidRPr="00A1728C">
        <w:rPr>
          <w:i/>
          <w:noProof/>
          <w:color w:val="auto"/>
        </w:rPr>
        <w:t>ogy</w:t>
      </w:r>
      <w:r w:rsidRPr="00A1728C">
        <w:rPr>
          <w:i/>
          <w:noProof/>
          <w:color w:val="auto"/>
        </w:rPr>
        <w:t xml:space="preserve"> Paris.</w:t>
      </w:r>
      <w:r w:rsidRPr="00A1728C">
        <w:rPr>
          <w:noProof/>
          <w:color w:val="auto"/>
        </w:rPr>
        <w:t xml:space="preserve"> </w:t>
      </w:r>
      <w:r w:rsidR="00EA1C1D">
        <w:rPr>
          <w:noProof/>
          <w:color w:val="auto"/>
        </w:rPr>
        <w:t>(</w:t>
      </w:r>
      <w:r w:rsidRPr="00A1728C">
        <w:rPr>
          <w:noProof/>
          <w:color w:val="auto"/>
        </w:rPr>
        <w:t>2016).</w:t>
      </w:r>
    </w:p>
    <w:p w14:paraId="2D22474A" w14:textId="6561EF9D" w:rsidR="009B58A7" w:rsidRPr="00A1728C" w:rsidRDefault="009B58A7" w:rsidP="00A1728C">
      <w:pPr>
        <w:pStyle w:val="EndNoteBibliography"/>
        <w:ind w:left="720" w:hanging="720"/>
        <w:rPr>
          <w:noProof/>
          <w:color w:val="auto"/>
        </w:rPr>
      </w:pPr>
      <w:r w:rsidRPr="00A1728C">
        <w:rPr>
          <w:noProof/>
          <w:color w:val="auto"/>
        </w:rPr>
        <w:lastRenderedPageBreak/>
        <w:t>32</w:t>
      </w:r>
      <w:r w:rsidR="000815D5">
        <w:rPr>
          <w:noProof/>
          <w:color w:val="auto"/>
        </w:rPr>
        <w:t>.</w:t>
      </w:r>
      <w:r w:rsidRPr="00A1728C">
        <w:rPr>
          <w:noProof/>
          <w:color w:val="auto"/>
        </w:rPr>
        <w:tab/>
        <w:t>Liang, X.</w:t>
      </w:r>
      <w:r w:rsidRPr="00A1728C">
        <w:rPr>
          <w:i/>
          <w:noProof/>
          <w:color w:val="auto"/>
        </w:rPr>
        <w:t xml:space="preserve"> </w:t>
      </w:r>
      <w:r w:rsidR="00EA1C1D" w:rsidRPr="00EA1C1D">
        <w:rPr>
          <w:noProof/>
          <w:color w:val="auto"/>
        </w:rPr>
        <w:t>et al.</w:t>
      </w:r>
      <w:r w:rsidRPr="00A1728C">
        <w:rPr>
          <w:noProof/>
          <w:color w:val="auto"/>
        </w:rPr>
        <w:t xml:space="preserve"> Rapid and highly efficient mammalian cell engineering via Cas9 protein transfection. </w:t>
      </w:r>
      <w:r w:rsidRPr="00A1728C">
        <w:rPr>
          <w:i/>
          <w:noProof/>
          <w:color w:val="auto"/>
        </w:rPr>
        <w:t>Journal of Biotechnology.</w:t>
      </w:r>
      <w:r w:rsidRPr="00A1728C">
        <w:rPr>
          <w:noProof/>
          <w:color w:val="auto"/>
        </w:rPr>
        <w:t xml:space="preserve"> </w:t>
      </w:r>
      <w:r w:rsidRPr="00A1728C">
        <w:rPr>
          <w:b/>
          <w:noProof/>
          <w:color w:val="auto"/>
        </w:rPr>
        <w:t>208</w:t>
      </w:r>
      <w:r w:rsidR="00C74FE7">
        <w:rPr>
          <w:bCs/>
          <w:noProof/>
          <w:color w:val="auto"/>
        </w:rPr>
        <w:t>,</w:t>
      </w:r>
      <w:r w:rsidRPr="00A1728C">
        <w:rPr>
          <w:noProof/>
          <w:color w:val="auto"/>
        </w:rPr>
        <w:t xml:space="preserve"> 44</w:t>
      </w:r>
      <w:r w:rsidR="00481319">
        <w:rPr>
          <w:noProof/>
          <w:color w:val="auto"/>
        </w:rPr>
        <w:t>–</w:t>
      </w:r>
      <w:r w:rsidRPr="00A1728C">
        <w:rPr>
          <w:noProof/>
          <w:color w:val="auto"/>
        </w:rPr>
        <w:t>53</w:t>
      </w:r>
      <w:r w:rsidR="00EA1C1D">
        <w:rPr>
          <w:noProof/>
          <w:color w:val="auto"/>
        </w:rPr>
        <w:t xml:space="preserve"> (</w:t>
      </w:r>
      <w:r w:rsidRPr="00A1728C">
        <w:rPr>
          <w:noProof/>
          <w:color w:val="auto"/>
        </w:rPr>
        <w:t>2015).</w:t>
      </w:r>
    </w:p>
    <w:p w14:paraId="1715B4E8" w14:textId="16E5BF93" w:rsidR="009B58A7" w:rsidRPr="00A1728C" w:rsidRDefault="009B58A7" w:rsidP="00A1728C">
      <w:pPr>
        <w:pStyle w:val="EndNoteBibliography"/>
        <w:ind w:left="720" w:hanging="720"/>
        <w:rPr>
          <w:noProof/>
          <w:color w:val="auto"/>
        </w:rPr>
      </w:pPr>
      <w:r w:rsidRPr="00A1728C">
        <w:rPr>
          <w:noProof/>
          <w:color w:val="auto"/>
        </w:rPr>
        <w:t>33</w:t>
      </w:r>
      <w:r w:rsidR="000815D5">
        <w:rPr>
          <w:noProof/>
          <w:color w:val="auto"/>
        </w:rPr>
        <w:t>.</w:t>
      </w:r>
      <w:r w:rsidRPr="00A1728C">
        <w:rPr>
          <w:noProof/>
          <w:color w:val="auto"/>
        </w:rPr>
        <w:tab/>
        <w:t>Jung, C. J.</w:t>
      </w:r>
      <w:r w:rsidRPr="00A1728C">
        <w:rPr>
          <w:i/>
          <w:noProof/>
          <w:color w:val="auto"/>
        </w:rPr>
        <w:t xml:space="preserve"> </w:t>
      </w:r>
      <w:r w:rsidR="00EA1C1D" w:rsidRPr="00EA1C1D">
        <w:rPr>
          <w:noProof/>
          <w:color w:val="auto"/>
        </w:rPr>
        <w:t>et al.</w:t>
      </w:r>
      <w:r w:rsidRPr="00A1728C">
        <w:rPr>
          <w:noProof/>
          <w:color w:val="auto"/>
        </w:rPr>
        <w:t xml:space="preserve"> Efficient gene targeting in mouse zygotes mediated by CRISPR/Cas9-protein. </w:t>
      </w:r>
      <w:r w:rsidRPr="00A1728C">
        <w:rPr>
          <w:i/>
          <w:noProof/>
          <w:color w:val="auto"/>
        </w:rPr>
        <w:t>Transgenic Res</w:t>
      </w:r>
      <w:r w:rsidR="00DD2327" w:rsidRPr="00A1728C">
        <w:rPr>
          <w:i/>
          <w:noProof/>
          <w:color w:val="auto"/>
        </w:rPr>
        <w:t>earch</w:t>
      </w:r>
      <w:r w:rsidRPr="00A1728C">
        <w:rPr>
          <w:i/>
          <w:noProof/>
          <w:color w:val="auto"/>
        </w:rPr>
        <w:t>.</w:t>
      </w:r>
      <w:r w:rsidRPr="00A1728C">
        <w:rPr>
          <w:noProof/>
          <w:color w:val="auto"/>
        </w:rPr>
        <w:t xml:space="preserve"> </w:t>
      </w:r>
      <w:r w:rsidRPr="00A1728C">
        <w:rPr>
          <w:b/>
          <w:noProof/>
          <w:color w:val="auto"/>
        </w:rPr>
        <w:t>26</w:t>
      </w:r>
      <w:r w:rsidRPr="00A1728C">
        <w:rPr>
          <w:noProof/>
          <w:color w:val="auto"/>
        </w:rPr>
        <w:t xml:space="preserve"> (2), 263</w:t>
      </w:r>
      <w:r w:rsidR="00481319">
        <w:rPr>
          <w:noProof/>
          <w:color w:val="auto"/>
        </w:rPr>
        <w:t>–</w:t>
      </w:r>
      <w:r w:rsidRPr="00A1728C">
        <w:rPr>
          <w:noProof/>
          <w:color w:val="auto"/>
        </w:rPr>
        <w:t>277</w:t>
      </w:r>
      <w:r w:rsidR="00EA1C1D">
        <w:rPr>
          <w:noProof/>
          <w:color w:val="auto"/>
        </w:rPr>
        <w:t xml:space="preserve"> (</w:t>
      </w:r>
      <w:r w:rsidRPr="00A1728C">
        <w:rPr>
          <w:noProof/>
          <w:color w:val="auto"/>
        </w:rPr>
        <w:t>2017).</w:t>
      </w:r>
    </w:p>
    <w:p w14:paraId="36C9E5A6" w14:textId="39777F45" w:rsidR="009B58A7" w:rsidRPr="00A1728C" w:rsidRDefault="009B58A7" w:rsidP="00A1728C">
      <w:pPr>
        <w:pStyle w:val="EndNoteBibliography"/>
        <w:ind w:left="720" w:hanging="720"/>
        <w:rPr>
          <w:noProof/>
          <w:color w:val="auto"/>
        </w:rPr>
      </w:pPr>
      <w:r w:rsidRPr="00A1728C">
        <w:rPr>
          <w:noProof/>
          <w:color w:val="auto"/>
        </w:rPr>
        <w:t>34</w:t>
      </w:r>
      <w:r w:rsidR="000815D5">
        <w:rPr>
          <w:noProof/>
          <w:color w:val="auto"/>
        </w:rPr>
        <w:t>.</w:t>
      </w:r>
      <w:r w:rsidRPr="00A1728C">
        <w:rPr>
          <w:noProof/>
          <w:color w:val="auto"/>
        </w:rPr>
        <w:tab/>
        <w:t>Liu, K., Petree, C., Requena, T., Varshney, P.</w:t>
      </w:r>
      <w:r w:rsidR="00EA1C1D">
        <w:rPr>
          <w:noProof/>
          <w:color w:val="auto"/>
        </w:rPr>
        <w:t>,</w:t>
      </w:r>
      <w:r w:rsidRPr="00A1728C">
        <w:rPr>
          <w:noProof/>
          <w:color w:val="auto"/>
        </w:rPr>
        <w:t xml:space="preserve"> Varshney, G. K. Expanding the CRISPR Toolbox in Zebrafish for Studying Development and Disease. </w:t>
      </w:r>
      <w:r w:rsidRPr="00A1728C">
        <w:rPr>
          <w:i/>
          <w:noProof/>
          <w:color w:val="auto"/>
        </w:rPr>
        <w:t>Frontiers in Cell and Developmental Biology.</w:t>
      </w:r>
      <w:r w:rsidRPr="00A1728C">
        <w:rPr>
          <w:noProof/>
          <w:color w:val="auto"/>
        </w:rPr>
        <w:t xml:space="preserve"> </w:t>
      </w:r>
      <w:r w:rsidRPr="00A1728C">
        <w:rPr>
          <w:b/>
          <w:noProof/>
          <w:color w:val="auto"/>
        </w:rPr>
        <w:t>7</w:t>
      </w:r>
      <w:r w:rsidRPr="00A1728C">
        <w:rPr>
          <w:noProof/>
          <w:color w:val="auto"/>
        </w:rPr>
        <w:t xml:space="preserve"> (13),</w:t>
      </w:r>
      <w:r w:rsidR="00C74FE7">
        <w:rPr>
          <w:noProof/>
          <w:color w:val="auto"/>
        </w:rPr>
        <w:t xml:space="preserve"> </w:t>
      </w:r>
      <w:r w:rsidR="00EA1C1D">
        <w:rPr>
          <w:noProof/>
          <w:color w:val="auto"/>
        </w:rPr>
        <w:t>(</w:t>
      </w:r>
      <w:r w:rsidRPr="00A1728C">
        <w:rPr>
          <w:noProof/>
          <w:color w:val="auto"/>
        </w:rPr>
        <w:t>2019).</w:t>
      </w:r>
    </w:p>
    <w:p w14:paraId="7A7BE213" w14:textId="385A575A" w:rsidR="009B58A7" w:rsidRPr="00A1728C" w:rsidRDefault="009B58A7" w:rsidP="00A1728C">
      <w:pPr>
        <w:pStyle w:val="EndNoteBibliography"/>
        <w:ind w:left="720" w:hanging="720"/>
        <w:rPr>
          <w:noProof/>
          <w:color w:val="auto"/>
        </w:rPr>
      </w:pPr>
      <w:r w:rsidRPr="00A1728C">
        <w:rPr>
          <w:noProof/>
          <w:color w:val="auto"/>
        </w:rPr>
        <w:t>35</w:t>
      </w:r>
      <w:r w:rsidR="000815D5">
        <w:rPr>
          <w:noProof/>
          <w:color w:val="auto"/>
        </w:rPr>
        <w:t>.</w:t>
      </w:r>
      <w:r w:rsidRPr="00A1728C">
        <w:rPr>
          <w:noProof/>
          <w:color w:val="auto"/>
        </w:rPr>
        <w:tab/>
        <w:t>Zu, Y.</w:t>
      </w:r>
      <w:r w:rsidRPr="00A1728C">
        <w:rPr>
          <w:i/>
          <w:noProof/>
          <w:color w:val="auto"/>
        </w:rPr>
        <w:t xml:space="preserve"> </w:t>
      </w:r>
      <w:r w:rsidR="00EA1C1D" w:rsidRPr="00EA1C1D">
        <w:rPr>
          <w:noProof/>
          <w:color w:val="auto"/>
        </w:rPr>
        <w:t>et al.</w:t>
      </w:r>
      <w:r w:rsidRPr="00A1728C">
        <w:rPr>
          <w:noProof/>
          <w:color w:val="auto"/>
        </w:rPr>
        <w:t xml:space="preserve"> Biallelic editing of a lamprey genome using the CRISPR/Cas9 system. </w:t>
      </w:r>
      <w:r w:rsidRPr="00A1728C">
        <w:rPr>
          <w:i/>
          <w:noProof/>
          <w:color w:val="auto"/>
        </w:rPr>
        <w:t>Sci</w:t>
      </w:r>
      <w:r w:rsidR="00AA4232" w:rsidRPr="00A1728C">
        <w:rPr>
          <w:i/>
          <w:noProof/>
          <w:color w:val="auto"/>
        </w:rPr>
        <w:t>entific</w:t>
      </w:r>
      <w:r w:rsidRPr="00A1728C">
        <w:rPr>
          <w:i/>
          <w:noProof/>
          <w:color w:val="auto"/>
        </w:rPr>
        <w:t xml:space="preserve"> Rep</w:t>
      </w:r>
      <w:r w:rsidR="00AA4232" w:rsidRPr="00A1728C">
        <w:rPr>
          <w:i/>
          <w:noProof/>
          <w:color w:val="auto"/>
        </w:rPr>
        <w:t>orts</w:t>
      </w:r>
      <w:r w:rsidRPr="00A1728C">
        <w:rPr>
          <w:i/>
          <w:noProof/>
          <w:color w:val="auto"/>
        </w:rPr>
        <w:t>.</w:t>
      </w:r>
      <w:r w:rsidRPr="00A1728C">
        <w:rPr>
          <w:noProof/>
          <w:color w:val="auto"/>
        </w:rPr>
        <w:t xml:space="preserve"> </w:t>
      </w:r>
      <w:r w:rsidRPr="00A1728C">
        <w:rPr>
          <w:b/>
          <w:noProof/>
          <w:color w:val="auto"/>
        </w:rPr>
        <w:t>6</w:t>
      </w:r>
      <w:r w:rsidRPr="00A1728C">
        <w:rPr>
          <w:noProof/>
          <w:color w:val="auto"/>
        </w:rPr>
        <w:t xml:space="preserve"> 23496</w:t>
      </w:r>
      <w:r w:rsidR="00EA1C1D">
        <w:rPr>
          <w:noProof/>
          <w:color w:val="auto"/>
        </w:rPr>
        <w:t xml:space="preserve"> (</w:t>
      </w:r>
      <w:r w:rsidRPr="00A1728C">
        <w:rPr>
          <w:noProof/>
          <w:color w:val="auto"/>
        </w:rPr>
        <w:t>2016).</w:t>
      </w:r>
    </w:p>
    <w:p w14:paraId="7D9CEBC2" w14:textId="7CD5F700" w:rsidR="009B58A7" w:rsidRPr="00A1728C" w:rsidRDefault="009B58A7" w:rsidP="00A1728C">
      <w:pPr>
        <w:pStyle w:val="EndNoteBibliography"/>
        <w:ind w:left="720" w:hanging="720"/>
        <w:rPr>
          <w:noProof/>
          <w:color w:val="auto"/>
        </w:rPr>
      </w:pPr>
      <w:r w:rsidRPr="00A1728C">
        <w:rPr>
          <w:noProof/>
          <w:color w:val="auto"/>
        </w:rPr>
        <w:t>36</w:t>
      </w:r>
      <w:r w:rsidR="000815D5">
        <w:rPr>
          <w:noProof/>
          <w:color w:val="auto"/>
        </w:rPr>
        <w:t>.</w:t>
      </w:r>
      <w:r w:rsidRPr="00A1728C">
        <w:rPr>
          <w:noProof/>
          <w:color w:val="auto"/>
        </w:rPr>
        <w:tab/>
        <w:t>Crispo, M.</w:t>
      </w:r>
      <w:r w:rsidRPr="00A1728C">
        <w:rPr>
          <w:i/>
          <w:noProof/>
          <w:color w:val="auto"/>
        </w:rPr>
        <w:t xml:space="preserve"> </w:t>
      </w:r>
      <w:r w:rsidR="00EA1C1D" w:rsidRPr="00EA1C1D">
        <w:rPr>
          <w:noProof/>
          <w:color w:val="auto"/>
        </w:rPr>
        <w:t>et al.</w:t>
      </w:r>
      <w:r w:rsidRPr="00A1728C">
        <w:rPr>
          <w:noProof/>
          <w:color w:val="auto"/>
        </w:rPr>
        <w:t xml:space="preserve"> Efficient Generation of Myostatin Knock-Out Sheep Using CRISPR/Cas9 Technology and Microinjection into Zygotes. </w:t>
      </w:r>
      <w:r w:rsidRPr="00A1728C">
        <w:rPr>
          <w:i/>
          <w:noProof/>
          <w:color w:val="auto"/>
        </w:rPr>
        <w:t>PLoS One.</w:t>
      </w:r>
      <w:r w:rsidRPr="00A1728C">
        <w:rPr>
          <w:noProof/>
          <w:color w:val="auto"/>
        </w:rPr>
        <w:t xml:space="preserve"> </w:t>
      </w:r>
      <w:r w:rsidRPr="00A1728C">
        <w:rPr>
          <w:b/>
          <w:noProof/>
          <w:color w:val="auto"/>
        </w:rPr>
        <w:t>10</w:t>
      </w:r>
      <w:r w:rsidRPr="00A1728C">
        <w:rPr>
          <w:noProof/>
          <w:color w:val="auto"/>
        </w:rPr>
        <w:t xml:space="preserve"> (8), e0136690</w:t>
      </w:r>
      <w:r w:rsidR="00EA1C1D">
        <w:rPr>
          <w:noProof/>
          <w:color w:val="auto"/>
        </w:rPr>
        <w:t xml:space="preserve"> (</w:t>
      </w:r>
      <w:r w:rsidRPr="00A1728C">
        <w:rPr>
          <w:noProof/>
          <w:color w:val="auto"/>
        </w:rPr>
        <w:t>2015).</w:t>
      </w:r>
    </w:p>
    <w:p w14:paraId="080D713C" w14:textId="3771BD00" w:rsidR="009B58A7" w:rsidRPr="00A1728C" w:rsidRDefault="009B58A7" w:rsidP="00A1728C">
      <w:pPr>
        <w:pStyle w:val="EndNoteBibliography"/>
        <w:ind w:left="720" w:hanging="720"/>
        <w:rPr>
          <w:noProof/>
          <w:color w:val="auto"/>
        </w:rPr>
      </w:pPr>
      <w:r w:rsidRPr="00A1728C">
        <w:rPr>
          <w:noProof/>
          <w:color w:val="auto"/>
        </w:rPr>
        <w:t>37</w:t>
      </w:r>
      <w:r w:rsidR="000815D5">
        <w:rPr>
          <w:noProof/>
          <w:color w:val="auto"/>
        </w:rPr>
        <w:t>.</w:t>
      </w:r>
      <w:r w:rsidRPr="00A1728C">
        <w:rPr>
          <w:noProof/>
          <w:color w:val="auto"/>
        </w:rPr>
        <w:tab/>
        <w:t>Sun, D., Guo, Z., Liu, Y.</w:t>
      </w:r>
      <w:r w:rsidR="00EA1C1D">
        <w:rPr>
          <w:noProof/>
          <w:color w:val="auto"/>
        </w:rPr>
        <w:t>,</w:t>
      </w:r>
      <w:r w:rsidRPr="00A1728C">
        <w:rPr>
          <w:noProof/>
          <w:color w:val="auto"/>
        </w:rPr>
        <w:t xml:space="preserve"> Zhang, Y. Progress and Prospects of CRISPR/Cas Systems in Insects and Other Arthropods. </w:t>
      </w:r>
      <w:r w:rsidRPr="00A1728C">
        <w:rPr>
          <w:i/>
          <w:noProof/>
          <w:color w:val="auto"/>
        </w:rPr>
        <w:t>Front</w:t>
      </w:r>
      <w:r w:rsidR="00AA4232" w:rsidRPr="00A1728C">
        <w:rPr>
          <w:i/>
          <w:noProof/>
          <w:color w:val="auto"/>
        </w:rPr>
        <w:t>iers in</w:t>
      </w:r>
      <w:r w:rsidRPr="00A1728C">
        <w:rPr>
          <w:i/>
          <w:noProof/>
          <w:color w:val="auto"/>
        </w:rPr>
        <w:t xml:space="preserve"> Physiol</w:t>
      </w:r>
      <w:r w:rsidR="00AA4232" w:rsidRPr="00A1728C">
        <w:rPr>
          <w:i/>
          <w:noProof/>
          <w:color w:val="auto"/>
        </w:rPr>
        <w:t>ogy</w:t>
      </w:r>
      <w:r w:rsidRPr="00A1728C">
        <w:rPr>
          <w:i/>
          <w:noProof/>
          <w:color w:val="auto"/>
        </w:rPr>
        <w:t>.</w:t>
      </w:r>
      <w:r w:rsidRPr="00A1728C">
        <w:rPr>
          <w:noProof/>
          <w:color w:val="auto"/>
        </w:rPr>
        <w:t xml:space="preserve"> </w:t>
      </w:r>
      <w:r w:rsidRPr="00A1728C">
        <w:rPr>
          <w:b/>
          <w:noProof/>
          <w:color w:val="auto"/>
        </w:rPr>
        <w:t>8</w:t>
      </w:r>
      <w:r w:rsidR="008066F6">
        <w:rPr>
          <w:noProof/>
          <w:color w:val="auto"/>
        </w:rPr>
        <w:t xml:space="preserve">, </w:t>
      </w:r>
      <w:r w:rsidRPr="00A1728C">
        <w:rPr>
          <w:noProof/>
          <w:color w:val="auto"/>
        </w:rPr>
        <w:t>608</w:t>
      </w:r>
      <w:r w:rsidR="00EA1C1D">
        <w:rPr>
          <w:noProof/>
          <w:color w:val="auto"/>
        </w:rPr>
        <w:t xml:space="preserve"> (</w:t>
      </w:r>
      <w:r w:rsidRPr="00A1728C">
        <w:rPr>
          <w:noProof/>
          <w:color w:val="auto"/>
        </w:rPr>
        <w:t>2017).</w:t>
      </w:r>
    </w:p>
    <w:p w14:paraId="06BDB2BD" w14:textId="216C8889" w:rsidR="009B58A7" w:rsidRPr="00A1728C" w:rsidRDefault="009B58A7" w:rsidP="00A1728C">
      <w:pPr>
        <w:pStyle w:val="EndNoteBibliography"/>
        <w:ind w:left="720" w:hanging="720"/>
        <w:rPr>
          <w:noProof/>
          <w:color w:val="auto"/>
        </w:rPr>
      </w:pPr>
      <w:r w:rsidRPr="00A1728C">
        <w:rPr>
          <w:noProof/>
          <w:color w:val="auto"/>
        </w:rPr>
        <w:t>38</w:t>
      </w:r>
      <w:r w:rsidR="000815D5">
        <w:rPr>
          <w:noProof/>
          <w:color w:val="auto"/>
        </w:rPr>
        <w:t>.</w:t>
      </w:r>
      <w:r w:rsidRPr="00A1728C">
        <w:rPr>
          <w:noProof/>
          <w:color w:val="auto"/>
        </w:rPr>
        <w:tab/>
        <w:t>Gagnon, J. A.</w:t>
      </w:r>
      <w:r w:rsidRPr="00A1728C">
        <w:rPr>
          <w:i/>
          <w:noProof/>
          <w:color w:val="auto"/>
        </w:rPr>
        <w:t xml:space="preserve"> </w:t>
      </w:r>
      <w:r w:rsidR="00EA1C1D" w:rsidRPr="00EA1C1D">
        <w:rPr>
          <w:noProof/>
          <w:color w:val="auto"/>
        </w:rPr>
        <w:t>et al.</w:t>
      </w:r>
      <w:r w:rsidRPr="00A1728C">
        <w:rPr>
          <w:noProof/>
          <w:color w:val="auto"/>
        </w:rPr>
        <w:t xml:space="preserve"> Efficient mutagenesis by Cas9 protein-mediated oligonucleotide insertion and large-scale assessment of single-guide RNAs. </w:t>
      </w:r>
      <w:r w:rsidRPr="00A1728C">
        <w:rPr>
          <w:i/>
          <w:noProof/>
          <w:color w:val="auto"/>
        </w:rPr>
        <w:t>PLoS One.</w:t>
      </w:r>
      <w:r w:rsidRPr="00A1728C">
        <w:rPr>
          <w:noProof/>
          <w:color w:val="auto"/>
        </w:rPr>
        <w:t xml:space="preserve"> </w:t>
      </w:r>
      <w:r w:rsidRPr="00A1728C">
        <w:rPr>
          <w:b/>
          <w:noProof/>
          <w:color w:val="auto"/>
        </w:rPr>
        <w:t>9</w:t>
      </w:r>
      <w:r w:rsidRPr="00A1728C">
        <w:rPr>
          <w:noProof/>
          <w:color w:val="auto"/>
        </w:rPr>
        <w:t xml:space="preserve"> (5), e98186</w:t>
      </w:r>
      <w:r w:rsidR="00EA1C1D">
        <w:rPr>
          <w:noProof/>
          <w:color w:val="auto"/>
        </w:rPr>
        <w:t xml:space="preserve"> (</w:t>
      </w:r>
      <w:r w:rsidRPr="00A1728C">
        <w:rPr>
          <w:noProof/>
          <w:color w:val="auto"/>
        </w:rPr>
        <w:t>2014).</w:t>
      </w:r>
    </w:p>
    <w:p w14:paraId="367EA905" w14:textId="3EF07260" w:rsidR="009B58A7" w:rsidRPr="00A1728C" w:rsidRDefault="009B58A7" w:rsidP="00A1728C">
      <w:pPr>
        <w:pStyle w:val="EndNoteBibliography"/>
        <w:ind w:left="720" w:hanging="720"/>
        <w:rPr>
          <w:noProof/>
          <w:color w:val="auto"/>
        </w:rPr>
      </w:pPr>
      <w:r w:rsidRPr="00A1728C">
        <w:rPr>
          <w:noProof/>
          <w:color w:val="auto"/>
        </w:rPr>
        <w:t>39</w:t>
      </w:r>
      <w:r w:rsidR="000815D5">
        <w:rPr>
          <w:noProof/>
          <w:color w:val="auto"/>
        </w:rPr>
        <w:t>.</w:t>
      </w:r>
      <w:r w:rsidRPr="00A1728C">
        <w:rPr>
          <w:noProof/>
          <w:color w:val="auto"/>
        </w:rPr>
        <w:tab/>
        <w:t>Kok, F. O.</w:t>
      </w:r>
      <w:r w:rsidRPr="00A1728C">
        <w:rPr>
          <w:i/>
          <w:noProof/>
          <w:color w:val="auto"/>
        </w:rPr>
        <w:t xml:space="preserve"> </w:t>
      </w:r>
      <w:r w:rsidR="00EA1C1D" w:rsidRPr="00EA1C1D">
        <w:rPr>
          <w:noProof/>
          <w:color w:val="auto"/>
        </w:rPr>
        <w:t>et al.</w:t>
      </w:r>
      <w:r w:rsidRPr="00A1728C">
        <w:rPr>
          <w:noProof/>
          <w:color w:val="auto"/>
        </w:rPr>
        <w:t xml:space="preserve"> Reverse genetic screening reveals poor correlation between morpholino-induced and mutant phenotypes in zebrafish. </w:t>
      </w:r>
      <w:r w:rsidRPr="00A1728C">
        <w:rPr>
          <w:i/>
          <w:noProof/>
          <w:color w:val="auto"/>
        </w:rPr>
        <w:t>Dev</w:t>
      </w:r>
      <w:r w:rsidR="00AA4232" w:rsidRPr="00A1728C">
        <w:rPr>
          <w:i/>
          <w:noProof/>
          <w:color w:val="auto"/>
        </w:rPr>
        <w:t>elopmental</w:t>
      </w:r>
      <w:r w:rsidRPr="00A1728C">
        <w:rPr>
          <w:i/>
          <w:noProof/>
          <w:color w:val="auto"/>
        </w:rPr>
        <w:t xml:space="preserve"> Cell.</w:t>
      </w:r>
      <w:r w:rsidRPr="00A1728C">
        <w:rPr>
          <w:noProof/>
          <w:color w:val="auto"/>
        </w:rPr>
        <w:t xml:space="preserve"> </w:t>
      </w:r>
      <w:r w:rsidRPr="00A1728C">
        <w:rPr>
          <w:b/>
          <w:noProof/>
          <w:color w:val="auto"/>
        </w:rPr>
        <w:t>32</w:t>
      </w:r>
      <w:r w:rsidRPr="00A1728C">
        <w:rPr>
          <w:noProof/>
          <w:color w:val="auto"/>
        </w:rPr>
        <w:t xml:space="preserve"> (1), 97</w:t>
      </w:r>
      <w:r w:rsidR="00481319">
        <w:rPr>
          <w:noProof/>
          <w:color w:val="auto"/>
        </w:rPr>
        <w:t>–</w:t>
      </w:r>
      <w:r w:rsidRPr="00A1728C">
        <w:rPr>
          <w:noProof/>
          <w:color w:val="auto"/>
        </w:rPr>
        <w:t>108</w:t>
      </w:r>
      <w:r w:rsidR="00EA1C1D">
        <w:rPr>
          <w:noProof/>
          <w:color w:val="auto"/>
        </w:rPr>
        <w:t xml:space="preserve"> (</w:t>
      </w:r>
      <w:r w:rsidRPr="00A1728C">
        <w:rPr>
          <w:noProof/>
          <w:color w:val="auto"/>
        </w:rPr>
        <w:t>2015).</w:t>
      </w:r>
    </w:p>
    <w:p w14:paraId="3426ECAC" w14:textId="29609136" w:rsidR="009B58A7" w:rsidRPr="00A1728C" w:rsidRDefault="009B58A7" w:rsidP="00A1728C">
      <w:pPr>
        <w:pStyle w:val="EndNoteBibliography"/>
        <w:ind w:left="720" w:hanging="720"/>
        <w:rPr>
          <w:noProof/>
          <w:color w:val="auto"/>
        </w:rPr>
      </w:pPr>
      <w:r w:rsidRPr="00A1728C">
        <w:rPr>
          <w:noProof/>
          <w:color w:val="auto"/>
        </w:rPr>
        <w:t>40</w:t>
      </w:r>
      <w:r w:rsidR="000815D5">
        <w:rPr>
          <w:noProof/>
          <w:color w:val="auto"/>
        </w:rPr>
        <w:t>.</w:t>
      </w:r>
      <w:r w:rsidRPr="00A1728C">
        <w:rPr>
          <w:noProof/>
          <w:color w:val="auto"/>
        </w:rPr>
        <w:tab/>
        <w:t>Morcos, P. A., Vincent, A. C.</w:t>
      </w:r>
      <w:r w:rsidR="00EA1C1D">
        <w:rPr>
          <w:noProof/>
          <w:color w:val="auto"/>
        </w:rPr>
        <w:t>,</w:t>
      </w:r>
      <w:r w:rsidRPr="00A1728C">
        <w:rPr>
          <w:noProof/>
          <w:color w:val="auto"/>
        </w:rPr>
        <w:t xml:space="preserve"> Moulton, J. D. Gene Editing Versus Morphants. </w:t>
      </w:r>
      <w:r w:rsidRPr="00A1728C">
        <w:rPr>
          <w:i/>
          <w:noProof/>
          <w:color w:val="auto"/>
        </w:rPr>
        <w:t>Zebrafish.</w:t>
      </w:r>
      <w:r w:rsidRPr="00A1728C">
        <w:rPr>
          <w:noProof/>
          <w:color w:val="auto"/>
        </w:rPr>
        <w:t xml:space="preserve"> </w:t>
      </w:r>
      <w:r w:rsidRPr="00A1728C">
        <w:rPr>
          <w:b/>
          <w:noProof/>
          <w:color w:val="auto"/>
        </w:rPr>
        <w:t>12</w:t>
      </w:r>
      <w:r w:rsidRPr="00A1728C">
        <w:rPr>
          <w:noProof/>
          <w:color w:val="auto"/>
        </w:rPr>
        <w:t xml:space="preserve"> (5), 319</w:t>
      </w:r>
      <w:r w:rsidR="00EA1C1D">
        <w:rPr>
          <w:noProof/>
          <w:color w:val="auto"/>
        </w:rPr>
        <w:t xml:space="preserve"> (</w:t>
      </w:r>
      <w:r w:rsidRPr="00A1728C">
        <w:rPr>
          <w:noProof/>
          <w:color w:val="auto"/>
        </w:rPr>
        <w:t>2015).</w:t>
      </w:r>
    </w:p>
    <w:p w14:paraId="7CCC61BC" w14:textId="376457F1" w:rsidR="00A24924" w:rsidRPr="00A1728C" w:rsidRDefault="009B58A7" w:rsidP="00A1728C">
      <w:pPr>
        <w:pStyle w:val="EndNoteBibliography"/>
        <w:ind w:left="720" w:hanging="720"/>
        <w:rPr>
          <w:noProof/>
          <w:color w:val="auto"/>
        </w:rPr>
      </w:pPr>
      <w:r w:rsidRPr="00A1728C">
        <w:rPr>
          <w:noProof/>
          <w:color w:val="auto"/>
        </w:rPr>
        <w:t>41</w:t>
      </w:r>
      <w:r w:rsidR="000815D5">
        <w:rPr>
          <w:noProof/>
          <w:color w:val="auto"/>
        </w:rPr>
        <w:t>.</w:t>
      </w:r>
      <w:r w:rsidRPr="00A1728C">
        <w:rPr>
          <w:noProof/>
          <w:color w:val="auto"/>
        </w:rPr>
        <w:tab/>
      </w:r>
      <w:r w:rsidR="00A24924" w:rsidRPr="00A1728C">
        <w:rPr>
          <w:noProof/>
          <w:color w:val="auto"/>
        </w:rPr>
        <w:t>Mehravar, M., Shirazi, A., Nazari, M.</w:t>
      </w:r>
      <w:r w:rsidR="00EA1C1D">
        <w:rPr>
          <w:noProof/>
          <w:color w:val="auto"/>
        </w:rPr>
        <w:t>,</w:t>
      </w:r>
      <w:r w:rsidR="00A24924" w:rsidRPr="00A1728C">
        <w:rPr>
          <w:noProof/>
          <w:color w:val="auto"/>
        </w:rPr>
        <w:t xml:space="preserve"> Banan, M. Mosaicism in CRISPR/Cas9-mediated genome editing. </w:t>
      </w:r>
      <w:r w:rsidR="00A24924" w:rsidRPr="00A1728C">
        <w:rPr>
          <w:i/>
          <w:noProof/>
          <w:color w:val="auto"/>
        </w:rPr>
        <w:t>Developmental Biology.</w:t>
      </w:r>
      <w:r w:rsidR="00A24924" w:rsidRPr="00A1728C">
        <w:rPr>
          <w:noProof/>
          <w:color w:val="auto"/>
        </w:rPr>
        <w:t xml:space="preserve"> </w:t>
      </w:r>
      <w:r w:rsidR="00A24924" w:rsidRPr="00A1728C">
        <w:rPr>
          <w:b/>
          <w:noProof/>
          <w:color w:val="auto"/>
        </w:rPr>
        <w:t>445</w:t>
      </w:r>
      <w:r w:rsidR="00A24924" w:rsidRPr="00A1728C">
        <w:rPr>
          <w:noProof/>
          <w:color w:val="auto"/>
        </w:rPr>
        <w:t xml:space="preserve"> (2), 156</w:t>
      </w:r>
      <w:r w:rsidR="00481319">
        <w:rPr>
          <w:noProof/>
          <w:color w:val="auto"/>
        </w:rPr>
        <w:t>–</w:t>
      </w:r>
      <w:r w:rsidR="00A24924" w:rsidRPr="00A1728C">
        <w:rPr>
          <w:noProof/>
          <w:color w:val="auto"/>
        </w:rPr>
        <w:t>162</w:t>
      </w:r>
      <w:r w:rsidR="00EA1C1D">
        <w:rPr>
          <w:noProof/>
          <w:color w:val="auto"/>
        </w:rPr>
        <w:t xml:space="preserve"> (</w:t>
      </w:r>
      <w:r w:rsidR="00A24924" w:rsidRPr="00A1728C">
        <w:rPr>
          <w:noProof/>
          <w:color w:val="auto"/>
        </w:rPr>
        <w:t>2019).</w:t>
      </w:r>
    </w:p>
    <w:p w14:paraId="5A981F3F" w14:textId="50368B8C" w:rsidR="00A24924" w:rsidRPr="00A1728C" w:rsidRDefault="00A24924" w:rsidP="00A1728C">
      <w:pPr>
        <w:pStyle w:val="EndNoteBibliography"/>
        <w:ind w:left="720" w:hanging="720"/>
        <w:rPr>
          <w:color w:val="auto"/>
          <w:shd w:val="clear" w:color="auto" w:fill="FFFFFF"/>
        </w:rPr>
      </w:pPr>
      <w:r w:rsidRPr="00A1728C">
        <w:rPr>
          <w:noProof/>
          <w:color w:val="auto"/>
        </w:rPr>
        <w:t>42</w:t>
      </w:r>
      <w:r w:rsidR="000815D5">
        <w:rPr>
          <w:noProof/>
          <w:color w:val="auto"/>
        </w:rPr>
        <w:t>.</w:t>
      </w:r>
      <w:r w:rsidRPr="00A1728C">
        <w:rPr>
          <w:noProof/>
          <w:color w:val="auto"/>
        </w:rPr>
        <w:tab/>
      </w:r>
      <w:r w:rsidRPr="00A1728C">
        <w:rPr>
          <w:color w:val="auto"/>
          <w:shd w:val="clear" w:color="auto" w:fill="FFFFFF"/>
        </w:rPr>
        <w:t>Yen</w:t>
      </w:r>
      <w:r w:rsidR="008066F6">
        <w:rPr>
          <w:color w:val="auto"/>
          <w:shd w:val="clear" w:color="auto" w:fill="FFFFFF"/>
        </w:rPr>
        <w:t>,</w:t>
      </w:r>
      <w:r w:rsidRPr="00A1728C">
        <w:rPr>
          <w:color w:val="auto"/>
          <w:shd w:val="clear" w:color="auto" w:fill="FFFFFF"/>
        </w:rPr>
        <w:t xml:space="preserve"> S</w:t>
      </w:r>
      <w:r w:rsidR="008066F6">
        <w:rPr>
          <w:color w:val="auto"/>
          <w:shd w:val="clear" w:color="auto" w:fill="FFFFFF"/>
        </w:rPr>
        <w:t xml:space="preserve">. </w:t>
      </w:r>
      <w:r w:rsidRPr="00A1728C">
        <w:rPr>
          <w:color w:val="auto"/>
          <w:shd w:val="clear" w:color="auto" w:fill="FFFFFF"/>
        </w:rPr>
        <w:t>T</w:t>
      </w:r>
      <w:r w:rsidR="008066F6">
        <w:rPr>
          <w:color w:val="auto"/>
          <w:shd w:val="clear" w:color="auto" w:fill="FFFFFF"/>
        </w:rPr>
        <w:t>.</w:t>
      </w:r>
      <w:r w:rsidRPr="00A1728C">
        <w:rPr>
          <w:color w:val="auto"/>
          <w:shd w:val="clear" w:color="auto" w:fill="FFFFFF"/>
        </w:rPr>
        <w:t xml:space="preserve">, </w:t>
      </w:r>
      <w:r w:rsidR="008066F6">
        <w:rPr>
          <w:color w:val="auto"/>
          <w:shd w:val="clear" w:color="auto" w:fill="FFFFFF"/>
        </w:rPr>
        <w:t xml:space="preserve">et al. </w:t>
      </w:r>
      <w:r w:rsidRPr="00A1728C">
        <w:rPr>
          <w:color w:val="auto"/>
          <w:shd w:val="clear" w:color="auto" w:fill="FFFFFF"/>
        </w:rPr>
        <w:t>Somatic mosaicism and allele complexity induced by CRISPR/Cas9 RNA injections in mouse zygotes. </w:t>
      </w:r>
      <w:r w:rsidRPr="00A1728C">
        <w:rPr>
          <w:rStyle w:val="ref-journal"/>
          <w:i/>
          <w:iCs/>
          <w:color w:val="auto"/>
          <w:shd w:val="clear" w:color="auto" w:fill="FFFFFF"/>
        </w:rPr>
        <w:t>Developmental Biology</w:t>
      </w:r>
      <w:r w:rsidRPr="00A1728C">
        <w:rPr>
          <w:rStyle w:val="ref-journal"/>
          <w:color w:val="auto"/>
          <w:shd w:val="clear" w:color="auto" w:fill="FFFFFF"/>
        </w:rPr>
        <w:t>. </w:t>
      </w:r>
      <w:r w:rsidRPr="008066F6">
        <w:rPr>
          <w:rStyle w:val="ref-vol"/>
          <w:b/>
          <w:bCs/>
          <w:color w:val="auto"/>
          <w:shd w:val="clear" w:color="auto" w:fill="FFFFFF"/>
        </w:rPr>
        <w:t>393</w:t>
      </w:r>
      <w:r w:rsidR="008066F6">
        <w:rPr>
          <w:color w:val="auto"/>
          <w:shd w:val="clear" w:color="auto" w:fill="FFFFFF"/>
        </w:rPr>
        <w:t xml:space="preserve"> </w:t>
      </w:r>
      <w:r w:rsidRPr="00A1728C">
        <w:rPr>
          <w:color w:val="auto"/>
          <w:shd w:val="clear" w:color="auto" w:fill="FFFFFF"/>
        </w:rPr>
        <w:t>(1)</w:t>
      </w:r>
      <w:r w:rsidR="008066F6">
        <w:rPr>
          <w:color w:val="auto"/>
          <w:shd w:val="clear" w:color="auto" w:fill="FFFFFF"/>
        </w:rPr>
        <w:t xml:space="preserve">, </w:t>
      </w:r>
      <w:r w:rsidRPr="00A1728C">
        <w:rPr>
          <w:color w:val="auto"/>
          <w:shd w:val="clear" w:color="auto" w:fill="FFFFFF"/>
        </w:rPr>
        <w:t>3</w:t>
      </w:r>
      <w:r w:rsidR="00481319">
        <w:rPr>
          <w:color w:val="auto"/>
          <w:shd w:val="clear" w:color="auto" w:fill="FFFFFF"/>
        </w:rPr>
        <w:t>–</w:t>
      </w:r>
      <w:r w:rsidRPr="00A1728C">
        <w:rPr>
          <w:color w:val="auto"/>
          <w:shd w:val="clear" w:color="auto" w:fill="FFFFFF"/>
        </w:rPr>
        <w:t>9</w:t>
      </w:r>
      <w:r w:rsidR="00EA1C1D">
        <w:rPr>
          <w:color w:val="auto"/>
          <w:shd w:val="clear" w:color="auto" w:fill="FFFFFF"/>
        </w:rPr>
        <w:t xml:space="preserve"> (</w:t>
      </w:r>
      <w:r w:rsidRPr="00A1728C">
        <w:rPr>
          <w:color w:val="auto"/>
          <w:shd w:val="clear" w:color="auto" w:fill="FFFFFF"/>
        </w:rPr>
        <w:t>2014).</w:t>
      </w:r>
    </w:p>
    <w:p w14:paraId="18F39D3D" w14:textId="1FC6712A" w:rsidR="00A24924" w:rsidRPr="00A1728C" w:rsidRDefault="00A24924" w:rsidP="00A1728C">
      <w:pPr>
        <w:pStyle w:val="EndNoteBibliography"/>
        <w:ind w:left="720" w:hanging="720"/>
        <w:rPr>
          <w:color w:val="auto"/>
          <w:shd w:val="clear" w:color="auto" w:fill="FFFFFF"/>
        </w:rPr>
      </w:pPr>
      <w:r w:rsidRPr="00A1728C">
        <w:rPr>
          <w:color w:val="auto"/>
          <w:shd w:val="clear" w:color="auto" w:fill="FFFFFF"/>
        </w:rPr>
        <w:t>43</w:t>
      </w:r>
      <w:r w:rsidR="000815D5">
        <w:rPr>
          <w:color w:val="auto"/>
          <w:shd w:val="clear" w:color="auto" w:fill="FFFFFF"/>
        </w:rPr>
        <w:t>.</w:t>
      </w:r>
      <w:r w:rsidRPr="00A1728C">
        <w:rPr>
          <w:color w:val="auto"/>
          <w:shd w:val="clear" w:color="auto" w:fill="FFFFFF"/>
        </w:rPr>
        <w:tab/>
        <w:t>Singh</w:t>
      </w:r>
      <w:r w:rsidR="008066F6">
        <w:rPr>
          <w:color w:val="auto"/>
          <w:shd w:val="clear" w:color="auto" w:fill="FFFFFF"/>
        </w:rPr>
        <w:t>,</w:t>
      </w:r>
      <w:r w:rsidRPr="00A1728C">
        <w:rPr>
          <w:color w:val="auto"/>
          <w:shd w:val="clear" w:color="auto" w:fill="FFFFFF"/>
        </w:rPr>
        <w:t xml:space="preserve"> P</w:t>
      </w:r>
      <w:r w:rsidR="008066F6">
        <w:rPr>
          <w:color w:val="auto"/>
          <w:shd w:val="clear" w:color="auto" w:fill="FFFFFF"/>
        </w:rPr>
        <w:t>.</w:t>
      </w:r>
      <w:r w:rsidRPr="00A1728C">
        <w:rPr>
          <w:color w:val="auto"/>
          <w:shd w:val="clear" w:color="auto" w:fill="FFFFFF"/>
        </w:rPr>
        <w:t xml:space="preserve">, </w:t>
      </w:r>
      <w:proofErr w:type="spellStart"/>
      <w:r w:rsidRPr="00A1728C">
        <w:rPr>
          <w:color w:val="auto"/>
          <w:shd w:val="clear" w:color="auto" w:fill="FFFFFF"/>
        </w:rPr>
        <w:t>Schimenti</w:t>
      </w:r>
      <w:proofErr w:type="spellEnd"/>
      <w:r w:rsidR="008066F6">
        <w:rPr>
          <w:color w:val="auto"/>
          <w:shd w:val="clear" w:color="auto" w:fill="FFFFFF"/>
        </w:rPr>
        <w:t>,</w:t>
      </w:r>
      <w:r w:rsidRPr="00A1728C">
        <w:rPr>
          <w:color w:val="auto"/>
          <w:shd w:val="clear" w:color="auto" w:fill="FFFFFF"/>
        </w:rPr>
        <w:t xml:space="preserve"> J</w:t>
      </w:r>
      <w:r w:rsidR="008066F6">
        <w:rPr>
          <w:color w:val="auto"/>
          <w:shd w:val="clear" w:color="auto" w:fill="FFFFFF"/>
        </w:rPr>
        <w:t xml:space="preserve">. </w:t>
      </w:r>
      <w:r w:rsidRPr="00A1728C">
        <w:rPr>
          <w:color w:val="auto"/>
          <w:shd w:val="clear" w:color="auto" w:fill="FFFFFF"/>
        </w:rPr>
        <w:t>C</w:t>
      </w:r>
      <w:r w:rsidR="008066F6">
        <w:rPr>
          <w:color w:val="auto"/>
          <w:shd w:val="clear" w:color="auto" w:fill="FFFFFF"/>
        </w:rPr>
        <w:t>.</w:t>
      </w:r>
      <w:r w:rsidRPr="00A1728C">
        <w:rPr>
          <w:color w:val="auto"/>
          <w:shd w:val="clear" w:color="auto" w:fill="FFFFFF"/>
        </w:rPr>
        <w:t xml:space="preserve">, </w:t>
      </w:r>
      <w:proofErr w:type="spellStart"/>
      <w:r w:rsidRPr="00A1728C">
        <w:rPr>
          <w:color w:val="auto"/>
          <w:shd w:val="clear" w:color="auto" w:fill="FFFFFF"/>
        </w:rPr>
        <w:t>Bolcun-Filas</w:t>
      </w:r>
      <w:proofErr w:type="spellEnd"/>
      <w:r w:rsidR="008066F6">
        <w:rPr>
          <w:color w:val="auto"/>
          <w:shd w:val="clear" w:color="auto" w:fill="FFFFFF"/>
        </w:rPr>
        <w:t>,</w:t>
      </w:r>
      <w:r w:rsidRPr="00A1728C">
        <w:rPr>
          <w:color w:val="auto"/>
          <w:shd w:val="clear" w:color="auto" w:fill="FFFFFF"/>
        </w:rPr>
        <w:t xml:space="preserve"> E. A Mouse Geneticist</w:t>
      </w:r>
      <w:r w:rsidR="007C2E13" w:rsidRPr="007C2E13">
        <w:rPr>
          <w:color w:val="auto"/>
          <w:shd w:val="clear" w:color="auto" w:fill="FFFFFF"/>
        </w:rPr>
        <w:t>’s</w:t>
      </w:r>
      <w:r w:rsidRPr="00A1728C">
        <w:rPr>
          <w:color w:val="auto"/>
          <w:shd w:val="clear" w:color="auto" w:fill="FFFFFF"/>
        </w:rPr>
        <w:t xml:space="preserve"> Practical Guide to CRISPR Applications. </w:t>
      </w:r>
      <w:r w:rsidRPr="00A1728C">
        <w:rPr>
          <w:rStyle w:val="ref-journal"/>
          <w:i/>
          <w:iCs/>
          <w:color w:val="auto"/>
          <w:shd w:val="clear" w:color="auto" w:fill="FFFFFF"/>
        </w:rPr>
        <w:t>Genetics</w:t>
      </w:r>
      <w:r w:rsidRPr="00A1728C">
        <w:rPr>
          <w:rStyle w:val="ref-journal"/>
          <w:color w:val="auto"/>
          <w:shd w:val="clear" w:color="auto" w:fill="FFFFFF"/>
        </w:rPr>
        <w:t>. </w:t>
      </w:r>
      <w:r w:rsidRPr="008066F6">
        <w:rPr>
          <w:rStyle w:val="ref-vol"/>
          <w:b/>
          <w:bCs/>
          <w:color w:val="auto"/>
          <w:shd w:val="clear" w:color="auto" w:fill="FFFFFF"/>
        </w:rPr>
        <w:t>199</w:t>
      </w:r>
      <w:r w:rsidR="008066F6">
        <w:rPr>
          <w:color w:val="auto"/>
          <w:shd w:val="clear" w:color="auto" w:fill="FFFFFF"/>
        </w:rPr>
        <w:t xml:space="preserve"> </w:t>
      </w:r>
      <w:r w:rsidRPr="00A1728C">
        <w:rPr>
          <w:color w:val="auto"/>
          <w:shd w:val="clear" w:color="auto" w:fill="FFFFFF"/>
        </w:rPr>
        <w:t>(1)</w:t>
      </w:r>
      <w:r w:rsidR="008066F6">
        <w:rPr>
          <w:color w:val="auto"/>
          <w:shd w:val="clear" w:color="auto" w:fill="FFFFFF"/>
        </w:rPr>
        <w:t xml:space="preserve">, </w:t>
      </w:r>
      <w:r w:rsidRPr="00A1728C">
        <w:rPr>
          <w:color w:val="auto"/>
          <w:shd w:val="clear" w:color="auto" w:fill="FFFFFF"/>
        </w:rPr>
        <w:t>1</w:t>
      </w:r>
      <w:r w:rsidR="00481319">
        <w:rPr>
          <w:color w:val="auto"/>
          <w:shd w:val="clear" w:color="auto" w:fill="FFFFFF"/>
        </w:rPr>
        <w:t>–</w:t>
      </w:r>
      <w:r w:rsidRPr="00A1728C">
        <w:rPr>
          <w:color w:val="auto"/>
          <w:shd w:val="clear" w:color="auto" w:fill="FFFFFF"/>
        </w:rPr>
        <w:t>15</w:t>
      </w:r>
      <w:r w:rsidR="00EA1C1D">
        <w:rPr>
          <w:color w:val="auto"/>
          <w:shd w:val="clear" w:color="auto" w:fill="FFFFFF"/>
        </w:rPr>
        <w:t xml:space="preserve"> (</w:t>
      </w:r>
      <w:r w:rsidRPr="00A1728C">
        <w:rPr>
          <w:color w:val="auto"/>
          <w:shd w:val="clear" w:color="auto" w:fill="FFFFFF"/>
        </w:rPr>
        <w:t>201</w:t>
      </w:r>
      <w:r w:rsidR="008066F6">
        <w:rPr>
          <w:color w:val="auto"/>
          <w:shd w:val="clear" w:color="auto" w:fill="FFFFFF"/>
        </w:rPr>
        <w:t>5</w:t>
      </w:r>
      <w:r w:rsidRPr="00A1728C">
        <w:rPr>
          <w:color w:val="auto"/>
          <w:shd w:val="clear" w:color="auto" w:fill="FFFFFF"/>
        </w:rPr>
        <w:t>).</w:t>
      </w:r>
    </w:p>
    <w:p w14:paraId="04CCA2F0" w14:textId="23A5FF1F" w:rsidR="00A24924" w:rsidRPr="00A1728C" w:rsidRDefault="00A24924" w:rsidP="00EA1C1D">
      <w:pPr>
        <w:pStyle w:val="EndNoteBibliography"/>
        <w:ind w:left="720" w:hanging="720"/>
        <w:rPr>
          <w:noProof/>
          <w:color w:val="auto"/>
        </w:rPr>
      </w:pPr>
      <w:r w:rsidRPr="00A1728C">
        <w:rPr>
          <w:color w:val="auto"/>
          <w:shd w:val="clear" w:color="auto" w:fill="FFFFFF"/>
        </w:rPr>
        <w:t>44</w:t>
      </w:r>
      <w:r w:rsidR="000815D5">
        <w:rPr>
          <w:color w:val="auto"/>
          <w:shd w:val="clear" w:color="auto" w:fill="FFFFFF"/>
        </w:rPr>
        <w:t>.</w:t>
      </w:r>
      <w:r w:rsidRPr="00A1728C">
        <w:rPr>
          <w:color w:val="auto"/>
          <w:shd w:val="clear" w:color="auto" w:fill="FFFFFF"/>
        </w:rPr>
        <w:tab/>
      </w:r>
      <w:proofErr w:type="spellStart"/>
      <w:r w:rsidRPr="00A1728C">
        <w:rPr>
          <w:color w:val="auto"/>
          <w:shd w:val="clear" w:color="auto" w:fill="FFFFFF"/>
        </w:rPr>
        <w:t>Mianné</w:t>
      </w:r>
      <w:proofErr w:type="spellEnd"/>
      <w:r w:rsidRPr="00A1728C">
        <w:rPr>
          <w:color w:val="auto"/>
          <w:shd w:val="clear" w:color="auto" w:fill="FFFFFF"/>
        </w:rPr>
        <w:t xml:space="preserve"> J</w:t>
      </w:r>
      <w:r w:rsidR="008066F6">
        <w:rPr>
          <w:color w:val="auto"/>
          <w:shd w:val="clear" w:color="auto" w:fill="FFFFFF"/>
        </w:rPr>
        <w:t>. et al.</w:t>
      </w:r>
      <w:r w:rsidRPr="00A1728C">
        <w:rPr>
          <w:color w:val="auto"/>
          <w:shd w:val="clear" w:color="auto" w:fill="FFFFFF"/>
        </w:rPr>
        <w:t xml:space="preserve"> Analyzing the outcome of CRISPR-aided genome editing in embryos: screening, genotyping and quality control. </w:t>
      </w:r>
      <w:r w:rsidRPr="00A1728C">
        <w:rPr>
          <w:rStyle w:val="ref-journal"/>
          <w:i/>
          <w:iCs/>
          <w:color w:val="auto"/>
          <w:shd w:val="clear" w:color="auto" w:fill="FFFFFF"/>
        </w:rPr>
        <w:t>Methods</w:t>
      </w:r>
      <w:r w:rsidRPr="00A1728C">
        <w:rPr>
          <w:rStyle w:val="ref-journal"/>
          <w:color w:val="auto"/>
          <w:shd w:val="clear" w:color="auto" w:fill="FFFFFF"/>
        </w:rPr>
        <w:t>. </w:t>
      </w:r>
      <w:r w:rsidRPr="008066F6">
        <w:rPr>
          <w:rStyle w:val="ref-vol"/>
          <w:b/>
          <w:bCs/>
          <w:color w:val="auto"/>
          <w:shd w:val="clear" w:color="auto" w:fill="FFFFFF"/>
        </w:rPr>
        <w:t>121–122</w:t>
      </w:r>
      <w:r w:rsidR="008066F6">
        <w:rPr>
          <w:color w:val="auto"/>
          <w:shd w:val="clear" w:color="auto" w:fill="FFFFFF"/>
        </w:rPr>
        <w:t xml:space="preserve">, </w:t>
      </w:r>
      <w:r w:rsidRPr="00A1728C">
        <w:rPr>
          <w:color w:val="auto"/>
          <w:shd w:val="clear" w:color="auto" w:fill="FFFFFF"/>
        </w:rPr>
        <w:t>68</w:t>
      </w:r>
      <w:r w:rsidR="00481319">
        <w:rPr>
          <w:color w:val="auto"/>
          <w:shd w:val="clear" w:color="auto" w:fill="FFFFFF"/>
        </w:rPr>
        <w:t>–</w:t>
      </w:r>
      <w:r w:rsidRPr="00A1728C">
        <w:rPr>
          <w:color w:val="auto"/>
          <w:shd w:val="clear" w:color="auto" w:fill="FFFFFF"/>
        </w:rPr>
        <w:t>76</w:t>
      </w:r>
      <w:r w:rsidR="00EA1C1D">
        <w:rPr>
          <w:color w:val="auto"/>
          <w:shd w:val="clear" w:color="auto" w:fill="FFFFFF"/>
        </w:rPr>
        <w:t xml:space="preserve"> (</w:t>
      </w:r>
      <w:r w:rsidRPr="00A1728C">
        <w:rPr>
          <w:color w:val="auto"/>
          <w:shd w:val="clear" w:color="auto" w:fill="FFFFFF"/>
        </w:rPr>
        <w:t>2017).</w:t>
      </w:r>
    </w:p>
    <w:p w14:paraId="545263BE" w14:textId="3239124B" w:rsidR="009B58A7" w:rsidRPr="00A1728C" w:rsidRDefault="00A24924" w:rsidP="00A1728C">
      <w:pPr>
        <w:pStyle w:val="EndNoteBibliography"/>
        <w:ind w:left="720" w:hanging="720"/>
        <w:rPr>
          <w:noProof/>
          <w:color w:val="auto"/>
        </w:rPr>
      </w:pPr>
      <w:r w:rsidRPr="00A1728C">
        <w:rPr>
          <w:noProof/>
          <w:color w:val="auto"/>
        </w:rPr>
        <w:t>45</w:t>
      </w:r>
      <w:r w:rsidR="000815D5">
        <w:rPr>
          <w:noProof/>
          <w:color w:val="auto"/>
        </w:rPr>
        <w:t>.</w:t>
      </w:r>
      <w:r w:rsidRPr="00A1728C">
        <w:rPr>
          <w:noProof/>
          <w:color w:val="auto"/>
        </w:rPr>
        <w:tab/>
      </w:r>
      <w:r w:rsidR="009B58A7" w:rsidRPr="00A1728C">
        <w:rPr>
          <w:noProof/>
          <w:color w:val="auto"/>
        </w:rPr>
        <w:t>v</w:t>
      </w:r>
      <w:r w:rsidR="008066F6">
        <w:rPr>
          <w:noProof/>
          <w:color w:val="auto"/>
        </w:rPr>
        <w:t>an</w:t>
      </w:r>
      <w:r w:rsidR="009B58A7" w:rsidRPr="00A1728C">
        <w:rPr>
          <w:noProof/>
          <w:color w:val="auto"/>
        </w:rPr>
        <w:t xml:space="preserve"> d</w:t>
      </w:r>
      <w:r w:rsidR="008066F6">
        <w:rPr>
          <w:noProof/>
          <w:color w:val="auto"/>
        </w:rPr>
        <w:t>er</w:t>
      </w:r>
      <w:r w:rsidR="009B58A7" w:rsidRPr="00A1728C">
        <w:rPr>
          <w:noProof/>
          <w:color w:val="auto"/>
        </w:rPr>
        <w:t xml:space="preserve"> E</w:t>
      </w:r>
      <w:r w:rsidR="008066F6">
        <w:rPr>
          <w:noProof/>
          <w:color w:val="auto"/>
        </w:rPr>
        <w:t>mde, G</w:t>
      </w:r>
      <w:r w:rsidR="009B58A7" w:rsidRPr="00A1728C">
        <w:rPr>
          <w:noProof/>
          <w:color w:val="auto"/>
        </w:rPr>
        <w:t xml:space="preserve">. in </w:t>
      </w:r>
      <w:r w:rsidR="009B58A7" w:rsidRPr="00A1728C">
        <w:rPr>
          <w:i/>
          <w:noProof/>
          <w:color w:val="auto"/>
        </w:rPr>
        <w:t>Encyclopedia of Animal Behavior</w:t>
      </w:r>
      <w:r w:rsidR="009B58A7" w:rsidRPr="00A1728C">
        <w:rPr>
          <w:noProof/>
          <w:color w:val="auto"/>
        </w:rPr>
        <w:t xml:space="preserve"> Vol. 1</w:t>
      </w:r>
      <w:r w:rsidR="00EA1C1D">
        <w:rPr>
          <w:noProof/>
          <w:color w:val="auto"/>
        </w:rPr>
        <w:t xml:space="preserve"> </w:t>
      </w:r>
      <w:r w:rsidR="008066F6">
        <w:rPr>
          <w:noProof/>
          <w:color w:val="auto"/>
        </w:rPr>
        <w:t>(</w:t>
      </w:r>
      <w:r w:rsidR="009B58A7" w:rsidRPr="00A1728C">
        <w:rPr>
          <w:noProof/>
          <w:color w:val="auto"/>
        </w:rPr>
        <w:t xml:space="preserve">eds </w:t>
      </w:r>
      <w:r w:rsidR="008066F6">
        <w:rPr>
          <w:noProof/>
          <w:color w:val="auto"/>
        </w:rPr>
        <w:t xml:space="preserve">Breed, </w:t>
      </w:r>
      <w:r w:rsidR="009B58A7" w:rsidRPr="00A1728C">
        <w:rPr>
          <w:noProof/>
          <w:color w:val="auto"/>
        </w:rPr>
        <w:t>M.</w:t>
      </w:r>
      <w:r w:rsidR="00481319">
        <w:rPr>
          <w:noProof/>
          <w:color w:val="auto"/>
        </w:rPr>
        <w:t xml:space="preserve"> </w:t>
      </w:r>
      <w:r w:rsidR="009B58A7" w:rsidRPr="00A1728C">
        <w:rPr>
          <w:noProof/>
          <w:color w:val="auto"/>
        </w:rPr>
        <w:t>D.</w:t>
      </w:r>
      <w:r w:rsidR="008066F6">
        <w:rPr>
          <w:noProof/>
          <w:color w:val="auto"/>
        </w:rPr>
        <w:t>, Moore</w:t>
      </w:r>
      <w:r w:rsidR="00EA1C1D">
        <w:rPr>
          <w:noProof/>
          <w:color w:val="auto"/>
        </w:rPr>
        <w:t>,</w:t>
      </w:r>
      <w:r w:rsidR="009B58A7" w:rsidRPr="00A1728C">
        <w:rPr>
          <w:noProof/>
          <w:color w:val="auto"/>
        </w:rPr>
        <w:t xml:space="preserve"> J.)</w:t>
      </w:r>
      <w:r w:rsidR="008066F6">
        <w:rPr>
          <w:noProof/>
          <w:color w:val="auto"/>
        </w:rPr>
        <w:t>.</w:t>
      </w:r>
      <w:r w:rsidR="00EA1C1D">
        <w:rPr>
          <w:noProof/>
          <w:color w:val="auto"/>
        </w:rPr>
        <w:t xml:space="preserve"> </w:t>
      </w:r>
      <w:r w:rsidR="009B58A7" w:rsidRPr="00A1728C">
        <w:rPr>
          <w:noProof/>
          <w:color w:val="auto"/>
        </w:rPr>
        <w:t>16</w:t>
      </w:r>
      <w:r w:rsidR="00481319">
        <w:rPr>
          <w:noProof/>
          <w:color w:val="auto"/>
        </w:rPr>
        <w:t>–</w:t>
      </w:r>
      <w:r w:rsidR="009B58A7" w:rsidRPr="00A1728C">
        <w:rPr>
          <w:noProof/>
          <w:color w:val="auto"/>
        </w:rPr>
        <w:t>23 (Academic Press, 2010).</w:t>
      </w:r>
    </w:p>
    <w:p w14:paraId="77C94105" w14:textId="527F8C67" w:rsidR="009B58A7" w:rsidRPr="00A1728C" w:rsidRDefault="009B58A7" w:rsidP="00A1728C">
      <w:pPr>
        <w:pStyle w:val="EndNoteBibliography"/>
        <w:ind w:left="720" w:hanging="720"/>
        <w:rPr>
          <w:noProof/>
          <w:color w:val="auto"/>
        </w:rPr>
      </w:pPr>
      <w:r w:rsidRPr="00A1728C">
        <w:rPr>
          <w:noProof/>
          <w:color w:val="auto"/>
        </w:rPr>
        <w:t>4</w:t>
      </w:r>
      <w:r w:rsidR="00A24924" w:rsidRPr="00A1728C">
        <w:rPr>
          <w:noProof/>
          <w:color w:val="auto"/>
        </w:rPr>
        <w:t>6</w:t>
      </w:r>
      <w:r w:rsidR="000815D5">
        <w:rPr>
          <w:noProof/>
          <w:color w:val="auto"/>
        </w:rPr>
        <w:t>.</w:t>
      </w:r>
      <w:r w:rsidRPr="00A1728C">
        <w:rPr>
          <w:noProof/>
          <w:color w:val="auto"/>
        </w:rPr>
        <w:tab/>
        <w:t xml:space="preserve">Carlson, B. A. in </w:t>
      </w:r>
      <w:r w:rsidRPr="00A1728C">
        <w:rPr>
          <w:i/>
          <w:noProof/>
          <w:color w:val="auto"/>
        </w:rPr>
        <w:t>Encyclopedia of Neuroscience</w:t>
      </w:r>
      <w:r w:rsidR="00EA1C1D">
        <w:rPr>
          <w:noProof/>
          <w:color w:val="auto"/>
        </w:rPr>
        <w:t xml:space="preserve"> </w:t>
      </w:r>
      <w:r w:rsidR="008066F6">
        <w:rPr>
          <w:noProof/>
          <w:color w:val="auto"/>
        </w:rPr>
        <w:t>(</w:t>
      </w:r>
      <w:r w:rsidRPr="00A1728C">
        <w:rPr>
          <w:noProof/>
          <w:color w:val="auto"/>
        </w:rPr>
        <w:t>eds Binder M</w:t>
      </w:r>
      <w:r w:rsidR="008066F6">
        <w:rPr>
          <w:noProof/>
          <w:color w:val="auto"/>
        </w:rPr>
        <w:t>.</w:t>
      </w:r>
      <w:r w:rsidR="00481319">
        <w:rPr>
          <w:noProof/>
          <w:color w:val="auto"/>
        </w:rPr>
        <w:t xml:space="preserve"> </w:t>
      </w:r>
      <w:r w:rsidRPr="00A1728C">
        <w:rPr>
          <w:noProof/>
          <w:color w:val="auto"/>
        </w:rPr>
        <w:t>D</w:t>
      </w:r>
      <w:r w:rsidR="008066F6">
        <w:rPr>
          <w:noProof/>
          <w:color w:val="auto"/>
        </w:rPr>
        <w:t>.</w:t>
      </w:r>
      <w:r w:rsidRPr="00A1728C">
        <w:rPr>
          <w:noProof/>
          <w:color w:val="auto"/>
        </w:rPr>
        <w:t>, Hirokawa</w:t>
      </w:r>
      <w:r w:rsidR="008066F6">
        <w:rPr>
          <w:noProof/>
          <w:color w:val="auto"/>
        </w:rPr>
        <w:t>,</w:t>
      </w:r>
      <w:r w:rsidRPr="00A1728C">
        <w:rPr>
          <w:noProof/>
          <w:color w:val="auto"/>
        </w:rPr>
        <w:t xml:space="preserve"> N</w:t>
      </w:r>
      <w:r w:rsidR="008066F6">
        <w:rPr>
          <w:noProof/>
          <w:color w:val="auto"/>
        </w:rPr>
        <w:t>.</w:t>
      </w:r>
      <w:r w:rsidRPr="00A1728C">
        <w:rPr>
          <w:noProof/>
          <w:color w:val="auto"/>
        </w:rPr>
        <w:t>, Windhorst</w:t>
      </w:r>
      <w:r w:rsidR="008066F6">
        <w:rPr>
          <w:noProof/>
          <w:color w:val="auto"/>
        </w:rPr>
        <w:t>,</w:t>
      </w:r>
      <w:r w:rsidRPr="00A1728C">
        <w:rPr>
          <w:noProof/>
          <w:color w:val="auto"/>
        </w:rPr>
        <w:t xml:space="preserve"> U</w:t>
      </w:r>
      <w:r w:rsidR="008066F6">
        <w:rPr>
          <w:noProof/>
          <w:color w:val="auto"/>
        </w:rPr>
        <w:t>.</w:t>
      </w:r>
      <w:r w:rsidR="00EA1C1D">
        <w:rPr>
          <w:noProof/>
          <w:color w:val="auto"/>
        </w:rPr>
        <w:t>,</w:t>
      </w:r>
      <w:r w:rsidRPr="00A1728C">
        <w:rPr>
          <w:noProof/>
          <w:color w:val="auto"/>
        </w:rPr>
        <w:t xml:space="preserve"> Hirsch</w:t>
      </w:r>
      <w:r w:rsidR="008066F6">
        <w:rPr>
          <w:noProof/>
          <w:color w:val="auto"/>
        </w:rPr>
        <w:t>,</w:t>
      </w:r>
      <w:r w:rsidRPr="00A1728C">
        <w:rPr>
          <w:noProof/>
          <w:color w:val="auto"/>
        </w:rPr>
        <w:t xml:space="preserve"> M</w:t>
      </w:r>
      <w:r w:rsidR="008066F6">
        <w:rPr>
          <w:noProof/>
          <w:color w:val="auto"/>
        </w:rPr>
        <w:t xml:space="preserve">. </w:t>
      </w:r>
      <w:r w:rsidRPr="00A1728C">
        <w:rPr>
          <w:noProof/>
          <w:color w:val="auto"/>
        </w:rPr>
        <w:t>C</w:t>
      </w:r>
      <w:r w:rsidR="008066F6">
        <w:rPr>
          <w:noProof/>
          <w:color w:val="auto"/>
        </w:rPr>
        <w:t>.</w:t>
      </w:r>
      <w:r w:rsidRPr="00A1728C">
        <w:rPr>
          <w:noProof/>
          <w:color w:val="auto"/>
        </w:rPr>
        <w:t>)</w:t>
      </w:r>
      <w:r w:rsidR="00EA1C1D">
        <w:rPr>
          <w:noProof/>
          <w:color w:val="auto"/>
        </w:rPr>
        <w:t xml:space="preserve"> </w:t>
      </w:r>
      <w:r w:rsidRPr="00A1728C">
        <w:rPr>
          <w:noProof/>
          <w:color w:val="auto"/>
        </w:rPr>
        <w:t>4039</w:t>
      </w:r>
      <w:r w:rsidR="00481319">
        <w:rPr>
          <w:noProof/>
          <w:color w:val="auto"/>
        </w:rPr>
        <w:t>–</w:t>
      </w:r>
      <w:r w:rsidRPr="00A1728C">
        <w:rPr>
          <w:noProof/>
          <w:color w:val="auto"/>
        </w:rPr>
        <w:t>4044 (Springer, 2009).</w:t>
      </w:r>
    </w:p>
    <w:p w14:paraId="7ED04437" w14:textId="023A3E5D" w:rsidR="009B58A7" w:rsidRPr="00A1728C" w:rsidRDefault="009B58A7" w:rsidP="00A1728C">
      <w:pPr>
        <w:pStyle w:val="EndNoteBibliography"/>
        <w:ind w:left="720" w:hanging="720"/>
        <w:rPr>
          <w:rFonts w:asciiTheme="minorHAnsi" w:hAnsiTheme="minorHAnsi" w:cstheme="minorHAnsi"/>
          <w:noProof/>
          <w:color w:val="auto"/>
        </w:rPr>
      </w:pPr>
      <w:r w:rsidRPr="00A1728C">
        <w:rPr>
          <w:noProof/>
          <w:color w:val="auto"/>
        </w:rPr>
        <w:t>4</w:t>
      </w:r>
      <w:r w:rsidR="00A24924" w:rsidRPr="00A1728C">
        <w:rPr>
          <w:noProof/>
          <w:color w:val="auto"/>
        </w:rPr>
        <w:t>7</w:t>
      </w:r>
      <w:r w:rsidR="000815D5">
        <w:rPr>
          <w:noProof/>
          <w:color w:val="auto"/>
        </w:rPr>
        <w:t>.</w:t>
      </w:r>
      <w:r w:rsidRPr="00A1728C">
        <w:rPr>
          <w:noProof/>
          <w:color w:val="auto"/>
        </w:rPr>
        <w:tab/>
      </w:r>
      <w:r w:rsidRPr="00A1728C">
        <w:rPr>
          <w:rFonts w:asciiTheme="minorHAnsi" w:hAnsiTheme="minorHAnsi" w:cstheme="minorHAnsi"/>
          <w:noProof/>
          <w:color w:val="auto"/>
        </w:rPr>
        <w:t xml:space="preserve">Hopkins, C. D. Neruoethology of Electric Communication. </w:t>
      </w:r>
      <w:r w:rsidRPr="00A1728C">
        <w:rPr>
          <w:rFonts w:asciiTheme="minorHAnsi" w:hAnsiTheme="minorHAnsi" w:cstheme="minorHAnsi"/>
          <w:i/>
          <w:noProof/>
          <w:color w:val="auto"/>
        </w:rPr>
        <w:t>Annual Reviews of Neuroscience.</w:t>
      </w:r>
      <w:r w:rsidRPr="00A1728C">
        <w:rPr>
          <w:rFonts w:asciiTheme="minorHAnsi" w:hAnsiTheme="minorHAnsi" w:cstheme="minorHAnsi"/>
          <w:noProof/>
          <w:color w:val="auto"/>
        </w:rPr>
        <w:t xml:space="preserve"> </w:t>
      </w:r>
      <w:r w:rsidRPr="00A1728C">
        <w:rPr>
          <w:rFonts w:asciiTheme="minorHAnsi" w:hAnsiTheme="minorHAnsi" w:cstheme="minorHAnsi"/>
          <w:b/>
          <w:noProof/>
          <w:color w:val="auto"/>
        </w:rPr>
        <w:t>11</w:t>
      </w:r>
      <w:r w:rsidR="00EA1C1D">
        <w:rPr>
          <w:rFonts w:asciiTheme="minorHAnsi" w:hAnsiTheme="minorHAnsi" w:cstheme="minorHAnsi"/>
          <w:noProof/>
          <w:color w:val="auto"/>
        </w:rPr>
        <w:t xml:space="preserve">, </w:t>
      </w:r>
      <w:r w:rsidRPr="00A1728C">
        <w:rPr>
          <w:rFonts w:asciiTheme="minorHAnsi" w:hAnsiTheme="minorHAnsi" w:cstheme="minorHAnsi"/>
          <w:noProof/>
          <w:color w:val="auto"/>
        </w:rPr>
        <w:t>497</w:t>
      </w:r>
      <w:r w:rsidR="00481319">
        <w:rPr>
          <w:rFonts w:asciiTheme="minorHAnsi" w:hAnsiTheme="minorHAnsi" w:cstheme="minorHAnsi"/>
          <w:noProof/>
          <w:color w:val="auto"/>
        </w:rPr>
        <w:t>–</w:t>
      </w:r>
      <w:r w:rsidRPr="00A1728C">
        <w:rPr>
          <w:rFonts w:asciiTheme="minorHAnsi" w:hAnsiTheme="minorHAnsi" w:cstheme="minorHAnsi"/>
          <w:noProof/>
          <w:color w:val="auto"/>
        </w:rPr>
        <w:t>535 (1988).</w:t>
      </w:r>
    </w:p>
    <w:p w14:paraId="16D5E54C" w14:textId="47E3731A" w:rsidR="009B58A7" w:rsidRPr="00A1728C" w:rsidRDefault="009B58A7" w:rsidP="00A1728C">
      <w:pPr>
        <w:pStyle w:val="EndNoteBibliography"/>
        <w:ind w:left="720" w:hanging="720"/>
        <w:rPr>
          <w:rFonts w:asciiTheme="minorHAnsi" w:hAnsiTheme="minorHAnsi" w:cstheme="minorHAnsi"/>
          <w:noProof/>
          <w:color w:val="auto"/>
        </w:rPr>
      </w:pPr>
      <w:r w:rsidRPr="00A1728C">
        <w:rPr>
          <w:rFonts w:asciiTheme="minorHAnsi" w:hAnsiTheme="minorHAnsi" w:cstheme="minorHAnsi"/>
          <w:noProof/>
          <w:color w:val="auto"/>
        </w:rPr>
        <w:t>4</w:t>
      </w:r>
      <w:r w:rsidR="00A24924" w:rsidRPr="00A1728C">
        <w:rPr>
          <w:rFonts w:asciiTheme="minorHAnsi" w:hAnsiTheme="minorHAnsi" w:cstheme="minorHAnsi"/>
          <w:noProof/>
          <w:color w:val="auto"/>
        </w:rPr>
        <w:t>8</w:t>
      </w:r>
      <w:r w:rsidR="000815D5">
        <w:rPr>
          <w:rFonts w:asciiTheme="minorHAnsi" w:hAnsiTheme="minorHAnsi" w:cstheme="minorHAnsi"/>
          <w:noProof/>
          <w:color w:val="auto"/>
        </w:rPr>
        <w:t>.</w:t>
      </w:r>
      <w:r w:rsidRPr="00A1728C">
        <w:rPr>
          <w:rFonts w:asciiTheme="minorHAnsi" w:hAnsiTheme="minorHAnsi" w:cstheme="minorHAnsi"/>
          <w:noProof/>
          <w:color w:val="auto"/>
        </w:rPr>
        <w:tab/>
        <w:t>Arnegard, M., Zwickl, D.</w:t>
      </w:r>
      <w:r w:rsidR="00574137" w:rsidRPr="00A1728C">
        <w:rPr>
          <w:rFonts w:asciiTheme="minorHAnsi" w:hAnsiTheme="minorHAnsi" w:cstheme="minorHAnsi"/>
          <w:noProof/>
          <w:color w:val="auto"/>
        </w:rPr>
        <w:t>,</w:t>
      </w:r>
      <w:r w:rsidRPr="00A1728C">
        <w:rPr>
          <w:rFonts w:asciiTheme="minorHAnsi" w:hAnsiTheme="minorHAnsi" w:cstheme="minorHAnsi"/>
          <w:noProof/>
          <w:color w:val="auto"/>
        </w:rPr>
        <w:t xml:space="preserve"> Lu, Y.</w:t>
      </w:r>
      <w:r w:rsidR="00574137" w:rsidRPr="00A1728C">
        <w:rPr>
          <w:rFonts w:asciiTheme="minorHAnsi" w:hAnsiTheme="minorHAnsi" w:cstheme="minorHAnsi"/>
          <w:noProof/>
          <w:color w:val="auto"/>
        </w:rPr>
        <w:t xml:space="preserve">, Zakon, H. H. Old gene duplication facilitates origin and diversification of an innovative communication system- twice. </w:t>
      </w:r>
      <w:r w:rsidRPr="00A1728C">
        <w:rPr>
          <w:rFonts w:asciiTheme="minorHAnsi" w:hAnsiTheme="minorHAnsi" w:cstheme="minorHAnsi"/>
          <w:i/>
          <w:noProof/>
          <w:color w:val="auto"/>
        </w:rPr>
        <w:t xml:space="preserve">Proceedings of the </w:t>
      </w:r>
      <w:r w:rsidR="00574137" w:rsidRPr="00A1728C">
        <w:rPr>
          <w:rFonts w:asciiTheme="minorHAnsi" w:hAnsiTheme="minorHAnsi" w:cstheme="minorHAnsi"/>
          <w:i/>
          <w:noProof/>
          <w:color w:val="auto"/>
        </w:rPr>
        <w:t xml:space="preserve">National Academy of Sciences of the United States of America. </w:t>
      </w:r>
      <w:r w:rsidR="00574137" w:rsidRPr="00A1728C">
        <w:rPr>
          <w:rFonts w:asciiTheme="minorHAnsi" w:hAnsiTheme="minorHAnsi" w:cstheme="minorHAnsi"/>
          <w:b/>
          <w:bCs/>
          <w:iCs/>
          <w:noProof/>
          <w:color w:val="auto"/>
        </w:rPr>
        <w:t>107</w:t>
      </w:r>
      <w:r w:rsidR="00EA1C1D">
        <w:rPr>
          <w:rFonts w:asciiTheme="minorHAnsi" w:hAnsiTheme="minorHAnsi" w:cstheme="minorHAnsi"/>
          <w:b/>
          <w:bCs/>
          <w:iCs/>
          <w:noProof/>
          <w:color w:val="auto"/>
        </w:rPr>
        <w:t xml:space="preserve"> </w:t>
      </w:r>
      <w:r w:rsidR="00574137" w:rsidRPr="00A1728C">
        <w:rPr>
          <w:rFonts w:asciiTheme="minorHAnsi" w:hAnsiTheme="minorHAnsi" w:cstheme="minorHAnsi"/>
          <w:iCs/>
          <w:noProof/>
          <w:color w:val="auto"/>
        </w:rPr>
        <w:t>(51), 22172</w:t>
      </w:r>
      <w:r w:rsidR="00481319">
        <w:rPr>
          <w:rFonts w:asciiTheme="minorHAnsi" w:hAnsiTheme="minorHAnsi" w:cstheme="minorHAnsi"/>
          <w:iCs/>
          <w:noProof/>
          <w:color w:val="auto"/>
        </w:rPr>
        <w:t>–</w:t>
      </w:r>
      <w:r w:rsidR="00574137" w:rsidRPr="00A1728C">
        <w:rPr>
          <w:rFonts w:asciiTheme="minorHAnsi" w:hAnsiTheme="minorHAnsi" w:cstheme="minorHAnsi"/>
          <w:iCs/>
          <w:noProof/>
          <w:color w:val="auto"/>
        </w:rPr>
        <w:t>22177</w:t>
      </w:r>
      <w:r w:rsidR="008066F6">
        <w:rPr>
          <w:rFonts w:asciiTheme="minorHAnsi" w:hAnsiTheme="minorHAnsi" w:cstheme="minorHAnsi"/>
          <w:color w:val="auto"/>
          <w:shd w:val="clear" w:color="auto" w:fill="FFFFFF"/>
        </w:rPr>
        <w:t xml:space="preserve"> </w:t>
      </w:r>
      <w:r w:rsidRPr="00A1728C">
        <w:rPr>
          <w:rFonts w:asciiTheme="minorHAnsi" w:hAnsiTheme="minorHAnsi" w:cstheme="minorHAnsi"/>
          <w:noProof/>
          <w:color w:val="auto"/>
        </w:rPr>
        <w:t>(2010).</w:t>
      </w:r>
    </w:p>
    <w:p w14:paraId="26CA5D11" w14:textId="1867E028" w:rsidR="009B58A7" w:rsidRPr="00A1728C" w:rsidRDefault="009B58A7" w:rsidP="00A1728C">
      <w:pPr>
        <w:pStyle w:val="EndNoteBibliography"/>
        <w:ind w:left="720" w:hanging="720"/>
        <w:rPr>
          <w:noProof/>
          <w:color w:val="auto"/>
        </w:rPr>
      </w:pPr>
      <w:r w:rsidRPr="00A1728C">
        <w:rPr>
          <w:rFonts w:asciiTheme="minorHAnsi" w:hAnsiTheme="minorHAnsi" w:cstheme="minorHAnsi"/>
          <w:noProof/>
          <w:color w:val="auto"/>
        </w:rPr>
        <w:t>4</w:t>
      </w:r>
      <w:r w:rsidR="00A24924" w:rsidRPr="00A1728C">
        <w:rPr>
          <w:rFonts w:asciiTheme="minorHAnsi" w:hAnsiTheme="minorHAnsi" w:cstheme="minorHAnsi"/>
          <w:noProof/>
          <w:color w:val="auto"/>
        </w:rPr>
        <w:t>9</w:t>
      </w:r>
      <w:r w:rsidR="000815D5">
        <w:rPr>
          <w:rFonts w:asciiTheme="minorHAnsi" w:hAnsiTheme="minorHAnsi" w:cstheme="minorHAnsi"/>
          <w:noProof/>
          <w:color w:val="auto"/>
        </w:rPr>
        <w:t>.</w:t>
      </w:r>
      <w:r w:rsidRPr="00A1728C">
        <w:rPr>
          <w:rFonts w:asciiTheme="minorHAnsi" w:hAnsiTheme="minorHAnsi" w:cstheme="minorHAnsi"/>
          <w:noProof/>
          <w:color w:val="auto"/>
        </w:rPr>
        <w:tab/>
        <w:t>Doench, J. G.</w:t>
      </w:r>
      <w:r w:rsidRPr="00A1728C">
        <w:rPr>
          <w:rFonts w:asciiTheme="minorHAnsi" w:hAnsiTheme="minorHAnsi" w:cstheme="minorHAnsi"/>
          <w:i/>
          <w:noProof/>
          <w:color w:val="auto"/>
        </w:rPr>
        <w:t xml:space="preserve"> </w:t>
      </w:r>
      <w:r w:rsidR="00EA1C1D" w:rsidRPr="00EA1C1D">
        <w:rPr>
          <w:rFonts w:asciiTheme="minorHAnsi" w:hAnsiTheme="minorHAnsi" w:cstheme="minorHAnsi"/>
          <w:noProof/>
          <w:color w:val="auto"/>
        </w:rPr>
        <w:t>et al.</w:t>
      </w:r>
      <w:r w:rsidRPr="00A1728C">
        <w:rPr>
          <w:rFonts w:asciiTheme="minorHAnsi" w:hAnsiTheme="minorHAnsi" w:cstheme="minorHAnsi"/>
          <w:noProof/>
          <w:color w:val="auto"/>
        </w:rPr>
        <w:t xml:space="preserve"> Rational design of highly active sgRNAs for CRISPR-Cas9-mediated gene inactivation. </w:t>
      </w:r>
      <w:r w:rsidRPr="00A1728C">
        <w:rPr>
          <w:rFonts w:asciiTheme="minorHAnsi" w:hAnsiTheme="minorHAnsi" w:cstheme="minorHAnsi"/>
          <w:i/>
          <w:noProof/>
          <w:color w:val="auto"/>
        </w:rPr>
        <w:t>Nat</w:t>
      </w:r>
      <w:r w:rsidR="00574137" w:rsidRPr="00A1728C">
        <w:rPr>
          <w:rFonts w:asciiTheme="minorHAnsi" w:hAnsiTheme="minorHAnsi" w:cstheme="minorHAnsi"/>
          <w:i/>
          <w:noProof/>
          <w:color w:val="auto"/>
        </w:rPr>
        <w:t>ure</w:t>
      </w:r>
      <w:r w:rsidRPr="00A1728C">
        <w:rPr>
          <w:rFonts w:asciiTheme="minorHAnsi" w:hAnsiTheme="minorHAnsi" w:cstheme="minorHAnsi"/>
          <w:i/>
          <w:noProof/>
          <w:color w:val="auto"/>
        </w:rPr>
        <w:t xml:space="preserve"> Biotechnol</w:t>
      </w:r>
      <w:r w:rsidR="00574137" w:rsidRPr="00A1728C">
        <w:rPr>
          <w:rFonts w:asciiTheme="minorHAnsi" w:hAnsiTheme="minorHAnsi" w:cstheme="minorHAnsi"/>
          <w:i/>
          <w:noProof/>
          <w:color w:val="auto"/>
        </w:rPr>
        <w:t>ogy</w:t>
      </w:r>
      <w:r w:rsidRPr="00A1728C">
        <w:rPr>
          <w:i/>
          <w:noProof/>
          <w:color w:val="auto"/>
        </w:rPr>
        <w:t>.</w:t>
      </w:r>
      <w:r w:rsidRPr="00A1728C">
        <w:rPr>
          <w:noProof/>
          <w:color w:val="auto"/>
        </w:rPr>
        <w:t xml:space="preserve"> </w:t>
      </w:r>
      <w:r w:rsidRPr="00A1728C">
        <w:rPr>
          <w:b/>
          <w:noProof/>
          <w:color w:val="auto"/>
        </w:rPr>
        <w:t>32</w:t>
      </w:r>
      <w:r w:rsidRPr="00A1728C">
        <w:rPr>
          <w:noProof/>
          <w:color w:val="auto"/>
        </w:rPr>
        <w:t xml:space="preserve"> (12), 1262</w:t>
      </w:r>
      <w:r w:rsidR="00481319">
        <w:rPr>
          <w:noProof/>
          <w:color w:val="auto"/>
        </w:rPr>
        <w:t>–</w:t>
      </w:r>
      <w:r w:rsidRPr="00A1728C">
        <w:rPr>
          <w:noProof/>
          <w:color w:val="auto"/>
        </w:rPr>
        <w:t>1267</w:t>
      </w:r>
      <w:r w:rsidR="00EA1C1D">
        <w:rPr>
          <w:noProof/>
          <w:color w:val="auto"/>
        </w:rPr>
        <w:t xml:space="preserve"> (</w:t>
      </w:r>
      <w:r w:rsidRPr="00A1728C">
        <w:rPr>
          <w:noProof/>
          <w:color w:val="auto"/>
        </w:rPr>
        <w:t>2014).</w:t>
      </w:r>
    </w:p>
    <w:p w14:paraId="3C612174" w14:textId="350F7BE9" w:rsidR="009B58A7" w:rsidRPr="00A1728C" w:rsidRDefault="00A24924" w:rsidP="00A1728C">
      <w:pPr>
        <w:pStyle w:val="EndNoteBibliography"/>
        <w:ind w:left="720" w:hanging="720"/>
        <w:rPr>
          <w:noProof/>
          <w:color w:val="auto"/>
        </w:rPr>
      </w:pPr>
      <w:r w:rsidRPr="00A1728C">
        <w:rPr>
          <w:noProof/>
          <w:color w:val="auto"/>
        </w:rPr>
        <w:t>50</w:t>
      </w:r>
      <w:r w:rsidR="000815D5">
        <w:rPr>
          <w:noProof/>
          <w:color w:val="auto"/>
        </w:rPr>
        <w:t>.</w:t>
      </w:r>
      <w:r w:rsidR="009B58A7" w:rsidRPr="00A1728C">
        <w:rPr>
          <w:noProof/>
          <w:color w:val="auto"/>
        </w:rPr>
        <w:tab/>
        <w:t>Concordet, J. P.</w:t>
      </w:r>
      <w:r w:rsidR="00EA1C1D">
        <w:rPr>
          <w:noProof/>
          <w:color w:val="auto"/>
        </w:rPr>
        <w:t>,</w:t>
      </w:r>
      <w:r w:rsidR="009B58A7" w:rsidRPr="00A1728C">
        <w:rPr>
          <w:noProof/>
          <w:color w:val="auto"/>
        </w:rPr>
        <w:t xml:space="preserve"> Haeussler, M. CRISPOR: intuitive guide selection for CRISPR/Cas9 genome editing experiments and screens. </w:t>
      </w:r>
      <w:r w:rsidR="009B58A7" w:rsidRPr="00A1728C">
        <w:rPr>
          <w:i/>
          <w:noProof/>
          <w:color w:val="auto"/>
        </w:rPr>
        <w:t>Nucleic Acids Res</w:t>
      </w:r>
      <w:r w:rsidR="00574137" w:rsidRPr="00A1728C">
        <w:rPr>
          <w:i/>
          <w:noProof/>
          <w:color w:val="auto"/>
        </w:rPr>
        <w:t>arch</w:t>
      </w:r>
      <w:r w:rsidR="009B58A7" w:rsidRPr="00A1728C">
        <w:rPr>
          <w:i/>
          <w:noProof/>
          <w:color w:val="auto"/>
        </w:rPr>
        <w:t>.</w:t>
      </w:r>
      <w:r w:rsidR="009B58A7" w:rsidRPr="00A1728C">
        <w:rPr>
          <w:noProof/>
          <w:color w:val="auto"/>
        </w:rPr>
        <w:t xml:space="preserve"> </w:t>
      </w:r>
      <w:r w:rsidR="009B58A7" w:rsidRPr="00A1728C">
        <w:rPr>
          <w:b/>
          <w:noProof/>
          <w:color w:val="auto"/>
        </w:rPr>
        <w:t>46</w:t>
      </w:r>
      <w:r w:rsidR="009B58A7" w:rsidRPr="00A1728C">
        <w:rPr>
          <w:noProof/>
          <w:color w:val="auto"/>
        </w:rPr>
        <w:t xml:space="preserve"> (W1), W242</w:t>
      </w:r>
      <w:r w:rsidR="00481319">
        <w:rPr>
          <w:noProof/>
          <w:color w:val="auto"/>
        </w:rPr>
        <w:t>–</w:t>
      </w:r>
      <w:r w:rsidR="009B58A7" w:rsidRPr="00A1728C">
        <w:rPr>
          <w:noProof/>
          <w:color w:val="auto"/>
        </w:rPr>
        <w:t>W245</w:t>
      </w:r>
      <w:r w:rsidR="00EA1C1D">
        <w:rPr>
          <w:noProof/>
          <w:color w:val="auto"/>
        </w:rPr>
        <w:t xml:space="preserve"> (</w:t>
      </w:r>
      <w:r w:rsidR="009B58A7" w:rsidRPr="00A1728C">
        <w:rPr>
          <w:noProof/>
          <w:color w:val="auto"/>
        </w:rPr>
        <w:t>2018).</w:t>
      </w:r>
    </w:p>
    <w:p w14:paraId="754D3588" w14:textId="2E1174D5" w:rsidR="009B58A7" w:rsidRPr="00A1728C" w:rsidRDefault="00A24924" w:rsidP="00A1728C">
      <w:pPr>
        <w:pStyle w:val="EndNoteBibliography"/>
        <w:ind w:left="720" w:hanging="720"/>
        <w:rPr>
          <w:noProof/>
          <w:color w:val="auto"/>
        </w:rPr>
      </w:pPr>
      <w:r w:rsidRPr="00A1728C">
        <w:rPr>
          <w:noProof/>
          <w:color w:val="auto"/>
        </w:rPr>
        <w:t>51</w:t>
      </w:r>
      <w:r w:rsidR="000815D5">
        <w:rPr>
          <w:noProof/>
          <w:color w:val="auto"/>
        </w:rPr>
        <w:t>.</w:t>
      </w:r>
      <w:r w:rsidR="009B58A7" w:rsidRPr="00A1728C">
        <w:rPr>
          <w:noProof/>
          <w:color w:val="auto"/>
        </w:rPr>
        <w:tab/>
        <w:t>Haeussler, M.</w:t>
      </w:r>
      <w:r w:rsidR="009B58A7" w:rsidRPr="00A1728C">
        <w:rPr>
          <w:i/>
          <w:noProof/>
          <w:color w:val="auto"/>
        </w:rPr>
        <w:t xml:space="preserve"> </w:t>
      </w:r>
      <w:r w:rsidR="00EA1C1D" w:rsidRPr="00EA1C1D">
        <w:rPr>
          <w:noProof/>
          <w:color w:val="auto"/>
        </w:rPr>
        <w:t>et al.</w:t>
      </w:r>
      <w:r w:rsidR="009B58A7" w:rsidRPr="00A1728C">
        <w:rPr>
          <w:noProof/>
          <w:color w:val="auto"/>
        </w:rPr>
        <w:t xml:space="preserve"> Evaluation of off-target and on-target scoring algorithms and integration into the guide RNA selection tool CRISPOR. </w:t>
      </w:r>
      <w:r w:rsidR="009B58A7" w:rsidRPr="00A1728C">
        <w:rPr>
          <w:i/>
          <w:noProof/>
          <w:color w:val="auto"/>
        </w:rPr>
        <w:t>Genome Biol</w:t>
      </w:r>
      <w:r w:rsidR="00574137" w:rsidRPr="00A1728C">
        <w:rPr>
          <w:i/>
          <w:noProof/>
          <w:color w:val="auto"/>
        </w:rPr>
        <w:t>ogy</w:t>
      </w:r>
      <w:r w:rsidR="009B58A7" w:rsidRPr="00A1728C">
        <w:rPr>
          <w:i/>
          <w:noProof/>
          <w:color w:val="auto"/>
        </w:rPr>
        <w:t>.</w:t>
      </w:r>
      <w:r w:rsidR="009B58A7" w:rsidRPr="00A1728C">
        <w:rPr>
          <w:noProof/>
          <w:color w:val="auto"/>
        </w:rPr>
        <w:t xml:space="preserve"> </w:t>
      </w:r>
      <w:r w:rsidR="009B58A7" w:rsidRPr="00A1728C">
        <w:rPr>
          <w:b/>
          <w:noProof/>
          <w:color w:val="auto"/>
        </w:rPr>
        <w:t>17</w:t>
      </w:r>
      <w:r w:rsidR="009B58A7" w:rsidRPr="00A1728C">
        <w:rPr>
          <w:noProof/>
          <w:color w:val="auto"/>
        </w:rPr>
        <w:t xml:space="preserve"> (1), 148</w:t>
      </w:r>
      <w:r w:rsidR="00EA1C1D">
        <w:rPr>
          <w:noProof/>
          <w:color w:val="auto"/>
        </w:rPr>
        <w:t xml:space="preserve"> (</w:t>
      </w:r>
      <w:r w:rsidR="009B58A7" w:rsidRPr="00A1728C">
        <w:rPr>
          <w:noProof/>
          <w:color w:val="auto"/>
        </w:rPr>
        <w:t>2016).</w:t>
      </w:r>
    </w:p>
    <w:p w14:paraId="2E0B8CCE" w14:textId="3A423744" w:rsidR="009B58A7" w:rsidRPr="00A1728C" w:rsidRDefault="00A24924" w:rsidP="00A1728C">
      <w:pPr>
        <w:pStyle w:val="EndNoteBibliography"/>
        <w:ind w:left="720" w:hanging="720"/>
        <w:rPr>
          <w:noProof/>
          <w:color w:val="auto"/>
        </w:rPr>
      </w:pPr>
      <w:r w:rsidRPr="00A1728C">
        <w:rPr>
          <w:noProof/>
          <w:color w:val="auto"/>
        </w:rPr>
        <w:lastRenderedPageBreak/>
        <w:t>52</w:t>
      </w:r>
      <w:r w:rsidR="000815D5">
        <w:rPr>
          <w:noProof/>
          <w:color w:val="auto"/>
        </w:rPr>
        <w:t>.</w:t>
      </w:r>
      <w:r w:rsidR="009B58A7" w:rsidRPr="00A1728C">
        <w:rPr>
          <w:noProof/>
          <w:color w:val="auto"/>
        </w:rPr>
        <w:tab/>
        <w:t xml:space="preserve">Kirschbaum, F. Environmental factors control the periodical reproduction of tropical electric fish. </w:t>
      </w:r>
      <w:r w:rsidR="009B58A7" w:rsidRPr="00A1728C">
        <w:rPr>
          <w:i/>
          <w:noProof/>
          <w:color w:val="auto"/>
        </w:rPr>
        <w:t>Experientia.</w:t>
      </w:r>
      <w:r w:rsidR="009B58A7" w:rsidRPr="00A1728C">
        <w:rPr>
          <w:noProof/>
          <w:color w:val="auto"/>
        </w:rPr>
        <w:t xml:space="preserve"> </w:t>
      </w:r>
      <w:r w:rsidR="009B58A7" w:rsidRPr="00A1728C">
        <w:rPr>
          <w:b/>
          <w:noProof/>
          <w:color w:val="auto"/>
        </w:rPr>
        <w:t>31</w:t>
      </w:r>
      <w:r w:rsidR="009B58A7" w:rsidRPr="00A1728C">
        <w:rPr>
          <w:noProof/>
          <w:color w:val="auto"/>
        </w:rPr>
        <w:t xml:space="preserve"> (10), 1159</w:t>
      </w:r>
      <w:r w:rsidR="00481319">
        <w:rPr>
          <w:noProof/>
          <w:color w:val="auto"/>
        </w:rPr>
        <w:t>–</w:t>
      </w:r>
      <w:r w:rsidR="009B58A7" w:rsidRPr="00A1728C">
        <w:rPr>
          <w:noProof/>
          <w:color w:val="auto"/>
        </w:rPr>
        <w:t>1160</w:t>
      </w:r>
      <w:r w:rsidR="00EA1C1D">
        <w:rPr>
          <w:noProof/>
          <w:color w:val="auto"/>
        </w:rPr>
        <w:t xml:space="preserve"> (</w:t>
      </w:r>
      <w:r w:rsidR="009B58A7" w:rsidRPr="00A1728C">
        <w:rPr>
          <w:noProof/>
          <w:color w:val="auto"/>
        </w:rPr>
        <w:t>1975).</w:t>
      </w:r>
    </w:p>
    <w:p w14:paraId="218DC84E" w14:textId="194F00C0" w:rsidR="00A24924" w:rsidRPr="00A1728C" w:rsidRDefault="00A24924" w:rsidP="00A1728C">
      <w:pPr>
        <w:pStyle w:val="EndNoteBibliography"/>
        <w:ind w:left="720" w:hanging="720"/>
        <w:rPr>
          <w:noProof/>
          <w:color w:val="auto"/>
        </w:rPr>
      </w:pPr>
      <w:r w:rsidRPr="00A1728C">
        <w:rPr>
          <w:noProof/>
          <w:color w:val="auto"/>
        </w:rPr>
        <w:t>53</w:t>
      </w:r>
      <w:r w:rsidR="000815D5">
        <w:rPr>
          <w:noProof/>
          <w:color w:val="auto"/>
        </w:rPr>
        <w:t>.</w:t>
      </w:r>
      <w:r w:rsidRPr="00A1728C">
        <w:rPr>
          <w:noProof/>
          <w:color w:val="auto"/>
        </w:rPr>
        <w:tab/>
      </w:r>
      <w:proofErr w:type="spellStart"/>
      <w:r w:rsidRPr="00A1728C">
        <w:rPr>
          <w:color w:val="auto"/>
        </w:rPr>
        <w:t>Iwama</w:t>
      </w:r>
      <w:proofErr w:type="spellEnd"/>
      <w:r w:rsidRPr="00A1728C">
        <w:rPr>
          <w:color w:val="auto"/>
        </w:rPr>
        <w:t xml:space="preserve"> G.</w:t>
      </w:r>
      <w:r w:rsidR="00481319">
        <w:rPr>
          <w:color w:val="auto"/>
        </w:rPr>
        <w:t xml:space="preserve"> </w:t>
      </w:r>
      <w:r w:rsidRPr="00A1728C">
        <w:rPr>
          <w:color w:val="auto"/>
        </w:rPr>
        <w:t xml:space="preserve">K., </w:t>
      </w:r>
      <w:proofErr w:type="spellStart"/>
      <w:r w:rsidRPr="00A1728C">
        <w:rPr>
          <w:color w:val="auto"/>
        </w:rPr>
        <w:t>McGeer</w:t>
      </w:r>
      <w:proofErr w:type="spellEnd"/>
      <w:r w:rsidRPr="00A1728C">
        <w:rPr>
          <w:color w:val="auto"/>
        </w:rPr>
        <w:t xml:space="preserve"> J.</w:t>
      </w:r>
      <w:r w:rsidR="00481319">
        <w:rPr>
          <w:color w:val="auto"/>
        </w:rPr>
        <w:t xml:space="preserve"> </w:t>
      </w:r>
      <w:r w:rsidRPr="00A1728C">
        <w:rPr>
          <w:color w:val="auto"/>
        </w:rPr>
        <w:t>C.</w:t>
      </w:r>
      <w:r w:rsidR="00EA1C1D">
        <w:rPr>
          <w:color w:val="auto"/>
        </w:rPr>
        <w:t>,</w:t>
      </w:r>
      <w:r w:rsidRPr="00A1728C">
        <w:rPr>
          <w:color w:val="auto"/>
        </w:rPr>
        <w:t xml:space="preserve"> </w:t>
      </w:r>
      <w:proofErr w:type="spellStart"/>
      <w:r w:rsidRPr="00A1728C">
        <w:rPr>
          <w:color w:val="auto"/>
        </w:rPr>
        <w:t>Pawluk</w:t>
      </w:r>
      <w:proofErr w:type="spellEnd"/>
      <w:r w:rsidRPr="00A1728C">
        <w:rPr>
          <w:color w:val="auto"/>
        </w:rPr>
        <w:t xml:space="preserve"> M.</w:t>
      </w:r>
      <w:r w:rsidR="00481319">
        <w:rPr>
          <w:color w:val="auto"/>
        </w:rPr>
        <w:t xml:space="preserve"> </w:t>
      </w:r>
      <w:r w:rsidRPr="00A1728C">
        <w:rPr>
          <w:color w:val="auto"/>
        </w:rPr>
        <w:t xml:space="preserve">P. The effects of five fish </w:t>
      </w:r>
      <w:proofErr w:type="spellStart"/>
      <w:r w:rsidRPr="000815D5">
        <w:rPr>
          <w:color w:val="auto"/>
        </w:rPr>
        <w:t>anaesthetics</w:t>
      </w:r>
      <w:proofErr w:type="spellEnd"/>
      <w:r w:rsidRPr="000815D5">
        <w:rPr>
          <w:color w:val="auto"/>
        </w:rPr>
        <w:t xml:space="preserve"> </w:t>
      </w:r>
      <w:r w:rsidRPr="00A1728C">
        <w:rPr>
          <w:color w:val="auto"/>
        </w:rPr>
        <w:t xml:space="preserve">on acid-base balance, hematocrit, cortisol and adrenaline in rainbow trout. </w:t>
      </w:r>
      <w:r w:rsidRPr="00A1728C">
        <w:rPr>
          <w:i/>
          <w:iCs/>
          <w:color w:val="auto"/>
        </w:rPr>
        <w:t>Canadian Journal of Zoology</w:t>
      </w:r>
      <w:r w:rsidRPr="00A1728C">
        <w:rPr>
          <w:color w:val="auto"/>
        </w:rPr>
        <w:t xml:space="preserve"> 67:2065</w:t>
      </w:r>
      <w:r w:rsidR="00481319">
        <w:rPr>
          <w:color w:val="auto"/>
        </w:rPr>
        <w:t>–</w:t>
      </w:r>
      <w:r w:rsidRPr="00A1728C">
        <w:rPr>
          <w:color w:val="auto"/>
        </w:rPr>
        <w:t>2073</w:t>
      </w:r>
      <w:r w:rsidR="00EA1C1D">
        <w:rPr>
          <w:color w:val="auto"/>
        </w:rPr>
        <w:t xml:space="preserve"> (</w:t>
      </w:r>
      <w:r w:rsidRPr="00A1728C">
        <w:rPr>
          <w:color w:val="auto"/>
        </w:rPr>
        <w:t>1989)</w:t>
      </w:r>
    </w:p>
    <w:p w14:paraId="185E072E" w14:textId="2507390A" w:rsidR="009B58A7" w:rsidRPr="00A1728C" w:rsidRDefault="00A24924" w:rsidP="00A1728C">
      <w:pPr>
        <w:pStyle w:val="EndNoteBibliography"/>
        <w:ind w:left="720" w:hanging="720"/>
        <w:rPr>
          <w:noProof/>
          <w:color w:val="auto"/>
        </w:rPr>
      </w:pPr>
      <w:r w:rsidRPr="00A1728C">
        <w:rPr>
          <w:noProof/>
          <w:color w:val="auto"/>
        </w:rPr>
        <w:t>54</w:t>
      </w:r>
      <w:r w:rsidR="000815D5">
        <w:rPr>
          <w:noProof/>
          <w:color w:val="auto"/>
        </w:rPr>
        <w:t>.</w:t>
      </w:r>
      <w:r w:rsidR="009B58A7" w:rsidRPr="00A1728C">
        <w:rPr>
          <w:noProof/>
          <w:color w:val="auto"/>
        </w:rPr>
        <w:tab/>
      </w:r>
      <w:r w:rsidR="009B58A7" w:rsidRPr="000815D5">
        <w:rPr>
          <w:noProof/>
          <w:color w:val="auto"/>
        </w:rPr>
        <w:t>Westerfield</w:t>
      </w:r>
      <w:r w:rsidR="009B58A7" w:rsidRPr="00A1728C">
        <w:rPr>
          <w:noProof/>
          <w:color w:val="auto"/>
        </w:rPr>
        <w:t xml:space="preserve">, M. </w:t>
      </w:r>
      <w:r w:rsidR="009B58A7" w:rsidRPr="00A1728C">
        <w:rPr>
          <w:i/>
          <w:noProof/>
          <w:color w:val="auto"/>
        </w:rPr>
        <w:t>The zebrafish book. A guide for the laboratory use of zebrafish (Danio rerio)</w:t>
      </w:r>
      <w:r w:rsidR="009B58A7" w:rsidRPr="00A1728C">
        <w:rPr>
          <w:noProof/>
          <w:color w:val="auto"/>
        </w:rPr>
        <w:t>. 4th ed. edn</w:t>
      </w:r>
      <w:r w:rsidR="00EA1C1D">
        <w:rPr>
          <w:noProof/>
          <w:color w:val="auto"/>
        </w:rPr>
        <w:t xml:space="preserve"> (</w:t>
      </w:r>
      <w:r w:rsidR="009B58A7" w:rsidRPr="00A1728C">
        <w:rPr>
          <w:noProof/>
          <w:color w:val="auto"/>
        </w:rPr>
        <w:t>Univ. of Oregon Press, 2000).</w:t>
      </w:r>
      <w:r w:rsidR="009B58A7" w:rsidRPr="00A1728C">
        <w:rPr>
          <w:noProof/>
          <w:color w:val="auto"/>
        </w:rPr>
        <w:tab/>
      </w:r>
    </w:p>
    <w:p w14:paraId="6A461DA4" w14:textId="54120D02" w:rsidR="009B58A7" w:rsidRPr="00A1728C" w:rsidRDefault="009B58A7" w:rsidP="00A1728C">
      <w:pPr>
        <w:pStyle w:val="EndNoteBibliography"/>
        <w:ind w:left="720" w:hanging="720"/>
        <w:rPr>
          <w:noProof/>
          <w:color w:val="auto"/>
        </w:rPr>
      </w:pPr>
      <w:r w:rsidRPr="00A1728C">
        <w:rPr>
          <w:noProof/>
          <w:color w:val="auto"/>
        </w:rPr>
        <w:t>5</w:t>
      </w:r>
      <w:r w:rsidR="00A24924" w:rsidRPr="00A1728C">
        <w:rPr>
          <w:noProof/>
          <w:color w:val="auto"/>
        </w:rPr>
        <w:t>5</w:t>
      </w:r>
      <w:r w:rsidR="000815D5">
        <w:rPr>
          <w:noProof/>
          <w:color w:val="auto"/>
        </w:rPr>
        <w:t>.</w:t>
      </w:r>
      <w:r w:rsidRPr="00A1728C">
        <w:rPr>
          <w:noProof/>
          <w:color w:val="auto"/>
        </w:rPr>
        <w:tab/>
        <w:t>Barrangou, R.</w:t>
      </w:r>
      <w:r w:rsidR="00EA1C1D">
        <w:rPr>
          <w:noProof/>
          <w:color w:val="auto"/>
        </w:rPr>
        <w:t>,</w:t>
      </w:r>
      <w:r w:rsidRPr="00A1728C">
        <w:rPr>
          <w:noProof/>
          <w:color w:val="auto"/>
        </w:rPr>
        <w:t xml:space="preserve"> Doudna, J. A. Applications of CRISPR technologies in research and beyond. </w:t>
      </w:r>
      <w:r w:rsidRPr="00A1728C">
        <w:rPr>
          <w:i/>
          <w:noProof/>
          <w:color w:val="auto"/>
        </w:rPr>
        <w:t>Nat</w:t>
      </w:r>
      <w:r w:rsidR="00574137" w:rsidRPr="00A1728C">
        <w:rPr>
          <w:i/>
          <w:noProof/>
          <w:color w:val="auto"/>
        </w:rPr>
        <w:t>ure</w:t>
      </w:r>
      <w:r w:rsidRPr="00A1728C">
        <w:rPr>
          <w:i/>
          <w:noProof/>
          <w:color w:val="auto"/>
        </w:rPr>
        <w:t xml:space="preserve"> Biotechnol</w:t>
      </w:r>
      <w:r w:rsidR="00574137" w:rsidRPr="00A1728C">
        <w:rPr>
          <w:i/>
          <w:noProof/>
          <w:color w:val="auto"/>
        </w:rPr>
        <w:t>ogy</w:t>
      </w:r>
      <w:r w:rsidRPr="00A1728C">
        <w:rPr>
          <w:i/>
          <w:noProof/>
          <w:color w:val="auto"/>
        </w:rPr>
        <w:t>.</w:t>
      </w:r>
      <w:r w:rsidRPr="00A1728C">
        <w:rPr>
          <w:noProof/>
          <w:color w:val="auto"/>
        </w:rPr>
        <w:t xml:space="preserve"> </w:t>
      </w:r>
      <w:r w:rsidRPr="00A1728C">
        <w:rPr>
          <w:b/>
          <w:noProof/>
          <w:color w:val="auto"/>
        </w:rPr>
        <w:t>34</w:t>
      </w:r>
      <w:r w:rsidRPr="00A1728C">
        <w:rPr>
          <w:noProof/>
          <w:color w:val="auto"/>
        </w:rPr>
        <w:t xml:space="preserve"> (9), 933</w:t>
      </w:r>
      <w:r w:rsidR="00481319">
        <w:rPr>
          <w:noProof/>
          <w:color w:val="auto"/>
        </w:rPr>
        <w:t>–</w:t>
      </w:r>
      <w:r w:rsidRPr="00A1728C">
        <w:rPr>
          <w:noProof/>
          <w:color w:val="auto"/>
        </w:rPr>
        <w:t>941</w:t>
      </w:r>
      <w:r w:rsidR="00EA1C1D">
        <w:rPr>
          <w:noProof/>
          <w:color w:val="auto"/>
        </w:rPr>
        <w:t xml:space="preserve"> (</w:t>
      </w:r>
      <w:r w:rsidRPr="00A1728C">
        <w:rPr>
          <w:noProof/>
          <w:color w:val="auto"/>
        </w:rPr>
        <w:t>2016).</w:t>
      </w:r>
    </w:p>
    <w:p w14:paraId="1EEC03AF" w14:textId="5389E256" w:rsidR="009B58A7" w:rsidRPr="00A1728C" w:rsidRDefault="009B58A7" w:rsidP="00A1728C">
      <w:pPr>
        <w:pStyle w:val="EndNoteBibliography"/>
        <w:ind w:left="720" w:hanging="720"/>
        <w:rPr>
          <w:noProof/>
          <w:color w:val="auto"/>
        </w:rPr>
      </w:pPr>
      <w:r w:rsidRPr="00A1728C">
        <w:rPr>
          <w:noProof/>
          <w:color w:val="auto"/>
        </w:rPr>
        <w:t>5</w:t>
      </w:r>
      <w:r w:rsidR="00A24924" w:rsidRPr="00A1728C">
        <w:rPr>
          <w:noProof/>
          <w:color w:val="auto"/>
        </w:rPr>
        <w:t>6</w:t>
      </w:r>
      <w:r w:rsidR="000815D5">
        <w:rPr>
          <w:noProof/>
          <w:color w:val="auto"/>
        </w:rPr>
        <w:t>.</w:t>
      </w:r>
      <w:r w:rsidRPr="00A1728C">
        <w:rPr>
          <w:noProof/>
          <w:color w:val="auto"/>
        </w:rPr>
        <w:tab/>
        <w:t xml:space="preserve">Adli, M. The CRISPR tool kit for genome editing and beyond. </w:t>
      </w:r>
      <w:r w:rsidRPr="00A1728C">
        <w:rPr>
          <w:i/>
          <w:noProof/>
          <w:color w:val="auto"/>
        </w:rPr>
        <w:t>Nat</w:t>
      </w:r>
      <w:r w:rsidR="00574137" w:rsidRPr="00A1728C">
        <w:rPr>
          <w:i/>
          <w:noProof/>
          <w:color w:val="auto"/>
        </w:rPr>
        <w:t>ure</w:t>
      </w:r>
      <w:r w:rsidRPr="00A1728C">
        <w:rPr>
          <w:i/>
          <w:noProof/>
          <w:color w:val="auto"/>
        </w:rPr>
        <w:t xml:space="preserve"> Commun</w:t>
      </w:r>
      <w:r w:rsidR="00574137" w:rsidRPr="00A1728C">
        <w:rPr>
          <w:i/>
          <w:noProof/>
          <w:color w:val="auto"/>
        </w:rPr>
        <w:t>ications</w:t>
      </w:r>
      <w:r w:rsidRPr="00A1728C">
        <w:rPr>
          <w:i/>
          <w:noProof/>
          <w:color w:val="auto"/>
        </w:rPr>
        <w:t>.</w:t>
      </w:r>
      <w:r w:rsidRPr="00A1728C">
        <w:rPr>
          <w:noProof/>
          <w:color w:val="auto"/>
        </w:rPr>
        <w:t xml:space="preserve"> </w:t>
      </w:r>
      <w:r w:rsidRPr="00A1728C">
        <w:rPr>
          <w:b/>
          <w:noProof/>
          <w:color w:val="auto"/>
        </w:rPr>
        <w:t>9</w:t>
      </w:r>
      <w:r w:rsidRPr="00A1728C">
        <w:rPr>
          <w:noProof/>
          <w:color w:val="auto"/>
        </w:rPr>
        <w:t xml:space="preserve"> (1), 1911</w:t>
      </w:r>
      <w:r w:rsidR="00EA1C1D">
        <w:rPr>
          <w:noProof/>
          <w:color w:val="auto"/>
        </w:rPr>
        <w:t xml:space="preserve"> (</w:t>
      </w:r>
      <w:r w:rsidRPr="00A1728C">
        <w:rPr>
          <w:noProof/>
          <w:color w:val="auto"/>
        </w:rPr>
        <w:t>2018).</w:t>
      </w:r>
    </w:p>
    <w:p w14:paraId="5F5601A7" w14:textId="497F70AD" w:rsidR="009B58A7" w:rsidRPr="00A1728C" w:rsidRDefault="009B58A7" w:rsidP="00A1728C">
      <w:pPr>
        <w:pStyle w:val="EndNoteBibliography"/>
        <w:ind w:left="720" w:hanging="720"/>
        <w:rPr>
          <w:noProof/>
          <w:color w:val="auto"/>
        </w:rPr>
      </w:pPr>
      <w:r w:rsidRPr="00A1728C">
        <w:rPr>
          <w:noProof/>
          <w:color w:val="auto"/>
        </w:rPr>
        <w:t>5</w:t>
      </w:r>
      <w:r w:rsidR="00A24924" w:rsidRPr="00A1728C">
        <w:rPr>
          <w:noProof/>
          <w:color w:val="auto"/>
        </w:rPr>
        <w:t>7</w:t>
      </w:r>
      <w:r w:rsidR="000815D5">
        <w:rPr>
          <w:noProof/>
          <w:color w:val="auto"/>
        </w:rPr>
        <w:t>.</w:t>
      </w:r>
      <w:r w:rsidRPr="00A1728C">
        <w:rPr>
          <w:noProof/>
          <w:color w:val="auto"/>
        </w:rPr>
        <w:tab/>
        <w:t>Maruyama, T.</w:t>
      </w:r>
      <w:r w:rsidRPr="00A1728C">
        <w:rPr>
          <w:i/>
          <w:noProof/>
          <w:color w:val="auto"/>
        </w:rPr>
        <w:t xml:space="preserve"> </w:t>
      </w:r>
      <w:r w:rsidR="00EA1C1D" w:rsidRPr="00EA1C1D">
        <w:rPr>
          <w:noProof/>
          <w:color w:val="auto"/>
        </w:rPr>
        <w:t>et al.</w:t>
      </w:r>
      <w:r w:rsidRPr="00A1728C">
        <w:rPr>
          <w:noProof/>
          <w:color w:val="auto"/>
        </w:rPr>
        <w:t xml:space="preserve"> Increasing the efficiency of precise genome editing with CRISPR-Cas9 by inhibition of nonhomologous end joining. </w:t>
      </w:r>
      <w:r w:rsidRPr="00A1728C">
        <w:rPr>
          <w:i/>
          <w:noProof/>
          <w:color w:val="auto"/>
        </w:rPr>
        <w:t>Nat</w:t>
      </w:r>
      <w:r w:rsidR="00574137" w:rsidRPr="00A1728C">
        <w:rPr>
          <w:i/>
          <w:noProof/>
          <w:color w:val="auto"/>
        </w:rPr>
        <w:t>ure</w:t>
      </w:r>
      <w:r w:rsidRPr="00A1728C">
        <w:rPr>
          <w:i/>
          <w:noProof/>
          <w:color w:val="auto"/>
        </w:rPr>
        <w:t xml:space="preserve"> Biotechnol</w:t>
      </w:r>
      <w:r w:rsidR="00574137" w:rsidRPr="00A1728C">
        <w:rPr>
          <w:i/>
          <w:noProof/>
          <w:color w:val="auto"/>
        </w:rPr>
        <w:t>ogy</w:t>
      </w:r>
      <w:r w:rsidRPr="00A1728C">
        <w:rPr>
          <w:i/>
          <w:noProof/>
          <w:color w:val="auto"/>
        </w:rPr>
        <w:t>.</w:t>
      </w:r>
      <w:r w:rsidRPr="00A1728C">
        <w:rPr>
          <w:noProof/>
          <w:color w:val="auto"/>
        </w:rPr>
        <w:t xml:space="preserve"> </w:t>
      </w:r>
      <w:r w:rsidRPr="00A1728C">
        <w:rPr>
          <w:b/>
          <w:noProof/>
          <w:color w:val="auto"/>
        </w:rPr>
        <w:t>33</w:t>
      </w:r>
      <w:r w:rsidRPr="00A1728C">
        <w:rPr>
          <w:noProof/>
          <w:color w:val="auto"/>
        </w:rPr>
        <w:t xml:space="preserve"> (5), 538</w:t>
      </w:r>
      <w:r w:rsidR="00481319">
        <w:rPr>
          <w:noProof/>
          <w:color w:val="auto"/>
        </w:rPr>
        <w:t>–</w:t>
      </w:r>
      <w:r w:rsidRPr="00A1728C">
        <w:rPr>
          <w:noProof/>
          <w:color w:val="auto"/>
        </w:rPr>
        <w:t>542</w:t>
      </w:r>
      <w:r w:rsidR="00EA1C1D">
        <w:rPr>
          <w:noProof/>
          <w:color w:val="auto"/>
        </w:rPr>
        <w:t xml:space="preserve"> (</w:t>
      </w:r>
      <w:r w:rsidRPr="00A1728C">
        <w:rPr>
          <w:noProof/>
          <w:color w:val="auto"/>
        </w:rPr>
        <w:t>2015).</w:t>
      </w:r>
    </w:p>
    <w:p w14:paraId="018A3C89" w14:textId="39127916" w:rsidR="009B58A7" w:rsidRPr="00A1728C" w:rsidRDefault="009B58A7" w:rsidP="00A1728C">
      <w:pPr>
        <w:pStyle w:val="EndNoteBibliography"/>
        <w:ind w:left="720" w:hanging="720"/>
        <w:rPr>
          <w:noProof/>
          <w:color w:val="auto"/>
        </w:rPr>
      </w:pPr>
      <w:r w:rsidRPr="00A1728C">
        <w:rPr>
          <w:noProof/>
          <w:color w:val="auto"/>
        </w:rPr>
        <w:t>5</w:t>
      </w:r>
      <w:r w:rsidR="00A24924" w:rsidRPr="00A1728C">
        <w:rPr>
          <w:noProof/>
          <w:color w:val="auto"/>
        </w:rPr>
        <w:t>8</w:t>
      </w:r>
      <w:r w:rsidR="000815D5">
        <w:rPr>
          <w:noProof/>
          <w:color w:val="auto"/>
        </w:rPr>
        <w:t>.</w:t>
      </w:r>
      <w:r w:rsidRPr="00A1728C">
        <w:rPr>
          <w:noProof/>
          <w:color w:val="auto"/>
        </w:rPr>
        <w:tab/>
        <w:t>Liu, M.</w:t>
      </w:r>
      <w:r w:rsidRPr="00A1728C">
        <w:rPr>
          <w:i/>
          <w:noProof/>
          <w:color w:val="auto"/>
        </w:rPr>
        <w:t xml:space="preserve"> </w:t>
      </w:r>
      <w:r w:rsidR="00EA1C1D" w:rsidRPr="00EA1C1D">
        <w:rPr>
          <w:noProof/>
          <w:color w:val="auto"/>
        </w:rPr>
        <w:t>et al.</w:t>
      </w:r>
      <w:r w:rsidRPr="00A1728C">
        <w:rPr>
          <w:noProof/>
          <w:color w:val="auto"/>
        </w:rPr>
        <w:t xml:space="preserve"> Methodologies for Improving HDR Efficiency. </w:t>
      </w:r>
      <w:r w:rsidRPr="00A1728C">
        <w:rPr>
          <w:i/>
          <w:noProof/>
          <w:color w:val="auto"/>
        </w:rPr>
        <w:t>Front</w:t>
      </w:r>
      <w:r w:rsidR="00574137" w:rsidRPr="00A1728C">
        <w:rPr>
          <w:i/>
          <w:noProof/>
          <w:color w:val="auto"/>
        </w:rPr>
        <w:t>iers in</w:t>
      </w:r>
      <w:r w:rsidRPr="00A1728C">
        <w:rPr>
          <w:i/>
          <w:noProof/>
          <w:color w:val="auto"/>
        </w:rPr>
        <w:t xml:space="preserve"> Genet</w:t>
      </w:r>
      <w:r w:rsidR="00574137" w:rsidRPr="00A1728C">
        <w:rPr>
          <w:i/>
          <w:noProof/>
          <w:color w:val="auto"/>
        </w:rPr>
        <w:t>ics</w:t>
      </w:r>
      <w:r w:rsidRPr="00A1728C">
        <w:rPr>
          <w:i/>
          <w:noProof/>
          <w:color w:val="auto"/>
        </w:rPr>
        <w:t>.</w:t>
      </w:r>
      <w:r w:rsidRPr="00A1728C">
        <w:rPr>
          <w:noProof/>
          <w:color w:val="auto"/>
        </w:rPr>
        <w:t xml:space="preserve"> </w:t>
      </w:r>
      <w:r w:rsidRPr="00A1728C">
        <w:rPr>
          <w:b/>
          <w:noProof/>
          <w:color w:val="auto"/>
        </w:rPr>
        <w:t>9</w:t>
      </w:r>
      <w:r w:rsidR="008066F6">
        <w:rPr>
          <w:noProof/>
          <w:color w:val="auto"/>
        </w:rPr>
        <w:t xml:space="preserve">, </w:t>
      </w:r>
      <w:r w:rsidRPr="00A1728C">
        <w:rPr>
          <w:noProof/>
          <w:color w:val="auto"/>
        </w:rPr>
        <w:t>691</w:t>
      </w:r>
      <w:r w:rsidR="00EA1C1D">
        <w:rPr>
          <w:noProof/>
          <w:color w:val="auto"/>
        </w:rPr>
        <w:t xml:space="preserve"> (</w:t>
      </w:r>
      <w:r w:rsidRPr="00A1728C">
        <w:rPr>
          <w:noProof/>
          <w:color w:val="auto"/>
        </w:rPr>
        <w:t>2018).</w:t>
      </w:r>
    </w:p>
    <w:p w14:paraId="2F411795" w14:textId="0D10E991" w:rsidR="009B58A7" w:rsidRPr="00A1728C" w:rsidRDefault="009B58A7" w:rsidP="00A1728C">
      <w:pPr>
        <w:pStyle w:val="EndNoteBibliography"/>
        <w:ind w:left="720" w:hanging="720"/>
        <w:rPr>
          <w:noProof/>
          <w:color w:val="auto"/>
        </w:rPr>
      </w:pPr>
      <w:r w:rsidRPr="00A1728C">
        <w:rPr>
          <w:noProof/>
          <w:color w:val="auto"/>
        </w:rPr>
        <w:t>5</w:t>
      </w:r>
      <w:r w:rsidR="00A24924" w:rsidRPr="00A1728C">
        <w:rPr>
          <w:noProof/>
          <w:color w:val="auto"/>
        </w:rPr>
        <w:t>9</w:t>
      </w:r>
      <w:r w:rsidR="000815D5">
        <w:rPr>
          <w:noProof/>
          <w:color w:val="auto"/>
        </w:rPr>
        <w:t>.</w:t>
      </w:r>
      <w:r w:rsidRPr="00A1728C">
        <w:rPr>
          <w:noProof/>
          <w:color w:val="auto"/>
        </w:rPr>
        <w:tab/>
        <w:t>Kirschbaum, F.</w:t>
      </w:r>
      <w:r w:rsidRPr="00A1728C">
        <w:rPr>
          <w:i/>
          <w:noProof/>
          <w:color w:val="auto"/>
        </w:rPr>
        <w:t xml:space="preserve"> </w:t>
      </w:r>
      <w:r w:rsidR="00EA1C1D" w:rsidRPr="00EA1C1D">
        <w:rPr>
          <w:noProof/>
          <w:color w:val="auto"/>
        </w:rPr>
        <w:t>et al.</w:t>
      </w:r>
      <w:r w:rsidRPr="00A1728C">
        <w:rPr>
          <w:noProof/>
          <w:color w:val="auto"/>
        </w:rPr>
        <w:t xml:space="preserve"> Intragenus (Campylomormyrus) and intergenus hybrids in mormyrid fish: Physiological and histological investigations of the electric organ ontogeny. </w:t>
      </w:r>
      <w:r w:rsidRPr="00A1728C">
        <w:rPr>
          <w:i/>
          <w:noProof/>
          <w:color w:val="auto"/>
        </w:rPr>
        <w:t>J</w:t>
      </w:r>
      <w:r w:rsidR="00574137" w:rsidRPr="00A1728C">
        <w:rPr>
          <w:i/>
          <w:noProof/>
          <w:color w:val="auto"/>
        </w:rPr>
        <w:t>ournal of</w:t>
      </w:r>
      <w:r w:rsidRPr="00A1728C">
        <w:rPr>
          <w:i/>
          <w:noProof/>
          <w:color w:val="auto"/>
        </w:rPr>
        <w:t xml:space="preserve"> Physiol</w:t>
      </w:r>
      <w:r w:rsidR="00574137" w:rsidRPr="00A1728C">
        <w:rPr>
          <w:i/>
          <w:noProof/>
          <w:color w:val="auto"/>
        </w:rPr>
        <w:t>ogy</w:t>
      </w:r>
      <w:r w:rsidRPr="00A1728C">
        <w:rPr>
          <w:i/>
          <w:noProof/>
          <w:color w:val="auto"/>
        </w:rPr>
        <w:t xml:space="preserve"> Paris.</w:t>
      </w:r>
      <w:r w:rsidRPr="00A1728C">
        <w:rPr>
          <w:noProof/>
          <w:color w:val="auto"/>
        </w:rPr>
        <w:t xml:space="preserve"> </w:t>
      </w:r>
      <w:r w:rsidRPr="00A1728C">
        <w:rPr>
          <w:b/>
          <w:noProof/>
          <w:color w:val="auto"/>
        </w:rPr>
        <w:t>110</w:t>
      </w:r>
      <w:r w:rsidRPr="00A1728C">
        <w:rPr>
          <w:noProof/>
          <w:color w:val="auto"/>
        </w:rPr>
        <w:t xml:space="preserve"> (3 Pt B), 281</w:t>
      </w:r>
      <w:r w:rsidR="00481319">
        <w:rPr>
          <w:noProof/>
          <w:color w:val="auto"/>
        </w:rPr>
        <w:t>–</w:t>
      </w:r>
      <w:r w:rsidRPr="00A1728C">
        <w:rPr>
          <w:noProof/>
          <w:color w:val="auto"/>
        </w:rPr>
        <w:t>301</w:t>
      </w:r>
      <w:r w:rsidR="00EA1C1D">
        <w:rPr>
          <w:noProof/>
          <w:color w:val="auto"/>
        </w:rPr>
        <w:t xml:space="preserve"> (</w:t>
      </w:r>
      <w:r w:rsidRPr="00A1728C">
        <w:rPr>
          <w:noProof/>
          <w:color w:val="auto"/>
        </w:rPr>
        <w:t>2016).</w:t>
      </w:r>
      <w:bookmarkStart w:id="2" w:name="_GoBack"/>
      <w:bookmarkEnd w:id="2"/>
    </w:p>
    <w:p w14:paraId="24C94132" w14:textId="2842F032" w:rsidR="00CA6A52" w:rsidRPr="00A1728C" w:rsidRDefault="00A24924" w:rsidP="00A1728C">
      <w:pPr>
        <w:pStyle w:val="EndNoteBibliography"/>
        <w:ind w:left="720" w:hanging="720"/>
        <w:rPr>
          <w:noProof/>
          <w:color w:val="auto"/>
        </w:rPr>
      </w:pPr>
      <w:r w:rsidRPr="00A1728C">
        <w:rPr>
          <w:noProof/>
          <w:color w:val="auto"/>
        </w:rPr>
        <w:t>60</w:t>
      </w:r>
      <w:r w:rsidR="000815D5">
        <w:rPr>
          <w:noProof/>
          <w:color w:val="auto"/>
        </w:rPr>
        <w:t>.</w:t>
      </w:r>
      <w:r w:rsidR="009B58A7" w:rsidRPr="00A1728C">
        <w:rPr>
          <w:noProof/>
          <w:color w:val="auto"/>
        </w:rPr>
        <w:tab/>
        <w:t>Jao, L. E., Wente, S. R.</w:t>
      </w:r>
      <w:r w:rsidR="00EA1C1D">
        <w:rPr>
          <w:noProof/>
          <w:color w:val="auto"/>
        </w:rPr>
        <w:t>,</w:t>
      </w:r>
      <w:r w:rsidR="009B58A7" w:rsidRPr="00A1728C">
        <w:rPr>
          <w:noProof/>
          <w:color w:val="auto"/>
        </w:rPr>
        <w:t xml:space="preserve"> Chen, W. Efficient multiplex biallelic zebrafish genome editing using a CRISPR nuclease system. </w:t>
      </w:r>
      <w:r w:rsidR="009B58A7" w:rsidRPr="00A1728C">
        <w:rPr>
          <w:i/>
          <w:noProof/>
          <w:color w:val="auto"/>
        </w:rPr>
        <w:t>Proc</w:t>
      </w:r>
      <w:r w:rsidR="00574137" w:rsidRPr="00A1728C">
        <w:rPr>
          <w:i/>
          <w:noProof/>
          <w:color w:val="auto"/>
        </w:rPr>
        <w:t>eedings of the</w:t>
      </w:r>
      <w:r w:rsidR="009B58A7" w:rsidRPr="00A1728C">
        <w:rPr>
          <w:i/>
          <w:noProof/>
          <w:color w:val="auto"/>
        </w:rPr>
        <w:t xml:space="preserve"> Nat</w:t>
      </w:r>
      <w:r w:rsidR="00574137" w:rsidRPr="00A1728C">
        <w:rPr>
          <w:i/>
          <w:noProof/>
          <w:color w:val="auto"/>
        </w:rPr>
        <w:t>ional</w:t>
      </w:r>
      <w:r w:rsidR="009B58A7" w:rsidRPr="00A1728C">
        <w:rPr>
          <w:i/>
          <w:noProof/>
          <w:color w:val="auto"/>
        </w:rPr>
        <w:t xml:space="preserve"> Acad</w:t>
      </w:r>
      <w:r w:rsidR="00574137" w:rsidRPr="00A1728C">
        <w:rPr>
          <w:i/>
          <w:noProof/>
          <w:color w:val="auto"/>
        </w:rPr>
        <w:t>emy of</w:t>
      </w:r>
      <w:r w:rsidR="009B58A7" w:rsidRPr="00A1728C">
        <w:rPr>
          <w:i/>
          <w:noProof/>
          <w:color w:val="auto"/>
        </w:rPr>
        <w:t xml:space="preserve"> Sci</w:t>
      </w:r>
      <w:r w:rsidR="00574137" w:rsidRPr="00A1728C">
        <w:rPr>
          <w:i/>
          <w:noProof/>
          <w:color w:val="auto"/>
        </w:rPr>
        <w:t>ence of the</w:t>
      </w:r>
      <w:r w:rsidR="009B58A7" w:rsidRPr="00A1728C">
        <w:rPr>
          <w:i/>
          <w:noProof/>
          <w:color w:val="auto"/>
        </w:rPr>
        <w:t xml:space="preserve"> U</w:t>
      </w:r>
      <w:r w:rsidR="00574137" w:rsidRPr="00A1728C">
        <w:rPr>
          <w:i/>
          <w:noProof/>
          <w:color w:val="auto"/>
        </w:rPr>
        <w:t>nited</w:t>
      </w:r>
      <w:r w:rsidR="009B58A7" w:rsidRPr="00A1728C">
        <w:rPr>
          <w:i/>
          <w:noProof/>
          <w:color w:val="auto"/>
        </w:rPr>
        <w:t xml:space="preserve"> S</w:t>
      </w:r>
      <w:r w:rsidR="00574137" w:rsidRPr="00A1728C">
        <w:rPr>
          <w:i/>
          <w:noProof/>
          <w:color w:val="auto"/>
        </w:rPr>
        <w:t>tates of</w:t>
      </w:r>
      <w:r w:rsidR="009B58A7" w:rsidRPr="00A1728C">
        <w:rPr>
          <w:i/>
          <w:noProof/>
          <w:color w:val="auto"/>
        </w:rPr>
        <w:t xml:space="preserve"> A</w:t>
      </w:r>
      <w:r w:rsidR="00574137" w:rsidRPr="00A1728C">
        <w:rPr>
          <w:i/>
          <w:noProof/>
          <w:color w:val="auto"/>
        </w:rPr>
        <w:t>merica</w:t>
      </w:r>
      <w:r w:rsidR="009B58A7" w:rsidRPr="00A1728C">
        <w:rPr>
          <w:i/>
          <w:noProof/>
          <w:color w:val="auto"/>
        </w:rPr>
        <w:t>.</w:t>
      </w:r>
      <w:r w:rsidR="009B58A7" w:rsidRPr="00A1728C">
        <w:rPr>
          <w:noProof/>
          <w:color w:val="auto"/>
        </w:rPr>
        <w:t xml:space="preserve"> </w:t>
      </w:r>
      <w:r w:rsidR="009B58A7" w:rsidRPr="00A1728C">
        <w:rPr>
          <w:b/>
          <w:noProof/>
          <w:color w:val="auto"/>
        </w:rPr>
        <w:t>110</w:t>
      </w:r>
      <w:r w:rsidR="009B58A7" w:rsidRPr="00A1728C">
        <w:rPr>
          <w:noProof/>
          <w:color w:val="auto"/>
        </w:rPr>
        <w:t xml:space="preserve"> (34), 13904</w:t>
      </w:r>
      <w:r w:rsidR="00481319">
        <w:rPr>
          <w:noProof/>
          <w:color w:val="auto"/>
        </w:rPr>
        <w:t>–</w:t>
      </w:r>
      <w:r w:rsidR="009B58A7" w:rsidRPr="00A1728C">
        <w:rPr>
          <w:noProof/>
          <w:color w:val="auto"/>
        </w:rPr>
        <w:t>13909</w:t>
      </w:r>
      <w:r w:rsidR="00EA1C1D">
        <w:rPr>
          <w:noProof/>
          <w:color w:val="auto"/>
        </w:rPr>
        <w:t xml:space="preserve"> (</w:t>
      </w:r>
      <w:r w:rsidR="009B58A7" w:rsidRPr="00A1728C">
        <w:rPr>
          <w:noProof/>
          <w:color w:val="auto"/>
        </w:rPr>
        <w:t>2013).</w:t>
      </w:r>
    </w:p>
    <w:p w14:paraId="7D33F800" w14:textId="77777777" w:rsidR="009B58A7" w:rsidRPr="00A1728C" w:rsidRDefault="009B58A7" w:rsidP="00A1728C">
      <w:pPr>
        <w:rPr>
          <w:color w:val="auto"/>
        </w:rPr>
      </w:pPr>
    </w:p>
    <w:p w14:paraId="4DBE204B" w14:textId="77777777" w:rsidR="003F0CBD" w:rsidRPr="00A1728C" w:rsidRDefault="003F0CBD" w:rsidP="00A1728C">
      <w:pPr>
        <w:rPr>
          <w:color w:val="auto"/>
        </w:rPr>
      </w:pPr>
    </w:p>
    <w:sectPr w:rsidR="003F0CBD" w:rsidRPr="00A1728C" w:rsidSect="00EA1C1D">
      <w:headerReference w:type="default" r:id="rId8"/>
      <w:headerReference w:type="firs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B9B1C" w14:textId="77777777" w:rsidR="00063032" w:rsidRDefault="00063032" w:rsidP="00FE4E2E">
      <w:r>
        <w:separator/>
      </w:r>
    </w:p>
  </w:endnote>
  <w:endnote w:type="continuationSeparator" w:id="0">
    <w:p w14:paraId="0760A291" w14:textId="77777777" w:rsidR="00063032" w:rsidRDefault="00063032" w:rsidP="00FE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altName w:val="Courier New"/>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48A5" w14:textId="77777777" w:rsidR="000F1CEB" w:rsidRDefault="000F1CEB" w:rsidP="00A20A3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EE887" w14:textId="77777777" w:rsidR="00063032" w:rsidRDefault="00063032" w:rsidP="00FE4E2E">
      <w:r>
        <w:separator/>
      </w:r>
    </w:p>
  </w:footnote>
  <w:footnote w:type="continuationSeparator" w:id="0">
    <w:p w14:paraId="088C2F61" w14:textId="77777777" w:rsidR="00063032" w:rsidRDefault="00063032" w:rsidP="00FE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3723" w14:textId="77777777" w:rsidR="000F1CEB" w:rsidRPr="006F06E4" w:rsidRDefault="000F1CEB" w:rsidP="00A20A30">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E3E" w14:textId="77777777" w:rsidR="000F1CEB" w:rsidRPr="006F06E4" w:rsidRDefault="000F1CEB" w:rsidP="00A20A30">
    <w:pPr>
      <w:pStyle w:val="Header"/>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169B1"/>
    <w:multiLevelType w:val="hybridMultilevel"/>
    <w:tmpl w:val="EBA6F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6C56"/>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827A0"/>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937B0"/>
    <w:multiLevelType w:val="hybridMultilevel"/>
    <w:tmpl w:val="0E38E894"/>
    <w:lvl w:ilvl="0" w:tplc="F2BEFA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433BA"/>
    <w:multiLevelType w:val="multilevel"/>
    <w:tmpl w:val="9BB62600"/>
    <w:lvl w:ilvl="0">
      <w:start w:val="4"/>
      <w:numFmt w:val="decimal"/>
      <w:lvlText w:val="%1"/>
      <w:lvlJc w:val="left"/>
      <w:pPr>
        <w:ind w:left="360" w:hanging="360"/>
      </w:pPr>
      <w:rPr>
        <w:rFonts w:hint="default"/>
        <w:i/>
      </w:rPr>
    </w:lvl>
    <w:lvl w:ilvl="1">
      <w:start w:val="2"/>
      <w:numFmt w:val="decimal"/>
      <w:lvlText w:val="%1.%2"/>
      <w:lvlJc w:val="left"/>
      <w:pPr>
        <w:ind w:left="648" w:hanging="360"/>
      </w:pPr>
      <w:rPr>
        <w:rFonts w:hint="default"/>
        <w:b/>
        <w:i w:val="0"/>
      </w:rPr>
    </w:lvl>
    <w:lvl w:ilvl="2">
      <w:start w:val="1"/>
      <w:numFmt w:val="decimal"/>
      <w:lvlText w:val="%1.%2.%3"/>
      <w:lvlJc w:val="left"/>
      <w:pPr>
        <w:ind w:left="1296" w:hanging="720"/>
      </w:pPr>
      <w:rPr>
        <w:rFonts w:hint="default"/>
        <w:b/>
        <w:i w:val="0"/>
      </w:rPr>
    </w:lvl>
    <w:lvl w:ilvl="3">
      <w:start w:val="1"/>
      <w:numFmt w:val="decimal"/>
      <w:lvlText w:val="%1.%2.%3.%4"/>
      <w:lvlJc w:val="left"/>
      <w:pPr>
        <w:ind w:left="1584" w:hanging="720"/>
      </w:pPr>
      <w:rPr>
        <w:rFonts w:hint="default"/>
        <w:i/>
      </w:rPr>
    </w:lvl>
    <w:lvl w:ilvl="4">
      <w:start w:val="1"/>
      <w:numFmt w:val="decimal"/>
      <w:lvlText w:val="%1.%2.%3.%4.%5"/>
      <w:lvlJc w:val="left"/>
      <w:pPr>
        <w:ind w:left="2232" w:hanging="1080"/>
      </w:pPr>
      <w:rPr>
        <w:rFonts w:hint="default"/>
        <w:i/>
      </w:rPr>
    </w:lvl>
    <w:lvl w:ilvl="5">
      <w:start w:val="1"/>
      <w:numFmt w:val="decimal"/>
      <w:lvlText w:val="%1.%2.%3.%4.%5.%6"/>
      <w:lvlJc w:val="left"/>
      <w:pPr>
        <w:ind w:left="2520" w:hanging="1080"/>
      </w:pPr>
      <w:rPr>
        <w:rFonts w:hint="default"/>
        <w:i/>
      </w:rPr>
    </w:lvl>
    <w:lvl w:ilvl="6">
      <w:start w:val="1"/>
      <w:numFmt w:val="decimal"/>
      <w:lvlText w:val="%1.%2.%3.%4.%5.%6.%7"/>
      <w:lvlJc w:val="left"/>
      <w:pPr>
        <w:ind w:left="3168" w:hanging="1440"/>
      </w:pPr>
      <w:rPr>
        <w:rFonts w:hint="default"/>
        <w:i/>
      </w:rPr>
    </w:lvl>
    <w:lvl w:ilvl="7">
      <w:start w:val="1"/>
      <w:numFmt w:val="decimal"/>
      <w:lvlText w:val="%1.%2.%3.%4.%5.%6.%7.%8"/>
      <w:lvlJc w:val="left"/>
      <w:pPr>
        <w:ind w:left="3456" w:hanging="1440"/>
      </w:pPr>
      <w:rPr>
        <w:rFonts w:hint="default"/>
        <w:i/>
      </w:rPr>
    </w:lvl>
    <w:lvl w:ilvl="8">
      <w:start w:val="1"/>
      <w:numFmt w:val="decimal"/>
      <w:lvlText w:val="%1.%2.%3.%4.%5.%6.%7.%8.%9"/>
      <w:lvlJc w:val="left"/>
      <w:pPr>
        <w:ind w:left="4104" w:hanging="1800"/>
      </w:pPr>
      <w:rPr>
        <w:rFonts w:hint="default"/>
        <w:i/>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11CA3"/>
    <w:multiLevelType w:val="hybridMultilevel"/>
    <w:tmpl w:val="340E4ACC"/>
    <w:lvl w:ilvl="0" w:tplc="7F88E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45276C8"/>
    <w:multiLevelType w:val="multilevel"/>
    <w:tmpl w:val="B38A5F5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16" w:hanging="72"/>
      </w:pPr>
      <w:rPr>
        <w:rFonts w:hint="default"/>
        <w:b/>
        <w:i w:val="0"/>
      </w:rPr>
    </w:lvl>
    <w:lvl w:ilvl="2">
      <w:start w:val="1"/>
      <w:numFmt w:val="decimal"/>
      <w:suff w:val="space"/>
      <w:lvlText w:val="%1.%2.%3."/>
      <w:lvlJc w:val="left"/>
      <w:pPr>
        <w:ind w:left="360" w:hanging="72"/>
      </w:pPr>
      <w:rPr>
        <w:rFonts w:hint="default"/>
        <w:b/>
        <w:i w:val="0"/>
      </w:rPr>
    </w:lvl>
    <w:lvl w:ilvl="3">
      <w:start w:val="1"/>
      <w:numFmt w:val="decimal"/>
      <w:suff w:val="space"/>
      <w:lvlText w:val="%1.%2.%3.%4."/>
      <w:lvlJc w:val="left"/>
      <w:pPr>
        <w:ind w:left="504" w:hanging="72"/>
      </w:pPr>
      <w:rPr>
        <w:rFonts w:hint="default"/>
        <w:b/>
        <w:i w:val="0"/>
        <w:u w:val="none"/>
      </w:rPr>
    </w:lvl>
    <w:lvl w:ilvl="4">
      <w:start w:val="1"/>
      <w:numFmt w:val="decimal"/>
      <w:suff w:val="space"/>
      <w:lvlText w:val="%1.%2.%3.%4.%5."/>
      <w:lvlJc w:val="left"/>
      <w:pPr>
        <w:ind w:left="576" w:firstLine="0"/>
      </w:pPr>
      <w:rPr>
        <w:rFonts w:hint="default"/>
        <w:b/>
        <w:i w:val="0"/>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6D37360"/>
    <w:multiLevelType w:val="multilevel"/>
    <w:tmpl w:val="12D03D94"/>
    <w:lvl w:ilvl="0">
      <w:start w:val="4"/>
      <w:numFmt w:val="decimal"/>
      <w:lvlText w:val="%1"/>
      <w:lvlJc w:val="left"/>
      <w:pPr>
        <w:ind w:left="480" w:hanging="480"/>
      </w:pPr>
      <w:rPr>
        <w:rFonts w:hint="default"/>
      </w:rPr>
    </w:lvl>
    <w:lvl w:ilvl="1">
      <w:start w:val="3"/>
      <w:numFmt w:val="decimal"/>
      <w:lvlText w:val="%1.%2"/>
      <w:lvlJc w:val="left"/>
      <w:pPr>
        <w:ind w:left="696" w:hanging="480"/>
      </w:pPr>
      <w:rPr>
        <w:rFonts w:hint="default"/>
        <w:b/>
      </w:rPr>
    </w:lvl>
    <w:lvl w:ilvl="2">
      <w:start w:val="1"/>
      <w:numFmt w:val="decimal"/>
      <w:lvlText w:val="%1.%2.%3"/>
      <w:lvlJc w:val="left"/>
      <w:pPr>
        <w:ind w:left="1170" w:hanging="720"/>
      </w:pPr>
      <w:rPr>
        <w:rFonts w:hint="default"/>
        <w:b/>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239F2"/>
    <w:multiLevelType w:val="multilevel"/>
    <w:tmpl w:val="EA2C4AB6"/>
    <w:lvl w:ilvl="0">
      <w:start w:val="5"/>
      <w:numFmt w:val="decimal"/>
      <w:lvlText w:val="%1"/>
      <w:lvlJc w:val="left"/>
      <w:pPr>
        <w:ind w:left="360" w:hanging="360"/>
      </w:pPr>
      <w:rPr>
        <w:rFonts w:hint="default"/>
        <w:b/>
      </w:rPr>
    </w:lvl>
    <w:lvl w:ilvl="1">
      <w:start w:val="1"/>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D5C68"/>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FF068B4"/>
    <w:multiLevelType w:val="hybridMultilevel"/>
    <w:tmpl w:val="378A0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8E134B"/>
    <w:multiLevelType w:val="multilevel"/>
    <w:tmpl w:val="19A2CB92"/>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asciiTheme="minorHAnsi" w:hAnsiTheme="minorHAnsi" w:cstheme="minorHAnsi" w:hint="default"/>
        <w:color w:val="000000" w:themeColor="text1"/>
      </w:rPr>
    </w:lvl>
    <w:lvl w:ilvl="2">
      <w:start w:val="1"/>
      <w:numFmt w:val="decimal"/>
      <w:isLgl/>
      <w:lvlText w:val="%1.%2.%3"/>
      <w:lvlJc w:val="left"/>
      <w:pPr>
        <w:ind w:left="1080" w:hanging="720"/>
      </w:pPr>
      <w:rPr>
        <w:rFonts w:asciiTheme="minorHAnsi" w:hAnsiTheme="minorHAnsi" w:cstheme="minorHAnsi" w:hint="default"/>
        <w:color w:val="000000" w:themeColor="text1"/>
      </w:rPr>
    </w:lvl>
    <w:lvl w:ilvl="3">
      <w:start w:val="1"/>
      <w:numFmt w:val="decimal"/>
      <w:isLgl/>
      <w:lvlText w:val="%1.%2.%3.%4"/>
      <w:lvlJc w:val="left"/>
      <w:pPr>
        <w:ind w:left="1080" w:hanging="720"/>
      </w:pPr>
      <w:rPr>
        <w:rFonts w:asciiTheme="minorHAnsi" w:hAnsiTheme="minorHAnsi" w:cstheme="minorHAnsi" w:hint="default"/>
        <w:color w:val="000000" w:themeColor="text1"/>
      </w:rPr>
    </w:lvl>
    <w:lvl w:ilvl="4">
      <w:start w:val="1"/>
      <w:numFmt w:val="decimal"/>
      <w:isLgl/>
      <w:lvlText w:val="%1.%2.%3.%4.%5"/>
      <w:lvlJc w:val="left"/>
      <w:pPr>
        <w:ind w:left="1440" w:hanging="1080"/>
      </w:pPr>
      <w:rPr>
        <w:rFonts w:asciiTheme="minorHAnsi" w:hAnsiTheme="minorHAnsi" w:cstheme="minorHAnsi" w:hint="default"/>
        <w:color w:val="000000" w:themeColor="text1"/>
      </w:rPr>
    </w:lvl>
    <w:lvl w:ilvl="5">
      <w:start w:val="1"/>
      <w:numFmt w:val="decimal"/>
      <w:isLgl/>
      <w:lvlText w:val="%1.%2.%3.%4.%5.%6"/>
      <w:lvlJc w:val="left"/>
      <w:pPr>
        <w:ind w:left="1440" w:hanging="1080"/>
      </w:pPr>
      <w:rPr>
        <w:rFonts w:asciiTheme="minorHAnsi" w:hAnsiTheme="minorHAnsi" w:cstheme="minorHAnsi" w:hint="default"/>
        <w:color w:val="000000" w:themeColor="text1"/>
      </w:rPr>
    </w:lvl>
    <w:lvl w:ilvl="6">
      <w:start w:val="1"/>
      <w:numFmt w:val="decimal"/>
      <w:isLgl/>
      <w:lvlText w:val="%1.%2.%3.%4.%5.%6.%7"/>
      <w:lvlJc w:val="left"/>
      <w:pPr>
        <w:ind w:left="1800" w:hanging="1440"/>
      </w:pPr>
      <w:rPr>
        <w:rFonts w:asciiTheme="minorHAnsi" w:hAnsiTheme="minorHAnsi" w:cstheme="minorHAnsi" w:hint="default"/>
        <w:color w:val="000000" w:themeColor="text1"/>
      </w:rPr>
    </w:lvl>
    <w:lvl w:ilvl="7">
      <w:start w:val="1"/>
      <w:numFmt w:val="decimal"/>
      <w:isLgl/>
      <w:lvlText w:val="%1.%2.%3.%4.%5.%6.%7.%8"/>
      <w:lvlJc w:val="left"/>
      <w:pPr>
        <w:ind w:left="1800" w:hanging="1440"/>
      </w:pPr>
      <w:rPr>
        <w:rFonts w:asciiTheme="minorHAnsi" w:hAnsiTheme="minorHAnsi" w:cstheme="minorHAnsi" w:hint="default"/>
        <w:color w:val="000000" w:themeColor="text1"/>
      </w:rPr>
    </w:lvl>
    <w:lvl w:ilvl="8">
      <w:start w:val="1"/>
      <w:numFmt w:val="decimal"/>
      <w:isLgl/>
      <w:lvlText w:val="%1.%2.%3.%4.%5.%6.%7.%8.%9"/>
      <w:lvlJc w:val="left"/>
      <w:pPr>
        <w:ind w:left="2160" w:hanging="1800"/>
      </w:pPr>
      <w:rPr>
        <w:rFonts w:asciiTheme="minorHAnsi" w:hAnsiTheme="minorHAnsi" w:cstheme="minorHAnsi" w:hint="default"/>
        <w:color w:val="000000" w:themeColor="text1"/>
      </w:rPr>
    </w:lvl>
  </w:abstractNum>
  <w:abstractNum w:abstractNumId="25" w15:restartNumberingAfterBreak="0">
    <w:nsid w:val="52BE0971"/>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547129E4"/>
    <w:multiLevelType w:val="hybridMultilevel"/>
    <w:tmpl w:val="7BE6B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D7341"/>
    <w:multiLevelType w:val="multilevel"/>
    <w:tmpl w:val="9AC63C8C"/>
    <w:lvl w:ilvl="0">
      <w:start w:val="1"/>
      <w:numFmt w:val="decimal"/>
      <w:lvlRestart w:val="0"/>
      <w:suff w:val="space"/>
      <w:lvlText w:val="%1."/>
      <w:lvlJc w:val="left"/>
      <w:pPr>
        <w:ind w:left="0" w:firstLine="0"/>
      </w:pPr>
      <w:rPr>
        <w:i w:val="0"/>
        <w:iCs/>
      </w:rPr>
    </w:lvl>
    <w:lvl w:ilvl="1">
      <w:start w:val="1"/>
      <w:numFmt w:val="decimal"/>
      <w:suff w:val="space"/>
      <w:lvlText w:val="%1.%2."/>
      <w:lvlJc w:val="left"/>
      <w:pPr>
        <w:ind w:left="0" w:firstLine="0"/>
      </w:pPr>
      <w:rPr>
        <w:b w:val="0"/>
        <w:bCs/>
        <w:i w:val="0"/>
        <w:iCs/>
      </w:rPr>
    </w:lvl>
    <w:lvl w:ilvl="2">
      <w:start w:val="1"/>
      <w:numFmt w:val="decimal"/>
      <w:suff w:val="space"/>
      <w:lvlText w:val="%1.%2.%3."/>
      <w:lvlJc w:val="left"/>
      <w:pPr>
        <w:ind w:left="0" w:firstLine="0"/>
      </w:pPr>
      <w:rPr>
        <w:b w:val="0"/>
        <w:bCs/>
        <w:i w:val="0"/>
        <w:i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8685F"/>
    <w:multiLevelType w:val="hybridMultilevel"/>
    <w:tmpl w:val="AAF4C4D4"/>
    <w:lvl w:ilvl="0" w:tplc="2F4E2F3E">
      <w:start w:val="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1F4BE6"/>
    <w:multiLevelType w:val="multilevel"/>
    <w:tmpl w:val="071AB01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23D36"/>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DF5A58"/>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2"/>
  </w:num>
  <w:num w:numId="3">
    <w:abstractNumId w:val="7"/>
  </w:num>
  <w:num w:numId="4">
    <w:abstractNumId w:val="28"/>
  </w:num>
  <w:num w:numId="5">
    <w:abstractNumId w:val="15"/>
  </w:num>
  <w:num w:numId="6">
    <w:abstractNumId w:val="27"/>
  </w:num>
  <w:num w:numId="7">
    <w:abstractNumId w:val="0"/>
  </w:num>
  <w:num w:numId="8">
    <w:abstractNumId w:val="17"/>
  </w:num>
  <w:num w:numId="9">
    <w:abstractNumId w:val="18"/>
  </w:num>
  <w:num w:numId="10">
    <w:abstractNumId w:val="30"/>
  </w:num>
  <w:num w:numId="11">
    <w:abstractNumId w:val="35"/>
  </w:num>
  <w:num w:numId="12">
    <w:abstractNumId w:val="3"/>
  </w:num>
  <w:num w:numId="13">
    <w:abstractNumId w:val="33"/>
  </w:num>
  <w:num w:numId="14">
    <w:abstractNumId w:val="42"/>
  </w:num>
  <w:num w:numId="15">
    <w:abstractNumId w:val="20"/>
  </w:num>
  <w:num w:numId="16">
    <w:abstractNumId w:val="14"/>
  </w:num>
  <w:num w:numId="17">
    <w:abstractNumId w:val="34"/>
  </w:num>
  <w:num w:numId="18">
    <w:abstractNumId w:val="21"/>
  </w:num>
  <w:num w:numId="19">
    <w:abstractNumId w:val="38"/>
  </w:num>
  <w:num w:numId="20">
    <w:abstractNumId w:val="5"/>
  </w:num>
  <w:num w:numId="21">
    <w:abstractNumId w:val="40"/>
  </w:num>
  <w:num w:numId="22">
    <w:abstractNumId w:val="37"/>
  </w:num>
  <w:num w:numId="23">
    <w:abstractNumId w:val="22"/>
  </w:num>
  <w:num w:numId="24">
    <w:abstractNumId w:val="43"/>
  </w:num>
  <w:num w:numId="25">
    <w:abstractNumId w:val="11"/>
  </w:num>
  <w:num w:numId="26">
    <w:abstractNumId w:val="26"/>
  </w:num>
  <w:num w:numId="27">
    <w:abstractNumId w:val="12"/>
  </w:num>
  <w:num w:numId="28">
    <w:abstractNumId w:val="24"/>
  </w:num>
  <w:num w:numId="29">
    <w:abstractNumId w:val="10"/>
  </w:num>
  <w:num w:numId="30">
    <w:abstractNumId w:val="6"/>
  </w:num>
  <w:num w:numId="31">
    <w:abstractNumId w:val="19"/>
  </w:num>
  <w:num w:numId="32">
    <w:abstractNumId w:val="39"/>
  </w:num>
  <w:num w:numId="33">
    <w:abstractNumId w:val="4"/>
  </w:num>
  <w:num w:numId="34">
    <w:abstractNumId w:val="41"/>
  </w:num>
  <w:num w:numId="35">
    <w:abstractNumId w:val="25"/>
  </w:num>
  <w:num w:numId="36">
    <w:abstractNumId w:val="2"/>
  </w:num>
  <w:num w:numId="37">
    <w:abstractNumId w:val="8"/>
  </w:num>
  <w:num w:numId="38">
    <w:abstractNumId w:val="13"/>
  </w:num>
  <w:num w:numId="39">
    <w:abstractNumId w:val="16"/>
  </w:num>
  <w:num w:numId="40">
    <w:abstractNumId w:val="23"/>
  </w:num>
  <w:num w:numId="41">
    <w:abstractNumId w:val="31"/>
  </w:num>
  <w:num w:numId="42">
    <w:abstractNumId w:val="1"/>
  </w:num>
  <w:num w:numId="43">
    <w:abstractNumId w:val="2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B58A7"/>
    <w:rsid w:val="00017290"/>
    <w:rsid w:val="000256D4"/>
    <w:rsid w:val="00026CBF"/>
    <w:rsid w:val="000317E9"/>
    <w:rsid w:val="00037768"/>
    <w:rsid w:val="00053C50"/>
    <w:rsid w:val="00063032"/>
    <w:rsid w:val="00064754"/>
    <w:rsid w:val="00065892"/>
    <w:rsid w:val="00066252"/>
    <w:rsid w:val="00077725"/>
    <w:rsid w:val="000815D5"/>
    <w:rsid w:val="000876AD"/>
    <w:rsid w:val="00096FA7"/>
    <w:rsid w:val="000A1630"/>
    <w:rsid w:val="000B3EDF"/>
    <w:rsid w:val="000C7180"/>
    <w:rsid w:val="000D4135"/>
    <w:rsid w:val="000D44BA"/>
    <w:rsid w:val="000D49CB"/>
    <w:rsid w:val="000F15DB"/>
    <w:rsid w:val="000F1CEB"/>
    <w:rsid w:val="00112AC9"/>
    <w:rsid w:val="0013117F"/>
    <w:rsid w:val="00150BF6"/>
    <w:rsid w:val="0015153A"/>
    <w:rsid w:val="001532F0"/>
    <w:rsid w:val="00155332"/>
    <w:rsid w:val="001758EA"/>
    <w:rsid w:val="0018158B"/>
    <w:rsid w:val="001909B6"/>
    <w:rsid w:val="001B7BD9"/>
    <w:rsid w:val="001C266A"/>
    <w:rsid w:val="001D42DB"/>
    <w:rsid w:val="001D676C"/>
    <w:rsid w:val="001E1D96"/>
    <w:rsid w:val="001F235C"/>
    <w:rsid w:val="001F7253"/>
    <w:rsid w:val="001F72F1"/>
    <w:rsid w:val="00200408"/>
    <w:rsid w:val="002106AB"/>
    <w:rsid w:val="00223821"/>
    <w:rsid w:val="002242FC"/>
    <w:rsid w:val="00251FD3"/>
    <w:rsid w:val="002545A0"/>
    <w:rsid w:val="00255B1F"/>
    <w:rsid w:val="002614D8"/>
    <w:rsid w:val="0026337F"/>
    <w:rsid w:val="002708D2"/>
    <w:rsid w:val="002717B4"/>
    <w:rsid w:val="00271B19"/>
    <w:rsid w:val="00271F73"/>
    <w:rsid w:val="00272477"/>
    <w:rsid w:val="002816BF"/>
    <w:rsid w:val="00281C97"/>
    <w:rsid w:val="002965A4"/>
    <w:rsid w:val="002A0E47"/>
    <w:rsid w:val="002A31ED"/>
    <w:rsid w:val="002A465E"/>
    <w:rsid w:val="002B1269"/>
    <w:rsid w:val="002B6FDF"/>
    <w:rsid w:val="002D124B"/>
    <w:rsid w:val="002D2443"/>
    <w:rsid w:val="002D5DD5"/>
    <w:rsid w:val="002E6664"/>
    <w:rsid w:val="00304688"/>
    <w:rsid w:val="003321FB"/>
    <w:rsid w:val="00334BF4"/>
    <w:rsid w:val="003413B7"/>
    <w:rsid w:val="00350441"/>
    <w:rsid w:val="0035046B"/>
    <w:rsid w:val="00361E08"/>
    <w:rsid w:val="003725E6"/>
    <w:rsid w:val="0037542F"/>
    <w:rsid w:val="003830A4"/>
    <w:rsid w:val="003856E2"/>
    <w:rsid w:val="00391795"/>
    <w:rsid w:val="003A16E5"/>
    <w:rsid w:val="003A3025"/>
    <w:rsid w:val="003A47E6"/>
    <w:rsid w:val="003A5195"/>
    <w:rsid w:val="003B19E3"/>
    <w:rsid w:val="003C43C7"/>
    <w:rsid w:val="003D419B"/>
    <w:rsid w:val="003D7D49"/>
    <w:rsid w:val="003E4019"/>
    <w:rsid w:val="003E53E1"/>
    <w:rsid w:val="003E7F7C"/>
    <w:rsid w:val="003F0CBD"/>
    <w:rsid w:val="003F2D8C"/>
    <w:rsid w:val="0040218C"/>
    <w:rsid w:val="00402A0F"/>
    <w:rsid w:val="00405764"/>
    <w:rsid w:val="00407D02"/>
    <w:rsid w:val="00414F58"/>
    <w:rsid w:val="00416476"/>
    <w:rsid w:val="00421221"/>
    <w:rsid w:val="00432E61"/>
    <w:rsid w:val="004405E1"/>
    <w:rsid w:val="00441116"/>
    <w:rsid w:val="00444C06"/>
    <w:rsid w:val="004578F2"/>
    <w:rsid w:val="00476704"/>
    <w:rsid w:val="00481319"/>
    <w:rsid w:val="004828F8"/>
    <w:rsid w:val="00487B7A"/>
    <w:rsid w:val="00491668"/>
    <w:rsid w:val="0049330B"/>
    <w:rsid w:val="00495A1B"/>
    <w:rsid w:val="00497721"/>
    <w:rsid w:val="004A7A2C"/>
    <w:rsid w:val="004B4BAC"/>
    <w:rsid w:val="004B5893"/>
    <w:rsid w:val="004B7A20"/>
    <w:rsid w:val="004C5158"/>
    <w:rsid w:val="004F2C94"/>
    <w:rsid w:val="00501962"/>
    <w:rsid w:val="00503411"/>
    <w:rsid w:val="00512FB9"/>
    <w:rsid w:val="00515F4C"/>
    <w:rsid w:val="005223E3"/>
    <w:rsid w:val="005248F8"/>
    <w:rsid w:val="005402C1"/>
    <w:rsid w:val="00541507"/>
    <w:rsid w:val="005507AA"/>
    <w:rsid w:val="00551131"/>
    <w:rsid w:val="00556143"/>
    <w:rsid w:val="00571DF3"/>
    <w:rsid w:val="00574137"/>
    <w:rsid w:val="00580D14"/>
    <w:rsid w:val="0059030C"/>
    <w:rsid w:val="00590354"/>
    <w:rsid w:val="00590356"/>
    <w:rsid w:val="005917DD"/>
    <w:rsid w:val="005C14D2"/>
    <w:rsid w:val="005C4D82"/>
    <w:rsid w:val="005D4E62"/>
    <w:rsid w:val="005E3DD0"/>
    <w:rsid w:val="005F6C1D"/>
    <w:rsid w:val="006073A6"/>
    <w:rsid w:val="006118FB"/>
    <w:rsid w:val="006204FF"/>
    <w:rsid w:val="00623A4C"/>
    <w:rsid w:val="00624D7B"/>
    <w:rsid w:val="006277F1"/>
    <w:rsid w:val="006278E4"/>
    <w:rsid w:val="00634738"/>
    <w:rsid w:val="006445E4"/>
    <w:rsid w:val="00645402"/>
    <w:rsid w:val="00650653"/>
    <w:rsid w:val="00651A02"/>
    <w:rsid w:val="0066244A"/>
    <w:rsid w:val="00664693"/>
    <w:rsid w:val="00666E93"/>
    <w:rsid w:val="006805F5"/>
    <w:rsid w:val="00686481"/>
    <w:rsid w:val="00687693"/>
    <w:rsid w:val="00693059"/>
    <w:rsid w:val="006A31C8"/>
    <w:rsid w:val="006A334E"/>
    <w:rsid w:val="006A791A"/>
    <w:rsid w:val="006B3B73"/>
    <w:rsid w:val="006D2519"/>
    <w:rsid w:val="006D606E"/>
    <w:rsid w:val="006E1FB1"/>
    <w:rsid w:val="006E3471"/>
    <w:rsid w:val="006F78CA"/>
    <w:rsid w:val="007141A3"/>
    <w:rsid w:val="00714977"/>
    <w:rsid w:val="00724EEA"/>
    <w:rsid w:val="007428F2"/>
    <w:rsid w:val="00751599"/>
    <w:rsid w:val="00755C89"/>
    <w:rsid w:val="00772AF0"/>
    <w:rsid w:val="00773173"/>
    <w:rsid w:val="007750AD"/>
    <w:rsid w:val="007810D8"/>
    <w:rsid w:val="00782874"/>
    <w:rsid w:val="00782E47"/>
    <w:rsid w:val="00786629"/>
    <w:rsid w:val="0078744C"/>
    <w:rsid w:val="007A007A"/>
    <w:rsid w:val="007C2E13"/>
    <w:rsid w:val="007D04AB"/>
    <w:rsid w:val="007D3C02"/>
    <w:rsid w:val="007D6EFD"/>
    <w:rsid w:val="0080282F"/>
    <w:rsid w:val="008061FF"/>
    <w:rsid w:val="008066F6"/>
    <w:rsid w:val="008075C3"/>
    <w:rsid w:val="00811021"/>
    <w:rsid w:val="00811025"/>
    <w:rsid w:val="00813428"/>
    <w:rsid w:val="00817DCF"/>
    <w:rsid w:val="00824103"/>
    <w:rsid w:val="00825062"/>
    <w:rsid w:val="00852F9B"/>
    <w:rsid w:val="00853596"/>
    <w:rsid w:val="0085405F"/>
    <w:rsid w:val="00855900"/>
    <w:rsid w:val="00857EF1"/>
    <w:rsid w:val="00861D9E"/>
    <w:rsid w:val="008638AE"/>
    <w:rsid w:val="008652EB"/>
    <w:rsid w:val="00866B62"/>
    <w:rsid w:val="00874910"/>
    <w:rsid w:val="00881EDB"/>
    <w:rsid w:val="008825A6"/>
    <w:rsid w:val="0088463F"/>
    <w:rsid w:val="00885BA8"/>
    <w:rsid w:val="00890466"/>
    <w:rsid w:val="008906A4"/>
    <w:rsid w:val="00894182"/>
    <w:rsid w:val="008B4179"/>
    <w:rsid w:val="008C3192"/>
    <w:rsid w:val="008C7518"/>
    <w:rsid w:val="008D0C6E"/>
    <w:rsid w:val="008D563A"/>
    <w:rsid w:val="008D7DF7"/>
    <w:rsid w:val="008D7F87"/>
    <w:rsid w:val="008E0F56"/>
    <w:rsid w:val="008E529A"/>
    <w:rsid w:val="008E5472"/>
    <w:rsid w:val="008E6176"/>
    <w:rsid w:val="008F067E"/>
    <w:rsid w:val="008F3EC5"/>
    <w:rsid w:val="009008EE"/>
    <w:rsid w:val="00910197"/>
    <w:rsid w:val="009103CF"/>
    <w:rsid w:val="00911D14"/>
    <w:rsid w:val="00932F43"/>
    <w:rsid w:val="00935932"/>
    <w:rsid w:val="00935CCD"/>
    <w:rsid w:val="009369E5"/>
    <w:rsid w:val="00937A55"/>
    <w:rsid w:val="009411BD"/>
    <w:rsid w:val="00943DD7"/>
    <w:rsid w:val="00947D22"/>
    <w:rsid w:val="009569FC"/>
    <w:rsid w:val="00960664"/>
    <w:rsid w:val="009621CC"/>
    <w:rsid w:val="009644AF"/>
    <w:rsid w:val="0096668E"/>
    <w:rsid w:val="00966A6F"/>
    <w:rsid w:val="00974F3C"/>
    <w:rsid w:val="009965A7"/>
    <w:rsid w:val="009A3A53"/>
    <w:rsid w:val="009A3CC9"/>
    <w:rsid w:val="009B429A"/>
    <w:rsid w:val="009B58A7"/>
    <w:rsid w:val="009B6BB2"/>
    <w:rsid w:val="009C2209"/>
    <w:rsid w:val="009C4F3E"/>
    <w:rsid w:val="009D3342"/>
    <w:rsid w:val="009D3B1C"/>
    <w:rsid w:val="009F36EF"/>
    <w:rsid w:val="00A0073D"/>
    <w:rsid w:val="00A06714"/>
    <w:rsid w:val="00A1672B"/>
    <w:rsid w:val="00A1728C"/>
    <w:rsid w:val="00A17DB3"/>
    <w:rsid w:val="00A20A30"/>
    <w:rsid w:val="00A221ED"/>
    <w:rsid w:val="00A229A4"/>
    <w:rsid w:val="00A22F1D"/>
    <w:rsid w:val="00A235EC"/>
    <w:rsid w:val="00A24924"/>
    <w:rsid w:val="00A267A8"/>
    <w:rsid w:val="00A35D30"/>
    <w:rsid w:val="00A51289"/>
    <w:rsid w:val="00A522DE"/>
    <w:rsid w:val="00A600B3"/>
    <w:rsid w:val="00A65738"/>
    <w:rsid w:val="00A756D1"/>
    <w:rsid w:val="00A85A3A"/>
    <w:rsid w:val="00A85BE1"/>
    <w:rsid w:val="00A90C61"/>
    <w:rsid w:val="00A93BA8"/>
    <w:rsid w:val="00AA1370"/>
    <w:rsid w:val="00AA4232"/>
    <w:rsid w:val="00AA7FF7"/>
    <w:rsid w:val="00AB3768"/>
    <w:rsid w:val="00AB3B1F"/>
    <w:rsid w:val="00AB635C"/>
    <w:rsid w:val="00AC6B42"/>
    <w:rsid w:val="00B013AA"/>
    <w:rsid w:val="00B11F55"/>
    <w:rsid w:val="00B124BD"/>
    <w:rsid w:val="00B17961"/>
    <w:rsid w:val="00B203A4"/>
    <w:rsid w:val="00B257B8"/>
    <w:rsid w:val="00B27FEC"/>
    <w:rsid w:val="00B32A72"/>
    <w:rsid w:val="00B40563"/>
    <w:rsid w:val="00B446C0"/>
    <w:rsid w:val="00B5303C"/>
    <w:rsid w:val="00B5364C"/>
    <w:rsid w:val="00B57718"/>
    <w:rsid w:val="00B7172A"/>
    <w:rsid w:val="00B817B7"/>
    <w:rsid w:val="00B8403F"/>
    <w:rsid w:val="00B86AAD"/>
    <w:rsid w:val="00BA33C9"/>
    <w:rsid w:val="00BB0679"/>
    <w:rsid w:val="00BC2DAF"/>
    <w:rsid w:val="00BE546F"/>
    <w:rsid w:val="00C03BFE"/>
    <w:rsid w:val="00C04050"/>
    <w:rsid w:val="00C052CA"/>
    <w:rsid w:val="00C173A9"/>
    <w:rsid w:val="00C36D94"/>
    <w:rsid w:val="00C46138"/>
    <w:rsid w:val="00C4620F"/>
    <w:rsid w:val="00C5198B"/>
    <w:rsid w:val="00C5254C"/>
    <w:rsid w:val="00C61FF6"/>
    <w:rsid w:val="00C6211A"/>
    <w:rsid w:val="00C62F5A"/>
    <w:rsid w:val="00C70EB1"/>
    <w:rsid w:val="00C742D5"/>
    <w:rsid w:val="00C74FE7"/>
    <w:rsid w:val="00C75FB1"/>
    <w:rsid w:val="00C852FF"/>
    <w:rsid w:val="00C95895"/>
    <w:rsid w:val="00CA4E6B"/>
    <w:rsid w:val="00CA6A52"/>
    <w:rsid w:val="00CB4D79"/>
    <w:rsid w:val="00CD62FC"/>
    <w:rsid w:val="00CE10BE"/>
    <w:rsid w:val="00CE6D62"/>
    <w:rsid w:val="00CF1F71"/>
    <w:rsid w:val="00CF6C55"/>
    <w:rsid w:val="00D21148"/>
    <w:rsid w:val="00D32A64"/>
    <w:rsid w:val="00D36B13"/>
    <w:rsid w:val="00D41C48"/>
    <w:rsid w:val="00D51852"/>
    <w:rsid w:val="00D57D9C"/>
    <w:rsid w:val="00D57E4D"/>
    <w:rsid w:val="00D81FC0"/>
    <w:rsid w:val="00D828EA"/>
    <w:rsid w:val="00D92631"/>
    <w:rsid w:val="00D933DD"/>
    <w:rsid w:val="00DA2674"/>
    <w:rsid w:val="00DB6EAD"/>
    <w:rsid w:val="00DC6D0A"/>
    <w:rsid w:val="00DC6E74"/>
    <w:rsid w:val="00DD2327"/>
    <w:rsid w:val="00DE5EAE"/>
    <w:rsid w:val="00DF13F6"/>
    <w:rsid w:val="00DF3FA9"/>
    <w:rsid w:val="00DF5DDE"/>
    <w:rsid w:val="00DF7C0D"/>
    <w:rsid w:val="00E05A22"/>
    <w:rsid w:val="00E15C10"/>
    <w:rsid w:val="00E219D4"/>
    <w:rsid w:val="00E3160E"/>
    <w:rsid w:val="00E340B5"/>
    <w:rsid w:val="00E437CB"/>
    <w:rsid w:val="00E45255"/>
    <w:rsid w:val="00E5081D"/>
    <w:rsid w:val="00E52EE7"/>
    <w:rsid w:val="00E570FC"/>
    <w:rsid w:val="00E620BB"/>
    <w:rsid w:val="00E620E1"/>
    <w:rsid w:val="00E82624"/>
    <w:rsid w:val="00E87529"/>
    <w:rsid w:val="00EA1C1D"/>
    <w:rsid w:val="00EA6C5C"/>
    <w:rsid w:val="00EC04AD"/>
    <w:rsid w:val="00ED10B9"/>
    <w:rsid w:val="00ED23E9"/>
    <w:rsid w:val="00ED70E7"/>
    <w:rsid w:val="00EE2706"/>
    <w:rsid w:val="00EF586E"/>
    <w:rsid w:val="00F05AE2"/>
    <w:rsid w:val="00F1033D"/>
    <w:rsid w:val="00F138CB"/>
    <w:rsid w:val="00F21CDA"/>
    <w:rsid w:val="00F30908"/>
    <w:rsid w:val="00F56766"/>
    <w:rsid w:val="00F94BA1"/>
    <w:rsid w:val="00FB10A9"/>
    <w:rsid w:val="00FB7D8D"/>
    <w:rsid w:val="00FC19C8"/>
    <w:rsid w:val="00FC328E"/>
    <w:rsid w:val="00FC4DF4"/>
    <w:rsid w:val="00FC5BA5"/>
    <w:rsid w:val="00FC6F2C"/>
    <w:rsid w:val="00FC788A"/>
    <w:rsid w:val="00FD7279"/>
    <w:rsid w:val="00FE156C"/>
    <w:rsid w:val="00FE1FAF"/>
    <w:rsid w:val="00FE4E2E"/>
    <w:rsid w:val="00FF3B51"/>
    <w:rsid w:val="00FF6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C62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8A7"/>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9B58A7"/>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9B58A7"/>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9B58A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9B58A7"/>
    <w:pPr>
      <w:wordWrap w:val="0"/>
      <w:spacing w:after="200"/>
    </w:pPr>
    <w:rPr>
      <w:rFonts w:ascii="Courier" w:hAnsi="Courier"/>
    </w:rPr>
  </w:style>
  <w:style w:type="character" w:customStyle="1" w:styleId="Heading1Char">
    <w:name w:val="Heading 1 Char"/>
    <w:link w:val="Heading1"/>
    <w:rsid w:val="009B58A7"/>
    <w:rPr>
      <w:rFonts w:ascii="Calibri" w:eastAsia="Times New Roman" w:hAnsi="Calibri" w:cs="Times New Roman"/>
      <w:b/>
      <w:bCs/>
      <w:color w:val="000000"/>
      <w:kern w:val="32"/>
      <w:sz w:val="28"/>
      <w:szCs w:val="32"/>
    </w:rPr>
  </w:style>
  <w:style w:type="character" w:customStyle="1" w:styleId="Heading2Char">
    <w:name w:val="Heading 2 Char"/>
    <w:link w:val="Heading2"/>
    <w:rsid w:val="009B58A7"/>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9B58A7"/>
    <w:rPr>
      <w:rFonts w:asciiTheme="majorHAnsi" w:eastAsiaTheme="majorEastAsia" w:hAnsiTheme="majorHAnsi" w:cstheme="majorBidi"/>
      <w:b/>
      <w:bCs/>
      <w:color w:val="4472C4" w:themeColor="accent1"/>
    </w:rPr>
  </w:style>
  <w:style w:type="paragraph" w:styleId="NormalWeb">
    <w:name w:val="Normal (Web)"/>
    <w:basedOn w:val="Normal"/>
    <w:uiPriority w:val="99"/>
    <w:rsid w:val="009B58A7"/>
    <w:pPr>
      <w:spacing w:before="100" w:beforeAutospacing="1" w:after="100" w:afterAutospacing="1"/>
    </w:pPr>
  </w:style>
  <w:style w:type="character" w:styleId="Hyperlink">
    <w:name w:val="Hyperlink"/>
    <w:uiPriority w:val="99"/>
    <w:rsid w:val="009B58A7"/>
    <w:rPr>
      <w:color w:val="0000FF"/>
      <w:u w:val="single"/>
    </w:rPr>
  </w:style>
  <w:style w:type="paragraph" w:styleId="Header">
    <w:name w:val="header"/>
    <w:basedOn w:val="Normal"/>
    <w:link w:val="HeaderChar"/>
    <w:rsid w:val="009B58A7"/>
    <w:pPr>
      <w:tabs>
        <w:tab w:val="center" w:pos="4680"/>
        <w:tab w:val="right" w:pos="9360"/>
      </w:tabs>
    </w:pPr>
  </w:style>
  <w:style w:type="character" w:customStyle="1" w:styleId="HeaderChar">
    <w:name w:val="Header Char"/>
    <w:link w:val="Header"/>
    <w:rsid w:val="009B58A7"/>
    <w:rPr>
      <w:rFonts w:ascii="Calibri" w:eastAsia="Times New Roman" w:hAnsi="Calibri" w:cs="Calibri"/>
      <w:color w:val="000000"/>
    </w:rPr>
  </w:style>
  <w:style w:type="paragraph" w:styleId="Footer">
    <w:name w:val="footer"/>
    <w:basedOn w:val="Normal"/>
    <w:link w:val="FooterChar"/>
    <w:uiPriority w:val="99"/>
    <w:rsid w:val="009B58A7"/>
    <w:pPr>
      <w:tabs>
        <w:tab w:val="center" w:pos="4680"/>
        <w:tab w:val="right" w:pos="9360"/>
      </w:tabs>
    </w:pPr>
  </w:style>
  <w:style w:type="character" w:customStyle="1" w:styleId="FooterChar">
    <w:name w:val="Footer Char"/>
    <w:link w:val="Footer"/>
    <w:uiPriority w:val="99"/>
    <w:rsid w:val="009B58A7"/>
    <w:rPr>
      <w:rFonts w:ascii="Calibri" w:eastAsia="Times New Roman" w:hAnsi="Calibri" w:cs="Calibri"/>
      <w:color w:val="000000"/>
    </w:rPr>
  </w:style>
  <w:style w:type="character" w:styleId="CommentReference">
    <w:name w:val="annotation reference"/>
    <w:uiPriority w:val="99"/>
    <w:rsid w:val="009B58A7"/>
    <w:rPr>
      <w:sz w:val="18"/>
      <w:szCs w:val="18"/>
    </w:rPr>
  </w:style>
  <w:style w:type="paragraph" w:styleId="CommentText">
    <w:name w:val="annotation text"/>
    <w:basedOn w:val="Normal"/>
    <w:link w:val="CommentTextChar"/>
    <w:uiPriority w:val="99"/>
    <w:rsid w:val="009B58A7"/>
  </w:style>
  <w:style w:type="character" w:customStyle="1" w:styleId="CommentTextChar">
    <w:name w:val="Comment Text Char"/>
    <w:link w:val="CommentText"/>
    <w:uiPriority w:val="99"/>
    <w:rsid w:val="009B58A7"/>
    <w:rPr>
      <w:rFonts w:ascii="Calibri" w:eastAsia="Times New Roman" w:hAnsi="Calibri" w:cs="Calibri"/>
      <w:color w:val="000000"/>
    </w:rPr>
  </w:style>
  <w:style w:type="paragraph" w:styleId="CommentSubject">
    <w:name w:val="annotation subject"/>
    <w:basedOn w:val="CommentText"/>
    <w:next w:val="CommentText"/>
    <w:link w:val="CommentSubjectChar"/>
    <w:rsid w:val="009B58A7"/>
    <w:rPr>
      <w:b/>
      <w:bCs/>
      <w:sz w:val="20"/>
      <w:szCs w:val="20"/>
    </w:rPr>
  </w:style>
  <w:style w:type="character" w:customStyle="1" w:styleId="CommentSubjectChar">
    <w:name w:val="Comment Subject Char"/>
    <w:link w:val="CommentSubject"/>
    <w:rsid w:val="009B58A7"/>
    <w:rPr>
      <w:rFonts w:ascii="Calibri" w:eastAsia="Times New Roman" w:hAnsi="Calibri" w:cs="Calibri"/>
      <w:b/>
      <w:bCs/>
      <w:color w:val="000000"/>
      <w:sz w:val="20"/>
      <w:szCs w:val="20"/>
    </w:rPr>
  </w:style>
  <w:style w:type="paragraph" w:styleId="BalloonText">
    <w:name w:val="Balloon Text"/>
    <w:basedOn w:val="Normal"/>
    <w:link w:val="BalloonTextChar"/>
    <w:rsid w:val="009B58A7"/>
    <w:rPr>
      <w:rFonts w:ascii="Lucida Grande" w:hAnsi="Lucida Grande"/>
      <w:sz w:val="18"/>
      <w:szCs w:val="18"/>
    </w:rPr>
  </w:style>
  <w:style w:type="character" w:customStyle="1" w:styleId="BalloonTextChar">
    <w:name w:val="Balloon Text Char"/>
    <w:link w:val="BalloonText"/>
    <w:rsid w:val="009B58A7"/>
    <w:rPr>
      <w:rFonts w:ascii="Lucida Grande" w:eastAsia="Times New Roman" w:hAnsi="Lucida Grande" w:cs="Calibri"/>
      <w:color w:val="000000"/>
      <w:sz w:val="18"/>
      <w:szCs w:val="18"/>
    </w:rPr>
  </w:style>
  <w:style w:type="character" w:styleId="PageNumber">
    <w:name w:val="page number"/>
    <w:basedOn w:val="DefaultParagraphFont"/>
    <w:rsid w:val="009B58A7"/>
  </w:style>
  <w:style w:type="character" w:styleId="FollowedHyperlink">
    <w:name w:val="FollowedHyperlink"/>
    <w:rsid w:val="009B58A7"/>
    <w:rPr>
      <w:color w:val="800080"/>
      <w:u w:val="single"/>
    </w:rPr>
  </w:style>
  <w:style w:type="character" w:customStyle="1" w:styleId="apple-converted-space">
    <w:name w:val="apple-converted-space"/>
    <w:basedOn w:val="DefaultParagraphFont"/>
    <w:rsid w:val="009B58A7"/>
  </w:style>
  <w:style w:type="character" w:styleId="IntenseEmphasis">
    <w:name w:val="Intense Emphasis"/>
    <w:qFormat/>
    <w:rsid w:val="009B58A7"/>
    <w:rPr>
      <w:b/>
      <w:bCs/>
      <w:i/>
      <w:iCs/>
      <w:color w:val="4F81BD"/>
    </w:rPr>
  </w:style>
  <w:style w:type="paragraph" w:customStyle="1" w:styleId="Exampletext">
    <w:name w:val="Example text"/>
    <w:basedOn w:val="Normal"/>
    <w:link w:val="ExampletextChar"/>
    <w:qFormat/>
    <w:rsid w:val="009B58A7"/>
    <w:pPr>
      <w:spacing w:after="240"/>
    </w:pPr>
    <w:rPr>
      <w:color w:val="7F7F7F"/>
    </w:rPr>
  </w:style>
  <w:style w:type="character" w:customStyle="1" w:styleId="ExampletextChar">
    <w:name w:val="Example text Char"/>
    <w:link w:val="Exampletext"/>
    <w:rsid w:val="009B58A7"/>
    <w:rPr>
      <w:rFonts w:ascii="Calibri" w:eastAsia="Times New Roman" w:hAnsi="Calibri" w:cs="Calibri"/>
      <w:color w:val="7F7F7F"/>
    </w:rPr>
  </w:style>
  <w:style w:type="paragraph" w:styleId="ListParagraph">
    <w:name w:val="List Paragraph"/>
    <w:basedOn w:val="Normal"/>
    <w:link w:val="ListParagraphChar"/>
    <w:uiPriority w:val="34"/>
    <w:qFormat/>
    <w:rsid w:val="009B58A7"/>
    <w:pPr>
      <w:ind w:left="720"/>
      <w:contextualSpacing/>
    </w:pPr>
  </w:style>
  <w:style w:type="paragraph" w:styleId="Revision">
    <w:name w:val="Revision"/>
    <w:hidden/>
    <w:uiPriority w:val="99"/>
    <w:semiHidden/>
    <w:rsid w:val="009B58A7"/>
    <w:rPr>
      <w:rFonts w:ascii="Calibri" w:eastAsia="Times New Roman" w:hAnsi="Calibri" w:cs="Calibri"/>
      <w:color w:val="000000"/>
    </w:rPr>
  </w:style>
  <w:style w:type="paragraph" w:styleId="BodyText">
    <w:name w:val="Body Text"/>
    <w:basedOn w:val="Normal"/>
    <w:link w:val="BodyTextChar"/>
    <w:uiPriority w:val="1"/>
    <w:qFormat/>
    <w:rsid w:val="009B58A7"/>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9B58A7"/>
    <w:rPr>
      <w:rFonts w:ascii="Calibri" w:eastAsia="Calibri" w:hAnsi="Calibri" w:cs="Calibri"/>
    </w:rPr>
  </w:style>
  <w:style w:type="character" w:styleId="Strong">
    <w:name w:val="Strong"/>
    <w:basedOn w:val="DefaultParagraphFont"/>
    <w:uiPriority w:val="22"/>
    <w:qFormat/>
    <w:rsid w:val="009B58A7"/>
    <w:rPr>
      <w:b/>
      <w:bCs/>
    </w:rPr>
  </w:style>
  <w:style w:type="character" w:styleId="Emphasis">
    <w:name w:val="Emphasis"/>
    <w:basedOn w:val="DefaultParagraphFont"/>
    <w:uiPriority w:val="20"/>
    <w:qFormat/>
    <w:rsid w:val="009B58A7"/>
    <w:rPr>
      <w:i/>
      <w:iCs/>
    </w:rPr>
  </w:style>
  <w:style w:type="character" w:styleId="LineNumber">
    <w:name w:val="line number"/>
    <w:basedOn w:val="DefaultParagraphFont"/>
    <w:uiPriority w:val="99"/>
    <w:semiHidden/>
    <w:unhideWhenUsed/>
    <w:rsid w:val="009B58A7"/>
  </w:style>
  <w:style w:type="character" w:customStyle="1" w:styleId="UnresolvedMention1">
    <w:name w:val="Unresolved Mention1"/>
    <w:basedOn w:val="DefaultParagraphFont"/>
    <w:uiPriority w:val="99"/>
    <w:unhideWhenUsed/>
    <w:rsid w:val="009B58A7"/>
    <w:rPr>
      <w:color w:val="808080"/>
      <w:shd w:val="clear" w:color="auto" w:fill="E6E6E6"/>
    </w:rPr>
  </w:style>
  <w:style w:type="character" w:styleId="PlaceholderText">
    <w:name w:val="Placeholder Text"/>
    <w:basedOn w:val="DefaultParagraphFont"/>
    <w:uiPriority w:val="99"/>
    <w:semiHidden/>
    <w:rsid w:val="009B58A7"/>
    <w:rPr>
      <w:color w:val="808080"/>
    </w:rPr>
  </w:style>
  <w:style w:type="paragraph" w:customStyle="1" w:styleId="EndNoteBibliographyTitle">
    <w:name w:val="EndNote Bibliography Title"/>
    <w:basedOn w:val="Normal"/>
    <w:link w:val="EndNoteBibliographyTitleChar"/>
    <w:rsid w:val="009B58A7"/>
    <w:pPr>
      <w:jc w:val="center"/>
    </w:pPr>
  </w:style>
  <w:style w:type="character" w:customStyle="1" w:styleId="ListParagraphChar">
    <w:name w:val="List Paragraph Char"/>
    <w:basedOn w:val="DefaultParagraphFont"/>
    <w:link w:val="ListParagraph"/>
    <w:uiPriority w:val="34"/>
    <w:rsid w:val="009B58A7"/>
    <w:rPr>
      <w:rFonts w:ascii="Calibri" w:eastAsia="Times New Roman" w:hAnsi="Calibri" w:cs="Calibri"/>
      <w:color w:val="000000"/>
    </w:rPr>
  </w:style>
  <w:style w:type="character" w:customStyle="1" w:styleId="EndNoteBibliographyTitleChar">
    <w:name w:val="EndNote Bibliography Title Char"/>
    <w:basedOn w:val="ListParagraphChar"/>
    <w:link w:val="EndNoteBibliographyTitle"/>
    <w:rsid w:val="009B58A7"/>
    <w:rPr>
      <w:rFonts w:ascii="Calibri" w:eastAsia="Times New Roman" w:hAnsi="Calibri" w:cs="Calibri"/>
      <w:color w:val="000000"/>
    </w:rPr>
  </w:style>
  <w:style w:type="paragraph" w:customStyle="1" w:styleId="EndNoteBibliography">
    <w:name w:val="EndNote Bibliography"/>
    <w:basedOn w:val="Normal"/>
    <w:link w:val="EndNoteBibliographyChar"/>
    <w:rsid w:val="009B58A7"/>
  </w:style>
  <w:style w:type="character" w:customStyle="1" w:styleId="EndNoteBibliographyChar">
    <w:name w:val="EndNote Bibliography Char"/>
    <w:basedOn w:val="ListParagraphChar"/>
    <w:link w:val="EndNoteBibliography"/>
    <w:rsid w:val="009B58A7"/>
    <w:rPr>
      <w:rFonts w:ascii="Calibri" w:eastAsia="Times New Roman" w:hAnsi="Calibri" w:cs="Calibri"/>
      <w:color w:val="000000"/>
    </w:rPr>
  </w:style>
  <w:style w:type="character" w:customStyle="1" w:styleId="affiliationdepartment">
    <w:name w:val="affiliation__department"/>
    <w:basedOn w:val="DefaultParagraphFont"/>
    <w:rsid w:val="009B58A7"/>
  </w:style>
  <w:style w:type="character" w:customStyle="1" w:styleId="affiliationname">
    <w:name w:val="affiliation__name"/>
    <w:basedOn w:val="DefaultParagraphFont"/>
    <w:rsid w:val="009B58A7"/>
  </w:style>
  <w:style w:type="character" w:customStyle="1" w:styleId="affiliationcity">
    <w:name w:val="affiliation__city"/>
    <w:basedOn w:val="DefaultParagraphFont"/>
    <w:rsid w:val="009B58A7"/>
  </w:style>
  <w:style w:type="character" w:customStyle="1" w:styleId="affiliationcountry">
    <w:name w:val="affiliation__country"/>
    <w:basedOn w:val="DefaultParagraphFont"/>
    <w:rsid w:val="009B58A7"/>
  </w:style>
  <w:style w:type="character" w:customStyle="1" w:styleId="ref-journal">
    <w:name w:val="ref-journal"/>
    <w:basedOn w:val="DefaultParagraphFont"/>
    <w:rsid w:val="009B58A7"/>
  </w:style>
  <w:style w:type="character" w:customStyle="1" w:styleId="ref-vol">
    <w:name w:val="ref-vol"/>
    <w:basedOn w:val="DefaultParagraphFont"/>
    <w:rsid w:val="009B58A7"/>
  </w:style>
  <w:style w:type="character" w:customStyle="1" w:styleId="UnresolvedMention2">
    <w:name w:val="Unresolved Mention2"/>
    <w:basedOn w:val="DefaultParagraphFont"/>
    <w:uiPriority w:val="99"/>
    <w:unhideWhenUsed/>
    <w:rsid w:val="009B58A7"/>
    <w:rPr>
      <w:color w:val="605E5C"/>
      <w:shd w:val="clear" w:color="auto" w:fill="E1DFDD"/>
    </w:rPr>
  </w:style>
  <w:style w:type="character" w:customStyle="1" w:styleId="label">
    <w:name w:val="label"/>
    <w:basedOn w:val="DefaultParagraphFont"/>
    <w:rsid w:val="00574137"/>
  </w:style>
  <w:style w:type="character" w:styleId="UnresolvedMention">
    <w:name w:val="Unresolved Mention"/>
    <w:basedOn w:val="DefaultParagraphFont"/>
    <w:uiPriority w:val="99"/>
    <w:semiHidden/>
    <w:unhideWhenUsed/>
    <w:rsid w:val="00BB0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47F1B-A3C3-4067-B61E-C54B8720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9013</Words>
  <Characters>51377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2019-08-12T13:08:00Z</dcterms:created>
  <dcterms:modified xsi:type="dcterms:W3CDTF">2019-08-12T13:11:00Z</dcterms:modified>
</cp:coreProperties>
</file>