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Immunological Elimination of Undifferentiated Human Pluripotent Stem Cells Using Pluripotent State-Specific Antigen, Glypican-3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Okada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Shugo Tohyama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 Fujita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Tetsuya Nakatsura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Keiichi Fukuda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Cardiology, Keio University School of Medicine,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Cancer Immunotherapy, Exploratory Oncology Research and Clinical Trial Center, National Cancer Center, Kashiwa,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Keiichi Fukuda</w:t>
        <w:tab/>
        <w:tab/>
        <w:tab/>
        <w:t xml:space="preserve">(kfukuda@a2.keio.jp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Marina Okada</w:t>
        <w:tab/>
        <w:tab/>
        <w:tab/>
        <w:t xml:space="preserve">(</w:t>
      </w:r>
      <w:r>
        <w:rPr>
          <w:rFonts w:ascii="Calibri" w:hAnsi="Calibri" w:cs="Calibri" w:eastAsia="Calibri"/>
          <w:color w:val="000000"/>
          <w:spacing w:val="0"/>
          <w:position w:val="0"/>
          <w:sz w:val="24"/>
          <w:shd w:fill="auto" w:val="clear"/>
        </w:rPr>
        <w:t xml:space="preserve">marina-okada@hotmail.co.jp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Shugo Tohyama</w:t>
        <w:tab/>
        <w:tab/>
        <w:t xml:space="preserve">(shugotohyama@keio.jp)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 Fujita</w:t>
        <w:tab/>
        <w:tab/>
        <w:tab/>
        <w:t xml:space="preserve">(</w:t>
      </w:r>
      <w:r>
        <w:rPr>
          <w:rFonts w:ascii="Calibri" w:hAnsi="Calibri" w:cs="Calibri" w:eastAsia="Calibri"/>
          <w:color w:val="000000"/>
          <w:spacing w:val="0"/>
          <w:position w:val="0"/>
          <w:sz w:val="24"/>
          <w:shd w:fill="auto" w:val="clear"/>
        </w:rPr>
        <w:t xml:space="preserve">jfujita@a6.keio.jp</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Tetsuya Nakatsura</w:t>
        <w:tab/>
        <w:tab/>
        <w:t xml:space="preserve">(tnakatsu@east.ncc.go.jp)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induced pluripotent stem cells, regenerative therapies, cytotoxic T cells, glypican-3, immunotherapy, tumorigenesis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Regenerative therapies using human induced pluripotent stem cells (hiPSCs) have recently attracted much attention. In this study, we use anticancer immunotherapy with peptide vaccination to prevent hiPSC-derived tumorigenesis. Our results show that glypican-3 (GPC3) works as a pluripotent state-specific immunogenic antigen in hiPSCs.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Much attention has been focused on human pluripotent stem cells (hPSCs) due to their potential as cell sources in regenerative therapies. Especially in the area of cardiac regenerative medicine, which is challenged by organ shortage, transplantation of human induced pluripotent stem cells (hiPSC)-derived cardiomyocytes has potential to treat many patients with severe heart failure. However, to achieve transplantation of hiPSC-derived cardiomyocytes, removal of contaminated immature cells with high accuracy is essential to eliminate the risk of teratoma formation caused by residual undifferentiated hiPSCs. Peptide vaccination is well-known as an effective anticancer immunotherapy because of selective cellular cytotoxicity. To establish immunological elimination of contaminated immature hiPSCs, we identified glypican-3 (GPC3) as a pluripotent state-specific carcinoembryonic antigen. Immunostaining showed that hiPSCs expressed GPC3, especially in pluripotent states. Undifferentiated hiPSCs were rejected by cytotoxic T cell (CTL) clones sensitized with HLA-class I-restricted GPC3 peptides. These results indicate that GPC3-specific CTLs can prevent hiPSC-derived tumorigenesis, which may occur by contamination by undifferentiated cells. Our results indicate that GPC3 works as a pluripotent state-specific immunogenic antigen in hiPSCs. These results show the applicability of GPC3-mediated immunotherapy to ensure safety in regenerative medical procedures using hiPSCs.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regenerative therapies using human induced pluripotent stem cells (hiPSCs) have attracted much attention as new cell sources for regenerative therapies. Especially in cardiac regenerative medicine, transplantation of hiPSC-derived cardiomyocytes is expected to resolve the challenge of organ shortage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Retinal regeneration requires a small number of cells; hence, the possibilities of tumor formation due to residual undifferentiated stem cells are negligible. In contrast, regenerative procedures of the heart and liver, which require a large number of cells, are difficult to perform safely.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many different methods of eliminating undifferentiated human pluripotent stem cells (hPSCs) from hiPSC derivatives have been reported because of teratoma formation induced by undifferentiated hPSC contamination in hiPSC derivatives</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However, to achieve transplantation of hiPSC-derived cardiomyocytes, complete removal of residual undifferentiated cells in vivo is important because a massive number of cells is required for transplantation.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 vaccination has been used for cancer patients as an anticancer immunotherapy with selective cellular cytotoxicity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study, we aim to prevent hiPSC-derived tumorigenesis with CTLs using peptide vaccination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GPC3 is one of the carcinoembryonic antigens and is widely expressed in human embryos</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It is also overexpressed in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of patients with hepatocellular carcinoma (HCC)</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expression of GPC3 has been reported in melanoma, Wilms tumor, hepatoblastoma, ovarian clear cell adenocarcinoma, yolk sac tumor, and other carcinomas</w:t>
      </w:r>
      <w:r>
        <w:rPr>
          <w:rFonts w:ascii="Calibri" w:hAnsi="Calibri" w:cs="Calibri" w:eastAsia="Calibri"/>
          <w:color w:val="auto"/>
          <w:spacing w:val="0"/>
          <w:position w:val="0"/>
          <w:sz w:val="24"/>
          <w:shd w:fill="auto" w:val="clear"/>
          <w:vertAlign w:val="superscript"/>
        </w:rPr>
        <w:t xml:space="preserve">11,13,14,15,16,17,18,19</w:t>
      </w:r>
      <w:r>
        <w:rPr>
          <w:rFonts w:ascii="Calibri" w:hAnsi="Calibri" w:cs="Calibri" w:eastAsia="Calibri"/>
          <w:color w:val="auto"/>
          <w:spacing w:val="0"/>
          <w:position w:val="0"/>
          <w:sz w:val="24"/>
          <w:shd w:fill="auto" w:val="clear"/>
        </w:rPr>
        <w:t xml:space="preserve">. In this study, we report that hiPSCs uniquely express the oncofetal antigen GPC3, and GPC3-specific CTLs can be used in immunotherapy for removal of undifferentiated hiPSCs from hiPSC derivatives for future regenerative medical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Immunofluorescence staining of hiPSCs with GPC3 and OCT4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Grow cultured hiPSCs in stabilized feeder-free maintenance medium (mTESR1;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a density of 3 x 10</w:t>
      </w:r>
      <w:r>
        <w:rPr>
          <w:rFonts w:ascii="Calibri" w:hAnsi="Calibri" w:cs="Calibri" w:eastAsia="Calibri"/>
          <w:color w:val="auto"/>
          <w:spacing w:val="0"/>
          <w:position w:val="0"/>
          <w:sz w:val="24"/>
          <w:shd w:fill="auto" w:val="clear"/>
        </w:rPr>
        <w:t xml:space="preserve">⁴</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using 12 well plates. Incubate the dish at 37 &amp;#176;C in a 5% CO</w:t>
      </w:r>
      <w:r>
        <w:rPr>
          <w:rFonts w:ascii="Calibri" w:hAnsi="Calibri" w:cs="Calibri" w:eastAsia="Calibri"/>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 incubator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Remove the medium of each well and wash with 1 mL of phosphate-buffered saline (PBS) for each well 1x and then remove the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Fix cells with 500 &amp;#181;L of 4% paraformaldehyde for 30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Wash 3x with 1 mL of PBS for each well and then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Permeabilize with 500 &amp;#181;L of 0.2% triton X-100 in PBS for 15 min at room temperature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Remove triton X-100 in PBS, wash cells with 1 mL of PBS 3x for 5 min, and then remove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Incubate cells in the anti-GPC3 and anti-OCT4 antibodies diluted 1:200 in 2% fetal bovine serum (FBS) in PBS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Decant the solution and wash the cells 3x for 5 min in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Incubate the cells with the secondary antibodies (Alexa Fluor 488 anti-mouse IgG, Alexa Fluor 546 anti-rat IgG) diluted 1:200 in 2% FBS in PBS for 1 h at RT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Decant the secondary antibody solution and wash with PBS 1x for 5 min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Stain cells with 4’,6-diamidino-2-phenylindole (DAPI; 1 &amp;#181;g/mL final concentration)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Decant the solution containing DAPI and then wash the cells 2x with PBS for 5 min in the dark. After the wash, observe by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Cell viability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Culture hiPSCs in 96 well plates at a density of 1 x 10</w:t>
      </w:r>
      <w:r>
        <w:rPr>
          <w:rFonts w:ascii="Calibri" w:hAnsi="Calibri" w:cs="Calibri" w:eastAsia="Calibri"/>
          <w:color w:val="auto"/>
          <w:spacing w:val="0"/>
          <w:position w:val="0"/>
          <w:sz w:val="24"/>
          <w:shd w:fill="auto" w:val="clear"/>
        </w:rPr>
        <w:t xml:space="preserve">⁴</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mTESR1 with ROCK inhibitor at a final concentration of 10 &amp;#181;M at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Culture hiPSC-derived cardiomyocytes in 96 well plates at a density of 2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 per well with alpha minimum essential medium (&amp;#945;MEM) with 5% FBS at 37 &amp;#176;C in static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hiPSC-derived cardiomyocytes were generated as previously described</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After 24 h, remove the medium in steps 2.1 and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Adjust HLA-A2 restricted-GPC3 specific CTLs to 5 x 10</w:t>
      </w:r>
      <w:r>
        <w:rPr>
          <w:rFonts w:ascii="Calibri" w:hAnsi="Calibri" w:cs="Calibri" w:eastAsia="Calibri"/>
          <w:color w:val="auto"/>
          <w:spacing w:val="0"/>
          <w:position w:val="0"/>
          <w:sz w:val="24"/>
          <w:shd w:fill="auto" w:val="clear"/>
        </w:rPr>
        <w:t xml:space="preserve">⁵</w:t>
      </w:r>
      <w:r>
        <w:rPr>
          <w:rFonts w:ascii="Calibri" w:hAnsi="Calibri" w:cs="Calibri" w:eastAsia="Calibri"/>
          <w:color w:val="auto"/>
          <w:spacing w:val="0"/>
          <w:position w:val="0"/>
          <w:sz w:val="24"/>
          <w:shd w:fill="auto" w:val="clear"/>
        </w:rPr>
        <w:t xml:space="preserve"> cells in 100 &amp;#181;L of each medium and add to both plates in steps 2.1 and 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HLA-A*02:01-restricted GPC3</w:t>
      </w:r>
      <w:r>
        <w:rPr>
          <w:rFonts w:ascii="Calibri" w:hAnsi="Calibri" w:cs="Calibri" w:eastAsia="Calibri"/>
          <w:color w:val="auto"/>
          <w:spacing w:val="0"/>
          <w:position w:val="0"/>
          <w:sz w:val="24"/>
          <w:shd w:fill="auto" w:val="clear"/>
          <w:vertAlign w:val="subscript"/>
        </w:rPr>
        <w:t xml:space="preserve">144</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vertAlign w:val="subscript"/>
        </w:rPr>
        <w:t xml:space="preserve">152</w:t>
      </w:r>
      <w:r>
        <w:rPr>
          <w:rFonts w:ascii="Calibri" w:hAnsi="Calibri" w:cs="Calibri" w:eastAsia="Calibri"/>
          <w:color w:val="auto"/>
          <w:spacing w:val="0"/>
          <w:position w:val="0"/>
          <w:sz w:val="24"/>
          <w:shd w:fill="auto" w:val="clear"/>
        </w:rPr>
        <w:t xml:space="preserve"> (FVGEFFTDV)-reactive CTL clones were previously established using peripheral blood mononuclear cells from HCC patients administered a GPC3 vaccination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After 48 h of coculture with CTLs, stain cells with 1 &amp;#181;M calcein-AM by adding 1 &amp;#181;L of calcein-AM to 100 &amp;#181;L of &amp;#945;MEM (cardiomyocytes) or mTESR1 (hiPSCs) in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Incubate plates for 15 min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Remove each medium with calcein-AM and wash the wells 2x with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Observe live cells by fluorescence microscopy.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Coculture of hiPSCs and hiPSC-derived cardiomyocytes with GPC3-specific CTLs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Culture hiPSCs at a density of 1 x 10</w:t>
      </w:r>
      <w:r>
        <w:rPr>
          <w:rFonts w:ascii="Calibri" w:hAnsi="Calibri" w:cs="Calibri" w:eastAsia="Calibri"/>
          <w:color w:val="auto"/>
          <w:spacing w:val="0"/>
          <w:position w:val="0"/>
          <w:sz w:val="24"/>
          <w:shd w:fill="auto" w:val="clear"/>
        </w:rPr>
        <w:t xml:space="preserve">⁵</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6 well plates with mTESR1 for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at 37 &amp;#176;C in a 5% CO</w:t>
      </w:r>
      <w:r>
        <w:rPr>
          <w:rFonts w:ascii="Cambria Math" w:hAnsi="Cambria Math" w:cs="Cambria Math" w:eastAsia="Cambria Math"/>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Culture hiPSC-derived cardiomyocytes at a density of 5 x 10</w:t>
      </w:r>
      <w:r>
        <w:rPr>
          <w:rFonts w:ascii="Calibri" w:hAnsi="Calibri" w:cs="Calibri" w:eastAsia="Calibri"/>
          <w:color w:val="auto"/>
          <w:spacing w:val="0"/>
          <w:position w:val="0"/>
          <w:sz w:val="24"/>
          <w:shd w:fill="auto" w:val="clear"/>
        </w:rPr>
        <w:t xml:space="preserve">⁴</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12 well plates with &amp;#945;MEM for 3 days at 37 &amp;#176;C in a 5% CO</w:t>
      </w:r>
      <w:r>
        <w:rPr>
          <w:rFonts w:ascii="Calibri" w:hAnsi="Calibri" w:cs="Calibri" w:eastAsia="Calibri"/>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Remove the mTESR1 medium from hiPSC culture and collect the cells with 500 &amp;#181;L of dissociation buffer for 5 min at 37 &amp;#176;C.</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Centrifuge cells in a 10 mL conical tube</w:t>
      </w:r>
      <w:r>
        <w:rPr>
          <w:rFonts w:ascii="Calibri" w:hAnsi="Calibri" w:cs="Calibri" w:eastAsia="Calibri"/>
          <w:color w:val="000000"/>
          <w:spacing w:val="0"/>
          <w:position w:val="0"/>
          <w:sz w:val="24"/>
          <w:shd w:fill="auto" w:val="clear"/>
        </w:rPr>
        <w:t xml:space="preserv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Remove the supernatant and </w:t>
      </w:r>
      <w:r>
        <w:rPr>
          <w:rFonts w:ascii="Calibri" w:hAnsi="Calibri" w:cs="Calibri" w:eastAsia="Calibri"/>
          <w:color w:val="auto"/>
          <w:spacing w:val="0"/>
          <w:position w:val="0"/>
          <w:sz w:val="24"/>
          <w:shd w:fill="auto" w:val="clear"/>
        </w:rPr>
        <w:t xml:space="preserve">fluorescently label hiPSCs with 1 mL of mTESR1 containing 1 &amp;#181;M green 5-chloromethylfluorescein diacetate (CMFDA), then incubate at 37 &amp;#176;C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After 1 h of incubation, replace the mTESR1 medium containing CMFDA with basic mTESR1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Seed labeled hiPSCs from step 3.5 (at a density of 1.5 x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12 well plates where the cardiomyocytes are cultured. Then</w:t>
      </w:r>
      <w:r>
        <w:rPr>
          <w:rFonts w:ascii="Calibri" w:hAnsi="Calibri" w:cs="Calibri" w:eastAsia="Calibri"/>
          <w:color w:val="000000"/>
          <w:spacing w:val="0"/>
          <w:position w:val="0"/>
          <w:sz w:val="24"/>
          <w:shd w:fill="auto" w:val="clear"/>
        </w:rPr>
        <w:t xml:space="preserve"> return the plates to the incubator.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After 24 h from seeding, adjust HLA-A2 restricted-GPC3 specific CTLs to 3 x 10</w:t>
      </w:r>
      <w:r>
        <w:rPr>
          <w:rFonts w:ascii="Calibri" w:hAnsi="Calibri" w:cs="Calibri" w:eastAsia="Calibri"/>
          <w:color w:val="auto"/>
          <w:spacing w:val="0"/>
          <w:position w:val="0"/>
          <w:sz w:val="24"/>
          <w:shd w:fill="auto" w:val="clear"/>
        </w:rPr>
        <w:t xml:space="preserve">⁶</w:t>
      </w:r>
      <w:r>
        <w:rPr>
          <w:rFonts w:ascii="Calibri" w:hAnsi="Calibri" w:cs="Calibri" w:eastAsia="Calibri"/>
          <w:color w:val="auto"/>
          <w:spacing w:val="0"/>
          <w:position w:val="0"/>
          <w:sz w:val="24"/>
          <w:shd w:fill="auto" w:val="clear"/>
        </w:rPr>
        <w:t xml:space="preserve"> cells in 100 &amp;#181;L of mTESR1 and coculture cells at 37 &amp;#176;C in a 5% CO</w:t>
      </w:r>
      <w:r>
        <w:rPr>
          <w:rFonts w:ascii="Calibri" w:hAnsi="Calibri" w:cs="Calibri" w:eastAsia="Calibri"/>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 incubator in either the presence or absence of GPC3 CTLs.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After 48 h of coculture with CTLs, wash cells with PBS 3x for 5 min to remove CTLs. Then analyze by flow cytometry or immunofluorescence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Dissociate with 500 &amp;#181;L of dissociation buffer for 5 min and collect the cells by centrifugation in 10 mL conical tubes</w:t>
      </w:r>
      <w:r>
        <w:rPr>
          <w:rFonts w:ascii="Calibri" w:hAnsi="Calibri" w:cs="Calibri" w:eastAsia="Calibri"/>
          <w:color w:val="000000"/>
          <w:spacing w:val="0"/>
          <w:position w:val="0"/>
          <w:sz w:val="24"/>
          <w:shd w:fill="auto" w:val="clear"/>
        </w:rPr>
        <w:t xml:space="preserve"> at 200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After aspirating the supernatant, suspend the cells in 2% FBS in PBS using a pipette to disaggregate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Prior to data analysis, vortex each tube to avoid cell aggregates.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Use flow cytometry to calculate the percentage viability of hiPSCs in cocultured cells (fluorescently labeled cells are hiPSCs).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Collect a minimum of 10,000 events. For analyses, gate the live cell population excluding the dead cells. Determine the percentage of positive cells within the gated population.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To analyze using immunofluorescence staining (similar to section 1), incubate the cells from step 3.8 with diluted anti-troponin T and anti-OCT4 antibodies (use each at a dilution of 1:200) at 37 &amp;#176;C in a 5% CO</w:t>
      </w:r>
      <w:r>
        <w:rPr>
          <w:rFonts w:ascii="Calibri" w:hAnsi="Calibri" w:cs="Calibri" w:eastAsia="Calibri"/>
          <w:color w:val="auto"/>
          <w:spacing w:val="0"/>
          <w:position w:val="0"/>
          <w:sz w:val="24"/>
          <w:shd w:fill="auto" w:val="clear"/>
        </w:rPr>
        <w:t xml:space="preserve">₂</w:t>
      </w:r>
      <w:r>
        <w:rPr>
          <w:rFonts w:ascii="Calibri" w:hAnsi="Calibri" w:cs="Calibri" w:eastAsia="Calibri"/>
          <w:color w:val="auto"/>
          <w:spacing w:val="0"/>
          <w:position w:val="0"/>
          <w:sz w:val="24"/>
          <w:shd w:fill="auto" w:val="clear"/>
        </w:rPr>
        <w:t xml:space="preserve"> incubator. Then wash the cells 2x with PBS for 5 min in the dark. After the wash, observe by fluorescence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Immunofluorescent staining showed that GPC3 and the typical pluripotent stem cell marker OCT4 were expressed in pluripotent states of hiPSCs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GPC3-specific CTL clones revealed cytotoxic effects against hiPSCs after coculture but not against hiPSC-derived cardiomyocytes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48 h of coculture, using flow cytometry analysis, the viability (%) of hiPSCs in cocultured hiPSCs and hiPSC-derived cardiomyocytes decreased from approximately 25% to 5%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GPC3-specific CTL clones could selectively eliminate undifferentiated hiPSCs from mixed cells of hiPSCs (immunofluorescence stained with OCT4) and hiPSC-derived cardiomyocytes (immunofluorescence stained by TroponinT) using immunofluorescence staining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 vitro assay of suppression of pluripotent cells with GPC3 specific CTL.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Immunofluorescence staining with anti-GPC3 and anti-OCT4 antibodies in hiPSCs (n = 3 independent experiments). Scale bars = 100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hiPSCs were cultured with GPC3-specific CTLs for 48 h. After the coculture, live cells were labeled with calcein-AM. Relative intensity was analyzed by fluorescence microscopy (n = 3 independent experiments). Scale bars = 100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hiPSCs were mixed with hiPSC-derived cardiomyocytes and cocultured in either the absence (control) or presence (GPC3-CTL) of GPC3-specific CTLs. After 48 h of coculture, using flow cytometry analysis, the viability (%) of hiPSCs in cocultured hiPSCs and hiPSC-derived cardiomyocytes was observed (n = 3 independent experiments). Data are presented as the mean &amp;plusmn; SD. *p &amp;lt;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Immunofluorescent staining of undifferentiated hiPSCs (stained with anti-OCT4 antibody) and hiPSC-derived cardiomyocytes (stained with anti-Troponin T antibody) cocultured in either the absence or presence of GPC3-specific CTL clones (n = 3 independent experiments). Scale bars = 400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identified glypican-3 (GPC3) as a pluripotent state-specific immunogenic antigen and validated the applicability of GPC3 to remove undifferentiated cells from hPSC derivatives.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many methods for eliminating undifferentiated hPSCs in hiPSC derivatives have been reported, such as use of toxins, small molecules, and pluripotent state-specific antigens</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Antibody-mediated FACS and transfection of drug-resistant genes have also been used to condense the target differentiated cells in other fields. However, the former is not applicable to a large number of cells, and the latter requires integration of external genes into the genome, which sometimes causes safety-related issues. We also recently attempted to purify cardiomyocytes and eliminate residual undifferentiated stem cells using mitochondrial fluorescent dye or specific culture conditions based on metabolic differences between cardiomyocytes and the other proliferating cells</w:t>
      </w:r>
      <w:r>
        <w:rPr>
          <w:rFonts w:ascii="Calibri" w:hAnsi="Calibri" w:cs="Calibri" w:eastAsia="Calibri"/>
          <w:color w:val="auto"/>
          <w:spacing w:val="0"/>
          <w:position w:val="0"/>
          <w:sz w:val="24"/>
          <w:shd w:fill="auto" w:val="clear"/>
          <w:vertAlign w:val="superscript"/>
        </w:rPr>
        <w:t xml:space="preserve">21,23,24</w:t>
      </w:r>
      <w:r>
        <w:rPr>
          <w:rFonts w:ascii="Calibri" w:hAnsi="Calibri" w:cs="Calibri" w:eastAsia="Calibri"/>
          <w:color w:val="auto"/>
          <w:spacing w:val="0"/>
          <w:position w:val="0"/>
          <w:sz w:val="24"/>
          <w:shd w:fill="auto" w:val="clear"/>
        </w:rPr>
        <w:t xml:space="preserve">. Thus, for safer clinical applications, elimination of residual undifferentiated stem cells from their derivatives represents a barrier that may hinder clinical applications in regenerative medicine. In this study, we aimed to eliminate undifferentiated hiPSCs using an anticancer immunotherapy called peptide vaccination.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Peptide vaccination has been used for anticancer treatment with selective cellular cytotoxicity, especially with CTLs. We found that GPC3 is a carcinoembryonic antigen, which is also expressed in hiPSCs, and is a good target antigen for immunotherapy. As a result, GPC3-specific CTL could selectively eliminate hiPSC in hiPSC-derived cardiomyocytes without cytotoxic effects to the cardiomyocytes. Although we have not determined whether the treated hiPSC-derived cardiomyocytes with CTLs are indeed less teratogenic after transplantation so far, GPC3-specific CTLs are expected to prevent teratoma formation or eliminate existing teratomas </w:t>
      </w:r>
      <w:r>
        <w:rPr>
          <w:rFonts w:ascii="Calibri" w:hAnsi="Calibri" w:cs="Calibri" w:eastAsia="Calibri"/>
          <w:color w:val="000000"/>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after their administration. We propose that they will serve as an effective therapy for teratoma eradication, for which surgical approaches are difficult.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peptide vaccinations have several advantages, as they are already being safely used for clinical applications. However, peptide vaccines have an HLA-associated restriction, and they cannot be applied within the general population. Because their action is not sufficiently strong compared with previous methods, stronger immunotherapies must be established for use in the general population. Our method also offers the possibility of increased accuracy when used in combination with other methods because of our unique approach for removing pluripotent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conclusion, HLA-restricted GPC3-derived CTLs have potential as a pluripotent state-specific immunogenic antigen in hiPSCs. Our results indicate that the immunotherapies against GPC3 may prevent teratoma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 J.F., and K.F. own equity in Heartseed, Inc. K.F. is CEO of Heartseed, Inc. The remaining authors have no conflicts of interest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mainly supported by the Research Project for Practical Application of Regenerative Medicine from the Japan Agency for Medical Research and Development (AMED) and partly supported by the National Cancer Center Research and Development Fund (25-A-7) and (28-A-8), as well as Health and Labor Science Research Grants for Clinical Research on Applying Health Technology and Research for Promotion of Cancer Control Programmes, Japan.&lt;/p&gt;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Hentze,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Teratoma formation by human embryonic stem cells: evaluation of essential parameters for future safety studies.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Miura,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Variation in the safety of induced pluripotent stem cell lines.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(8), 743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Ben-David, U., Nudel, N., Benvenisty, N. Immunologic and chemical targeting of the tight-junction protein Claudin-6 eliminates tumorigenic human pluripotent stem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1992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Dubois, N.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SIRPA is a specific cell-surface marker for isolating cardiomyocytes derived from human pluripotent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(11), 1011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1018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Kuang,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Selective Removal of Human Pluripotent Stem Cells via Ecto-Alkaline Phosphatase-Mediated Aggregation of Synthetic Peptides. </w:t>
      </w:r>
      <w:r>
        <w:rPr>
          <w:rFonts w:ascii="Calibri" w:hAnsi="Calibri" w:cs="Calibri" w:eastAsia="Calibri"/>
          <w:i/>
          <w:color w:val="000000"/>
          <w:spacing w:val="0"/>
          <w:position w:val="0"/>
          <w:sz w:val="24"/>
          <w:shd w:fill="auto" w:val="clear"/>
        </w:rPr>
        <w:t xml:space="preserve">Cell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(6), 685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694 e684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Tang,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antibody against SSEA-5 glycan on human pluripotent stem cells enables removal of teratoma-forming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(9), 829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Tateno,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Elimination of tumorigenic human pluripotent stem cells by a recombinant lectin-toxin fusion protein.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(5), 811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Schneble, E., Clifton, G. T., Hale, D. F., Peoples, G. E. Peptide-Based Cancer Vaccine Strategies and Clinical Results.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1403</w:t>
      </w:r>
      <w:r>
        <w:rPr>
          <w:rFonts w:ascii="Calibri" w:hAnsi="Calibri" w:cs="Calibri" w:eastAsia="Calibri"/>
          <w:color w:val="000000"/>
          <w:spacing w:val="0"/>
          <w:position w:val="0"/>
          <w:sz w:val="24"/>
          <w:shd w:fill="auto" w:val="clear"/>
        </w:rPr>
        <w:t xml:space="preserve"> 797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Capurro,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Glypican-3: a novel serum and histochemical marker for hepatocellular carcinoma. </w:t>
      </w:r>
      <w:r>
        <w:rPr>
          <w:rFonts w:ascii="Calibri" w:hAnsi="Calibri" w:cs="Calibri" w:eastAsia="Calibri"/>
          <w:i/>
          <w:color w:val="000000"/>
          <w:spacing w:val="0"/>
          <w:position w:val="0"/>
          <w:sz w:val="24"/>
          <w:shd w:fill="auto" w:val="clear"/>
        </w:rPr>
        <w:t xml:space="preserve">Gastroenterology.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(1), 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Iglesias, B.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Expression pattern of glypican-3 (GPC3) during human embryonic and fetal development. </w:t>
      </w:r>
      <w:r>
        <w:rPr>
          <w:rFonts w:ascii="Calibri" w:hAnsi="Calibri" w:cs="Calibri" w:eastAsia="Calibri"/>
          <w:i/>
          <w:color w:val="000000"/>
          <w:spacing w:val="0"/>
          <w:position w:val="0"/>
          <w:sz w:val="24"/>
          <w:shd w:fill="auto" w:val="clear"/>
        </w:rPr>
        <w:t xml:space="preserve">Histology &amp;amp; Histopathology.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1333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Nakatsura,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Identification of glypican-3 as a novel tumor marker for melanoma. </w:t>
      </w:r>
      <w:r>
        <w:rPr>
          <w:rFonts w:ascii="Calibri" w:hAnsi="Calibri" w:cs="Calibri" w:eastAsia="Calibri"/>
          <w:i/>
          <w:color w:val="000000"/>
          <w:spacing w:val="0"/>
          <w:position w:val="0"/>
          <w:sz w:val="24"/>
          <w:shd w:fill="auto" w:val="clear"/>
        </w:rPr>
        <w:t xml:space="preserve">Clin Cancer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(19), 6612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6621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Filmus, J., Selleck, S. B. Glypicans: proteoglycans with a surprise. </w:t>
      </w:r>
      <w:r>
        <w:rPr>
          <w:rFonts w:ascii="Calibri" w:hAnsi="Calibri" w:cs="Calibri" w:eastAsia="Calibri"/>
          <w:i/>
          <w:color w:val="000000"/>
          <w:spacing w:val="0"/>
          <w:position w:val="0"/>
          <w:sz w:val="24"/>
          <w:shd w:fill="auto" w:val="clear"/>
        </w:rPr>
        <w:t xml:space="preserve">Journal of Clinical Investigation.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Baumhoer,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 3 expression in human nonneoplastic, preneoplastic, and neoplastic tissues: a tissue microarray analysis of 4,387 tissue samples. </w:t>
      </w:r>
      <w:r>
        <w:rPr>
          <w:rFonts w:ascii="Calibri" w:hAnsi="Calibri" w:cs="Calibri" w:eastAsia="Calibri"/>
          <w:i/>
          <w:color w:val="000000"/>
          <w:spacing w:val="0"/>
          <w:position w:val="0"/>
          <w:sz w:val="24"/>
          <w:shd w:fill="auto" w:val="clear"/>
        </w:rPr>
        <w:t xml:space="preserve">American Journal of Clinical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(6), 899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Kandil, D., Leiman, G., Allegretta, M., Evans, M. Glypican-3 protein expression in primary and metastatic melanoma: a combined immunohistochemistry and immunocytochemistry study.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(4),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Kinoshita,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 3 expression in pediatric malignant solid tumors. </w:t>
      </w:r>
      <w:r>
        <w:rPr>
          <w:rFonts w:ascii="Calibri" w:hAnsi="Calibri" w:cs="Calibri" w:eastAsia="Calibri"/>
          <w:i/>
          <w:color w:val="000000"/>
          <w:spacing w:val="0"/>
          <w:position w:val="0"/>
          <w:sz w:val="24"/>
          <w:shd w:fill="auto" w:val="clear"/>
        </w:rPr>
        <w:t xml:space="preserve">European Journal of Pediatric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138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Maeda,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Glypican-3 expression in clear cell adenocarcinoma of the ovary. </w:t>
      </w:r>
      <w:r>
        <w:rPr>
          <w:rFonts w:ascii="Calibri" w:hAnsi="Calibri" w:cs="Calibri" w:eastAsia="Calibri"/>
          <w:i/>
          <w:color w:val="000000"/>
          <w:spacing w:val="0"/>
          <w:position w:val="0"/>
          <w:sz w:val="24"/>
          <w:shd w:fill="auto" w:val="clear"/>
        </w:rPr>
        <w:t xml:space="preserve">Modern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(6), 824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832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Saikali, Z., Sinnett, D. Expression of glypican 3 (GPC3) in embryonal tumors. </w:t>
      </w:r>
      <w:r>
        <w:rPr>
          <w:rFonts w:ascii="Calibri" w:hAnsi="Calibri" w:cs="Calibri" w:eastAsia="Calibri"/>
          <w:i/>
          <w:color w:val="000000"/>
          <w:spacing w:val="0"/>
          <w:position w:val="0"/>
          <w:sz w:val="24"/>
          <w:shd w:fill="auto" w:val="clear"/>
        </w:rPr>
        <w:t xml:space="preserve">International Journal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 418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422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Stadlmann,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Glypican-3 expression in primary and recurrent ovarian carcinomas. </w:t>
      </w:r>
      <w:r>
        <w:rPr>
          <w:rFonts w:ascii="Calibri" w:hAnsi="Calibri" w:cs="Calibri" w:eastAsia="Calibri"/>
          <w:i/>
          <w:color w:val="000000"/>
          <w:spacing w:val="0"/>
          <w:position w:val="0"/>
          <w:sz w:val="24"/>
          <w:shd w:fill="auto" w:val="clear"/>
        </w:rPr>
        <w:t xml:space="preserve">International Journal of Gynecological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341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Toretsky, J.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Glypican-3 expression in Wilms tumor and hepatoblastoma. </w:t>
      </w:r>
      <w:r>
        <w:rPr>
          <w:rFonts w:ascii="Calibri" w:hAnsi="Calibri" w:cs="Calibri" w:eastAsia="Calibri"/>
          <w:i/>
          <w:color w:val="000000"/>
          <w:spacing w:val="0"/>
          <w:position w:val="0"/>
          <w:sz w:val="24"/>
          <w:shd w:fill="auto" w:val="clear"/>
        </w:rPr>
        <w:t xml:space="preserve">Journal of Pediatric Hematology/Oncology.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(8), 496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Tohyama,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Efficient Large-Scale 2D Culture System for Human Induced Pluripotent Stem Cells and Differentiated Cardiomyocytes.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1406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Tohyama,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Glutamine Oxidation Is Indispensable for Survival of Human Pluripotent Stem Cells.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663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Sawada, Y., Sakai, M., Yoshikawa, T., Ofuji, K., Nakatsura, T. A glypican-3-derived peptide vaccine against hepatocellular carcinoma. </w:t>
      </w:r>
      <w:r>
        <w:rPr>
          <w:rFonts w:ascii="Calibri" w:hAnsi="Calibri" w:cs="Calibri" w:eastAsia="Calibri"/>
          <w:i/>
          <w:color w:val="000000"/>
          <w:spacing w:val="0"/>
          <w:position w:val="0"/>
          <w:sz w:val="24"/>
          <w:shd w:fill="auto" w:val="clear"/>
        </w:rPr>
        <w:t xml:space="preserve">Oncoimmunology.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(8), 1448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Hattori,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Nongenetic method for purifying stem cell-derived cardiomyocytes.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 (2010).</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24. Tohyama,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Distinct metabolic flow enables large-scale purification of mouse and human pluripotent stem cell-derived cardiomyocytes.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 (2013).</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