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Cryo-Pulverization Protocol for Processing Mouse Paws to Evaluate Molecular Pathways of Tissue Inflammation in a Collagen Induced Arthritis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Jones, Shannon Hitchcock, Matthew Loza, Ravi Malaviya, Tatiana Ort, Fang Shen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Immunology, Janssen Research &amp;amp; Development, Inc., Spring House,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 Shen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Fshen2@its.jnj.com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Ort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Tort@its.jnj.com</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Jones (</w:t>
      </w:r>
      <w:r>
        <w:rPr>
          <w:rFonts w:ascii="Calibri" w:hAnsi="Calibri" w:cs="Calibri" w:eastAsia="Calibri"/>
          <w:color w:val="000000"/>
          <w:spacing w:val="0"/>
          <w:position w:val="0"/>
          <w:sz w:val="24"/>
          <w:shd w:fill="auto" w:val="clear"/>
        </w:rPr>
        <w:t xml:space="preserve">BJones12@its.jnj.com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Hitchcock (</w:t>
      </w:r>
      <w:r>
        <w:rPr>
          <w:rFonts w:ascii="Calibri" w:hAnsi="Calibri" w:cs="Calibri" w:eastAsia="Calibri"/>
          <w:color w:val="000000"/>
          <w:spacing w:val="0"/>
          <w:position w:val="0"/>
          <w:sz w:val="24"/>
          <w:shd w:fill="auto" w:val="clear"/>
        </w:rPr>
        <w:t xml:space="preserve">SHitchco@its.jnj.com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Ravi Malaviya (</w:t>
      </w:r>
      <w:r>
        <w:rPr>
          <w:rFonts w:ascii="Calibri" w:hAnsi="Calibri" w:cs="Calibri" w:eastAsia="Calibri"/>
          <w:color w:val="000000"/>
          <w:spacing w:val="0"/>
          <w:position w:val="0"/>
          <w:sz w:val="24"/>
          <w:shd w:fill="auto" w:val="clear"/>
        </w:rPr>
        <w:t xml:space="preserve">RMalaviy@its.jnj.com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Loza (</w:t>
      </w:r>
      <w:r>
        <w:rPr>
          <w:rFonts w:ascii="Calibri" w:hAnsi="Calibri" w:cs="Calibri" w:eastAsia="Calibri"/>
          <w:color w:val="000000"/>
          <w:spacing w:val="0"/>
          <w:position w:val="0"/>
          <w:sz w:val="24"/>
          <w:shd w:fill="auto" w:val="clear"/>
        </w:rPr>
        <w:t xml:space="preserve">Mloza@its.jnj.com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Ort (</w:t>
      </w:r>
      <w:r>
        <w:rPr>
          <w:rFonts w:ascii="Calibri" w:hAnsi="Calibri" w:cs="Calibri" w:eastAsia="Calibri"/>
          <w:color w:val="000000"/>
          <w:spacing w:val="0"/>
          <w:position w:val="0"/>
          <w:sz w:val="24"/>
          <w:shd w:fill="auto" w:val="clear"/>
        </w:rPr>
        <w:t xml:space="preserve">Tort@its.jnj.com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 Shen (</w:t>
      </w:r>
      <w:r>
        <w:rPr>
          <w:rFonts w:ascii="Calibri" w:hAnsi="Calibri" w:cs="Calibri" w:eastAsia="Calibri"/>
          <w:color w:val="000000"/>
          <w:spacing w:val="0"/>
          <w:position w:val="0"/>
          <w:sz w:val="24"/>
          <w:shd w:fill="auto" w:val="clear"/>
        </w:rPr>
        <w:t xml:space="preserve">FShen2@its.jnj.com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Collagen Induced Arthritis, Joint Tissue, Inflammation, Cryo-Pulverization, Protein, RNA, Luminex, Microarray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cryogenic pulverization method to process murine paws using a liquid nitrogen freezer mill was developed to improve the yield and quality of RNA or protein extracted from the tissues and enable the analysis of molecular profiles associated with inflammatory responses.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Profiling molecular changes in local tissues is crucial to understand the mechanism(s) of action of therapeutic candidates in vivo. In the field of arthritis research, many studies are focused on inflamed joints that are composed of a complex mixture of bone, cartilage, muscle, stromal cells and immune cells. Here, we established a reliable and robust mechanical method to disrupt inflamed mouse paws into homogeneous pulverized samples in a cryogenically controlled environment. Protein and RNA lysates were processed to enable proteomic and transcriptional endpoints and molecular characterization of relevant disease pathways in local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Rheumatoid arthritis (RA) is a chronic systemic inflammatory disease with persistent symmetric synovitis in joints and extra articular involvement of organs such as the skin, heart, lungs, and eyes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the systemic manifestations of the immune response are evident in human patients, one of the hallmarks of RA pathology is infiltration of immune cells in synovial tissue and proliferation of synovial fibroblast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human RA, mouse collagen induced arthritis (CIA) model elicits strong tissue inflammation with active immune responses in synovial tissues and systemic compartments. The susceptibility of different mouse strains to CIA model links to Major Histocompatibility Complex (MHC) haplotype and antigen specific T cell and B cell interactions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addition, many pathogenic pathways in human RA, including autoantibody production, immune complex deposition, myeloid cell activation, polyarticular manifestations and pannus formation with synovial immune infiltration, are also evident in this model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Investigators have employed this well-established CIA model to investigate effects of anti-inflammatory cytokine treatments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Many biologics approved for autoimmune or inflammatory diseases, such as anti-TNF&amp;#945; and anti-IL-6, are found to be efficacious in the CIA model</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Profiling the interactions of the immune system in synovial tissue is crucial to elucidate molecular mechanisms associated with the pathogenesis of RA. In the human clinical setting, a common practice is to perform needle synovial biopsies under the guidance of ultrasound imaging. In the preclinical settings, the smaller architecture of the murine joints makes biopsy procedures much more difficult if not impossible. Recently, we demonstrated the utilization of the murine CIA model to evaluate combinations of drugs to impact disparate end-points and resolve disease in a combinatorial approach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cryogenic freezer mill-based pulverization method was employed to process inflamed murine paws into homogeneous fine powders and established downstream processes to extract RNA and proteins. This method protects RNA and protein from enzymatic and chemical degrative processes and enables us to apply multiple analytical methods to a single homogenized sample source.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accordance within the policies of the Institutional Animal Care and Use Committee (IACUC) of Janssen R&amp;amp;D.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Cryogenic freezer mill-based pulverization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At termination of the CIA study, sacrifice mice with 1.5% isoflurane followed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On the day of tissue processing, pre-chill all instruments (spatulas, grinding vials, etc.) on dry ice for a minimum of 10 min. Wear thermal gloves to avoid freeze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Cut hind paws with a scissor at the fur line as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Transfer each paw into one 1.5 mL microcentrifuge tube, snap freeze in liquid nitrogen immediately, and store frozen paws at -80 &amp;#176;C. Do not keep samples frozen for more than one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Fill freezer mill with liquid nitrogen as shown in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 let it equilibrate for at least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Keep unprocessed sample on dry ice and avoid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Transfer one hind paw into pre-chilled large polycarbonate grinding vial with a bottom steel plug, insert the pre-chilled steel impactor and close the polycarbonate grinding vial with the pre-chilled top steel plug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Transfer large polycarbonate grinding vials with the samples into the freezer mill pre-filled with liquid and close the lid with the rubber clasp found at the front of the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Let samples cool in liquid nitrogen for 1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Set the freezer mill to the 1 minute program with 10 cycles per second and press the start button. Wait for the freezer mill to complete its cycle.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machine makes a drumming sound as the steel impactor moves back and forth. Use ear plugs to avoid hearing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Open the lid of the freezer mill, take out the large polycarbonate grinding vial and place it in an extractor as depicted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Remove the top steel plug by placing downward pressure on the black handle until the steel plug slides out of the polycarbonate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Transfer the opened large polycarbonate grinding vial onto dry ice. Remove the steel impactor with pre-chilled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Transfer the frozen powder into pre-chilled 50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Weight 30-50 mg of frozen powder into a tared frozen 1.5 mL microcentrifuge tube for RNA extraction and 100-200 mg of frozen powder for protein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frozen powder should look like white or light pink fine sand as depicted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Store pulverized samples at -80 &amp;#176;C and proceed to RNA and protein isolations within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Add 10 &amp;#181;L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-mercaptoethanol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 per 1 mL of RLT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Calculate the volume of RLT Buffer corresponding to a ratio of 23.3 mL/mg of tissue and add the appropriate volume of RLT Buffer with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 to the tube with frozen powder. This ratio was empirically determined to be ideal for mouse paws.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Vortex the sample at 3000 RPM for 10 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Mix well by pipetting up-and-down 10 times vigorously with a 1 mL pipettor.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Vortex the sample again at 3000 RPM for 20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Centrifuge the tube at 13,000 x g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Transfer 700 &amp;#181;L of the supernatants to a fresh tube and add 700 &amp;#181;L of ethanol.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&amp;lt;700 &amp;#181;L is in the tube, it is acceptable to proceed, still adding equivalent volume of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Load 700 &amp;#181;L of the sample onto a RNA purification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Centrifuge the tube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Discard the flow-through and load the remaining part of the sample to the RNeasy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Centrifuge the tube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Discard the flow through and wash the column by adding 700 &amp;#181;L of RW1 buffer with centrifugation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(Optional) Perform a DNase digestion step follow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Wash the tube twice by adding 700 &amp;#181;L of RW1 buffer followed by centrifugation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Discard flow through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Dry the column by centrifugation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Elute RNA by adding 50 &amp;#181;L water with centrifugation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Collect flow through and transfer into a new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Determine the quantity of RNA using the researcher’s method of choice and store at -80 &amp;#176;C before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Protein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Dilute the 10x cell lysis stock solution in 1x cell lysis stock solution using cell culture 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Reconstitute the Protease Inhibitor Cocktail Set I with 1 mL of water to make a 100x protease inhibitor stock.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100 &amp;#181;L of protease inhibitor to 9.9 mL of 1x Cell lysis to make a 1x final stock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4 &amp;#181;L of ice cold 1x Cell Lysis Buffer per mg tissue powder (e.g., 800 &amp;#181;L of lysis buffer to 200 mg of tissue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Add one 5 mm stainless steel bead to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Vortex the tube at 3000 RPM for 60 s. Transfer the tube to wet ice and continue to the next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Place all sample tubes in a box and shake the centrifuge box on a rocker at 1000 RPM, 4 &amp;#176;C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Centrifuge the tubes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Transfer the supernatants into a fresh tube and avoid the fat layer on the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Determine the total protein concentration. 10 to 30-fold dilutions of protein lysate are ideal for a BCA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 Aliquot the sample into 1.5 mL microcentrifuge tubes and store at -80 &amp;#176;C before further analysis.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a representative gel image visualization of RNA extracted from front paws of CIA mice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28S rRNA and the 18S rRNA band indicate all samples have sufficient amount of intact RNA. Next, we show a representative scatter plot of total protein concentrations based on protein BCA analysis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Total protein concentrations from na&amp;#239;ve mice, CIA mice or CIA mice under various treatments are comparable across groups. To determine the concentrations of inflammatory cytokines and chemokines in the protein extract, Luminex analyses were conducted. We show a representative scatter plot of the concentrations of normalized cytokines and chemokines (pg/mg total protein)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Compared to na&amp;#239;ve mice, several cytokines are elevated in CIA mice and treatment with anti-IL17A antibody significantly inhibits production of several cytokines. To evaluate transcriptome changes in CIA and treatment-related effects, microarray analysis was performed. We show a representative heatmap plot of genes significantly increased in CIA mice compared to na&amp;#239;ve mice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Equipment needed to pulverize murine paws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Inflamed or uninflamed paws from CIA or na&amp;#239;ve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Liquid nitrogen Dewar used to fill the stainless-steel bath of the freezer mill.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Assembled freezer mill tube set.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Freezer mill tube opener.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Pulverized tissue from murine paws.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data on analysis of protein and RNA from pulverized murine paws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Gel image visualization of RNA integrity.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protein concentrations from different groups.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Chemokine and cytokine expression (Luminex) from different groups.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Hierarchical clustering heatmap of microarray analysis from different treatment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is strong scientific rationale to evaluate molecular pathways in synovial tissues, many reports on immune profiling of murine CIA model were focused on peripheral blood, while protein and RNA analysis data of inflamed paws are rather limited. There are several possible reasons for this bias: murine ankle joints are no larger than ~2 cm; the affected areas consist of skin, bone and connective tissues which are often difficult to homogenize using traditional methods like tissue grinders, pestle and mortar, silica bead disruption, trituration or enzymatic digestion. These methods typically result in incomplete homogenization, low protein or RNA yield, or inconsistent quality due to proteolytic and nucleic acid degradation. The robust method described herein provides a detailed procedure to generate a homogeneous pulverized frozen powder to enable downstream proteomic and transcriptional profiling efforts to establish molecular signatures of disease from a single uniform sample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should be considered when performing this method. Firstly, murine paws should be cut at the fur line during tissue harvest and large amounts of hair should be avoided. Excessive hair can clog columns during RNA extraction and interfere with protein extraction. Secondly, tubes, forceps and spatulas should be kept on dry ice throughout the procedure because elevated temperature in tissue powders will quickly turn the material into amorphous "mud" and the integrity of protein and RNA will be compromised. Thirdly, the amount of tissue powder used for protein or RNA extraction should be carefully optimized. More tissue powder may not always provide higher yield but can cause additional problems in downstream processing including clogging RNA isolation columns, altering the DNase/DNA ratio (if this step is employed) to prevent complete DNA degradation. Finally, normalization of protein and RNA input should be an integral part of the workflow and data analysis. Variability in tissue load can significantly mask changes in relative protein and RNA levels. In addition to total protein or total RNA, expression of housekeeping genes can also be considered as anchors for normalization.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extensive trial and error process, we have identified some potential frequent issues for first-time users of this method. There can be low yield of RNA. This is often a result of overloading the column with too much tissue extract. The amount of the tissue per column and ratio of RLT/powder are crucial for efficient RNA isolations. We have found that some commercial 96 well extraction kits may not work for this process as the samples will not spin through the column at an equivalent rate, thus compromising these samples in downstream washing and elution steps. There can be high variability in protein concentration in BCA analysis and cytokine concentrations in Luminex analysis. If there are no issues with the BCA or the Luminex process, it is typically caused by fat or other contaminants in the protein extract. It is important to avoid the fat layer at the top or insoluble matter at the bottom of the microcentrifuge tubes when harvesting for protein extraction. If needed, repeat the spin and collect supernatants for downstream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this method involves a specialized cryogenic freezer mill and large quantities of dry ice and liquid nitrogen, additional safety measures should be considered. Proper personal protection equipment including safety glasses, lab coats and cryogenic gloves should always be worn to prevent potential freeze burns and injury due to explosion. Generation of aerosols should also be minimized and using of vented balance enclosures is advised. Finally, similar to any other protocols handling animal tissues, care should be taken to properly dispose of all unused tissue samples, while reusable tubes need to be decontaminated prior to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method has many advantages over conventional methods, it still harbors some limitations. The transcriptome profile from a murine whole paw significantly overlaps with transcriptome profile from human synovial biopsy (data not shown). Additional mRNA from muscle, skin and bone marrow could dilute the signals from synovial tissue. An alternative solution is to collect murine synovial tissue through laser microdissection, which can be performed on OCT embedded mouse joints. However, low throughput and the relatively small quantity of tissue limits the broad application for laser microdissection. Additionally, even with significant automation, this method is still quite labor intensive. It takes at least 8 h to process 30-60 samples with the help of 3-4 investigators. Finally, this method requires large amounts of liquid nitrogen (~10-15 L for processing 30-60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preceding method description, the evaluation of proteomic and transcriptional endpoint analyses was demonstrated. However, additional endpoint, such as lipidomic, metabolomics and small RNA profiling could be of interest to the wider arthritis research community.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BJ, SH, ML, RM, ML, TO and FS are employees of Janssen Research &amp;amp; Development Inc and are shareholders in the parent company, Johnson &amp;amp; Johnson,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Edith Janssen for the critical review of the manuscript and Navin Rao and Jennifer Towne for their support of the publication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Firestein, G. S. Immunologic mechanisms in the pathogenesis of rheumatoid arthritis. </w:t>
      </w:r>
      <w:r>
        <w:rPr>
          <w:rFonts w:ascii="Calibri" w:hAnsi="Calibri" w:cs="Calibri" w:eastAsia="Calibri"/>
          <w:i/>
          <w:color w:val="auto"/>
          <w:spacing w:val="0"/>
          <w:position w:val="0"/>
          <w:sz w:val="24"/>
          <w:shd w:fill="auto" w:val="clear"/>
        </w:rPr>
        <w:t xml:space="preserve">Journal of Clinical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S39-44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McInnes, I. B., Schett, G. The pathogenesis of rheumatoid arthritis.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2205-2219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Ahlqvist, E., Hultqvist, M., Holmdahl, R. The value of animal models in predicting genetic susceptibility to complex diseases such as rheumatoid arthritis. </w:t>
      </w:r>
      <w:r>
        <w:rPr>
          <w:rFonts w:ascii="Calibri" w:hAnsi="Calibri" w:cs="Calibri" w:eastAsia="Calibri"/>
          <w:i/>
          <w:color w:val="auto"/>
          <w:spacing w:val="0"/>
          <w:position w:val="0"/>
          <w:sz w:val="24"/>
          <w:shd w:fill="auto" w:val="clear"/>
        </w:rPr>
        <w:t xml:space="preserve">Arthritis Research and Therapy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226, doi:10.1186/ar2600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David, C. S., Taneja, V. Role of major histocompatibility complex genes in murine collagen-induced arthritis: a model for human rheumatoid arthritis. </w:t>
      </w:r>
      <w:r>
        <w:rPr>
          <w:rFonts w:ascii="Calibri" w:hAnsi="Calibri" w:cs="Calibri" w:eastAsia="Calibri"/>
          <w:i/>
          <w:color w:val="auto"/>
          <w:spacing w:val="0"/>
          <w:position w:val="0"/>
          <w:sz w:val="24"/>
          <w:shd w:fill="auto" w:val="clear"/>
        </w:rPr>
        <w:t xml:space="preserve">American Journal of the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180-187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Tarkowski, A., Holmdahl, R., Klareskog, L. Rheumatoid factors in mice. </w:t>
      </w:r>
      <w:r>
        <w:rPr>
          <w:rFonts w:ascii="Calibri" w:hAnsi="Calibri" w:cs="Calibri" w:eastAsia="Calibri"/>
          <w:i/>
          <w:color w:val="auto"/>
          <w:spacing w:val="0"/>
          <w:position w:val="0"/>
          <w:sz w:val="24"/>
          <w:shd w:fill="auto" w:val="clear"/>
        </w:rPr>
        <w:t xml:space="preserve">Monographs in Allergy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214-229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Schurgers, E., Billiau, A., Matthys, P. Collagen-induced arthritis as an animal model for rheumatoid arthritis: focus on interferon-gamma. </w:t>
      </w:r>
      <w:r>
        <w:rPr>
          <w:rFonts w:ascii="Calibri" w:hAnsi="Calibri" w:cs="Calibri" w:eastAsia="Calibri"/>
          <w:i/>
          <w:color w:val="auto"/>
          <w:spacing w:val="0"/>
          <w:position w:val="0"/>
          <w:sz w:val="24"/>
          <w:shd w:fill="auto" w:val="clear"/>
        </w:rPr>
        <w:t xml:space="preserve">Journal of Interferon &amp;amp; Cytokine Research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917-926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Joosten, L. A., Helsen, M. M., van de Loo, F. A., van den Berg, W. B. Anticytokine treatment of established type II collagen-induced arthritis in DBA/1 mice. A comparative study using anti-TNF alpha, anti-IL-1 alpha/beta, and IL-1Ra. </w:t>
      </w:r>
      <w:r>
        <w:rPr>
          <w:rFonts w:ascii="Calibri" w:hAnsi="Calibri" w:cs="Calibri" w:eastAsia="Calibri"/>
          <w:i/>
          <w:color w:val="auto"/>
          <w:spacing w:val="0"/>
          <w:position w:val="0"/>
          <w:sz w:val="24"/>
          <w:shd w:fill="auto" w:val="clear"/>
        </w:rPr>
        <w:t xml:space="preserve">Arthritis &amp;amp; Rheumatology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797-809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Asquith, D. L., Miller, A. M., McInnes, I. B., Liew, F. Y. Animal models of rheumatoid arthritis.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2040-2044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Williams, R. O. Collagen-induced arthritis as a model for rheumatoid arthritis.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207-216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Shen,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Combined Blockade of TNF-alpha and IL-17A Alleviates Progression of Collagen-Induced Arthritis without Causing Serious Infections in Mice.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2017-2026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