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29A34" w14:textId="2C620681" w:rsidR="003314F5" w:rsidRDefault="003314F5"/>
    <w:p w14:paraId="0794D901" w14:textId="77777777" w:rsidR="00D618DF" w:rsidRPr="00B92637" w:rsidRDefault="00D618DF" w:rsidP="00D618DF">
      <w:pPr>
        <w:rPr>
          <w:color w:val="0070C0"/>
        </w:rPr>
      </w:pPr>
    </w:p>
    <w:p w14:paraId="4833F81B" w14:textId="4F19F9BA" w:rsidR="00D618DF" w:rsidRPr="00B92637" w:rsidRDefault="00D618DF" w:rsidP="00D618DF">
      <w:pPr>
        <w:rPr>
          <w:color w:val="0070C0"/>
        </w:rPr>
      </w:pPr>
      <w:r w:rsidRPr="00B92637">
        <w:rPr>
          <w:color w:val="0070C0"/>
        </w:rPr>
        <w:t xml:space="preserve">We thank the </w:t>
      </w:r>
      <w:r w:rsidR="00EC3CA6">
        <w:rPr>
          <w:color w:val="0070C0"/>
        </w:rPr>
        <w:t xml:space="preserve">editor and </w:t>
      </w:r>
      <w:r w:rsidRPr="00B92637">
        <w:rPr>
          <w:color w:val="0070C0"/>
        </w:rPr>
        <w:t xml:space="preserve">reviewers for their comments and suggestions, as well as the opportunity to respond. </w:t>
      </w:r>
      <w:r w:rsidR="001A3A73">
        <w:rPr>
          <w:rFonts w:eastAsiaTheme="minorHAnsi"/>
          <w:color w:val="0070C0"/>
        </w:rPr>
        <w:t xml:space="preserve">Accordingly, </w:t>
      </w:r>
      <w:r w:rsidR="001A3A73">
        <w:rPr>
          <w:color w:val="0070C0"/>
        </w:rPr>
        <w:t>w</w:t>
      </w:r>
      <w:r w:rsidRPr="00B92637">
        <w:rPr>
          <w:color w:val="0070C0"/>
        </w:rPr>
        <w:t>e have</w:t>
      </w:r>
      <w:r w:rsidR="001A3A73">
        <w:rPr>
          <w:color w:val="0070C0"/>
        </w:rPr>
        <w:t xml:space="preserve"> addressed concerns raised by the reviewers and</w:t>
      </w:r>
      <w:r w:rsidRPr="00B92637">
        <w:rPr>
          <w:color w:val="0070C0"/>
        </w:rPr>
        <w:t xml:space="preserve"> revised the manuscript </w:t>
      </w:r>
      <w:r w:rsidR="001A3A73">
        <w:rPr>
          <w:color w:val="0070C0"/>
        </w:rPr>
        <w:t xml:space="preserve">with addition of new figures </w:t>
      </w:r>
      <w:r w:rsidR="003F7C65">
        <w:rPr>
          <w:color w:val="0070C0"/>
        </w:rPr>
        <w:t xml:space="preserve">(Figures 5 and 6) and example data </w:t>
      </w:r>
      <w:r w:rsidR="001A3A73">
        <w:rPr>
          <w:color w:val="0070C0"/>
        </w:rPr>
        <w:t>as per their suggestions</w:t>
      </w:r>
      <w:r w:rsidRPr="00B92637">
        <w:rPr>
          <w:color w:val="0070C0"/>
        </w:rPr>
        <w:t xml:space="preserve">. Please see our </w:t>
      </w:r>
      <w:r w:rsidR="001A3A73">
        <w:rPr>
          <w:color w:val="0070C0"/>
        </w:rPr>
        <w:t>responses</w:t>
      </w:r>
      <w:r w:rsidR="001A3A73" w:rsidRPr="00B92637">
        <w:rPr>
          <w:color w:val="0070C0"/>
        </w:rPr>
        <w:t xml:space="preserve"> </w:t>
      </w:r>
      <w:r w:rsidRPr="00B92637">
        <w:rPr>
          <w:color w:val="0070C0"/>
        </w:rPr>
        <w:t>below in blue.</w:t>
      </w:r>
    </w:p>
    <w:p w14:paraId="4A84D07E" w14:textId="77777777" w:rsidR="00EC3CA6" w:rsidRPr="00EC3CA6" w:rsidRDefault="00EC3CA6" w:rsidP="00EC3CA6">
      <w:pPr>
        <w:rPr>
          <w:b/>
          <w:color w:val="000000" w:themeColor="text1"/>
        </w:rPr>
      </w:pPr>
      <w:r w:rsidRPr="00EC3CA6">
        <w:rPr>
          <w:b/>
          <w:color w:val="000000" w:themeColor="text1"/>
        </w:rPr>
        <w:t>Editorial comments:</w:t>
      </w:r>
    </w:p>
    <w:p w14:paraId="643F5B6C" w14:textId="77777777" w:rsidR="00EC3CA6" w:rsidRPr="00EC3CA6" w:rsidRDefault="00EC3CA6" w:rsidP="00EC3CA6">
      <w:pPr>
        <w:rPr>
          <w:color w:val="000000" w:themeColor="text1"/>
        </w:rPr>
      </w:pPr>
      <w:r w:rsidRPr="00EC3CA6">
        <w:rPr>
          <w:color w:val="000000" w:themeColor="text1"/>
        </w:rPr>
        <w:t>Changes to be made by the author(s):</w:t>
      </w:r>
    </w:p>
    <w:p w14:paraId="178B6406" w14:textId="6E7C109D" w:rsidR="00EC3CA6" w:rsidRPr="00EC3CA6" w:rsidRDefault="00EC3CA6" w:rsidP="00EC3CA6">
      <w:pPr>
        <w:rPr>
          <w:color w:val="000000" w:themeColor="text1"/>
        </w:rPr>
      </w:pPr>
      <w:r w:rsidRPr="00EC3CA6">
        <w:rPr>
          <w:color w:val="000000" w:themeColor="text1"/>
        </w:rPr>
        <w:t xml:space="preserve">1. Please take this opportunity to thoroughly proofread the manuscript to ensure that there are no spelling or grammar issues. The </w:t>
      </w:r>
      <w:proofErr w:type="spellStart"/>
      <w:r w:rsidRPr="00EC3CA6">
        <w:rPr>
          <w:color w:val="000000" w:themeColor="text1"/>
        </w:rPr>
        <w:t>JoVE</w:t>
      </w:r>
      <w:proofErr w:type="spellEnd"/>
      <w:r w:rsidRPr="00EC3CA6">
        <w:rPr>
          <w:color w:val="000000" w:themeColor="text1"/>
        </w:rPr>
        <w:t xml:space="preserve"> editor will not copy-edit your manuscript and any errors in the submitted revision may be present in the published version.</w:t>
      </w:r>
    </w:p>
    <w:p w14:paraId="25861B13" w14:textId="289654CE" w:rsidR="00EC3CA6" w:rsidRDefault="00EC3CA6" w:rsidP="00EC3CA6">
      <w:pPr>
        <w:rPr>
          <w:color w:val="000000" w:themeColor="text1"/>
        </w:rPr>
      </w:pPr>
      <w:r w:rsidRPr="00EC3CA6">
        <w:rPr>
          <w:color w:val="000000" w:themeColor="text1"/>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2A402526" w14:textId="56C69B41" w:rsidR="00EC3CA6" w:rsidRPr="00EC3CA6" w:rsidRDefault="00EC3CA6" w:rsidP="00EC3CA6">
      <w:pPr>
        <w:rPr>
          <w:color w:val="000000" w:themeColor="text1"/>
        </w:rPr>
      </w:pPr>
      <w:r>
        <w:rPr>
          <w:color w:val="0070C0"/>
        </w:rPr>
        <w:t xml:space="preserve">No figures have been reused from other publications. </w:t>
      </w:r>
    </w:p>
    <w:p w14:paraId="24C97874" w14:textId="1C3EEBA0" w:rsidR="00EC3CA6" w:rsidRDefault="00EC3CA6" w:rsidP="00EC3CA6">
      <w:pPr>
        <w:rPr>
          <w:color w:val="000000" w:themeColor="text1"/>
        </w:rPr>
      </w:pPr>
      <w:r w:rsidRPr="00EC3CA6">
        <w:rPr>
          <w:color w:val="000000" w:themeColor="text1"/>
        </w:rPr>
        <w:t>3. Figure 1: Please include a space between numbers and the time unit (i.e., 2 h, 3 h, 1 h).</w:t>
      </w:r>
    </w:p>
    <w:p w14:paraId="34E218E4" w14:textId="22ABDCC5" w:rsidR="00EC3CA6" w:rsidRPr="00EC3CA6" w:rsidRDefault="00EC3CA6" w:rsidP="00EC3CA6">
      <w:pPr>
        <w:rPr>
          <w:color w:val="000000" w:themeColor="text1"/>
        </w:rPr>
      </w:pPr>
      <w:r>
        <w:rPr>
          <w:color w:val="0070C0"/>
        </w:rPr>
        <w:t xml:space="preserve">The text has been modified accordingly. </w:t>
      </w:r>
    </w:p>
    <w:p w14:paraId="601EB7BB" w14:textId="28A7B6DA" w:rsidR="00EC3CA6" w:rsidRDefault="00EC3CA6" w:rsidP="00EC3CA6">
      <w:pPr>
        <w:rPr>
          <w:color w:val="000000" w:themeColor="text1"/>
        </w:rPr>
      </w:pPr>
      <w:r w:rsidRPr="00EC3CA6">
        <w:rPr>
          <w:color w:val="000000" w:themeColor="text1"/>
        </w:rPr>
        <w:t>4. Please do not number the Table of Materials in the manuscript.</w:t>
      </w:r>
    </w:p>
    <w:p w14:paraId="451E9745" w14:textId="68C8431B" w:rsidR="00EC3CA6" w:rsidRPr="00EC3CA6" w:rsidRDefault="00EC3CA6" w:rsidP="00EC3CA6">
      <w:pPr>
        <w:rPr>
          <w:color w:val="000000" w:themeColor="text1"/>
        </w:rPr>
      </w:pPr>
      <w:r>
        <w:rPr>
          <w:color w:val="0070C0"/>
        </w:rPr>
        <w:t xml:space="preserve">The text has been modified accordingly. </w:t>
      </w:r>
    </w:p>
    <w:p w14:paraId="157B669D" w14:textId="65C342F1" w:rsidR="00EC3CA6" w:rsidRDefault="00EC3CA6" w:rsidP="00EC3CA6">
      <w:pPr>
        <w:rPr>
          <w:color w:val="000000" w:themeColor="text1"/>
        </w:rPr>
      </w:pPr>
      <w:r w:rsidRPr="00EC3CA6">
        <w:rPr>
          <w:color w:val="000000" w:themeColor="text1"/>
        </w:rPr>
        <w:t xml:space="preserve">5. </w:t>
      </w:r>
      <w:proofErr w:type="spellStart"/>
      <w:r w:rsidRPr="00EC3CA6">
        <w:rPr>
          <w:color w:val="000000" w:themeColor="text1"/>
        </w:rPr>
        <w:t>JoVE</w:t>
      </w:r>
      <w:proofErr w:type="spellEnd"/>
      <w:r w:rsidRPr="00EC3CA6">
        <w:rPr>
          <w:color w:val="000000" w:themeColor="text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Sigma Aldrich, Thermo Scientific, Invitrogen, </w:t>
      </w:r>
      <w:proofErr w:type="spellStart"/>
      <w:r w:rsidRPr="00EC3CA6">
        <w:rPr>
          <w:color w:val="000000" w:themeColor="text1"/>
        </w:rPr>
        <w:t>TissueTek</w:t>
      </w:r>
      <w:proofErr w:type="spellEnd"/>
      <w:r w:rsidRPr="00EC3CA6">
        <w:rPr>
          <w:color w:val="000000" w:themeColor="text1"/>
        </w:rPr>
        <w:t xml:space="preserve">, </w:t>
      </w:r>
      <w:proofErr w:type="spellStart"/>
      <w:r w:rsidRPr="00EC3CA6">
        <w:rPr>
          <w:color w:val="000000" w:themeColor="text1"/>
        </w:rPr>
        <w:t>MAXblock</w:t>
      </w:r>
      <w:proofErr w:type="spellEnd"/>
      <w:r w:rsidRPr="00EC3CA6">
        <w:rPr>
          <w:color w:val="000000" w:themeColor="text1"/>
        </w:rPr>
        <w:t xml:space="preserve">™, </w:t>
      </w:r>
      <w:proofErr w:type="spellStart"/>
      <w:r w:rsidRPr="00EC3CA6">
        <w:rPr>
          <w:color w:val="000000" w:themeColor="text1"/>
        </w:rPr>
        <w:t>MAXbind</w:t>
      </w:r>
      <w:proofErr w:type="spellEnd"/>
      <w:r w:rsidRPr="00EC3CA6">
        <w:rPr>
          <w:color w:val="000000" w:themeColor="text1"/>
        </w:rPr>
        <w:t xml:space="preserve">™, Kimwipe, </w:t>
      </w:r>
      <w:proofErr w:type="spellStart"/>
      <w:r w:rsidRPr="00EC3CA6">
        <w:rPr>
          <w:color w:val="000000" w:themeColor="text1"/>
        </w:rPr>
        <w:t>MAXwash</w:t>
      </w:r>
      <w:proofErr w:type="spellEnd"/>
      <w:r w:rsidRPr="00EC3CA6">
        <w:rPr>
          <w:color w:val="000000" w:themeColor="text1"/>
        </w:rPr>
        <w:t xml:space="preserve">™, VWR, Nunc™, </w:t>
      </w:r>
      <w:proofErr w:type="spellStart"/>
      <w:r w:rsidRPr="00EC3CA6">
        <w:rPr>
          <w:color w:val="000000" w:themeColor="text1"/>
        </w:rPr>
        <w:t>Cellvis</w:t>
      </w:r>
      <w:proofErr w:type="spellEnd"/>
      <w:r w:rsidRPr="00EC3CA6">
        <w:rPr>
          <w:color w:val="000000" w:themeColor="text1"/>
        </w:rPr>
        <w:t>, etc.</w:t>
      </w:r>
    </w:p>
    <w:p w14:paraId="0EEBF31E" w14:textId="46E77B2F" w:rsidR="00EC3CA6" w:rsidRPr="00EC3CA6" w:rsidRDefault="00EC3CA6" w:rsidP="00EC3CA6">
      <w:pPr>
        <w:rPr>
          <w:color w:val="000000" w:themeColor="text1"/>
        </w:rPr>
      </w:pPr>
      <w:r>
        <w:rPr>
          <w:color w:val="0070C0"/>
        </w:rPr>
        <w:t>The text has been modified accordingl</w:t>
      </w:r>
      <w:r>
        <w:rPr>
          <w:color w:val="0070C0"/>
        </w:rPr>
        <w:t>y and the Table of Materials has been updated.</w:t>
      </w:r>
    </w:p>
    <w:p w14:paraId="3A1C5B2B" w14:textId="396D9C02" w:rsidR="00EC3CA6" w:rsidRDefault="00EC3CA6" w:rsidP="00EC3CA6">
      <w:pPr>
        <w:rPr>
          <w:color w:val="000000" w:themeColor="text1"/>
        </w:rPr>
      </w:pPr>
      <w:r w:rsidRPr="00EC3CA6">
        <w:rPr>
          <w:color w:val="000000" w:themeColor="text1"/>
        </w:rPr>
        <w:t>6. Please revise the Protocol text to avoid the use of personal pronouns (e.g., I, you, your, we, our) or colloquial phrases.</w:t>
      </w:r>
    </w:p>
    <w:p w14:paraId="3D06BBB7" w14:textId="56EFC511" w:rsidR="00EC3CA6" w:rsidRPr="00EC3CA6" w:rsidRDefault="00EC3CA6" w:rsidP="00EC3CA6">
      <w:pPr>
        <w:rPr>
          <w:color w:val="000000" w:themeColor="text1"/>
        </w:rPr>
      </w:pPr>
      <w:r>
        <w:rPr>
          <w:color w:val="0070C0"/>
        </w:rPr>
        <w:t xml:space="preserve">The text has been modified accordingly. </w:t>
      </w:r>
    </w:p>
    <w:p w14:paraId="6CE25B0F" w14:textId="47681297" w:rsidR="00EC3CA6" w:rsidRDefault="00EC3CA6" w:rsidP="00EC3CA6">
      <w:pPr>
        <w:rPr>
          <w:color w:val="000000" w:themeColor="text1"/>
        </w:rPr>
      </w:pPr>
      <w:r w:rsidRPr="00EC3CA6">
        <w:rPr>
          <w:color w:val="000000" w:themeColor="text1"/>
        </w:rPr>
        <w:t xml:space="preserve">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EC3CA6">
        <w:rPr>
          <w:color w:val="000000" w:themeColor="text1"/>
        </w:rPr>
        <w:t>sparingly</w:t>
      </w:r>
      <w:proofErr w:type="gramEnd"/>
      <w:r w:rsidRPr="00EC3CA6">
        <w:rPr>
          <w:color w:val="000000" w:themeColor="text1"/>
        </w:rPr>
        <w:t xml:space="preserve"> and actions should be described in the imperative tense wherever possible. Please move the discussion about the protocol to the Discussion.</w:t>
      </w:r>
    </w:p>
    <w:p w14:paraId="7E9DF688" w14:textId="3C012B2B" w:rsidR="00EC3CA6" w:rsidRPr="00EC3CA6" w:rsidRDefault="00EC3CA6" w:rsidP="00EC3CA6">
      <w:pPr>
        <w:rPr>
          <w:color w:val="000000" w:themeColor="text1"/>
        </w:rPr>
      </w:pPr>
      <w:r>
        <w:rPr>
          <w:color w:val="0070C0"/>
        </w:rPr>
        <w:t xml:space="preserve">The text has been modified accordingly. </w:t>
      </w:r>
    </w:p>
    <w:p w14:paraId="42CC3181" w14:textId="13E1F0AF" w:rsidR="00EC3CA6" w:rsidRDefault="00EC3CA6" w:rsidP="00EC3CA6">
      <w:pPr>
        <w:rPr>
          <w:color w:val="000000" w:themeColor="text1"/>
        </w:rPr>
      </w:pPr>
      <w:r w:rsidRPr="00EC3CA6">
        <w:rPr>
          <w:color w:val="000000" w:themeColor="text1"/>
        </w:rPr>
        <w:t xml:space="preserve">8. After you have made all the recommended changes to your protocol section (listed above), please highlight in yellow up to 2.75 pages (no less than 1 page) of protocol text (including headers and spacing) </w:t>
      </w:r>
      <w:r w:rsidRPr="00EC3CA6">
        <w:rPr>
          <w:color w:val="000000" w:themeColor="text1"/>
        </w:rPr>
        <w:lastRenderedPageBreak/>
        <w:t>to be featured in the video. Bear in mind the goal of the protocol and highlight the critical steps to be filmed. Our scriptwriters will derive the video script directly from the highlighted text.</w:t>
      </w:r>
    </w:p>
    <w:p w14:paraId="5DDB17CE" w14:textId="10FAAFED" w:rsidR="00EC3CA6" w:rsidRPr="00EC3CA6" w:rsidRDefault="00EC3CA6" w:rsidP="00EC3CA6">
      <w:pPr>
        <w:rPr>
          <w:color w:val="000000" w:themeColor="text1"/>
        </w:rPr>
      </w:pPr>
      <w:r>
        <w:rPr>
          <w:color w:val="0070C0"/>
        </w:rPr>
        <w:t xml:space="preserve">We have highlighted the text to be featured in the video. </w:t>
      </w:r>
    </w:p>
    <w:p w14:paraId="2E9400CC" w14:textId="41D1F5F0" w:rsidR="00EC3CA6" w:rsidRDefault="00EC3CA6" w:rsidP="00EC3CA6">
      <w:pPr>
        <w:rPr>
          <w:color w:val="000000" w:themeColor="text1"/>
        </w:rPr>
      </w:pPr>
      <w:r w:rsidRPr="00EC3CA6">
        <w:rPr>
          <w:color w:val="000000" w:themeColor="text1"/>
        </w:rPr>
        <w:t>9.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p>
    <w:p w14:paraId="46F9D339" w14:textId="328E3EE5" w:rsidR="00D618DF" w:rsidRDefault="00EC3CA6" w:rsidP="00EC3CA6">
      <w:pPr>
        <w:rPr>
          <w:color w:val="000000" w:themeColor="text1"/>
        </w:rPr>
      </w:pPr>
      <w:bookmarkStart w:id="0" w:name="_GoBack"/>
      <w:bookmarkEnd w:id="0"/>
      <w:r w:rsidRPr="00EC3CA6">
        <w:rPr>
          <w:color w:val="000000" w:themeColor="text1"/>
        </w:rP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9561842" w14:textId="77777777" w:rsidR="00EC3CA6" w:rsidRPr="00EC3CA6" w:rsidRDefault="00EC3CA6" w:rsidP="00EC3CA6">
      <w:pPr>
        <w:rPr>
          <w:color w:val="000000" w:themeColor="text1"/>
        </w:rPr>
      </w:pPr>
    </w:p>
    <w:p w14:paraId="14697391" w14:textId="77777777" w:rsidR="00D618DF" w:rsidRPr="00D618DF" w:rsidRDefault="00D618DF" w:rsidP="00D618DF">
      <w:pPr>
        <w:rPr>
          <w:b/>
        </w:rPr>
      </w:pPr>
      <w:r w:rsidRPr="00D618DF">
        <w:rPr>
          <w:b/>
        </w:rPr>
        <w:t>Reviewer #1:</w:t>
      </w:r>
    </w:p>
    <w:p w14:paraId="2C83457D" w14:textId="77777777" w:rsidR="00D618DF" w:rsidRDefault="00D618DF" w:rsidP="00D618DF">
      <w:r>
        <w:t>Manuscript Summary:</w:t>
      </w:r>
    </w:p>
    <w:p w14:paraId="7A263FA8" w14:textId="7928FBBC" w:rsidR="00D618DF" w:rsidRDefault="00D618DF" w:rsidP="00D618DF">
      <w:r>
        <w:t>Excellent Manuscript</w:t>
      </w:r>
    </w:p>
    <w:p w14:paraId="28650991" w14:textId="77777777" w:rsidR="00D618DF" w:rsidRDefault="00D618DF" w:rsidP="00D618DF">
      <w:r>
        <w:t>Major Concerns:</w:t>
      </w:r>
    </w:p>
    <w:p w14:paraId="1C798775" w14:textId="344E46D2" w:rsidR="00D618DF" w:rsidRDefault="00D618DF" w:rsidP="00D618DF">
      <w:r>
        <w:t>None</w:t>
      </w:r>
    </w:p>
    <w:p w14:paraId="7D4E5E81" w14:textId="77777777" w:rsidR="00D618DF" w:rsidRDefault="00D618DF" w:rsidP="00D618DF">
      <w:r>
        <w:t>Minor Concerns:</w:t>
      </w:r>
    </w:p>
    <w:p w14:paraId="428C743F" w14:textId="77777777" w:rsidR="00D618DF" w:rsidRPr="00B92637" w:rsidRDefault="00D618DF" w:rsidP="00D618DF">
      <w:pPr>
        <w:rPr>
          <w:color w:val="0070C0"/>
        </w:rPr>
      </w:pPr>
      <w:r>
        <w:t>None</w:t>
      </w:r>
    </w:p>
    <w:p w14:paraId="40A4162C" w14:textId="39FFB2F1" w:rsidR="00D618DF" w:rsidRPr="00B92637" w:rsidRDefault="00D618DF" w:rsidP="00D618DF">
      <w:pPr>
        <w:rPr>
          <w:color w:val="0070C0"/>
        </w:rPr>
      </w:pPr>
      <w:r w:rsidRPr="00B92637">
        <w:rPr>
          <w:color w:val="0070C0"/>
        </w:rPr>
        <w:t>We thank the reviewer for the kind review.</w:t>
      </w:r>
    </w:p>
    <w:p w14:paraId="5DB0F707" w14:textId="77777777" w:rsidR="00D618DF" w:rsidRDefault="00D618DF" w:rsidP="00D618DF">
      <w:pPr>
        <w:rPr>
          <w:b/>
        </w:rPr>
      </w:pPr>
    </w:p>
    <w:p w14:paraId="71F3687A" w14:textId="21809A6C" w:rsidR="00D618DF" w:rsidRPr="00D618DF" w:rsidRDefault="00D618DF" w:rsidP="00D618DF">
      <w:pPr>
        <w:rPr>
          <w:b/>
        </w:rPr>
      </w:pPr>
      <w:r w:rsidRPr="00D618DF">
        <w:rPr>
          <w:b/>
        </w:rPr>
        <w:t>Reviewer #2:</w:t>
      </w:r>
    </w:p>
    <w:p w14:paraId="21FC1000" w14:textId="77777777" w:rsidR="00D618DF" w:rsidRDefault="00D618DF" w:rsidP="00D618DF">
      <w:r>
        <w:t>Manuscript Summary:</w:t>
      </w:r>
    </w:p>
    <w:p w14:paraId="5DFE9741" w14:textId="6901A08E" w:rsidR="00D618DF" w:rsidRDefault="00D618DF" w:rsidP="00D618DF">
      <w:r>
        <w:t>The manuscript by Klimas et al. reports on a method to analyze pathology samples (Expansion Pathology), prepared and archived using common methods in the pathology lab, with improved spatial resolution compared to traditional sample preparation methods. The method, in brief, is a physical one for expanding the sample, thus creating larger structures to image using a traditional optical microscope.</w:t>
      </w:r>
    </w:p>
    <w:p w14:paraId="3C5E0CCC" w14:textId="77777777" w:rsidR="00D618DF" w:rsidRDefault="00D618DF" w:rsidP="00D618DF">
      <w:r>
        <w:t>Major Concerns:</w:t>
      </w:r>
    </w:p>
    <w:p w14:paraId="7F1DD282" w14:textId="77777777" w:rsidR="00D618DF" w:rsidRDefault="00D618DF" w:rsidP="00D618DF">
      <w:r>
        <w:t>The method is very similar to the authors' reported work in their 2016 Nature Biotechnology article, however, in many respects the already published method in Nature Biotechnology is clearer and easier to follow than the outline provided in this submission. This also appears to be a protocol that may have considerable variability across labs or users. As a result, several points for clarification should be considered.</w:t>
      </w:r>
    </w:p>
    <w:p w14:paraId="3621D4B7" w14:textId="319DA374" w:rsidR="00D618DF" w:rsidRPr="00B92637" w:rsidRDefault="00D618DF" w:rsidP="00D618DF">
      <w:pPr>
        <w:rPr>
          <w:color w:val="0070C0"/>
        </w:rPr>
      </w:pPr>
      <w:r w:rsidRPr="00B92637">
        <w:rPr>
          <w:color w:val="0070C0"/>
        </w:rPr>
        <w:t xml:space="preserve">We thank the reviewer for the comments, which give us the opportunity to further clarify the ExPath technology and better inform the readers on the applicability of the protocol. </w:t>
      </w:r>
    </w:p>
    <w:p w14:paraId="4AEA4453" w14:textId="77777777" w:rsidR="00D618DF" w:rsidRDefault="00D618DF" w:rsidP="00D618DF">
      <w:r>
        <w:t xml:space="preserve">1. The description of the super resolution imaging techniques on page 2 is misleading and should be corrected. The authors group all these imaging technologies into one to generate a list of negative qualities, which only a subset of these qualities may apply for a given technique or experiment. </w:t>
      </w:r>
      <w:proofErr w:type="gramStart"/>
      <w:r>
        <w:t>Thus</w:t>
      </w:r>
      <w:proofErr w:type="gramEnd"/>
      <w:r>
        <w:t xml:space="preserve"> the selection of one of these common super resolution techniques versus the expansion technology technique is much more nuanced than the authors present. For example, STORM can be performed on nearly any microscope and many more "traditional" fluorophores have been used for STORM in recent years.</w:t>
      </w:r>
    </w:p>
    <w:p w14:paraId="184C07CF" w14:textId="3A5953CB" w:rsidR="00D618DF" w:rsidRPr="00B92637" w:rsidRDefault="001A3A73" w:rsidP="00D618DF">
      <w:pPr>
        <w:rPr>
          <w:color w:val="0070C0"/>
        </w:rPr>
      </w:pPr>
      <w:r>
        <w:rPr>
          <w:color w:val="0070C0"/>
        </w:rPr>
        <w:lastRenderedPageBreak/>
        <w:t xml:space="preserve">We agree with the reviewer that every imaging technology comes with their pros and cons, and we are also aware of the </w:t>
      </w:r>
      <w:r w:rsidR="00C33933">
        <w:rPr>
          <w:color w:val="0070C0"/>
        </w:rPr>
        <w:t xml:space="preserve">recent, </w:t>
      </w:r>
      <w:r>
        <w:rPr>
          <w:color w:val="0070C0"/>
        </w:rPr>
        <w:t>rapid advancement of other super resolution imaging techniques. Accordingly, the text has been modified to reflect the nuance of the different technique</w:t>
      </w:r>
      <w:r w:rsidR="00C33933">
        <w:rPr>
          <w:color w:val="0070C0"/>
        </w:rPr>
        <w:t xml:space="preserve">s </w:t>
      </w:r>
      <w:r w:rsidR="00DC3F2D">
        <w:rPr>
          <w:color w:val="0070C0"/>
        </w:rPr>
        <w:t xml:space="preserve">(lines 50-54) </w:t>
      </w:r>
      <w:r w:rsidR="00C33933">
        <w:rPr>
          <w:color w:val="0070C0"/>
        </w:rPr>
        <w:t>to better aid readers in choosing the most suitable approach for answering their specific scientific questions</w:t>
      </w:r>
      <w:r>
        <w:rPr>
          <w:color w:val="0070C0"/>
        </w:rPr>
        <w:t xml:space="preserve">. While STORM </w:t>
      </w:r>
      <w:r w:rsidR="00C33933">
        <w:rPr>
          <w:color w:val="0070C0"/>
        </w:rPr>
        <w:t xml:space="preserve">has become </w:t>
      </w:r>
      <w:r>
        <w:rPr>
          <w:color w:val="0070C0"/>
        </w:rPr>
        <w:t xml:space="preserve">increasingly accessible to the community, </w:t>
      </w:r>
      <w:r w:rsidR="004F20F9">
        <w:rPr>
          <w:color w:val="0070C0"/>
        </w:rPr>
        <w:t>it</w:t>
      </w:r>
      <w:r w:rsidR="00D618DF" w:rsidRPr="00B92637">
        <w:rPr>
          <w:color w:val="0070C0"/>
        </w:rPr>
        <w:t xml:space="preserve"> still requires modification </w:t>
      </w:r>
      <w:r w:rsidR="00C33933">
        <w:rPr>
          <w:color w:val="0070C0"/>
        </w:rPr>
        <w:t>of</w:t>
      </w:r>
      <w:r w:rsidR="00C33933" w:rsidRPr="00B92637">
        <w:rPr>
          <w:color w:val="0070C0"/>
        </w:rPr>
        <w:t xml:space="preserve"> </w:t>
      </w:r>
      <w:r w:rsidR="004F20F9">
        <w:rPr>
          <w:color w:val="0070C0"/>
        </w:rPr>
        <w:t>a conventional</w:t>
      </w:r>
      <w:r w:rsidR="00C33933">
        <w:rPr>
          <w:color w:val="0070C0"/>
        </w:rPr>
        <w:t xml:space="preserve"> fluorescent</w:t>
      </w:r>
      <w:r w:rsidR="00D618DF" w:rsidRPr="00B92637">
        <w:rPr>
          <w:color w:val="0070C0"/>
        </w:rPr>
        <w:t xml:space="preserve"> microscope</w:t>
      </w:r>
      <w:r w:rsidR="004F20F9">
        <w:rPr>
          <w:color w:val="0070C0"/>
        </w:rPr>
        <w:t>. Due to the principle of STORM</w:t>
      </w:r>
      <w:r w:rsidR="00B92637">
        <w:rPr>
          <w:color w:val="0070C0"/>
        </w:rPr>
        <w:t xml:space="preserve">, </w:t>
      </w:r>
      <w:r w:rsidR="004F20F9">
        <w:rPr>
          <w:color w:val="0070C0"/>
        </w:rPr>
        <w:t xml:space="preserve">it is essential to choose </w:t>
      </w:r>
      <w:r w:rsidR="00B92637">
        <w:rPr>
          <w:color w:val="0070C0"/>
        </w:rPr>
        <w:t>fluorophores</w:t>
      </w:r>
      <w:r w:rsidR="004F20F9">
        <w:rPr>
          <w:color w:val="0070C0"/>
        </w:rPr>
        <w:t xml:space="preserve"> with robust photo-switching capability</w:t>
      </w:r>
      <w:r w:rsidR="00B92637">
        <w:rPr>
          <w:color w:val="0070C0"/>
        </w:rPr>
        <w:t xml:space="preserve"> </w:t>
      </w:r>
      <w:r w:rsidR="004F20F9">
        <w:rPr>
          <w:color w:val="0070C0"/>
        </w:rPr>
        <w:t xml:space="preserve">to generate </w:t>
      </w:r>
      <w:r w:rsidR="00C33933">
        <w:rPr>
          <w:color w:val="0070C0"/>
        </w:rPr>
        <w:t xml:space="preserve">high-quality </w:t>
      </w:r>
      <w:r w:rsidR="004F20F9">
        <w:rPr>
          <w:color w:val="0070C0"/>
        </w:rPr>
        <w:t>STORM images</w:t>
      </w:r>
      <w:r w:rsidR="00B92637">
        <w:rPr>
          <w:color w:val="0070C0"/>
        </w:rPr>
        <w:t xml:space="preserve">. </w:t>
      </w:r>
      <w:r w:rsidR="004F20F9">
        <w:rPr>
          <w:color w:val="0070C0"/>
        </w:rPr>
        <w:t>It is worth noting that</w:t>
      </w:r>
      <w:r w:rsidR="00B92637">
        <w:rPr>
          <w:color w:val="0070C0"/>
        </w:rPr>
        <w:t xml:space="preserve"> ExPath </w:t>
      </w:r>
      <w:r w:rsidR="004F20F9">
        <w:rPr>
          <w:color w:val="0070C0"/>
        </w:rPr>
        <w:t xml:space="preserve">is essentially a </w:t>
      </w:r>
      <w:r w:rsidR="008762DB">
        <w:rPr>
          <w:color w:val="0070C0"/>
        </w:rPr>
        <w:t xml:space="preserve">method of </w:t>
      </w:r>
      <w:r w:rsidR="004F20F9">
        <w:rPr>
          <w:color w:val="0070C0"/>
        </w:rPr>
        <w:t xml:space="preserve">sample preparation </w:t>
      </w:r>
      <w:r w:rsidR="008762DB">
        <w:rPr>
          <w:color w:val="0070C0"/>
        </w:rPr>
        <w:t xml:space="preserve">and is </w:t>
      </w:r>
      <w:r w:rsidR="004F20F9">
        <w:rPr>
          <w:color w:val="0070C0"/>
        </w:rPr>
        <w:t>orthogonal to other imaging techniques</w:t>
      </w:r>
      <w:r w:rsidR="008762DB">
        <w:rPr>
          <w:color w:val="0070C0"/>
        </w:rPr>
        <w:t xml:space="preserve">. Because it does not rely on modification of the optical system, </w:t>
      </w:r>
      <w:r w:rsidR="004F20F9">
        <w:rPr>
          <w:color w:val="0070C0"/>
        </w:rPr>
        <w:t>it</w:t>
      </w:r>
      <w:r w:rsidR="00B92637">
        <w:rPr>
          <w:color w:val="0070C0"/>
        </w:rPr>
        <w:t xml:space="preserve"> can </w:t>
      </w:r>
      <w:r w:rsidR="008762DB">
        <w:rPr>
          <w:color w:val="0070C0"/>
        </w:rPr>
        <w:t xml:space="preserve">also </w:t>
      </w:r>
      <w:r w:rsidR="00B92637">
        <w:rPr>
          <w:color w:val="0070C0"/>
        </w:rPr>
        <w:t xml:space="preserve">be </w:t>
      </w:r>
      <w:r w:rsidR="008762DB">
        <w:rPr>
          <w:color w:val="0070C0"/>
        </w:rPr>
        <w:t xml:space="preserve">used synergistically </w:t>
      </w:r>
      <w:r w:rsidR="00B92637">
        <w:rPr>
          <w:color w:val="0070C0"/>
        </w:rPr>
        <w:t>with other super resolution techniques</w:t>
      </w:r>
      <w:r w:rsidR="004F20F9">
        <w:rPr>
          <w:color w:val="0070C0"/>
        </w:rPr>
        <w:t>, including STORM, to gain additional resolution</w:t>
      </w:r>
      <w:r w:rsidR="00B92637">
        <w:rPr>
          <w:color w:val="0070C0"/>
        </w:rPr>
        <w:t xml:space="preserve">. </w:t>
      </w:r>
    </w:p>
    <w:p w14:paraId="37D45A01" w14:textId="77777777" w:rsidR="00D618DF" w:rsidRDefault="00D618DF" w:rsidP="00D618DF">
      <w:r>
        <w:t>2. The limitations of the Expansion Pathology technique should be made clearer. For example, is there a limit to the size or thickness of sample that may be suitable for this technique? Perhaps sample age is another consideration? Are there limits to the type of tissue?</w:t>
      </w:r>
    </w:p>
    <w:p w14:paraId="688DAEFA" w14:textId="1C74E36C" w:rsidR="00D618DF" w:rsidRPr="00455AA5" w:rsidRDefault="00455AA5" w:rsidP="00D618DF">
      <w:pPr>
        <w:rPr>
          <w:color w:val="0070C0"/>
        </w:rPr>
      </w:pPr>
      <w:r>
        <w:rPr>
          <w:color w:val="0070C0"/>
        </w:rPr>
        <w:t xml:space="preserve">As presented, the ExPath protocol </w:t>
      </w:r>
      <w:r w:rsidR="004F20F9">
        <w:rPr>
          <w:color w:val="0070C0"/>
        </w:rPr>
        <w:t>is designed to work with</w:t>
      </w:r>
      <w:r>
        <w:rPr>
          <w:color w:val="0070C0"/>
        </w:rPr>
        <w:t xml:space="preserve"> standard </w:t>
      </w:r>
      <w:r w:rsidR="004F20F9">
        <w:rPr>
          <w:color w:val="0070C0"/>
        </w:rPr>
        <w:t>clinical tissue sections</w:t>
      </w:r>
      <w:r w:rsidR="001B63CA">
        <w:rPr>
          <w:color w:val="0070C0"/>
        </w:rPr>
        <w:t xml:space="preserve"> in varied</w:t>
      </w:r>
      <w:r w:rsidR="004F20F9">
        <w:rPr>
          <w:color w:val="0070C0"/>
        </w:rPr>
        <w:t xml:space="preserve"> </w:t>
      </w:r>
      <w:r>
        <w:rPr>
          <w:color w:val="0070C0"/>
        </w:rPr>
        <w:t xml:space="preserve">formats (FFPE, H&amp;E stained, and fresh frozen specimens) and has been validated in </w:t>
      </w:r>
      <w:r w:rsidRPr="00455AA5">
        <w:rPr>
          <w:color w:val="0070C0"/>
        </w:rPr>
        <w:t xml:space="preserve">5-10 µm-thick clinical </w:t>
      </w:r>
      <w:r w:rsidR="001B63CA">
        <w:rPr>
          <w:color w:val="0070C0"/>
        </w:rPr>
        <w:t>tissue sections over a broad range of tissue types</w:t>
      </w:r>
      <w:r>
        <w:rPr>
          <w:color w:val="0070C0"/>
        </w:rPr>
        <w:t xml:space="preserve">. </w:t>
      </w:r>
      <w:r w:rsidR="004F20F9">
        <w:rPr>
          <w:color w:val="0070C0"/>
        </w:rPr>
        <w:t>Thicker tissues require longer proteinase K digestion and the digestion time is highly dependent on tissue types and thickness. We encourage</w:t>
      </w:r>
      <w:r w:rsidR="001B63CA">
        <w:rPr>
          <w:color w:val="0070C0"/>
        </w:rPr>
        <w:t xml:space="preserve"> users to explore various digestion temperature and time on new tissue type that is not previously reported for ExPath imaging.</w:t>
      </w:r>
      <w:r w:rsidR="004F20F9">
        <w:rPr>
          <w:color w:val="0070C0"/>
        </w:rPr>
        <w:t xml:space="preserve"> </w:t>
      </w:r>
      <w:r w:rsidR="001B63CA">
        <w:rPr>
          <w:color w:val="0070C0"/>
        </w:rPr>
        <w:t>Accordingly, we have modified the text</w:t>
      </w:r>
      <w:r>
        <w:rPr>
          <w:color w:val="0070C0"/>
        </w:rPr>
        <w:t xml:space="preserve"> to clarify this</w:t>
      </w:r>
      <w:r w:rsidR="003F7C65">
        <w:rPr>
          <w:color w:val="0070C0"/>
        </w:rPr>
        <w:t xml:space="preserve"> (lines 4</w:t>
      </w:r>
      <w:r w:rsidR="0041425B">
        <w:rPr>
          <w:color w:val="0070C0"/>
        </w:rPr>
        <w:t>11</w:t>
      </w:r>
      <w:r w:rsidR="003F7C65">
        <w:rPr>
          <w:color w:val="0070C0"/>
        </w:rPr>
        <w:t>-4</w:t>
      </w:r>
      <w:r w:rsidR="0041425B">
        <w:rPr>
          <w:color w:val="0070C0"/>
        </w:rPr>
        <w:t>12</w:t>
      </w:r>
      <w:r w:rsidR="003F7C65">
        <w:rPr>
          <w:color w:val="0070C0"/>
        </w:rPr>
        <w:t>)</w:t>
      </w:r>
      <w:r>
        <w:rPr>
          <w:color w:val="0070C0"/>
        </w:rPr>
        <w:t xml:space="preserve">. </w:t>
      </w:r>
    </w:p>
    <w:p w14:paraId="1E7EAC20" w14:textId="77777777" w:rsidR="00D618DF" w:rsidRDefault="00D618DF" w:rsidP="00D618DF">
      <w:r>
        <w:t>3. While the authors report an effective resolution of ca. 70 nm in their published work, this is not acceptable and misleading. The effective resolution will depend on the numerical aperture of the objective and the wavelength of light they are using (as described by Abbe). The authors report using a 10x and 20x objective (critically, they don't report the numerical aperture). A 70-nm resolution could correlate to using 400-nm light and a 0.6 numerical aperture objective, but the authors need to make it clear that this is highly dependent on the imaging system (the parameters stated above). A more general equation for the spatial resolution that may be achieved (e.g., that based on the Abbe equation) is warranted. Using a high-quality 100x objective, one may reasonably achieve 140 nm resolution (and easily tile many images for a larger field of view) without any of the reported time-consuming sample processing.</w:t>
      </w:r>
    </w:p>
    <w:p w14:paraId="7C9E1266" w14:textId="4CCF73B6" w:rsidR="00D618DF" w:rsidRDefault="00C762C3" w:rsidP="00D618DF">
      <w:r>
        <w:rPr>
          <w:color w:val="0070C0"/>
        </w:rPr>
        <w:t>We agree with the reviewer that t</w:t>
      </w:r>
      <w:r w:rsidR="00455AA5">
        <w:rPr>
          <w:color w:val="0070C0"/>
        </w:rPr>
        <w:t>he total resolution is indeed dependent on the specifics of the imaging system used. The text has been modified to emphasize that ExPath improves the effective resolution by the factor of expansion and the role of the NA of the chosen optics has been emphasized</w:t>
      </w:r>
      <w:r w:rsidR="003F7C65">
        <w:rPr>
          <w:color w:val="0070C0"/>
        </w:rPr>
        <w:t xml:space="preserve"> (lines 44-46</w:t>
      </w:r>
      <w:r w:rsidR="001D1F15">
        <w:rPr>
          <w:color w:val="0070C0"/>
        </w:rPr>
        <w:t>, 72-71</w:t>
      </w:r>
      <w:r w:rsidR="003F7C65">
        <w:rPr>
          <w:color w:val="0070C0"/>
        </w:rPr>
        <w:t>)</w:t>
      </w:r>
      <w:r w:rsidR="00455AA5">
        <w:rPr>
          <w:color w:val="0070C0"/>
        </w:rPr>
        <w:t xml:space="preserve">. Effective resolutions are now given in terms of the NA of the objective, assuming use with 532 nm light, per convention. </w:t>
      </w:r>
    </w:p>
    <w:p w14:paraId="5734DDE5" w14:textId="77777777" w:rsidR="00D618DF" w:rsidRDefault="00D618DF" w:rsidP="00D618DF">
      <w:r>
        <w:t>4. The reference to the use of DAPI in steps 2.4.5 and 2.7.4 is confusing. Are both these optional? Why is the second use in step 2.7.4 required?</w:t>
      </w:r>
    </w:p>
    <w:p w14:paraId="22318A5C" w14:textId="76825D77" w:rsidR="00D618DF" w:rsidRDefault="00455AA5" w:rsidP="00D618DF">
      <w:r>
        <w:rPr>
          <w:color w:val="0070C0"/>
        </w:rPr>
        <w:t xml:space="preserve">Use of DAPI is optional, per the desire of the user. DAPI must be re-stained after expansion as </w:t>
      </w:r>
      <w:r w:rsidR="00C762C3">
        <w:rPr>
          <w:color w:val="0070C0"/>
        </w:rPr>
        <w:t xml:space="preserve">the DAPI dye is washed away </w:t>
      </w:r>
      <w:r>
        <w:rPr>
          <w:color w:val="0070C0"/>
        </w:rPr>
        <w:t xml:space="preserve">during </w:t>
      </w:r>
      <w:r w:rsidR="00C762C3">
        <w:rPr>
          <w:color w:val="0070C0"/>
        </w:rPr>
        <w:t>the proteinase K digestion at 60 C or higher</w:t>
      </w:r>
      <w:r>
        <w:rPr>
          <w:color w:val="0070C0"/>
        </w:rPr>
        <w:t xml:space="preserve">. </w:t>
      </w:r>
    </w:p>
    <w:p w14:paraId="6195C20A" w14:textId="77777777" w:rsidR="00D618DF" w:rsidRDefault="00D618DF" w:rsidP="00D618DF">
      <w:r>
        <w:t>Minor Concerns:</w:t>
      </w:r>
    </w:p>
    <w:p w14:paraId="4941D293" w14:textId="77777777" w:rsidR="00D618DF" w:rsidRDefault="00D618DF" w:rsidP="00D618DF">
      <w:r>
        <w:t>5. Some of the language the authors use is too informal, which may generate confusion. For example, bottom of page 2 "brought up."</w:t>
      </w:r>
    </w:p>
    <w:p w14:paraId="7D381C2D" w14:textId="07151EB9" w:rsidR="00D618DF" w:rsidRDefault="00455AA5" w:rsidP="00D618DF">
      <w:r>
        <w:rPr>
          <w:color w:val="0070C0"/>
        </w:rPr>
        <w:t xml:space="preserve">The text has been modified for clarity. </w:t>
      </w:r>
    </w:p>
    <w:p w14:paraId="6C9DF530" w14:textId="77777777" w:rsidR="00D618DF" w:rsidRDefault="00D618DF" w:rsidP="00D618DF">
      <w:r>
        <w:t>6. The notation 4x is used for both indicating the number of times to perform a step and a concentration. Consistent use this notation would provide better clarity (also 4-fold is sometimes also used in addition to 4x).</w:t>
      </w:r>
    </w:p>
    <w:p w14:paraId="7AF22A21" w14:textId="0FF059B5" w:rsidR="00455AA5" w:rsidRDefault="00C762C3" w:rsidP="00455AA5">
      <w:r>
        <w:rPr>
          <w:color w:val="0070C0"/>
        </w:rPr>
        <w:t>We thank the reviewer</w:t>
      </w:r>
      <w:r w:rsidR="00F27A74">
        <w:rPr>
          <w:color w:val="0070C0"/>
        </w:rPr>
        <w:t xml:space="preserve"> for the</w:t>
      </w:r>
      <w:r>
        <w:rPr>
          <w:color w:val="0070C0"/>
        </w:rPr>
        <w:t xml:space="preserve"> suggestion. </w:t>
      </w:r>
      <w:r w:rsidR="00455AA5">
        <w:rPr>
          <w:color w:val="0070C0"/>
        </w:rPr>
        <w:t xml:space="preserve">The text has been modified for clarity. </w:t>
      </w:r>
    </w:p>
    <w:p w14:paraId="1F406B01" w14:textId="77777777" w:rsidR="00D618DF" w:rsidRDefault="00D618DF" w:rsidP="00D618DF">
      <w:r>
        <w:lastRenderedPageBreak/>
        <w:t>7. The Figure legend 4C &amp; E requires editing for clarity, same region highlighted in A....</w:t>
      </w:r>
    </w:p>
    <w:p w14:paraId="37473099" w14:textId="12AE28C2" w:rsidR="00455AA5" w:rsidRDefault="00F27A74" w:rsidP="00455AA5">
      <w:r>
        <w:rPr>
          <w:color w:val="0070C0"/>
        </w:rPr>
        <w:t xml:space="preserve">We thank the reviewer for bringing this to our attention and the legend has been modified accordingly. </w:t>
      </w:r>
    </w:p>
    <w:p w14:paraId="4589CE4E" w14:textId="77777777" w:rsidR="00D618DF" w:rsidRDefault="00D618DF" w:rsidP="00D618DF">
      <w:r>
        <w:t>8. While the focus on the manuscript is not the imaging step, the imaging details are sparse. For example, perhaps it needs to be clear that the location of image collected pre-expansion will need to be again identified post-expansion and how this might be done, etc.</w:t>
      </w:r>
    </w:p>
    <w:p w14:paraId="41201F4B" w14:textId="3E5E5033" w:rsidR="00455AA5" w:rsidRDefault="00F27A74" w:rsidP="00455AA5">
      <w:r>
        <w:rPr>
          <w:color w:val="0070C0"/>
        </w:rPr>
        <w:t>We thank the reviewer for the suggestion and we have emphasized the purpose of obtaining pre-expansion images</w:t>
      </w:r>
      <w:r w:rsidR="007773A5">
        <w:rPr>
          <w:color w:val="0070C0"/>
        </w:rPr>
        <w:t xml:space="preserve"> (step 2.3.7)</w:t>
      </w:r>
      <w:r>
        <w:rPr>
          <w:color w:val="0070C0"/>
        </w:rPr>
        <w:t xml:space="preserve">. </w:t>
      </w:r>
    </w:p>
    <w:p w14:paraId="200D2CA9" w14:textId="77777777" w:rsidR="00D618DF" w:rsidRDefault="00D618DF" w:rsidP="00D618DF">
      <w:r>
        <w:t>Other:</w:t>
      </w:r>
    </w:p>
    <w:p w14:paraId="34770A5D" w14:textId="57AA831E" w:rsidR="00D618DF" w:rsidRDefault="00D618DF" w:rsidP="00D618DF">
      <w:r>
        <w:t>Required equipment is not listed.</w:t>
      </w:r>
    </w:p>
    <w:p w14:paraId="4374F85B" w14:textId="4260CDD9" w:rsidR="00212F1E" w:rsidRDefault="00212F1E" w:rsidP="00D618DF">
      <w:r>
        <w:rPr>
          <w:color w:val="0070C0"/>
        </w:rPr>
        <w:t xml:space="preserve">Additional equipment has been added to the required equipment list. </w:t>
      </w:r>
    </w:p>
    <w:p w14:paraId="55D569C0" w14:textId="16C5CE3C" w:rsidR="00D618DF" w:rsidRDefault="00D618DF" w:rsidP="00D618DF">
      <w:r>
        <w:t>Step 2.1.1. what shaker speed/range is required.</w:t>
      </w:r>
    </w:p>
    <w:p w14:paraId="3D858374" w14:textId="3D8C9708" w:rsidR="00212F1E" w:rsidRDefault="00212F1E" w:rsidP="00D618DF">
      <w:r>
        <w:rPr>
          <w:color w:val="0070C0"/>
        </w:rPr>
        <w:t>This has been added in the text.</w:t>
      </w:r>
    </w:p>
    <w:p w14:paraId="7746CE07" w14:textId="07FE5648" w:rsidR="00D618DF" w:rsidRDefault="00D618DF" w:rsidP="00D618DF">
      <w:r>
        <w:t>Step 2.2, should this refer to all samples, since each step above referred to different sample preparation methods?</w:t>
      </w:r>
    </w:p>
    <w:p w14:paraId="270BD4C6" w14:textId="0290C77B" w:rsidR="00212F1E" w:rsidRDefault="00212F1E" w:rsidP="00212F1E">
      <w:r>
        <w:rPr>
          <w:color w:val="0070C0"/>
        </w:rPr>
        <w:t xml:space="preserve">This is needed for all samples and has been clarified in the text. </w:t>
      </w:r>
    </w:p>
    <w:p w14:paraId="725AD63B" w14:textId="77777777" w:rsidR="00D618DF" w:rsidRDefault="00D618DF" w:rsidP="00D618DF">
      <w:r>
        <w:t>There is a typo in step 2.2.1; there appears to be a numbering issue between 2.3 and 2.4, and again at 2.6.1.</w:t>
      </w:r>
    </w:p>
    <w:p w14:paraId="21D980A8" w14:textId="0741704F" w:rsidR="00D618DF" w:rsidRDefault="00D618DF" w:rsidP="00D618DF">
      <w:r>
        <w:t xml:space="preserve">With the given layout, </w:t>
      </w:r>
      <w:proofErr w:type="spellStart"/>
      <w:r>
        <w:t>AcX</w:t>
      </w:r>
      <w:proofErr w:type="spellEnd"/>
      <w:r>
        <w:t xml:space="preserve"> is not defined on first usage.</w:t>
      </w:r>
    </w:p>
    <w:p w14:paraId="747E4A22" w14:textId="19BC9481" w:rsidR="00212F1E" w:rsidRPr="00212F1E" w:rsidRDefault="00212F1E" w:rsidP="00D618DF">
      <w:pPr>
        <w:rPr>
          <w:color w:val="0070C0"/>
        </w:rPr>
      </w:pPr>
      <w:r w:rsidRPr="00212F1E">
        <w:rPr>
          <w:color w:val="0070C0"/>
        </w:rPr>
        <w:t>This has been fixed in the text.</w:t>
      </w:r>
    </w:p>
    <w:p w14:paraId="48675F80" w14:textId="77777777" w:rsidR="00212F1E" w:rsidRDefault="00212F1E" w:rsidP="00D618DF"/>
    <w:p w14:paraId="487C30E6" w14:textId="02D1DF12" w:rsidR="00D618DF" w:rsidRPr="00212F1E" w:rsidRDefault="00D618DF" w:rsidP="00D618DF">
      <w:pPr>
        <w:rPr>
          <w:b/>
        </w:rPr>
      </w:pPr>
      <w:r w:rsidRPr="00212F1E">
        <w:rPr>
          <w:b/>
        </w:rPr>
        <w:t>Reviewer #3:</w:t>
      </w:r>
    </w:p>
    <w:p w14:paraId="5F6CCEA8" w14:textId="77777777" w:rsidR="00D618DF" w:rsidRDefault="00D618DF" w:rsidP="00D618DF">
      <w:r>
        <w:t>Manuscript Summary:</w:t>
      </w:r>
    </w:p>
    <w:p w14:paraId="6C40DA78" w14:textId="77777777" w:rsidR="00D618DF" w:rsidRDefault="00D618DF" w:rsidP="00D618DF">
      <w:r>
        <w:t xml:space="preserve">This manuscript describes the ExPath protocol, a previously published adaptation of expansion microscopy specifically geared towards the processing of pathology specimens. </w:t>
      </w:r>
      <w:proofErr w:type="gramStart"/>
      <w:r>
        <w:t>In particular, ExPath</w:t>
      </w:r>
      <w:proofErr w:type="gramEnd"/>
      <w:r>
        <w:t xml:space="preserve"> describes how to achieve expansion of samples obtained from the various fixation and preparation methods commonly employed in clinical practice to obtain and store pathology samples. The ExPath protocol achieves this by combining previously established methods for processing such samples for immunohistochemistry with the previously established proExM protocol (currently the most widely used approach to expansion microscopy). The result is a protocol that achieves up to 4.5-fold expansion of clinical samples, for a resolution of up to 70 nm.</w:t>
      </w:r>
    </w:p>
    <w:p w14:paraId="0F0A2CD3" w14:textId="77777777" w:rsidR="00D618DF" w:rsidRDefault="00D618DF" w:rsidP="00D618DF"/>
    <w:p w14:paraId="14665E9E" w14:textId="77777777" w:rsidR="00D618DF" w:rsidRDefault="00D618DF" w:rsidP="00D618DF">
      <w:r>
        <w:t>While this protocol is generally straightforward and should be rather easy to implement for most clinical or biology laboratories from the original publication (Zhao &amp; Bucur et al., Nature Biotechnology, 2017), a concise and visual protocol will surely be useful to many scientists nonetheless. The protocol presented here generally satisfies these requirements - it is generally easy to follow, concise, and clear. I have no major concerns precluding publication in principle, but the one major concern I have should be addressed, as without this it is almost impossible for the reader to evaluate the usefulness of the technique for all applications the protocol claims to cover. There are several minor concerns that should be addressed in full before publication as well. These minor concerns mainly pertain to ambiguous language, to missing explanations for some recommendations given, and to potentially too abbreviated guidelines for scientists without prior experience with expansion microscopy to follow successfully.</w:t>
      </w:r>
    </w:p>
    <w:p w14:paraId="36487D36" w14:textId="77777777" w:rsidR="00D618DF" w:rsidRDefault="00D618DF" w:rsidP="00D618DF"/>
    <w:p w14:paraId="15F841BC" w14:textId="77777777" w:rsidR="00D618DF" w:rsidRDefault="00D618DF" w:rsidP="00D618DF">
      <w:r>
        <w:lastRenderedPageBreak/>
        <w:t>If these issues can be addressed in full (as I have no doubt they can), this manuscript should be highly considered for publication.</w:t>
      </w:r>
    </w:p>
    <w:p w14:paraId="6FFE76DA" w14:textId="026973B7" w:rsidR="00D618DF" w:rsidRPr="00212F1E" w:rsidRDefault="00212F1E" w:rsidP="00D618DF">
      <w:pPr>
        <w:rPr>
          <w:color w:val="0070C0"/>
        </w:rPr>
      </w:pPr>
      <w:r w:rsidRPr="00B92637">
        <w:rPr>
          <w:color w:val="0070C0"/>
        </w:rPr>
        <w:t xml:space="preserve">We thank the reviewer for the comments, </w:t>
      </w:r>
      <w:r>
        <w:rPr>
          <w:color w:val="0070C0"/>
        </w:rPr>
        <w:t>and we have added additional example data and clarification in the text to better assist the reader in using the ExPath protocol.</w:t>
      </w:r>
      <w:r w:rsidRPr="00B92637">
        <w:rPr>
          <w:color w:val="0070C0"/>
        </w:rPr>
        <w:t xml:space="preserve"> </w:t>
      </w:r>
    </w:p>
    <w:p w14:paraId="102273D2" w14:textId="77777777" w:rsidR="00D618DF" w:rsidRDefault="00D618DF" w:rsidP="00D618DF">
      <w:r>
        <w:t>Major Concerns:</w:t>
      </w:r>
    </w:p>
    <w:p w14:paraId="14C2050D" w14:textId="77777777" w:rsidR="00D618DF" w:rsidRDefault="00D618DF" w:rsidP="00D618DF">
      <w:r>
        <w:t xml:space="preserve">1) The authors strive to provide a protocol for differently prepared types of clinical pathology samples (steps 2.1.1.-2.1.4.). Yet, they only show one example, for the preparation type described in step 2.1.1. (Figure 4). I highly recommend </w:t>
      </w:r>
      <w:proofErr w:type="gramStart"/>
      <w:r>
        <w:t>to show</w:t>
      </w:r>
      <w:proofErr w:type="gramEnd"/>
      <w:r>
        <w:t xml:space="preserve"> an example for each of the four sample preparation approaches this protocol encompasses (steps 2.1.1.-2.1.4.). Otherwise, it will be impossible for the reader to evaluate the potential usefulness of this protocol for their application. In short, every general case the protocol claims to cover should be demonstrated with at least one example.</w:t>
      </w:r>
    </w:p>
    <w:p w14:paraId="13450148" w14:textId="5C085BF8" w:rsidR="00212F1E" w:rsidRDefault="00F27A74" w:rsidP="00D618DF">
      <w:r>
        <w:rPr>
          <w:color w:val="0070C0"/>
        </w:rPr>
        <w:t xml:space="preserve">We thank the reviewer for this suggestion and additional </w:t>
      </w:r>
      <w:r w:rsidR="00212F1E">
        <w:rPr>
          <w:color w:val="0070C0"/>
        </w:rPr>
        <w:t xml:space="preserve">examples have been included in the text </w:t>
      </w:r>
      <w:r w:rsidR="00EF04A5">
        <w:rPr>
          <w:color w:val="0070C0"/>
        </w:rPr>
        <w:t xml:space="preserve">(Representative Results Section) </w:t>
      </w:r>
      <w:r w:rsidR="00212F1E">
        <w:rPr>
          <w:color w:val="0070C0"/>
        </w:rPr>
        <w:t xml:space="preserve">and Figure 5 and 6 have been </w:t>
      </w:r>
      <w:r>
        <w:rPr>
          <w:color w:val="0070C0"/>
        </w:rPr>
        <w:t>added</w:t>
      </w:r>
      <w:r w:rsidR="00212F1E">
        <w:rPr>
          <w:color w:val="0070C0"/>
        </w:rPr>
        <w:t>. The text has also been changed to emphasize the format conversion of the samples is not necessarily specific to ExPath and can be used on any of the standard formats used in clinical biopsy samples.</w:t>
      </w:r>
    </w:p>
    <w:p w14:paraId="61AFCA16" w14:textId="77777777" w:rsidR="00D618DF" w:rsidRDefault="00D618DF" w:rsidP="00D618DF">
      <w:r>
        <w:t>Minor Concerns:</w:t>
      </w:r>
    </w:p>
    <w:p w14:paraId="2FE88AFB" w14:textId="22810B5D" w:rsidR="00D618DF" w:rsidRDefault="00D618DF" w:rsidP="00D618DF">
      <w:r>
        <w:t xml:space="preserve">1) As in the original expansion microscopy publication and many follow-up manuscripts, concentrations for the gel components for the monomer solution are given in "g/100 ml" (Table 2; page 2, lines 79-83, step 1.1.1.). This is an unusual unit, and it can cause confusion during conversions to calculate the amounts required for preparing monomer solution. I suggest </w:t>
      </w:r>
      <w:proofErr w:type="gramStart"/>
      <w:r>
        <w:t>to convert</w:t>
      </w:r>
      <w:proofErr w:type="gramEnd"/>
      <w:r>
        <w:t xml:space="preserve"> all amounts given in this way to the more intuitive "g/ml". I further suggest </w:t>
      </w:r>
      <w:proofErr w:type="gramStart"/>
      <w:r>
        <w:t>to provide</w:t>
      </w:r>
      <w:proofErr w:type="gramEnd"/>
      <w:r>
        <w:t xml:space="preserve"> not only the amounts of stock solution necessary to prepare the monomer solution in Table 2, but also the amounts of each component in weight for preparing the monomer solution without stock solutions (as given on page 2, lines 79-83, step 1.1.1.).</w:t>
      </w:r>
    </w:p>
    <w:p w14:paraId="0728829F" w14:textId="47BD2717" w:rsidR="00D618DF" w:rsidRDefault="00212F1E" w:rsidP="00D618DF">
      <w:r>
        <w:rPr>
          <w:color w:val="0070C0"/>
        </w:rPr>
        <w:t>The units have been changed to g/mL to reflect that w/v% is used</w:t>
      </w:r>
      <w:r w:rsidR="001D1F15">
        <w:rPr>
          <w:color w:val="0070C0"/>
        </w:rPr>
        <w:t xml:space="preserve"> </w:t>
      </w:r>
      <w:r w:rsidR="00EF04A5">
        <w:rPr>
          <w:color w:val="0070C0"/>
        </w:rPr>
        <w:t>(Step</w:t>
      </w:r>
      <w:r w:rsidR="001D1F15">
        <w:rPr>
          <w:color w:val="0070C0"/>
        </w:rPr>
        <w:t xml:space="preserve"> 1)</w:t>
      </w:r>
      <w:r>
        <w:rPr>
          <w:color w:val="0070C0"/>
        </w:rPr>
        <w:t xml:space="preserve"> Example volumes are also </w:t>
      </w:r>
      <w:r w:rsidR="00C762C3">
        <w:rPr>
          <w:color w:val="0070C0"/>
        </w:rPr>
        <w:t>provided,</w:t>
      </w:r>
      <w:r>
        <w:rPr>
          <w:color w:val="0070C0"/>
        </w:rPr>
        <w:t xml:space="preserve"> and the fact stock solution volumes can be scaled up or down as needed is also emphasized. </w:t>
      </w:r>
    </w:p>
    <w:p w14:paraId="3827D385" w14:textId="77777777" w:rsidR="00D618DF" w:rsidRDefault="00D618DF" w:rsidP="00D618DF">
      <w:r>
        <w:t>2) The manuscript notes that APS solution should typically be prepared "immediately before preparing the gelling solution" (page 3, lines 95-96, step 1.1.2.). This differs from the recommendation for the preparation of the other solutions used in step 1.1.2., namely monomer solution, TEMED, and TEMPO. It would be useful if the authors could clarify why APS is prepared with this timing by them, and what they understand by "typically" - is this an absolute requirement, is it just their idiosyncratic practice, will this influence the outcome of the protocol? Whatever the reasoning for preparing the APS solution with this timing, the authors should make it explicit.</w:t>
      </w:r>
    </w:p>
    <w:p w14:paraId="6AEA7346" w14:textId="3E9169B5" w:rsidR="00D618DF" w:rsidRPr="00212F1E" w:rsidRDefault="00212F1E" w:rsidP="00D618DF">
      <w:pPr>
        <w:rPr>
          <w:color w:val="0070C0"/>
        </w:rPr>
      </w:pPr>
      <w:r>
        <w:rPr>
          <w:color w:val="0070C0"/>
        </w:rPr>
        <w:t>This has been clarified in the text</w:t>
      </w:r>
      <w:r w:rsidR="00EF04A5">
        <w:rPr>
          <w:color w:val="0070C0"/>
        </w:rPr>
        <w:t xml:space="preserve"> (lines 4</w:t>
      </w:r>
      <w:r w:rsidR="0041425B">
        <w:rPr>
          <w:color w:val="0070C0"/>
        </w:rPr>
        <w:t>21</w:t>
      </w:r>
      <w:r w:rsidR="00EF04A5">
        <w:rPr>
          <w:color w:val="0070C0"/>
        </w:rPr>
        <w:t>-42</w:t>
      </w:r>
      <w:r w:rsidR="0041425B">
        <w:rPr>
          <w:color w:val="0070C0"/>
        </w:rPr>
        <w:t>4</w:t>
      </w:r>
      <w:r w:rsidR="00EF04A5">
        <w:rPr>
          <w:color w:val="0070C0"/>
        </w:rPr>
        <w:t>)</w:t>
      </w:r>
      <w:r>
        <w:rPr>
          <w:color w:val="0070C0"/>
        </w:rPr>
        <w:t xml:space="preserve">; </w:t>
      </w:r>
      <w:r w:rsidR="00C762C3">
        <w:rPr>
          <w:color w:val="0070C0"/>
        </w:rPr>
        <w:t xml:space="preserve">APS is not stable in solution at RT </w:t>
      </w:r>
      <w:r w:rsidR="00EF04A5">
        <w:rPr>
          <w:color w:val="0070C0"/>
        </w:rPr>
        <w:t xml:space="preserve">or when undergoing </w:t>
      </w:r>
      <w:r w:rsidR="00C762C3">
        <w:rPr>
          <w:color w:val="0070C0"/>
        </w:rPr>
        <w:t xml:space="preserve">freeze-thaw cycles. To obtain a more consistent result, </w:t>
      </w:r>
      <w:r>
        <w:rPr>
          <w:color w:val="0070C0"/>
        </w:rPr>
        <w:t xml:space="preserve">freshly preparing </w:t>
      </w:r>
      <w:r w:rsidR="00C762C3">
        <w:rPr>
          <w:color w:val="0070C0"/>
        </w:rPr>
        <w:t>APS is recommended, based on our own experience</w:t>
      </w:r>
      <w:r>
        <w:rPr>
          <w:color w:val="0070C0"/>
        </w:rPr>
        <w:t>.</w:t>
      </w:r>
      <w:r w:rsidR="00C762C3">
        <w:rPr>
          <w:color w:val="0070C0"/>
        </w:rPr>
        <w:t xml:space="preserve"> In fact, it is also more convenient since preparing fresh APS does not require </w:t>
      </w:r>
      <w:r w:rsidR="00C8522D">
        <w:rPr>
          <w:color w:val="0070C0"/>
        </w:rPr>
        <w:t>the time-consuming thawing step.</w:t>
      </w:r>
    </w:p>
    <w:p w14:paraId="3F553C17" w14:textId="77777777" w:rsidR="00D618DF" w:rsidRDefault="00D618DF" w:rsidP="00D618DF">
      <w:r>
        <w:t>3) The authors should specify the type and manufacturer of hydrophobic pen they use (page 4, lines 154-156, step 2.4.1.), as the quality of these products varies widely, with potential implications for later steps of the protocol (also see comment 6)).</w:t>
      </w:r>
    </w:p>
    <w:p w14:paraId="43EF1B57" w14:textId="01353244" w:rsidR="00D618DF" w:rsidRDefault="00212F1E" w:rsidP="00D618DF">
      <w:r>
        <w:rPr>
          <w:color w:val="0070C0"/>
        </w:rPr>
        <w:t>This has been added to the equipment list.</w:t>
      </w:r>
    </w:p>
    <w:p w14:paraId="46F8C267" w14:textId="77777777" w:rsidR="00D618DF" w:rsidRDefault="00D618DF" w:rsidP="00D618DF">
      <w:r>
        <w:t xml:space="preserve">4) The authors make extensive use of commercial products for blocking, staining, and washing during the immunostaining procedure: </w:t>
      </w:r>
      <w:proofErr w:type="spellStart"/>
      <w:proofErr w:type="gramStart"/>
      <w:r>
        <w:t>MAXblock</w:t>
      </w:r>
      <w:proofErr w:type="spellEnd"/>
      <w:r>
        <w:t>(</w:t>
      </w:r>
      <w:proofErr w:type="gramEnd"/>
      <w:r>
        <w:t xml:space="preserve">TM) Blocking Medium (page 4, lines 158-159, step 2.4.2.), </w:t>
      </w:r>
      <w:proofErr w:type="spellStart"/>
      <w:r>
        <w:t>Maxbind</w:t>
      </w:r>
      <w:proofErr w:type="spellEnd"/>
      <w:r>
        <w:t xml:space="preserve">(TM) Staining Medium (page 4, lines 161-164, step 2.4.3.), and </w:t>
      </w:r>
      <w:proofErr w:type="spellStart"/>
      <w:r>
        <w:t>MAXwash</w:t>
      </w:r>
      <w:proofErr w:type="spellEnd"/>
      <w:r>
        <w:t xml:space="preserve">(TM) Washing Medium (page 4, lines 169-170, step 2.4.4.). This can pose a problem to many laboratories, as such commercial solutions are typically much more expensive than typically used self-made solutions for </w:t>
      </w:r>
      <w:r>
        <w:lastRenderedPageBreak/>
        <w:t xml:space="preserve">blocking, staining, and washing during immunohistochemistry. To make the protocol more accessible (with accessibility being one of the stated major advantages of ExPath over other super-resolution methods; page 9, lines 353-359), I recommend </w:t>
      </w:r>
      <w:proofErr w:type="gramStart"/>
      <w:r>
        <w:t>to include</w:t>
      </w:r>
      <w:proofErr w:type="gramEnd"/>
      <w:r>
        <w:t xml:space="preserve"> alternative formulations of these buffers that can be prepared in the lab.</w:t>
      </w:r>
    </w:p>
    <w:p w14:paraId="5046D58A" w14:textId="14FC8919" w:rsidR="00D618DF" w:rsidRDefault="00212F1E" w:rsidP="00D618DF">
      <w:r>
        <w:rPr>
          <w:color w:val="0070C0"/>
        </w:rPr>
        <w:t xml:space="preserve">We have added an optional blocking buffer solution </w:t>
      </w:r>
      <w:r w:rsidR="00EF04A5">
        <w:rPr>
          <w:color w:val="0070C0"/>
        </w:rPr>
        <w:t xml:space="preserve">(step 1.5; step 2.3) </w:t>
      </w:r>
      <w:r>
        <w:rPr>
          <w:color w:val="0070C0"/>
        </w:rPr>
        <w:t xml:space="preserve">that can be used in place of the commercially available </w:t>
      </w:r>
      <w:r w:rsidR="00773162">
        <w:rPr>
          <w:color w:val="0070C0"/>
        </w:rPr>
        <w:t>buffers and</w:t>
      </w:r>
      <w:r>
        <w:rPr>
          <w:color w:val="0070C0"/>
        </w:rPr>
        <w:t xml:space="preserve"> have emphasized that the reader can also use their buffer of choice if preferred. </w:t>
      </w:r>
    </w:p>
    <w:p w14:paraId="487AED18" w14:textId="77777777" w:rsidR="00D618DF" w:rsidRDefault="00D618DF" w:rsidP="00D618DF">
      <w:r>
        <w:t xml:space="preserve">5) The authors should state their reasoning for adjusting the concentration of </w:t>
      </w:r>
      <w:proofErr w:type="spellStart"/>
      <w:r>
        <w:t>AcX</w:t>
      </w:r>
      <w:proofErr w:type="spellEnd"/>
      <w:r>
        <w:t xml:space="preserve"> when anchoring samples fixed with aldehyde fixatives or non-aldehyde fixatives (page 5, lines 193-195). It seems counter-intuitive to increase the concentration of </w:t>
      </w:r>
      <w:proofErr w:type="spellStart"/>
      <w:r>
        <w:t>AcX</w:t>
      </w:r>
      <w:proofErr w:type="spellEnd"/>
      <w:r>
        <w:t xml:space="preserve"> for samples fixed with non-aldehyde fixatives (0.3 mg/ml) compared to samples fixed with aldehyde fixatives. </w:t>
      </w:r>
      <w:proofErr w:type="spellStart"/>
      <w:r>
        <w:t>AcX</w:t>
      </w:r>
      <w:proofErr w:type="spellEnd"/>
      <w:r>
        <w:t xml:space="preserve"> reacts with the same functional chemical groups as aldehyde fixatives (primary amines), which suggests that aldehyde fixatives reduce the number of available targets for anchoring. This in turn would suggest that it would be desirable to increase the concentration of </w:t>
      </w:r>
      <w:proofErr w:type="spellStart"/>
      <w:r>
        <w:t>AcX</w:t>
      </w:r>
      <w:proofErr w:type="spellEnd"/>
      <w:r>
        <w:t xml:space="preserve"> in samples fixed with aldehyde fixatives, to better saturate the available remaining primary amines. Maybe the authors also reason that less available targets for </w:t>
      </w:r>
      <w:proofErr w:type="spellStart"/>
      <w:r>
        <w:t>AcX</w:t>
      </w:r>
      <w:proofErr w:type="spellEnd"/>
      <w:r>
        <w:t xml:space="preserve"> means that less </w:t>
      </w:r>
      <w:proofErr w:type="spellStart"/>
      <w:r>
        <w:t>AcX</w:t>
      </w:r>
      <w:proofErr w:type="spellEnd"/>
      <w:r>
        <w:t xml:space="preserve"> is required (</w:t>
      </w:r>
      <w:proofErr w:type="gramStart"/>
      <w:r>
        <w:t>assuming that</w:t>
      </w:r>
      <w:proofErr w:type="gramEnd"/>
      <w:r>
        <w:t xml:space="preserve"> </w:t>
      </w:r>
      <w:proofErr w:type="spellStart"/>
      <w:r>
        <w:t>AcX</w:t>
      </w:r>
      <w:proofErr w:type="spellEnd"/>
      <w:r>
        <w:t xml:space="preserve"> is not supplied in vast excess, which would be my assumption, in both fixation with aldehyde fixatives and non-aldehyde fixatives). In either case, the authors should share their reasoning here. Also, the unit is missing from the concentration for samples fixed with non-aldehyde fixatives (page 5, line 194); this unit is presumably mg/ml.</w:t>
      </w:r>
    </w:p>
    <w:p w14:paraId="2EE68304" w14:textId="78642491" w:rsidR="00D618DF" w:rsidRDefault="00212F1E" w:rsidP="00D618DF">
      <w:r>
        <w:rPr>
          <w:color w:val="0070C0"/>
        </w:rPr>
        <w:t xml:space="preserve">We have clarified that 0.03 mg/mL </w:t>
      </w:r>
      <w:proofErr w:type="spellStart"/>
      <w:r w:rsidR="0038555A">
        <w:rPr>
          <w:color w:val="0070C0"/>
        </w:rPr>
        <w:t>AcX</w:t>
      </w:r>
      <w:proofErr w:type="spellEnd"/>
      <w:r w:rsidR="0038555A">
        <w:rPr>
          <w:color w:val="0070C0"/>
        </w:rPr>
        <w:t xml:space="preserve"> </w:t>
      </w:r>
      <w:r>
        <w:rPr>
          <w:color w:val="0070C0"/>
        </w:rPr>
        <w:t xml:space="preserve">is used for </w:t>
      </w:r>
      <w:r w:rsidR="0038555A">
        <w:rPr>
          <w:color w:val="0070C0"/>
        </w:rPr>
        <w:t xml:space="preserve">non-aldehyde fixed samples and 0.1 mg/mL </w:t>
      </w:r>
      <w:proofErr w:type="spellStart"/>
      <w:r w:rsidR="0038555A">
        <w:rPr>
          <w:color w:val="0070C0"/>
        </w:rPr>
        <w:t>AcX</w:t>
      </w:r>
      <w:proofErr w:type="spellEnd"/>
      <w:r w:rsidR="0038555A">
        <w:rPr>
          <w:color w:val="0070C0"/>
        </w:rPr>
        <w:t xml:space="preserve"> is used for aldehyde fixed samples due to more available amines</w:t>
      </w:r>
      <w:r w:rsidR="00C8522D">
        <w:rPr>
          <w:color w:val="0070C0"/>
        </w:rPr>
        <w:t xml:space="preserve"> in the non-aldehyde fixed samples</w:t>
      </w:r>
      <w:r w:rsidR="00644889">
        <w:rPr>
          <w:color w:val="0070C0"/>
        </w:rPr>
        <w:t xml:space="preserve"> (step 3.1.1)</w:t>
      </w:r>
      <w:r w:rsidR="0038555A">
        <w:rPr>
          <w:color w:val="0070C0"/>
        </w:rPr>
        <w:t xml:space="preserve">. </w:t>
      </w:r>
    </w:p>
    <w:p w14:paraId="5C3D0D5D" w14:textId="77777777" w:rsidR="00D618DF" w:rsidRDefault="00D618DF" w:rsidP="00D618DF">
      <w:r>
        <w:t>6) The authors should provide information and guidance on whether (and if so, how) to remove the hydrophobic pen applied in step 2.4.1. (page 4, lines 154-156) before constructing the gelling chamber in step 2.6.3. (pages 5-6, lines 216-223). Can the pen be left on, does it interfere with the gel in any way, does it need to be removed, and if yes how?</w:t>
      </w:r>
    </w:p>
    <w:p w14:paraId="2D368B9E" w14:textId="11A3712C" w:rsidR="00D618DF" w:rsidRDefault="0038555A" w:rsidP="00D618DF">
      <w:r>
        <w:rPr>
          <w:color w:val="0070C0"/>
        </w:rPr>
        <w:t>The</w:t>
      </w:r>
      <w:r w:rsidR="00C8522D">
        <w:rPr>
          <w:color w:val="0070C0"/>
        </w:rPr>
        <w:t xml:space="preserve"> content of hydrophobic pen does not interfere the polymerization reaction, and it </w:t>
      </w:r>
      <w:r>
        <w:rPr>
          <w:color w:val="0070C0"/>
        </w:rPr>
        <w:t>can be left on the slide. This is clarified in the text</w:t>
      </w:r>
      <w:r w:rsidR="00644889">
        <w:rPr>
          <w:color w:val="0070C0"/>
        </w:rPr>
        <w:t xml:space="preserve"> (step 2.3.1)</w:t>
      </w:r>
      <w:r>
        <w:rPr>
          <w:color w:val="0070C0"/>
        </w:rPr>
        <w:t>.</w:t>
      </w:r>
    </w:p>
    <w:p w14:paraId="2096F648" w14:textId="77777777" w:rsidR="00D618DF" w:rsidRDefault="00D618DF" w:rsidP="00D618DF">
      <w:r>
        <w:t>7) A common problem in expanding tissue slices is that the slice is embedded not perfectly straight and flat, leading to microscopic waves in the sample that translate to even bigger waves after expansion. This often makes imaging difficult. Can the authors provide guidelines on how to avoid this during embedding of the slices into the gel (pages 5-6, lines 216-223, step 2.6.3.)?</w:t>
      </w:r>
    </w:p>
    <w:p w14:paraId="5A72DF61" w14:textId="070372AE" w:rsidR="00D618DF" w:rsidRDefault="0038555A" w:rsidP="00D618DF">
      <w:r>
        <w:rPr>
          <w:color w:val="0070C0"/>
        </w:rPr>
        <w:t xml:space="preserve">As the protocol </w:t>
      </w:r>
      <w:r w:rsidR="00C8522D">
        <w:rPr>
          <w:color w:val="0070C0"/>
        </w:rPr>
        <w:t>aims to conserve the morphology of sample and scale it proportionally to the expansion factor, the protocol unfortunately cannot fix the artifact caused by the sectioning and mounting process prior to the ExPath procedure</w:t>
      </w:r>
      <w:r>
        <w:rPr>
          <w:color w:val="0070C0"/>
        </w:rPr>
        <w:t>.</w:t>
      </w:r>
    </w:p>
    <w:p w14:paraId="03F06110" w14:textId="77777777" w:rsidR="00D618DF" w:rsidRDefault="00D618DF" w:rsidP="00D618DF">
      <w:r>
        <w:t xml:space="preserve">8) The authors should give their reasoning for placing the gel sample-down into the 6-well glass bottom plate after digestion (page 6, lines 248-251, step 2.7.3.). I assume that this is to have the tissue close to the glass bottom for imaging </w:t>
      </w:r>
      <w:proofErr w:type="gramStart"/>
      <w:r>
        <w:t>later on</w:t>
      </w:r>
      <w:proofErr w:type="gramEnd"/>
      <w:r>
        <w:t>, but it would help the novice user to have this stated explicitly.</w:t>
      </w:r>
    </w:p>
    <w:p w14:paraId="37C8479A" w14:textId="5CEA1F1A" w:rsidR="00D618DF" w:rsidRDefault="00C8522D" w:rsidP="00D618DF">
      <w:r>
        <w:rPr>
          <w:color w:val="0070C0"/>
        </w:rPr>
        <w:t xml:space="preserve">We thank the reviewer’s suggestion. </w:t>
      </w:r>
      <w:r w:rsidR="0038555A">
        <w:rPr>
          <w:color w:val="0070C0"/>
        </w:rPr>
        <w:t>This is indeed to reduce the distance from the sample to the imaging objective. The importance of minimizing this distance has been emphasized in the text</w:t>
      </w:r>
      <w:r w:rsidR="00644889">
        <w:rPr>
          <w:color w:val="0070C0"/>
        </w:rPr>
        <w:t xml:space="preserve"> (step 5.1 note)</w:t>
      </w:r>
      <w:r w:rsidR="0038555A">
        <w:rPr>
          <w:color w:val="0070C0"/>
        </w:rPr>
        <w:t xml:space="preserve">. </w:t>
      </w:r>
    </w:p>
    <w:p w14:paraId="196FBFE8" w14:textId="77777777" w:rsidR="00D618DF" w:rsidRDefault="00D618DF" w:rsidP="00D618DF">
      <w:r>
        <w:t>9) The authors state that the expanded gel can be immobilized with 1.5-2% low melt agarose for imaging (page 7, line 275, step 2.8.). The authors should detail how this is done and include low melt agarose in their list of materials (Table 1).</w:t>
      </w:r>
    </w:p>
    <w:p w14:paraId="6F21DC67" w14:textId="6C2EC5EC" w:rsidR="00D618DF" w:rsidRDefault="0038555A" w:rsidP="00D618DF">
      <w:r>
        <w:rPr>
          <w:color w:val="0070C0"/>
        </w:rPr>
        <w:t>A</w:t>
      </w:r>
      <w:r w:rsidR="00773162">
        <w:rPr>
          <w:color w:val="0070C0"/>
        </w:rPr>
        <w:t>s</w:t>
      </w:r>
      <w:r>
        <w:rPr>
          <w:color w:val="0070C0"/>
        </w:rPr>
        <w:t xml:space="preserve"> suggested</w:t>
      </w:r>
      <w:r w:rsidR="00C8522D">
        <w:rPr>
          <w:color w:val="0070C0"/>
        </w:rPr>
        <w:t>,</w:t>
      </w:r>
      <w:r>
        <w:rPr>
          <w:color w:val="0070C0"/>
        </w:rPr>
        <w:t xml:space="preserve"> </w:t>
      </w:r>
      <w:r w:rsidR="00773162">
        <w:rPr>
          <w:color w:val="0070C0"/>
        </w:rPr>
        <w:t xml:space="preserve">a </w:t>
      </w:r>
      <w:r>
        <w:rPr>
          <w:color w:val="0070C0"/>
        </w:rPr>
        <w:t xml:space="preserve">protocol for immobilizing the gel in low melt agarose has been added to the text </w:t>
      </w:r>
      <w:r w:rsidR="00644889">
        <w:rPr>
          <w:color w:val="0070C0"/>
        </w:rPr>
        <w:t xml:space="preserve">(step 5.3 note) </w:t>
      </w:r>
      <w:r>
        <w:rPr>
          <w:color w:val="0070C0"/>
        </w:rPr>
        <w:t>and the material has been added to the list of materials.</w:t>
      </w:r>
    </w:p>
    <w:p w14:paraId="0111534F" w14:textId="77777777" w:rsidR="00D618DF" w:rsidRDefault="00D618DF" w:rsidP="00D618DF">
      <w:r>
        <w:lastRenderedPageBreak/>
        <w:t>10) The authors state that the gel they employ expands "by a factor f ~4.5x in water [...], providing an effective resolution of ~70 nm" (page 7, lines 278-279). Both statements are accurate, but only for the best possible case. It is quite common for the gel composition employed here to fluctuate in expansion factor between 3.0 and 4.5 - with resolution decreasing in direct correspondence to the expansion factor. This is attested by daily use in many laboratories and documented in the literature. To not overstate the case, the authors should revise their phrase to account for this expected variability.</w:t>
      </w:r>
    </w:p>
    <w:p w14:paraId="10B5A2CB" w14:textId="2CA087F2" w:rsidR="00D618DF" w:rsidRDefault="00773162" w:rsidP="00D618DF">
      <w:r>
        <w:rPr>
          <w:color w:val="0070C0"/>
        </w:rPr>
        <w:t xml:space="preserve">We thank the reviewer for pointing out the need for clarification. </w:t>
      </w:r>
      <w:r w:rsidR="0038555A">
        <w:rPr>
          <w:color w:val="0070C0"/>
        </w:rPr>
        <w:t>The range of expansion has been modified in the text</w:t>
      </w:r>
      <w:r w:rsidR="00644889">
        <w:rPr>
          <w:color w:val="0070C0"/>
        </w:rPr>
        <w:t xml:space="preserve"> (lines 33</w:t>
      </w:r>
      <w:r w:rsidR="0041425B">
        <w:rPr>
          <w:color w:val="0070C0"/>
        </w:rPr>
        <w:t>3</w:t>
      </w:r>
      <w:r w:rsidR="00644889">
        <w:rPr>
          <w:color w:val="0070C0"/>
        </w:rPr>
        <w:t>-33</w:t>
      </w:r>
      <w:r w:rsidR="0041425B">
        <w:rPr>
          <w:color w:val="0070C0"/>
        </w:rPr>
        <w:t>5</w:t>
      </w:r>
      <w:r w:rsidR="00644889">
        <w:rPr>
          <w:color w:val="0070C0"/>
        </w:rPr>
        <w:t>)</w:t>
      </w:r>
      <w:r w:rsidR="0038555A">
        <w:rPr>
          <w:color w:val="0070C0"/>
        </w:rPr>
        <w:t xml:space="preserve"> and the reliance of the effective resolution change on this expansion factor has been emphasized</w:t>
      </w:r>
      <w:r w:rsidR="00644889">
        <w:rPr>
          <w:color w:val="0070C0"/>
        </w:rPr>
        <w:t xml:space="preserve"> throughout the text</w:t>
      </w:r>
      <w:r w:rsidR="0038555A">
        <w:rPr>
          <w:color w:val="0070C0"/>
        </w:rPr>
        <w:t xml:space="preserve">. </w:t>
      </w:r>
    </w:p>
    <w:p w14:paraId="2332F5DA" w14:textId="77777777" w:rsidR="00D618DF" w:rsidRDefault="00D618DF" w:rsidP="00D618DF">
      <w:r>
        <w:t>11) The authors claim that increasing the EDTA concentration in the digestion buffer to 25 mM is necessary to achieve complete homogenization of formalin-fixed tissue samples (page 8, lines 320-321). It is unclear why this should be the case, especially considering that calcium ions (removed by chelation with EDTA) are claimed to increase the stability of proteinase K (</w:t>
      </w:r>
      <w:proofErr w:type="spellStart"/>
      <w:r>
        <w:t>Truckenbrodt</w:t>
      </w:r>
      <w:proofErr w:type="spellEnd"/>
      <w:r>
        <w:t xml:space="preserve"> et al., Nature Protocols, 2019). In this light, one might expect that reducing the amount of EDTA in the digestion buffer would improve results, rather than increasing it. The authors should comment on this and explain their reasoning for increasing the concentration of EDTA.</w:t>
      </w:r>
    </w:p>
    <w:p w14:paraId="750E82B2" w14:textId="737614F6" w:rsidR="00D618DF" w:rsidRDefault="0038555A" w:rsidP="00D618DF">
      <w:r>
        <w:rPr>
          <w:color w:val="0070C0"/>
        </w:rPr>
        <w:t>This has been more thoroughly demonstrated in the original ExPath paper (Zhao et al. Nature Biotechnology 2017) and the text has been altered to more explicitly reference the text</w:t>
      </w:r>
      <w:r w:rsidR="00644889">
        <w:rPr>
          <w:color w:val="0070C0"/>
        </w:rPr>
        <w:t xml:space="preserve"> (lines 40</w:t>
      </w:r>
      <w:r w:rsidR="0041425B">
        <w:rPr>
          <w:color w:val="0070C0"/>
        </w:rPr>
        <w:t>9</w:t>
      </w:r>
      <w:r w:rsidR="00644889">
        <w:rPr>
          <w:color w:val="0070C0"/>
        </w:rPr>
        <w:t>-4</w:t>
      </w:r>
      <w:r w:rsidR="0041425B">
        <w:rPr>
          <w:color w:val="0070C0"/>
        </w:rPr>
        <w:t>11</w:t>
      </w:r>
      <w:r w:rsidR="00644889">
        <w:rPr>
          <w:color w:val="0070C0"/>
        </w:rPr>
        <w:t>)</w:t>
      </w:r>
      <w:r>
        <w:rPr>
          <w:color w:val="0070C0"/>
        </w:rPr>
        <w:t>.</w:t>
      </w:r>
    </w:p>
    <w:p w14:paraId="48B8EEB2" w14:textId="77777777" w:rsidR="00D618DF" w:rsidRDefault="00D618DF" w:rsidP="00D618DF">
      <w:r>
        <w:t xml:space="preserve">12) The authors state that making a new stock solution of </w:t>
      </w:r>
      <w:proofErr w:type="spellStart"/>
      <w:r>
        <w:t>AcX</w:t>
      </w:r>
      <w:proofErr w:type="spellEnd"/>
      <w:r>
        <w:t xml:space="preserve"> can address problems with insufficient anchoring resulting in tears or distortions of the sample. It has been suggested in the past that adjusting the composition of the anchoring buffer can also lead to improvements, particularly for tissue slices (MES buffer, suggested by </w:t>
      </w:r>
      <w:proofErr w:type="spellStart"/>
      <w:r>
        <w:t>Tillberg</w:t>
      </w:r>
      <w:proofErr w:type="spellEnd"/>
      <w:r>
        <w:t>/Chen et al., Nature Biotechnology, 2016). The authors should comment on this.</w:t>
      </w:r>
    </w:p>
    <w:p w14:paraId="79AA06D7" w14:textId="78B13B27" w:rsidR="00D618DF" w:rsidRDefault="000367FC" w:rsidP="00D618DF">
      <w:r>
        <w:rPr>
          <w:color w:val="0070C0"/>
        </w:rPr>
        <w:t>The anchoring buffer presented here has been optimized for the ExPath protocol.</w:t>
      </w:r>
      <w:r w:rsidR="003F7C65">
        <w:rPr>
          <w:color w:val="0070C0"/>
        </w:rPr>
        <w:t xml:space="preserve"> Per the reviewer’s suggestion, we have added information to the text concerning the s</w:t>
      </w:r>
      <w:r>
        <w:rPr>
          <w:color w:val="0070C0"/>
        </w:rPr>
        <w:t xml:space="preserve">torage </w:t>
      </w:r>
      <w:r w:rsidR="003F7C65">
        <w:rPr>
          <w:color w:val="0070C0"/>
        </w:rPr>
        <w:t xml:space="preserve">of </w:t>
      </w:r>
      <w:proofErr w:type="spellStart"/>
      <w:r>
        <w:rPr>
          <w:color w:val="0070C0"/>
        </w:rPr>
        <w:t>AcX</w:t>
      </w:r>
      <w:proofErr w:type="spellEnd"/>
      <w:r w:rsidR="00644889">
        <w:rPr>
          <w:color w:val="0070C0"/>
        </w:rPr>
        <w:t xml:space="preserve"> (lines 42</w:t>
      </w:r>
      <w:r w:rsidR="0041425B">
        <w:rPr>
          <w:color w:val="0070C0"/>
        </w:rPr>
        <w:t>4</w:t>
      </w:r>
      <w:r w:rsidR="00644889">
        <w:rPr>
          <w:color w:val="0070C0"/>
        </w:rPr>
        <w:t>-42</w:t>
      </w:r>
      <w:r w:rsidR="0041425B">
        <w:rPr>
          <w:color w:val="0070C0"/>
        </w:rPr>
        <w:t>7</w:t>
      </w:r>
      <w:r w:rsidR="00644889">
        <w:rPr>
          <w:color w:val="0070C0"/>
        </w:rPr>
        <w:t>)</w:t>
      </w:r>
      <w:r>
        <w:rPr>
          <w:color w:val="0070C0"/>
        </w:rPr>
        <w:t xml:space="preserve">. </w:t>
      </w:r>
    </w:p>
    <w:p w14:paraId="0AD560B1" w14:textId="77777777" w:rsidR="00D618DF" w:rsidRDefault="00D618DF" w:rsidP="00D618DF">
      <w:r>
        <w:t>13) The authors state that proteinase K can lose activity over time, potentially impacting results (page 8, lines 344-345). The authors should provide guidelines on the optimal storage conditions to preserve proteinase K activity, and on its expected shelf-life.</w:t>
      </w:r>
    </w:p>
    <w:p w14:paraId="36EB2012" w14:textId="2518BE30" w:rsidR="00D618DF" w:rsidRDefault="000367FC" w:rsidP="00D618DF">
      <w:r>
        <w:rPr>
          <w:color w:val="0070C0"/>
        </w:rPr>
        <w:t xml:space="preserve">Storage requirements and expected shelf life of </w:t>
      </w:r>
      <w:proofErr w:type="spellStart"/>
      <w:r>
        <w:rPr>
          <w:color w:val="0070C0"/>
        </w:rPr>
        <w:t>ProK</w:t>
      </w:r>
      <w:proofErr w:type="spellEnd"/>
      <w:r>
        <w:rPr>
          <w:color w:val="0070C0"/>
        </w:rPr>
        <w:t xml:space="preserve"> have been added to the text</w:t>
      </w:r>
      <w:r w:rsidR="00644889">
        <w:rPr>
          <w:color w:val="0070C0"/>
        </w:rPr>
        <w:t xml:space="preserve"> (lines</w:t>
      </w:r>
      <w:r w:rsidR="00B8236D">
        <w:rPr>
          <w:color w:val="0070C0"/>
        </w:rPr>
        <w:t xml:space="preserve"> </w:t>
      </w:r>
      <w:r w:rsidR="00644889">
        <w:rPr>
          <w:color w:val="0070C0"/>
        </w:rPr>
        <w:t>43</w:t>
      </w:r>
      <w:r w:rsidR="00B8236D">
        <w:rPr>
          <w:color w:val="0070C0"/>
        </w:rPr>
        <w:t>8</w:t>
      </w:r>
      <w:r w:rsidR="00644889">
        <w:rPr>
          <w:color w:val="0070C0"/>
        </w:rPr>
        <w:t>-4</w:t>
      </w:r>
      <w:r w:rsidR="00B8236D">
        <w:rPr>
          <w:color w:val="0070C0"/>
        </w:rPr>
        <w:t>40</w:t>
      </w:r>
      <w:r w:rsidR="00644889">
        <w:rPr>
          <w:color w:val="0070C0"/>
        </w:rPr>
        <w:t>)</w:t>
      </w:r>
      <w:r>
        <w:rPr>
          <w:color w:val="0070C0"/>
        </w:rPr>
        <w:t>.</w:t>
      </w:r>
    </w:p>
    <w:p w14:paraId="753A2E19" w14:textId="77777777" w:rsidR="00D618DF" w:rsidRDefault="00D618DF" w:rsidP="00D618DF"/>
    <w:p w14:paraId="540773EF" w14:textId="77777777" w:rsidR="00D618DF" w:rsidRPr="00212F1E" w:rsidRDefault="00D618DF" w:rsidP="00D618DF">
      <w:pPr>
        <w:rPr>
          <w:b/>
        </w:rPr>
      </w:pPr>
      <w:r w:rsidRPr="00212F1E">
        <w:rPr>
          <w:b/>
        </w:rPr>
        <w:t>Reviewer #4:</w:t>
      </w:r>
    </w:p>
    <w:p w14:paraId="3CF78598" w14:textId="77777777" w:rsidR="00D618DF" w:rsidRDefault="00D618DF" w:rsidP="00D618DF">
      <w:r>
        <w:t>Minor Concerns:</w:t>
      </w:r>
    </w:p>
    <w:p w14:paraId="7ECCF607" w14:textId="77777777" w:rsidR="00D618DF" w:rsidRDefault="00D618DF" w:rsidP="00D618DF">
      <w:r>
        <w:t xml:space="preserve">As the authors state in the </w:t>
      </w:r>
      <w:proofErr w:type="spellStart"/>
      <w:proofErr w:type="gramStart"/>
      <w:r>
        <w:t>Discussion,last</w:t>
      </w:r>
      <w:proofErr w:type="spellEnd"/>
      <w:proofErr w:type="gramEnd"/>
      <w:r>
        <w:t xml:space="preserve"> paragraph: "Although Pro(</w:t>
      </w:r>
      <w:proofErr w:type="spellStart"/>
      <w:r>
        <w:t>teinase</w:t>
      </w:r>
      <w:proofErr w:type="spellEnd"/>
      <w:r>
        <w:t xml:space="preserve">) K provides even expansion of the sample after homogenization, the loss of proteins prevents interrogation of other targets of interest post-expansion. However, the protocol can be easily performed in any regular wet lab." The technique may not achieve high levels of accuracy because of this but benefits from its </w:t>
      </w:r>
      <w:proofErr w:type="gramStart"/>
      <w:r>
        <w:t>simplicity .</w:t>
      </w:r>
      <w:proofErr w:type="gramEnd"/>
      <w:r>
        <w:t xml:space="preserve"> It seems that the preservation of fluorescence signals for the specific antigens could depend on the anchorage of secondary antibodies and efficacy of </w:t>
      </w:r>
      <w:proofErr w:type="spellStart"/>
      <w:r>
        <w:t>ProK</w:t>
      </w:r>
      <w:proofErr w:type="spellEnd"/>
      <w:r>
        <w:t xml:space="preserve"> digestion. For example, in Figure 4 B and C, there was a clear loss of the red signal (a-ACTN4: podocytes) and some loss of the green signal (Vimentin: mesangial cells?). It is not clear that if the figure 4 C explicitly shows a-ACTN4 positive podocyte food processes. Podocyte foot processes of </w:t>
      </w:r>
      <w:proofErr w:type="spellStart"/>
      <w:r>
        <w:t>aTdTomato</w:t>
      </w:r>
      <w:proofErr w:type="spellEnd"/>
      <w:r>
        <w:t xml:space="preserve"> transgenic animal can be imaged with conventional microscopes.</w:t>
      </w:r>
    </w:p>
    <w:p w14:paraId="18075445" w14:textId="77777777" w:rsidR="00D618DF" w:rsidRDefault="00D618DF" w:rsidP="00D618DF">
      <w:r>
        <w:t>https://jasn.asnjournals.org/content/23/5/785</w:t>
      </w:r>
    </w:p>
    <w:p w14:paraId="6C3899EE" w14:textId="77777777" w:rsidR="00D618DF" w:rsidRDefault="00D618DF" w:rsidP="00D618DF">
      <w:r>
        <w:t xml:space="preserve">The authors may need further investigate varying anchoring and </w:t>
      </w:r>
      <w:proofErr w:type="spellStart"/>
      <w:r>
        <w:t>ProK</w:t>
      </w:r>
      <w:proofErr w:type="spellEnd"/>
      <w:r>
        <w:t xml:space="preserve"> digestion protocols to optimize the staining with various primary and secondary antibodies anchoring to avoid false negative staining.</w:t>
      </w:r>
    </w:p>
    <w:p w14:paraId="52762882" w14:textId="1ACD3F10" w:rsidR="00D618DF" w:rsidRDefault="00212F1E" w:rsidP="00D618DF">
      <w:r w:rsidRPr="00B92637">
        <w:rPr>
          <w:color w:val="0070C0"/>
        </w:rPr>
        <w:lastRenderedPageBreak/>
        <w:t xml:space="preserve">We thank the reviewer for the comments, </w:t>
      </w:r>
      <w:r>
        <w:rPr>
          <w:color w:val="0070C0"/>
        </w:rPr>
        <w:t>and we have added additiona</w:t>
      </w:r>
      <w:r w:rsidR="000367FC">
        <w:rPr>
          <w:color w:val="0070C0"/>
        </w:rPr>
        <w:t xml:space="preserve">l example data </w:t>
      </w:r>
      <w:r w:rsidR="00644889">
        <w:rPr>
          <w:color w:val="0070C0"/>
        </w:rPr>
        <w:t xml:space="preserve">(Figures 5 and 6; Representative Results Section) </w:t>
      </w:r>
      <w:r w:rsidR="000367FC">
        <w:rPr>
          <w:color w:val="0070C0"/>
        </w:rPr>
        <w:t>and clarified the post-expansion stain quality is dependent on the method the specimen was originally preserved</w:t>
      </w:r>
      <w:r w:rsidR="00644889">
        <w:rPr>
          <w:color w:val="0070C0"/>
        </w:rPr>
        <w:t xml:space="preserve"> (lines 35</w:t>
      </w:r>
      <w:r w:rsidR="00B8236D">
        <w:rPr>
          <w:color w:val="0070C0"/>
        </w:rPr>
        <w:t>6</w:t>
      </w:r>
      <w:r w:rsidR="00644889">
        <w:rPr>
          <w:color w:val="0070C0"/>
        </w:rPr>
        <w:t>-35</w:t>
      </w:r>
      <w:r w:rsidR="00B8236D">
        <w:rPr>
          <w:color w:val="0070C0"/>
        </w:rPr>
        <w:t>7</w:t>
      </w:r>
      <w:r w:rsidR="00644889">
        <w:rPr>
          <w:color w:val="0070C0"/>
        </w:rPr>
        <w:t>)</w:t>
      </w:r>
      <w:r w:rsidR="000367FC">
        <w:rPr>
          <w:color w:val="0070C0"/>
        </w:rPr>
        <w:t xml:space="preserve">. </w:t>
      </w:r>
    </w:p>
    <w:p w14:paraId="19FCF68B" w14:textId="77777777" w:rsidR="00D618DF" w:rsidRDefault="00D618DF" w:rsidP="00D618DF"/>
    <w:p w14:paraId="188AFAE1" w14:textId="77777777" w:rsidR="00D618DF" w:rsidRDefault="00D618DF" w:rsidP="00D618DF">
      <w:r>
        <w:t xml:space="preserve">Reviewer #5: </w:t>
      </w:r>
    </w:p>
    <w:p w14:paraId="26C74F0C" w14:textId="77777777" w:rsidR="00D618DF" w:rsidRDefault="00D618DF" w:rsidP="00D618DF">
      <w:r>
        <w:t>Manuscript Summary:</w:t>
      </w:r>
    </w:p>
    <w:p w14:paraId="473059DF" w14:textId="77777777" w:rsidR="00D618DF" w:rsidRDefault="00D618DF" w:rsidP="00D618DF">
      <w:r>
        <w:t xml:space="preserve">The authors describe the protocol for Expansion Microscopy in depth and it would be useful for researchers performing this technique to see the detailed video protocol. The protocol is </w:t>
      </w:r>
      <w:proofErr w:type="gramStart"/>
      <w:r>
        <w:t>detailed, and</w:t>
      </w:r>
      <w:proofErr w:type="gramEnd"/>
      <w:r>
        <w:t xml:space="preserve"> covers all aspects of the technique. The written protocol itself is not straight forward to be adopted by non-experts but combined with a video tutorial, it will be </w:t>
      </w:r>
      <w:proofErr w:type="gramStart"/>
      <w:r>
        <w:t>more comprehensive and clear</w:t>
      </w:r>
      <w:proofErr w:type="gramEnd"/>
      <w:r>
        <w:t xml:space="preserve">. The protocol is sufficient for publication in </w:t>
      </w:r>
      <w:proofErr w:type="spellStart"/>
      <w:r>
        <w:t>JoVe</w:t>
      </w:r>
      <w:proofErr w:type="spellEnd"/>
      <w:r>
        <w:t xml:space="preserve"> and will be useful for non-experts int he </w:t>
      </w:r>
      <w:proofErr w:type="gramStart"/>
      <w:r>
        <w:t>field</w:t>
      </w:r>
      <w:proofErr w:type="gramEnd"/>
      <w:r>
        <w:t>.</w:t>
      </w:r>
    </w:p>
    <w:p w14:paraId="24F4AA0A" w14:textId="1E953022" w:rsidR="00D618DF" w:rsidRDefault="00212F1E" w:rsidP="00D618DF">
      <w:r w:rsidRPr="00B92637">
        <w:rPr>
          <w:color w:val="0070C0"/>
        </w:rPr>
        <w:t xml:space="preserve">We thank the reviewer for the comments, </w:t>
      </w:r>
      <w:r>
        <w:rPr>
          <w:color w:val="0070C0"/>
        </w:rPr>
        <w:t xml:space="preserve">and we </w:t>
      </w:r>
      <w:r w:rsidR="000367FC">
        <w:rPr>
          <w:color w:val="0070C0"/>
        </w:rPr>
        <w:t xml:space="preserve">have modified the text to address the minor concerns. </w:t>
      </w:r>
    </w:p>
    <w:p w14:paraId="592BF5EE" w14:textId="77777777" w:rsidR="00D618DF" w:rsidRDefault="00D618DF" w:rsidP="00D618DF">
      <w:r>
        <w:t>Minor Concerns:</w:t>
      </w:r>
    </w:p>
    <w:p w14:paraId="0686A36D" w14:textId="77777777" w:rsidR="00D618DF" w:rsidRDefault="00D618DF" w:rsidP="00D618DF">
      <w:r>
        <w:t>Minor suggestions, which the authors can clarify in their final revision.</w:t>
      </w:r>
    </w:p>
    <w:p w14:paraId="763838A7" w14:textId="28186B40" w:rsidR="00D618DF" w:rsidRDefault="00D618DF" w:rsidP="00D618DF">
      <w:r>
        <w:t xml:space="preserve">1. The steps to prepare monomer stock solution in 1.1.1 are not clear. The authors describe the amounts for 100 mL buffer but write a note that final volume of monomer stock solution is 9.4 </w:t>
      </w:r>
      <w:proofErr w:type="spellStart"/>
      <w:r>
        <w:t>mL.</w:t>
      </w:r>
      <w:proofErr w:type="spellEnd"/>
      <w:r>
        <w:t xml:space="preserve"> They can clarify this.</w:t>
      </w:r>
    </w:p>
    <w:p w14:paraId="0DC23565" w14:textId="65488E90" w:rsidR="000367FC" w:rsidRDefault="000367FC" w:rsidP="00D618DF">
      <w:r>
        <w:rPr>
          <w:color w:val="0070C0"/>
        </w:rPr>
        <w:t>The units have been changed to g/mL to reflect that w/v% is used and clarified necessary volumes of stock solutions</w:t>
      </w:r>
      <w:r w:rsidR="00644889">
        <w:rPr>
          <w:color w:val="0070C0"/>
        </w:rPr>
        <w:t xml:space="preserve"> (step 1)</w:t>
      </w:r>
      <w:r>
        <w:rPr>
          <w:color w:val="0070C0"/>
        </w:rPr>
        <w:t>.</w:t>
      </w:r>
    </w:p>
    <w:p w14:paraId="65E25760" w14:textId="1933EFC3" w:rsidR="00D618DF" w:rsidRDefault="00D618DF" w:rsidP="00D618DF">
      <w:r>
        <w:t>2. In the step 2.1.1 it is not clear what does 2x mean? Does it mean 2 times solution?</w:t>
      </w:r>
    </w:p>
    <w:p w14:paraId="7881C083" w14:textId="39A28213" w:rsidR="000367FC" w:rsidRDefault="000367FC" w:rsidP="00D618DF">
      <w:r>
        <w:rPr>
          <w:color w:val="0070C0"/>
        </w:rPr>
        <w:t>The text has been modified for clarity</w:t>
      </w:r>
      <w:r w:rsidR="003F7C65">
        <w:rPr>
          <w:color w:val="0070C0"/>
        </w:rPr>
        <w:t xml:space="preserve"> and consistency</w:t>
      </w:r>
      <w:r>
        <w:rPr>
          <w:color w:val="0070C0"/>
        </w:rPr>
        <w:t xml:space="preserve">. </w:t>
      </w:r>
    </w:p>
    <w:p w14:paraId="373EEFB1" w14:textId="2F0E0119" w:rsidR="00D618DF" w:rsidRDefault="00D618DF" w:rsidP="00D618DF">
      <w:r>
        <w:t>3. In the step 2.2.1 what solution is at 60 C?</w:t>
      </w:r>
    </w:p>
    <w:p w14:paraId="474CF2D9" w14:textId="42372DF8" w:rsidR="000367FC" w:rsidRDefault="000367FC" w:rsidP="00D618DF">
      <w:r>
        <w:rPr>
          <w:color w:val="0070C0"/>
        </w:rPr>
        <w:t xml:space="preserve">The text has been modified </w:t>
      </w:r>
      <w:r w:rsidR="00644889">
        <w:rPr>
          <w:color w:val="0070C0"/>
        </w:rPr>
        <w:t>to clarify citrate solution is used (step 2.2.2)</w:t>
      </w:r>
      <w:r>
        <w:rPr>
          <w:color w:val="0070C0"/>
        </w:rPr>
        <w:t xml:space="preserve">. </w:t>
      </w:r>
    </w:p>
    <w:p w14:paraId="047E2FC6" w14:textId="15A4B937" w:rsidR="00D618DF" w:rsidRDefault="00D618DF" w:rsidP="00D618DF">
      <w:r>
        <w:t>4. Finally, the four critical steps described in the protocol would be better explained with additional pictures. Hopefully this will improve with clear instructions in the video recording of the article.</w:t>
      </w:r>
    </w:p>
    <w:p w14:paraId="47A0428D" w14:textId="3A42A3B8" w:rsidR="00D618DF" w:rsidRDefault="00644889" w:rsidP="00D618DF">
      <w:r>
        <w:rPr>
          <w:color w:val="0070C0"/>
        </w:rPr>
        <w:t>We agree with the reviewer that the video recording will hopefully provide better clarification for the critical steps.</w:t>
      </w:r>
      <w:r w:rsidR="00D618DF">
        <w:t>5. Cite Asano et. al. protocol published in Current Protocols in Cell Biology</w:t>
      </w:r>
    </w:p>
    <w:p w14:paraId="5E3C3953" w14:textId="298F9A2B" w:rsidR="000367FC" w:rsidRDefault="000367FC" w:rsidP="000367FC">
      <w:r>
        <w:rPr>
          <w:color w:val="0070C0"/>
        </w:rPr>
        <w:t xml:space="preserve">The </w:t>
      </w:r>
      <w:r w:rsidR="00644889">
        <w:rPr>
          <w:color w:val="0070C0"/>
        </w:rPr>
        <w:t xml:space="preserve">protocol citation has been added. </w:t>
      </w:r>
    </w:p>
    <w:p w14:paraId="10D88A3E" w14:textId="77777777" w:rsidR="000367FC" w:rsidRDefault="000367FC" w:rsidP="00D618DF"/>
    <w:sectPr w:rsidR="00036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6E"/>
    <w:rsid w:val="000367FC"/>
    <w:rsid w:val="001A3A73"/>
    <w:rsid w:val="001B63CA"/>
    <w:rsid w:val="001D1F15"/>
    <w:rsid w:val="001D3B6E"/>
    <w:rsid w:val="00212F1E"/>
    <w:rsid w:val="00247138"/>
    <w:rsid w:val="002515E7"/>
    <w:rsid w:val="003314F5"/>
    <w:rsid w:val="0038555A"/>
    <w:rsid w:val="003F7C65"/>
    <w:rsid w:val="0041425B"/>
    <w:rsid w:val="00455AA5"/>
    <w:rsid w:val="004F20F9"/>
    <w:rsid w:val="00616D47"/>
    <w:rsid w:val="00621F6E"/>
    <w:rsid w:val="00644889"/>
    <w:rsid w:val="0065281C"/>
    <w:rsid w:val="006616DE"/>
    <w:rsid w:val="00703191"/>
    <w:rsid w:val="00714898"/>
    <w:rsid w:val="00773162"/>
    <w:rsid w:val="007773A5"/>
    <w:rsid w:val="0082642E"/>
    <w:rsid w:val="008762DB"/>
    <w:rsid w:val="00B61DC0"/>
    <w:rsid w:val="00B8236D"/>
    <w:rsid w:val="00B92637"/>
    <w:rsid w:val="00C33933"/>
    <w:rsid w:val="00C464C3"/>
    <w:rsid w:val="00C762C3"/>
    <w:rsid w:val="00C8522D"/>
    <w:rsid w:val="00CC4C6D"/>
    <w:rsid w:val="00D618DF"/>
    <w:rsid w:val="00D74DD5"/>
    <w:rsid w:val="00DC3F2D"/>
    <w:rsid w:val="00E30D3A"/>
    <w:rsid w:val="00EB08CD"/>
    <w:rsid w:val="00EC3CA6"/>
    <w:rsid w:val="00EF04A5"/>
    <w:rsid w:val="00F2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A898"/>
  <w15:chartTrackingRefBased/>
  <w15:docId w15:val="{62A97A0B-FE83-4589-AC35-76AD279F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DC0"/>
    <w:pPr>
      <w:spacing w:after="120" w:line="240" w:lineRule="auto"/>
      <w:jc w:val="both"/>
    </w:pPr>
  </w:style>
  <w:style w:type="paragraph" w:styleId="Heading1">
    <w:name w:val="heading 1"/>
    <w:basedOn w:val="Normal"/>
    <w:next w:val="Normal"/>
    <w:link w:val="Heading1Char"/>
    <w:autoRedefine/>
    <w:uiPriority w:val="9"/>
    <w:qFormat/>
    <w:rsid w:val="0082642E"/>
    <w:pPr>
      <w:keepNext/>
      <w:keepLines/>
      <w:spacing w:after="80"/>
      <w:jc w:val="left"/>
      <w:outlineLvl w:val="0"/>
    </w:pPr>
    <w:rPr>
      <w:rFonts w:asciiTheme="majorHAnsi" w:eastAsiaTheme="majorEastAsia" w:hAnsiTheme="majorHAnsi" w:cstheme="majorBidi"/>
      <w:color w:val="000000" w:themeColor="text1"/>
      <w:sz w:val="28"/>
      <w:szCs w:val="32"/>
    </w:rPr>
  </w:style>
  <w:style w:type="paragraph" w:styleId="Heading2">
    <w:name w:val="heading 2"/>
    <w:basedOn w:val="Normal"/>
    <w:next w:val="Normal"/>
    <w:link w:val="Heading2Char"/>
    <w:autoRedefine/>
    <w:qFormat/>
    <w:rsid w:val="00703191"/>
    <w:pPr>
      <w:keepNext/>
      <w:spacing w:after="0"/>
      <w:jc w:val="left"/>
      <w:outlineLvl w:val="1"/>
    </w:pPr>
    <w:rPr>
      <w:rFonts w:asciiTheme="majorHAnsi" w:eastAsia="Times New Roman" w:hAnsiTheme="majorHAnsi" w:cs="Arial"/>
      <w:b/>
      <w:bCs/>
      <w:i/>
      <w:iCs/>
      <w:szCs w:val="28"/>
    </w:rPr>
  </w:style>
  <w:style w:type="paragraph" w:styleId="Heading3">
    <w:name w:val="heading 3"/>
    <w:basedOn w:val="Normal"/>
    <w:next w:val="Normal"/>
    <w:link w:val="Heading3Char"/>
    <w:autoRedefine/>
    <w:uiPriority w:val="9"/>
    <w:unhideWhenUsed/>
    <w:qFormat/>
    <w:rsid w:val="0082642E"/>
    <w:pPr>
      <w:keepNext/>
      <w:keepLines/>
      <w:spacing w:after="0" w:line="260" w:lineRule="exact"/>
      <w:jc w:val="left"/>
      <w:outlineLvl w:val="2"/>
    </w:pPr>
    <w:rPr>
      <w:rFonts w:eastAsiaTheme="majorEastAsia" w:cstheme="majorBidi"/>
      <w:b/>
      <w:i/>
      <w:szCs w:val="24"/>
      <w:u w:val="single"/>
    </w:rPr>
  </w:style>
  <w:style w:type="paragraph" w:styleId="Heading4">
    <w:name w:val="heading 4"/>
    <w:basedOn w:val="Normal"/>
    <w:next w:val="Normal"/>
    <w:link w:val="Heading4Char"/>
    <w:uiPriority w:val="9"/>
    <w:semiHidden/>
    <w:unhideWhenUsed/>
    <w:qFormat/>
    <w:rsid w:val="00616D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3191"/>
    <w:rPr>
      <w:rFonts w:asciiTheme="majorHAnsi" w:eastAsia="Times New Roman" w:hAnsiTheme="majorHAnsi" w:cs="Arial"/>
      <w:b/>
      <w:bCs/>
      <w:i/>
      <w:iCs/>
      <w:sz w:val="24"/>
      <w:szCs w:val="28"/>
    </w:rPr>
  </w:style>
  <w:style w:type="paragraph" w:styleId="Subtitle">
    <w:name w:val="Subtitle"/>
    <w:basedOn w:val="Normal"/>
    <w:next w:val="Normal"/>
    <w:link w:val="SubtitleChar"/>
    <w:uiPriority w:val="11"/>
    <w:qFormat/>
    <w:rsid w:val="00EB08C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EB08CD"/>
    <w:rPr>
      <w:color w:val="5A5A5A" w:themeColor="text1" w:themeTint="A5"/>
      <w:spacing w:val="15"/>
    </w:rPr>
  </w:style>
  <w:style w:type="paragraph" w:styleId="Title">
    <w:name w:val="Title"/>
    <w:basedOn w:val="Normal"/>
    <w:next w:val="Normal"/>
    <w:link w:val="TitleChar"/>
    <w:autoRedefine/>
    <w:uiPriority w:val="10"/>
    <w:qFormat/>
    <w:rsid w:val="002515E7"/>
    <w:pPr>
      <w:spacing w:after="0"/>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uiPriority w:val="10"/>
    <w:rsid w:val="002515E7"/>
    <w:rPr>
      <w:rFonts w:asciiTheme="majorHAnsi" w:eastAsiaTheme="majorEastAsia" w:hAnsiTheme="majorHAnsi" w:cstheme="majorBidi"/>
      <w:b/>
      <w:spacing w:val="-10"/>
      <w:kern w:val="28"/>
      <w:sz w:val="28"/>
      <w:szCs w:val="56"/>
    </w:rPr>
  </w:style>
  <w:style w:type="character" w:customStyle="1" w:styleId="Heading3Char">
    <w:name w:val="Heading 3 Char"/>
    <w:basedOn w:val="DefaultParagraphFont"/>
    <w:link w:val="Heading3"/>
    <w:uiPriority w:val="9"/>
    <w:rsid w:val="0082642E"/>
    <w:rPr>
      <w:rFonts w:eastAsiaTheme="majorEastAsia" w:cstheme="majorBidi"/>
      <w:b/>
      <w:i/>
      <w:szCs w:val="24"/>
      <w:u w:val="single"/>
    </w:rPr>
  </w:style>
  <w:style w:type="paragraph" w:styleId="NoSpacing">
    <w:name w:val="No Spacing"/>
    <w:uiPriority w:val="1"/>
    <w:qFormat/>
    <w:rsid w:val="00EB08CD"/>
    <w:pPr>
      <w:spacing w:after="0" w:line="240" w:lineRule="auto"/>
    </w:pPr>
  </w:style>
  <w:style w:type="character" w:customStyle="1" w:styleId="Heading1Char">
    <w:name w:val="Heading 1 Char"/>
    <w:basedOn w:val="DefaultParagraphFont"/>
    <w:link w:val="Heading1"/>
    <w:uiPriority w:val="9"/>
    <w:rsid w:val="0082642E"/>
    <w:rPr>
      <w:rFonts w:asciiTheme="majorHAnsi" w:eastAsiaTheme="majorEastAsia" w:hAnsiTheme="majorHAnsi" w:cstheme="majorBidi"/>
      <w:color w:val="000000" w:themeColor="text1"/>
      <w:sz w:val="28"/>
      <w:szCs w:val="32"/>
    </w:rPr>
  </w:style>
  <w:style w:type="character" w:customStyle="1" w:styleId="Heading4Char">
    <w:name w:val="Heading 4 Char"/>
    <w:basedOn w:val="DefaultParagraphFont"/>
    <w:link w:val="Heading4"/>
    <w:uiPriority w:val="9"/>
    <w:semiHidden/>
    <w:rsid w:val="00616D47"/>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703191"/>
    <w:pPr>
      <w:spacing w:after="0"/>
    </w:pPr>
    <w:rPr>
      <w:b/>
      <w:bCs/>
      <w:color w:val="000000" w:themeColor="text1"/>
      <w:sz w:val="20"/>
      <w:szCs w:val="18"/>
    </w:rPr>
  </w:style>
  <w:style w:type="paragraph" w:styleId="ListParagraph">
    <w:name w:val="List Paragraph"/>
    <w:basedOn w:val="Normal"/>
    <w:uiPriority w:val="34"/>
    <w:qFormat/>
    <w:rsid w:val="001D3B6E"/>
    <w:pPr>
      <w:ind w:left="720"/>
      <w:contextualSpacing/>
    </w:pPr>
  </w:style>
  <w:style w:type="paragraph" w:styleId="BalloonText">
    <w:name w:val="Balloon Text"/>
    <w:basedOn w:val="Normal"/>
    <w:link w:val="BalloonTextChar"/>
    <w:uiPriority w:val="99"/>
    <w:semiHidden/>
    <w:unhideWhenUsed/>
    <w:rsid w:val="001A3A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A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aklimas</dc:creator>
  <cp:keywords/>
  <dc:description/>
  <cp:lastModifiedBy>aklimas</cp:lastModifiedBy>
  <cp:revision>5</cp:revision>
  <dcterms:created xsi:type="dcterms:W3CDTF">2019-06-26T14:44:00Z</dcterms:created>
  <dcterms:modified xsi:type="dcterms:W3CDTF">2019-06-26T21:01:00Z</dcterms:modified>
</cp:coreProperties>
</file>