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mean number of repetitions of each session level is listed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 complete training and testing protocol required 14 h (M = 13.55 h, range 12–16 h) and consisted of 90 sessions (range 87–93 sessions). Open environment training lasted 4.38 h (range 3–5 h), mock MRI training lasted 5.4 h (range 4.2–6.5 h), and transfer was 2.5 h divided into five 30 min sessions. Maintenance sessions at level 19 were conducted during transfer and are reflected in the complete training time above.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Stationing training and testing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the maximum duration of four dogs trained in the protocol for the last three sessions at the end of training and the different training locations. Performance was stable at the end of stationing training,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(2, 6) &lt; 1, and over 5 min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 311 seconds, SEM = 1.9). All dogs transferred to the mock training locations with a max duration equivalent to training,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(1,3) &lt; 1. Three of the dogs transferred to the MRI scanner and demonstrated repeated bouts of the max possible duration (206 s). The one dog that did not transfer to the MRI scanner had a larger head than the other dogs and could not comfortably fit within the coil. This discomfort likely led to the dog not willingly participating in the scans.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fMRI stimulus driven scans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these scans, visual or odor stimuli were presented to the dog while the dog remains still. Visual stimuli were projected on a screen located in the bore of the scanner. Each scan lasted for 140 s and contained 12 different images (e.g., human and dog faces). A stimulus was presented for 5 s followed by a variable 3–11 s inter-stimulus interval (see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for visual depiction and Thompkins et al. 2018 for additional details)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Attentional check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determine whether dogs were attending to the visual stimuli, independent raters viewed videos of the dogs' eyes inside the bore of the MRI scanner synced up with the stimulus presentation. Based on whether the dogs' eyes were open and their pupils visible, the raters assigned an appropriate score for each stimulus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fMRI data was used only when there was perfect inter-rater agreement.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Dog and human face processing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shows adjacent but different brain areas of temporal cortex in the dog brain are active for processing dog and human faces. Green regions represent areas of the brain more active for human faces contrasted with dog faces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0.05, FDR (false discovery rate corrected)). Red regions represent areas of the brain more active for dog faces contrasted with human faces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0.05, FDR).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6 </w:t>
      </w:r>
      <w:r>
        <w:rPr>
          <w:rFonts w:ascii="Calibri" w:hAnsi="Calibri" w:cs="Calibri" w:eastAsia="Calibri"/>
          <w:color w:val="000000"/>
          <w:spacing w:val="0"/>
          <w:position w:val="0"/>
          <w:sz w:val="24"/>
          <w:shd w:fill="auto" w:val="clear"/>
        </w:rPr>
        <w:t xml:space="preserve">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Odor stimuli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Odor stimuli were delivered through an olfactometer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high (0.16 mM) and low (0.016 mM) concentrations of odorant ethyl butyrate were used to probe parametric modulation of olfactory areas by odorant concentration. Each scan lasted 200 s and contained 5 blocks of 10 s odorant stimulation, each followed by a 30 s inter-stimulus interval (see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for visual depiction and Jia et al. 2014 for additional details)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Researchers delivered high (0.16 mM) and low (0.016mM) concentrations of an ethyl butyrate solution to six trained detection canines (Labradors) while awake and anesthetized. The parametric increases in magnitude of activation to low and high concentrations of odorant in olfactory regions (olfactory bulb, bilateral piriform lobes, cerebellum) was in accordance with Weber's Law (threefold perceived increase for a tenfold concentration increase). In addition, while the olfactory bulb, periamygdala, anterior olfactory cortex, entorhinal cortex, and piriform lobes were active in both awake and anesthetized dogs, regions implicating higher-order cognitive processing (superior, medial and orbital portions of frontal cortex) were activated mainly in awake dogs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Protocol timeline.</w:t>
      </w:r>
      <w:r>
        <w:rPr>
          <w:rFonts w:ascii="Calibri" w:hAnsi="Calibri" w:cs="Calibri" w:eastAsia="Calibri"/>
          <w:color w:val="000000"/>
          <w:spacing w:val="0"/>
          <w:position w:val="0"/>
          <w:sz w:val="24"/>
          <w:shd w:fill="auto" w:val="clear"/>
        </w:rPr>
        <w:t xml:space="preserve"> The protocol timeline is divided into two components, Training and Testing. Training is further divided into two phases, Open Environment and Mock MRI. Separate Auditory Exposure sessions occur during training as well. Testing consists of stationing in a portable mock MRI, in five different transfer locations (T1–T5). Once the dog has generalized the stationing behavior to criterion in five distinct transfer locations, the dog is ready for data collection in the real MRI environment.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Active Exposure. </w:t>
      </w:r>
      <w:r>
        <w:rPr>
          <w:rFonts w:ascii="Calibri" w:hAnsi="Calibri" w:cs="Calibri" w:eastAsia="Calibri"/>
          <w:color w:val="000000"/>
          <w:spacing w:val="0"/>
          <w:position w:val="0"/>
          <w:sz w:val="24"/>
          <w:shd w:fill="auto" w:val="clear"/>
        </w:rPr>
        <w:t xml:space="preserve">Active Exposure (AE) is a short-delay classical conditioning procedure. 10 s CS (i.e., scan audio presented by itself), 20 s CS + US (i.e., ball and scan audio presented together), 10 s delay (no ball, no scan audio).</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After this delay, the trial starts over. There are ten trials per session, with incremental volume increases over sessions.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3: Maximum duration of four dogs trained in the protocol for the last three sessions at the end of training and the different training locations.</w:t>
      </w:r>
      <w:r>
        <w:rPr>
          <w:rFonts w:ascii="Calibri" w:hAnsi="Calibri" w:cs="Calibri" w:eastAsia="Calibri"/>
          <w:color w:val="000000"/>
          <w:spacing w:val="0"/>
          <w:position w:val="0"/>
          <w:sz w:val="24"/>
          <w:shd w:fill="auto" w:val="clear"/>
        </w:rPr>
        <w:t xml:space="preserve"> All dogs transferred to the mock training locations and three of the dogs transferred to the MRI scanner demonstrating the maximum possible duration (206 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Visual stimuli. </w:t>
      </w:r>
      <w:r>
        <w:rPr>
          <w:rFonts w:ascii="Calibri" w:hAnsi="Calibri" w:cs="Calibri" w:eastAsia="Calibri"/>
          <w:color w:val="000000"/>
          <w:spacing w:val="0"/>
          <w:position w:val="0"/>
          <w:sz w:val="24"/>
          <w:shd w:fill="auto" w:val="clear"/>
        </w:rPr>
        <w:t xml:space="preserve">The top panel shows an example run of dog faces. The bottom panel shows an example run of human faces. Face stimuli were displayed for 5 s, with 3–11 s inter-stimulus intervals. Twelve face stimuli were shown per run. </w:t>
      </w: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Attentional check. </w:t>
      </w:r>
      <w:r>
        <w:rPr>
          <w:rFonts w:ascii="Calibri" w:hAnsi="Calibri" w:cs="Calibri" w:eastAsia="Calibri"/>
          <w:color w:val="000000"/>
          <w:spacing w:val="0"/>
          <w:position w:val="0"/>
          <w:sz w:val="24"/>
          <w:shd w:fill="auto" w:val="clear"/>
        </w:rPr>
        <w:t xml:space="preserve">To ensure each dog looked at each stimulus presented during scanning, stimulus-synchronized video of the dog's eye inside the scanner was analyzed by two raters post hoc; for each trial, if the dog's eye was visibly open, the rater assigned a score of "yes" and if the dog's eye was closed, the rater assigned a score of "no." fMRI data was used only when there was perfect inter-rater agreement. This figure has been modified from Thompkins et al.</w:t>
      </w:r>
      <w:r>
        <w:rPr>
          <w:rFonts w:ascii="Calibri" w:hAnsi="Calibri" w:cs="Calibri" w:eastAsia="Calibri"/>
          <w:color w:val="000000"/>
          <w:spacing w:val="0"/>
          <w:position w:val="0"/>
          <w:sz w:val="24"/>
          <w:shd w:fill="auto" w:val="clear"/>
          <w:vertAlign w:val="superscript"/>
        </w:rPr>
        <w:t xml:space="preserve">10</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Results of human and dog face contrasts.</w:t>
      </w:r>
      <w:r>
        <w:rPr>
          <w:rFonts w:ascii="Calibri" w:hAnsi="Calibri" w:cs="Calibri" w:eastAsia="Calibri"/>
          <w:color w:val="000000"/>
          <w:spacing w:val="0"/>
          <w:position w:val="0"/>
          <w:sz w:val="24"/>
          <w:shd w:fill="auto" w:val="clear"/>
        </w:rPr>
        <w:t xml:space="preserve"> Regions in green represent areas that are significantly more active during processing of human faces as compared to dog faces (i.e., human face area, HFA). Regions in red represent areas that are significantly more active during processing of dog faces as compared to human faces (i.e., dog face area, DFA). This figure has been modified from Thompkins et al.</w:t>
      </w:r>
      <w:r>
        <w:rPr>
          <w:rFonts w:ascii="Calibri" w:hAnsi="Calibri" w:cs="Calibri" w:eastAsia="Calibri"/>
          <w:color w:val="000000"/>
          <w:spacing w:val="0"/>
          <w:position w:val="0"/>
          <w:sz w:val="24"/>
          <w:shd w:fill="auto" w:val="clear"/>
          <w:vertAlign w:val="superscript"/>
        </w:rPr>
        <w:t xml:space="preserve">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Olfactory imaging system. </w:t>
      </w:r>
      <w:r>
        <w:rPr>
          <w:rFonts w:ascii="Calibri" w:hAnsi="Calibri" w:cs="Calibri" w:eastAsia="Calibri"/>
          <w:color w:val="000000"/>
          <w:spacing w:val="0"/>
          <w:position w:val="0"/>
          <w:sz w:val="24"/>
          <w:shd w:fill="auto" w:val="clear"/>
        </w:rPr>
        <w:t xml:space="preserve">Components of the dog olfactory imaging system outside the MRI room showing odorant applicator, air tank, motion parameter recording palmtop, video monitor, laptop with VT-8 software, and the entrance port to the MRI room. This figure has been modified from Jia et al.</w:t>
      </w:r>
      <w:r>
        <w:rPr>
          <w:rFonts w:ascii="Calibri" w:hAnsi="Calibri" w:cs="Calibri" w:eastAsia="Calibri"/>
          <w:color w:val="000000"/>
          <w:spacing w:val="0"/>
          <w:position w:val="0"/>
          <w:sz w:val="24"/>
          <w:shd w:fill="auto" w:val="clear"/>
          <w:vertAlign w:val="superscript"/>
        </w:rPr>
        <w:t xml:space="preserve">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Odorant delivery</w:t>
      </w:r>
      <w:r>
        <w:rPr>
          <w:rFonts w:ascii="Calibri" w:hAnsi="Calibri" w:cs="Calibri" w:eastAsia="Calibri"/>
          <w:color w:val="000000"/>
          <w:spacing w:val="0"/>
          <w:position w:val="0"/>
          <w:sz w:val="24"/>
          <w:shd w:fill="auto" w:val="clear"/>
        </w:rPr>
        <w:t xml:space="preserve">. Odorant delivery was controlled by VT-8 Warner Timer software in a fMRI block design. The first row shows the odorant delivery sequence with green arrows indicating stimulus onset and red arrows indicating stimulus offset. The second row shows clearance of odorant, with green arrows indicating onset of odorant clearance and red arrows indicating offset of odorant clearance. The third row shows the fMRI block design, matching the first row, with "0" and "1" denoting odorant "off" and "on" conditions, respectively. This figure has been modified from Jia et al.</w:t>
      </w:r>
      <w:r>
        <w:rPr>
          <w:rFonts w:ascii="Calibri" w:hAnsi="Calibri" w:cs="Calibri" w:eastAsia="Calibri"/>
          <w:color w:val="000000"/>
          <w:spacing w:val="0"/>
          <w:position w:val="0"/>
          <w:sz w:val="24"/>
          <w:shd w:fill="auto" w:val="clear"/>
          <w:vertAlign w:val="superscript"/>
        </w:rPr>
        <w:t xml:space="preserve">4</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Group activation maps for anesthetized dogs. </w:t>
      </w:r>
      <w:r>
        <w:rPr>
          <w:rFonts w:ascii="Calibri" w:hAnsi="Calibri" w:cs="Calibri" w:eastAsia="Calibri"/>
          <w:color w:val="000000"/>
          <w:spacing w:val="0"/>
          <w:position w:val="0"/>
          <w:sz w:val="24"/>
          <w:shd w:fill="auto" w:val="clear"/>
        </w:rPr>
        <w:t xml:space="preserve">Three orthogonal views are shown in each subfigure. Colormap is used for activation intensity and important areas are indicated by arrows with labels (Overall FDR = 0.05, cluster threshold = 15 voxels using AlphaSim, t-contrast). A: Anterior, P: posterior, S: superior, I: inferior, L: left, R: right. Subfigure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corresponds to low concentration odorant (0.016 mM), subfigure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corresponds to high concentration odorant (0.16 mM), subfigure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corresponds to anesthetized dog olfactory processing, and subfigure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corresponds to awake dog olfactory processing. This figure has been modified from Jia et al.</w:t>
      </w:r>
      <w:r>
        <w:rPr>
          <w:rFonts w:ascii="Calibri" w:hAnsi="Calibri" w:cs="Calibri" w:eastAsia="Calibri"/>
          <w:color w:val="000000"/>
          <w:spacing w:val="0"/>
          <w:position w:val="0"/>
          <w:sz w:val="24"/>
          <w:shd w:fill="auto" w:val="clear"/>
          <w:vertAlign w:val="superscript"/>
        </w:rPr>
        <w:t xml:space="preserve">4</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24"/>
          <w:shd w:fill="auto" w:val="clear"/>
        </w:rPr>
        <w:t xml:space="preserve">Table 1: Session levels. </w:t>
      </w:r>
      <w:r>
        <w:rPr>
          <w:rFonts w:ascii="Calibri" w:hAnsi="Calibri" w:cs="Calibri" w:eastAsia="Calibri"/>
          <w:color w:val="000000"/>
          <w:spacing w:val="0"/>
          <w:position w:val="0"/>
          <w:sz w:val="24"/>
          <w:shd w:fill="auto" w:val="clear"/>
        </w:rPr>
        <w:t xml:space="preserve">*See note in manuscript. **Conduct first session with mock bore on ground.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