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39A0B" w14:textId="77777777" w:rsidR="00263F42" w:rsidRPr="001220A4" w:rsidRDefault="00263F42" w:rsidP="0054535F">
      <w:pPr>
        <w:pStyle w:val="NormalWeb"/>
        <w:spacing w:before="0" w:beforeAutospacing="0" w:after="0" w:afterAutospacing="0"/>
        <w:ind w:right="4"/>
        <w:contextualSpacing/>
        <w:rPr>
          <w:rFonts w:asciiTheme="minorHAnsi" w:hAnsiTheme="minorHAnsi" w:cstheme="minorHAnsi"/>
        </w:rPr>
      </w:pPr>
      <w:r w:rsidRPr="001220A4">
        <w:rPr>
          <w:rFonts w:asciiTheme="minorHAnsi" w:hAnsiTheme="minorHAnsi" w:cstheme="minorHAnsi"/>
          <w:b/>
          <w:bCs/>
        </w:rPr>
        <w:t>TITLE:</w:t>
      </w:r>
      <w:r w:rsidRPr="001220A4">
        <w:rPr>
          <w:rFonts w:asciiTheme="minorHAnsi" w:hAnsiTheme="minorHAnsi" w:cstheme="minorHAnsi"/>
        </w:rPr>
        <w:t xml:space="preserve"> </w:t>
      </w:r>
    </w:p>
    <w:p w14:paraId="683966E5" w14:textId="54286E8E" w:rsidR="00263F42" w:rsidRPr="001220A4" w:rsidRDefault="00BF7306" w:rsidP="0054535F">
      <w:pPr>
        <w:ind w:right="4"/>
        <w:contextualSpacing/>
        <w:rPr>
          <w:rFonts w:asciiTheme="minorHAnsi" w:hAnsiTheme="minorHAnsi" w:cstheme="minorHAnsi"/>
          <w:color w:val="auto"/>
        </w:rPr>
      </w:pPr>
      <w:r>
        <w:rPr>
          <w:rFonts w:asciiTheme="minorHAnsi" w:hAnsiTheme="minorHAnsi" w:cstheme="minorHAnsi"/>
          <w:color w:val="auto"/>
        </w:rPr>
        <w:t xml:space="preserve">An </w:t>
      </w:r>
      <w:r w:rsidR="00263F42" w:rsidRPr="001220A4">
        <w:rPr>
          <w:rFonts w:asciiTheme="minorHAnsi" w:hAnsiTheme="minorHAnsi" w:cstheme="minorHAnsi"/>
          <w:color w:val="auto"/>
        </w:rPr>
        <w:t xml:space="preserve">Intestine/Liver </w:t>
      </w:r>
      <w:proofErr w:type="spellStart"/>
      <w:r w:rsidR="00263F42" w:rsidRPr="001220A4">
        <w:rPr>
          <w:rFonts w:asciiTheme="minorHAnsi" w:hAnsiTheme="minorHAnsi" w:cstheme="minorHAnsi"/>
          <w:color w:val="auto"/>
        </w:rPr>
        <w:t>Microphysiological</w:t>
      </w:r>
      <w:proofErr w:type="spellEnd"/>
      <w:r w:rsidR="00263F42" w:rsidRPr="001220A4">
        <w:rPr>
          <w:rFonts w:asciiTheme="minorHAnsi" w:hAnsiTheme="minorHAnsi" w:cstheme="minorHAnsi"/>
          <w:color w:val="auto"/>
        </w:rPr>
        <w:t xml:space="preserve"> System for </w:t>
      </w:r>
      <w:r w:rsidR="009D6A74" w:rsidRPr="001220A4">
        <w:rPr>
          <w:rFonts w:asciiTheme="minorHAnsi" w:hAnsiTheme="minorHAnsi" w:cstheme="minorHAnsi"/>
          <w:color w:val="auto"/>
        </w:rPr>
        <w:t>D</w:t>
      </w:r>
      <w:r w:rsidR="00263F42" w:rsidRPr="001220A4">
        <w:rPr>
          <w:rFonts w:asciiTheme="minorHAnsi" w:hAnsiTheme="minorHAnsi" w:cstheme="minorHAnsi"/>
          <w:color w:val="auto"/>
        </w:rPr>
        <w:t>rug</w:t>
      </w:r>
      <w:r>
        <w:rPr>
          <w:rFonts w:asciiTheme="minorHAnsi" w:hAnsiTheme="minorHAnsi" w:cstheme="minorHAnsi"/>
          <w:color w:val="auto"/>
        </w:rPr>
        <w:t xml:space="preserve"> </w:t>
      </w:r>
      <w:r w:rsidR="009D6A74" w:rsidRPr="001220A4">
        <w:rPr>
          <w:rFonts w:asciiTheme="minorHAnsi" w:hAnsiTheme="minorHAnsi" w:cstheme="minorHAnsi"/>
          <w:color w:val="auto"/>
        </w:rPr>
        <w:t>P</w:t>
      </w:r>
      <w:r w:rsidR="00263F42" w:rsidRPr="001220A4">
        <w:rPr>
          <w:rFonts w:asciiTheme="minorHAnsi" w:hAnsiTheme="minorHAnsi" w:cstheme="minorHAnsi"/>
          <w:color w:val="auto"/>
        </w:rPr>
        <w:t xml:space="preserve">harmacokinetic and </w:t>
      </w:r>
      <w:r w:rsidR="009D6A74" w:rsidRPr="001220A4">
        <w:rPr>
          <w:rFonts w:asciiTheme="minorHAnsi" w:hAnsiTheme="minorHAnsi" w:cstheme="minorHAnsi"/>
          <w:color w:val="auto"/>
        </w:rPr>
        <w:t>T</w:t>
      </w:r>
      <w:r w:rsidR="00263F42" w:rsidRPr="001220A4">
        <w:rPr>
          <w:rFonts w:asciiTheme="minorHAnsi" w:hAnsiTheme="minorHAnsi" w:cstheme="minorHAnsi"/>
          <w:color w:val="auto"/>
        </w:rPr>
        <w:t xml:space="preserve">oxicological </w:t>
      </w:r>
      <w:r w:rsidR="009D6A74" w:rsidRPr="001220A4">
        <w:rPr>
          <w:rFonts w:asciiTheme="minorHAnsi" w:hAnsiTheme="minorHAnsi" w:cstheme="minorHAnsi"/>
          <w:color w:val="auto"/>
        </w:rPr>
        <w:t>A</w:t>
      </w:r>
      <w:r w:rsidR="00263F42" w:rsidRPr="001220A4">
        <w:rPr>
          <w:rFonts w:asciiTheme="minorHAnsi" w:hAnsiTheme="minorHAnsi" w:cstheme="minorHAnsi"/>
          <w:color w:val="auto"/>
        </w:rPr>
        <w:t>ssessment</w:t>
      </w:r>
    </w:p>
    <w:p w14:paraId="7D2D434B" w14:textId="77777777" w:rsidR="00263F42" w:rsidRPr="001220A4" w:rsidRDefault="00263F42" w:rsidP="0054535F">
      <w:pPr>
        <w:ind w:right="4"/>
        <w:contextualSpacing/>
        <w:rPr>
          <w:rFonts w:asciiTheme="minorHAnsi" w:hAnsiTheme="minorHAnsi" w:cstheme="minorHAnsi"/>
          <w:b/>
          <w:bCs/>
        </w:rPr>
      </w:pPr>
    </w:p>
    <w:p w14:paraId="4C7B87DC" w14:textId="77777777" w:rsidR="00263F42" w:rsidRPr="001220A4" w:rsidRDefault="00263F42" w:rsidP="0054535F">
      <w:pPr>
        <w:ind w:right="4"/>
        <w:contextualSpacing/>
        <w:rPr>
          <w:rFonts w:asciiTheme="minorHAnsi" w:hAnsiTheme="minorHAnsi" w:cstheme="minorHAnsi"/>
          <w:b/>
          <w:bCs/>
          <w:lang w:val="pt-BR"/>
        </w:rPr>
      </w:pPr>
      <w:r w:rsidRPr="001220A4">
        <w:rPr>
          <w:rFonts w:asciiTheme="minorHAnsi" w:hAnsiTheme="minorHAnsi" w:cstheme="minorHAnsi"/>
          <w:b/>
          <w:bCs/>
          <w:lang w:val="pt-BR"/>
        </w:rPr>
        <w:t xml:space="preserve">AUTHORS AND AFFILIATIONS: </w:t>
      </w:r>
    </w:p>
    <w:p w14:paraId="638BC1AC" w14:textId="2F2A7B39" w:rsidR="00263F42" w:rsidRPr="001220A4" w:rsidRDefault="00263F42" w:rsidP="0054535F">
      <w:pPr>
        <w:ind w:right="4"/>
        <w:contextualSpacing/>
        <w:rPr>
          <w:rFonts w:asciiTheme="minorHAnsi" w:hAnsiTheme="minorHAnsi" w:cstheme="minorHAnsi"/>
          <w:bCs/>
          <w:color w:val="auto"/>
          <w:lang w:val="pt-BR"/>
        </w:rPr>
      </w:pPr>
      <w:r w:rsidRPr="001220A4">
        <w:rPr>
          <w:rFonts w:asciiTheme="minorHAnsi" w:hAnsiTheme="minorHAnsi" w:cstheme="minorHAnsi"/>
          <w:bCs/>
          <w:color w:val="auto"/>
          <w:lang w:val="pt-BR"/>
        </w:rPr>
        <w:t>Talita Miguel Marin</w:t>
      </w:r>
      <w:r w:rsidRPr="001220A4">
        <w:rPr>
          <w:rFonts w:asciiTheme="minorHAnsi" w:hAnsiTheme="minorHAnsi" w:cstheme="minorHAnsi"/>
          <w:bCs/>
          <w:color w:val="auto"/>
          <w:vertAlign w:val="superscript"/>
          <w:lang w:val="pt-BR"/>
        </w:rPr>
        <w:t>1</w:t>
      </w:r>
      <w:r w:rsidRPr="001220A4">
        <w:rPr>
          <w:rFonts w:asciiTheme="minorHAnsi" w:hAnsiTheme="minorHAnsi" w:cstheme="minorHAnsi"/>
          <w:color w:val="auto"/>
          <w:lang w:val="pt-BR"/>
        </w:rPr>
        <w:t xml:space="preserve"> </w:t>
      </w:r>
      <w:r w:rsidRPr="001220A4">
        <w:rPr>
          <w:rFonts w:asciiTheme="minorHAnsi" w:hAnsiTheme="minorHAnsi" w:cstheme="minorHAnsi"/>
          <w:bCs/>
          <w:color w:val="auto"/>
          <w:lang w:val="pt-BR"/>
        </w:rPr>
        <w:t>Nathalia de Carvalho Indolfo</w:t>
      </w:r>
      <w:r w:rsidR="00CA1BC4" w:rsidRPr="001220A4">
        <w:rPr>
          <w:rFonts w:asciiTheme="minorHAnsi" w:hAnsiTheme="minorHAnsi" w:cstheme="minorHAnsi"/>
          <w:bCs/>
          <w:color w:val="auto"/>
          <w:vertAlign w:val="superscript"/>
          <w:lang w:val="pt-BR"/>
        </w:rPr>
        <w:t>4</w:t>
      </w:r>
      <w:r w:rsidRPr="001220A4">
        <w:rPr>
          <w:rFonts w:asciiTheme="minorHAnsi" w:hAnsiTheme="minorHAnsi" w:cstheme="minorHAnsi"/>
          <w:bCs/>
          <w:color w:val="auto"/>
          <w:lang w:val="pt-BR"/>
        </w:rPr>
        <w:t>, Silvana Aparecida Rocco</w:t>
      </w:r>
      <w:r w:rsidRPr="001220A4">
        <w:rPr>
          <w:rFonts w:asciiTheme="minorHAnsi" w:hAnsiTheme="minorHAnsi" w:cstheme="minorHAnsi"/>
          <w:bCs/>
          <w:color w:val="auto"/>
          <w:vertAlign w:val="superscript"/>
          <w:lang w:val="pt-BR"/>
        </w:rPr>
        <w:t>1</w:t>
      </w:r>
      <w:r w:rsidRPr="001220A4">
        <w:rPr>
          <w:rFonts w:asciiTheme="minorHAnsi" w:hAnsiTheme="minorHAnsi" w:cstheme="minorHAnsi"/>
          <w:bCs/>
          <w:color w:val="auto"/>
          <w:lang w:val="pt-BR"/>
        </w:rPr>
        <w:t>, Murilo de Carvalho</w:t>
      </w:r>
      <w:r w:rsidRPr="001220A4">
        <w:rPr>
          <w:rFonts w:asciiTheme="minorHAnsi" w:hAnsiTheme="minorHAnsi" w:cstheme="minorHAnsi"/>
          <w:bCs/>
          <w:color w:val="auto"/>
          <w:vertAlign w:val="superscript"/>
          <w:lang w:val="pt-BR"/>
        </w:rPr>
        <w:t>1,</w:t>
      </w:r>
      <w:r w:rsidR="00DD4EEE" w:rsidRPr="001220A4">
        <w:rPr>
          <w:rFonts w:asciiTheme="minorHAnsi" w:hAnsiTheme="minorHAnsi" w:cstheme="minorHAnsi"/>
          <w:bCs/>
          <w:color w:val="auto"/>
          <w:vertAlign w:val="superscript"/>
          <w:lang w:val="pt-BR"/>
        </w:rPr>
        <w:t>2</w:t>
      </w:r>
      <w:r w:rsidR="00DD4EEE" w:rsidRPr="001220A4">
        <w:rPr>
          <w:rFonts w:asciiTheme="minorHAnsi" w:hAnsiTheme="minorHAnsi" w:cstheme="minorHAnsi"/>
          <w:bCs/>
          <w:color w:val="auto"/>
          <w:lang w:val="pt-BR"/>
        </w:rPr>
        <w:t>, Marilia</w:t>
      </w:r>
      <w:r w:rsidR="001017B5" w:rsidRPr="001220A4">
        <w:rPr>
          <w:rFonts w:asciiTheme="minorHAnsi" w:hAnsiTheme="minorHAnsi" w:cstheme="minorHAnsi"/>
          <w:bCs/>
          <w:color w:val="auto"/>
          <w:lang w:val="pt-BR"/>
        </w:rPr>
        <w:t xml:space="preserve"> Meira Dias</w:t>
      </w:r>
      <w:r w:rsidR="001017B5" w:rsidRPr="001220A4">
        <w:rPr>
          <w:rFonts w:asciiTheme="minorHAnsi" w:hAnsiTheme="minorHAnsi" w:cstheme="minorHAnsi"/>
          <w:bCs/>
          <w:color w:val="auto"/>
          <w:vertAlign w:val="superscript"/>
          <w:lang w:val="pt-BR"/>
        </w:rPr>
        <w:t>1</w:t>
      </w:r>
      <w:r w:rsidR="001017B5" w:rsidRPr="001220A4">
        <w:rPr>
          <w:rFonts w:asciiTheme="minorHAnsi" w:hAnsiTheme="minorHAnsi" w:cstheme="minorHAnsi"/>
          <w:bCs/>
          <w:color w:val="auto"/>
          <w:lang w:val="pt-BR"/>
        </w:rPr>
        <w:t>,</w:t>
      </w:r>
      <w:r w:rsidR="007C58E8" w:rsidRPr="001220A4">
        <w:rPr>
          <w:rFonts w:asciiTheme="minorHAnsi" w:hAnsiTheme="minorHAnsi" w:cstheme="minorHAnsi"/>
          <w:bCs/>
          <w:color w:val="auto"/>
          <w:lang w:val="pt-BR"/>
        </w:rPr>
        <w:t>Graziele Izalina Vascancelos Bento</w:t>
      </w:r>
      <w:r w:rsidRPr="001220A4">
        <w:rPr>
          <w:rFonts w:asciiTheme="minorHAnsi" w:hAnsiTheme="minorHAnsi" w:cstheme="minorHAnsi"/>
          <w:bCs/>
          <w:color w:val="auto"/>
          <w:lang w:val="pt-BR"/>
        </w:rPr>
        <w:t xml:space="preserve">, </w:t>
      </w:r>
      <w:r w:rsidR="009D5FE8" w:rsidRPr="001220A4">
        <w:rPr>
          <w:rFonts w:asciiTheme="minorHAnsi" w:hAnsiTheme="minorHAnsi" w:cstheme="minorHAnsi"/>
          <w:bCs/>
          <w:color w:val="auto"/>
          <w:lang w:val="pt-BR"/>
        </w:rPr>
        <w:t>Leandro</w:t>
      </w:r>
      <w:r w:rsidR="000F4AD4" w:rsidRPr="001220A4">
        <w:rPr>
          <w:rFonts w:asciiTheme="minorHAnsi" w:hAnsiTheme="minorHAnsi" w:cstheme="minorHAnsi"/>
          <w:bCs/>
          <w:color w:val="auto"/>
          <w:lang w:val="pt-BR"/>
        </w:rPr>
        <w:t xml:space="preserve"> Oliveira Bortot</w:t>
      </w:r>
      <w:r w:rsidR="009D5FE8" w:rsidRPr="001220A4">
        <w:rPr>
          <w:rFonts w:asciiTheme="minorHAnsi" w:hAnsiTheme="minorHAnsi" w:cstheme="minorHAnsi"/>
          <w:bCs/>
          <w:color w:val="auto"/>
          <w:vertAlign w:val="superscript"/>
          <w:lang w:val="pt-BR"/>
        </w:rPr>
        <w:t>1</w:t>
      </w:r>
      <w:r w:rsidR="009D5FE8" w:rsidRPr="001220A4">
        <w:rPr>
          <w:rFonts w:asciiTheme="minorHAnsi" w:hAnsiTheme="minorHAnsi" w:cstheme="minorHAnsi"/>
          <w:bCs/>
          <w:color w:val="auto"/>
          <w:lang w:val="pt-BR"/>
        </w:rPr>
        <w:t xml:space="preserve">, </w:t>
      </w:r>
      <w:r w:rsidR="007C58E8" w:rsidRPr="001220A4">
        <w:rPr>
          <w:rFonts w:asciiTheme="minorHAnsi" w:hAnsiTheme="minorHAnsi" w:cstheme="minorHAnsi"/>
          <w:bCs/>
          <w:color w:val="auto"/>
          <w:lang w:val="pt-BR"/>
        </w:rPr>
        <w:t>Desirée Cigaran Schuck</w:t>
      </w:r>
      <w:r w:rsidR="007C58E8" w:rsidRPr="001220A4">
        <w:rPr>
          <w:rFonts w:asciiTheme="minorHAnsi" w:hAnsiTheme="minorHAnsi" w:cstheme="minorHAnsi"/>
          <w:bCs/>
          <w:color w:val="auto"/>
          <w:vertAlign w:val="superscript"/>
          <w:lang w:val="pt-BR"/>
        </w:rPr>
        <w:t>3</w:t>
      </w:r>
      <w:r w:rsidR="007C58E8" w:rsidRPr="001220A4">
        <w:rPr>
          <w:rFonts w:asciiTheme="minorHAnsi" w:hAnsiTheme="minorHAnsi" w:cstheme="minorHAnsi"/>
          <w:bCs/>
          <w:color w:val="auto"/>
          <w:lang w:val="pt-BR"/>
        </w:rPr>
        <w:t xml:space="preserve"> , Márcio Lorencini</w:t>
      </w:r>
      <w:r w:rsidR="007C58E8" w:rsidRPr="001220A4">
        <w:rPr>
          <w:rFonts w:asciiTheme="minorHAnsi" w:hAnsiTheme="minorHAnsi" w:cstheme="minorHAnsi"/>
          <w:bCs/>
          <w:color w:val="auto"/>
          <w:vertAlign w:val="superscript"/>
          <w:lang w:val="pt-BR"/>
        </w:rPr>
        <w:t>3</w:t>
      </w:r>
      <w:r w:rsidR="007C58E8" w:rsidRPr="001220A4">
        <w:rPr>
          <w:rFonts w:asciiTheme="minorHAnsi" w:hAnsiTheme="minorHAnsi" w:cstheme="minorHAnsi"/>
          <w:bCs/>
          <w:color w:val="auto"/>
          <w:lang w:val="pt-BR"/>
        </w:rPr>
        <w:t>,</w:t>
      </w:r>
      <w:r w:rsidR="008E4F90">
        <w:rPr>
          <w:rFonts w:asciiTheme="minorHAnsi" w:hAnsiTheme="minorHAnsi" w:cstheme="minorHAnsi"/>
          <w:bCs/>
          <w:color w:val="auto"/>
          <w:lang w:val="pt-BR"/>
        </w:rPr>
        <w:t xml:space="preserve"> </w:t>
      </w:r>
      <w:r w:rsidRPr="001220A4">
        <w:rPr>
          <w:rFonts w:asciiTheme="minorHAnsi" w:hAnsiTheme="minorHAnsi" w:cstheme="minorHAnsi"/>
          <w:bCs/>
          <w:color w:val="auto"/>
          <w:lang w:val="pt-BR"/>
        </w:rPr>
        <w:t>Eduardo Pagani</w:t>
      </w:r>
    </w:p>
    <w:p w14:paraId="0391BFCD" w14:textId="77777777" w:rsidR="00263F42" w:rsidRPr="001220A4" w:rsidRDefault="00263F42" w:rsidP="0054535F">
      <w:pPr>
        <w:ind w:right="4"/>
        <w:contextualSpacing/>
        <w:rPr>
          <w:rFonts w:asciiTheme="minorHAnsi" w:hAnsiTheme="minorHAnsi" w:cstheme="minorHAnsi"/>
          <w:bCs/>
          <w:color w:val="auto"/>
          <w:lang w:val="pt-BR"/>
        </w:rPr>
      </w:pPr>
    </w:p>
    <w:p w14:paraId="0977C68F" w14:textId="5BB42AF3" w:rsidR="00263F42" w:rsidRPr="008E4F90" w:rsidRDefault="00263F42" w:rsidP="0054535F">
      <w:pPr>
        <w:pStyle w:val="ListParagraph"/>
        <w:numPr>
          <w:ilvl w:val="0"/>
          <w:numId w:val="40"/>
        </w:numPr>
        <w:ind w:left="0" w:right="4" w:firstLine="0"/>
        <w:rPr>
          <w:rFonts w:asciiTheme="minorHAnsi" w:hAnsiTheme="minorHAnsi" w:cstheme="minorHAnsi"/>
          <w:bCs/>
          <w:color w:val="auto"/>
          <w:vertAlign w:val="superscript"/>
        </w:rPr>
      </w:pPr>
      <w:r w:rsidRPr="008E4F90">
        <w:rPr>
          <w:rFonts w:asciiTheme="minorHAnsi" w:hAnsiTheme="minorHAnsi" w:cstheme="minorHAnsi"/>
          <w:bCs/>
          <w:color w:val="auto"/>
        </w:rPr>
        <w:t>Brazilian Biosciences National Laboratory (</w:t>
      </w:r>
      <w:proofErr w:type="spellStart"/>
      <w:r w:rsidRPr="008E4F90">
        <w:rPr>
          <w:rFonts w:asciiTheme="minorHAnsi" w:hAnsiTheme="minorHAnsi" w:cstheme="minorHAnsi"/>
          <w:bCs/>
          <w:color w:val="auto"/>
        </w:rPr>
        <w:t>LNBio</w:t>
      </w:r>
      <w:proofErr w:type="spellEnd"/>
      <w:r w:rsidRPr="008E4F90">
        <w:rPr>
          <w:rFonts w:asciiTheme="minorHAnsi" w:hAnsiTheme="minorHAnsi" w:cstheme="minorHAnsi"/>
          <w:bCs/>
          <w:color w:val="auto"/>
        </w:rPr>
        <w:t>), Brazilian Center for Research in Energy and Materials (CNPEM), Campinas, São Paulo, Brazil</w:t>
      </w:r>
      <w:r w:rsidRPr="008E4F90">
        <w:rPr>
          <w:rFonts w:asciiTheme="minorHAnsi" w:hAnsiTheme="minorHAnsi" w:cstheme="minorHAnsi"/>
          <w:bCs/>
          <w:color w:val="auto"/>
          <w:vertAlign w:val="superscript"/>
        </w:rPr>
        <w:t xml:space="preserve"> </w:t>
      </w:r>
    </w:p>
    <w:p w14:paraId="24DEF9F5" w14:textId="12E7BDA7" w:rsidR="007C58E8" w:rsidRPr="008E4F90" w:rsidRDefault="00263F42" w:rsidP="0054535F">
      <w:pPr>
        <w:pStyle w:val="ListParagraph"/>
        <w:numPr>
          <w:ilvl w:val="0"/>
          <w:numId w:val="40"/>
        </w:numPr>
        <w:ind w:left="0" w:right="4" w:firstLine="0"/>
        <w:rPr>
          <w:rFonts w:asciiTheme="minorHAnsi" w:hAnsiTheme="minorHAnsi" w:cstheme="minorHAnsi"/>
          <w:bCs/>
          <w:color w:val="auto"/>
        </w:rPr>
      </w:pPr>
      <w:r w:rsidRPr="008E4F90">
        <w:rPr>
          <w:rFonts w:asciiTheme="minorHAnsi" w:hAnsiTheme="minorHAnsi" w:cstheme="minorHAnsi"/>
          <w:bCs/>
          <w:color w:val="auto"/>
        </w:rPr>
        <w:t>Brazilian Synchrotron Light Laboratory (LNLS), Brazilian Center for Research in Energy and Materials (CNPEM), Campinas, São Paulo, Brazil</w:t>
      </w:r>
    </w:p>
    <w:p w14:paraId="1DA0F2F3" w14:textId="4B365008" w:rsidR="000F4AD4" w:rsidRPr="008E4F90" w:rsidRDefault="007C58E8" w:rsidP="0054535F">
      <w:pPr>
        <w:pStyle w:val="ListParagraph"/>
        <w:numPr>
          <w:ilvl w:val="0"/>
          <w:numId w:val="40"/>
        </w:numPr>
        <w:ind w:left="0" w:right="4" w:firstLine="0"/>
        <w:rPr>
          <w:rFonts w:asciiTheme="minorHAnsi" w:hAnsiTheme="minorHAnsi" w:cstheme="minorHAnsi"/>
          <w:bCs/>
          <w:color w:val="auto"/>
        </w:rPr>
      </w:pPr>
      <w:r w:rsidRPr="008E4F90">
        <w:rPr>
          <w:rFonts w:asciiTheme="minorHAnsi" w:hAnsiTheme="minorHAnsi" w:cstheme="minorHAnsi"/>
          <w:bCs/>
          <w:color w:val="auto"/>
        </w:rPr>
        <w:t xml:space="preserve">Grupo </w:t>
      </w:r>
      <w:proofErr w:type="spellStart"/>
      <w:r w:rsidRPr="008E4F90">
        <w:rPr>
          <w:rFonts w:asciiTheme="minorHAnsi" w:hAnsiTheme="minorHAnsi" w:cstheme="minorHAnsi"/>
          <w:bCs/>
          <w:color w:val="auto"/>
        </w:rPr>
        <w:t>Boticário</w:t>
      </w:r>
      <w:proofErr w:type="spellEnd"/>
      <w:r w:rsidRPr="008E4F90">
        <w:rPr>
          <w:rFonts w:asciiTheme="minorHAnsi" w:hAnsiTheme="minorHAnsi" w:cstheme="minorHAnsi"/>
          <w:bCs/>
          <w:color w:val="auto"/>
        </w:rPr>
        <w:t xml:space="preserve">, São José dos </w:t>
      </w:r>
      <w:proofErr w:type="spellStart"/>
      <w:r w:rsidRPr="008E4F90">
        <w:rPr>
          <w:rFonts w:asciiTheme="minorHAnsi" w:hAnsiTheme="minorHAnsi" w:cstheme="minorHAnsi"/>
          <w:bCs/>
          <w:color w:val="auto"/>
        </w:rPr>
        <w:t>Pinhais</w:t>
      </w:r>
      <w:proofErr w:type="spellEnd"/>
      <w:r w:rsidRPr="008E4F90">
        <w:rPr>
          <w:rFonts w:asciiTheme="minorHAnsi" w:hAnsiTheme="minorHAnsi" w:cstheme="minorHAnsi"/>
          <w:bCs/>
          <w:color w:val="auto"/>
        </w:rPr>
        <w:t>, Brazi</w:t>
      </w:r>
      <w:r w:rsidR="00E75682" w:rsidRPr="008E4F90">
        <w:rPr>
          <w:rFonts w:asciiTheme="minorHAnsi" w:hAnsiTheme="minorHAnsi" w:cstheme="minorHAnsi"/>
          <w:bCs/>
          <w:color w:val="auto"/>
        </w:rPr>
        <w:t>l</w:t>
      </w:r>
    </w:p>
    <w:p w14:paraId="25F7E466" w14:textId="42E93696" w:rsidR="00CA1BC4" w:rsidRPr="008E4F90" w:rsidRDefault="00CA1BC4" w:rsidP="0054535F">
      <w:pPr>
        <w:pStyle w:val="ListParagraph"/>
        <w:numPr>
          <w:ilvl w:val="0"/>
          <w:numId w:val="40"/>
        </w:numPr>
        <w:ind w:left="0" w:right="4" w:firstLine="0"/>
        <w:rPr>
          <w:rFonts w:asciiTheme="minorHAnsi" w:hAnsiTheme="minorHAnsi" w:cstheme="minorHAnsi"/>
          <w:bCs/>
          <w:color w:val="auto"/>
        </w:rPr>
      </w:pPr>
      <w:r w:rsidRPr="008E4F90">
        <w:rPr>
          <w:rFonts w:asciiTheme="minorHAnsi" w:hAnsiTheme="minorHAnsi" w:cstheme="minorHAnsi"/>
          <w:bCs/>
          <w:color w:val="auto"/>
        </w:rPr>
        <w:t>Institute of Biology, University of Campinas, Campinas, São Paulo, Brazil</w:t>
      </w:r>
    </w:p>
    <w:p w14:paraId="202E1CEA" w14:textId="77777777" w:rsidR="00263F42" w:rsidRPr="001220A4" w:rsidRDefault="00263F42" w:rsidP="0054535F">
      <w:pPr>
        <w:ind w:right="4"/>
        <w:contextualSpacing/>
        <w:rPr>
          <w:rFonts w:asciiTheme="minorHAnsi" w:hAnsiTheme="minorHAnsi" w:cstheme="minorHAnsi"/>
          <w:bCs/>
          <w:color w:val="auto"/>
        </w:rPr>
      </w:pPr>
    </w:p>
    <w:p w14:paraId="241807A3" w14:textId="77777777" w:rsidR="00263F42" w:rsidRPr="001220A4" w:rsidRDefault="00263F42" w:rsidP="0054535F">
      <w:pPr>
        <w:ind w:right="4"/>
        <w:contextualSpacing/>
        <w:rPr>
          <w:rFonts w:asciiTheme="minorHAnsi" w:hAnsiTheme="minorHAnsi" w:cstheme="minorHAnsi"/>
          <w:bCs/>
          <w:color w:val="auto"/>
        </w:rPr>
      </w:pPr>
      <w:r w:rsidRPr="001220A4">
        <w:rPr>
          <w:rFonts w:asciiTheme="minorHAnsi" w:hAnsiTheme="minorHAnsi" w:cstheme="minorHAnsi"/>
          <w:bCs/>
          <w:color w:val="auto"/>
        </w:rPr>
        <w:t>Email addresses of co-authors:</w:t>
      </w:r>
    </w:p>
    <w:p w14:paraId="48E9CEC2" w14:textId="0221729C" w:rsidR="00263F42" w:rsidRPr="001220A4" w:rsidRDefault="00263F42" w:rsidP="0054535F">
      <w:pPr>
        <w:pStyle w:val="NormalWeb"/>
        <w:spacing w:before="0" w:beforeAutospacing="0" w:after="0" w:afterAutospacing="0"/>
        <w:ind w:right="4"/>
        <w:contextualSpacing/>
        <w:rPr>
          <w:rFonts w:asciiTheme="minorHAnsi" w:hAnsiTheme="minorHAnsi" w:cstheme="minorHAnsi"/>
          <w:bCs/>
          <w:color w:val="auto"/>
          <w:lang w:val="pt-BR"/>
        </w:rPr>
      </w:pPr>
      <w:r w:rsidRPr="001220A4">
        <w:rPr>
          <w:rFonts w:asciiTheme="minorHAnsi" w:hAnsiTheme="minorHAnsi" w:cstheme="minorHAnsi"/>
          <w:bCs/>
          <w:color w:val="auto"/>
          <w:lang w:val="pt-BR"/>
        </w:rPr>
        <w:t>Nathalia C Indolfo (</w:t>
      </w:r>
      <w:hyperlink r:id="rId8" w:history="1">
        <w:r w:rsidRPr="001220A4">
          <w:rPr>
            <w:rStyle w:val="Hyperlink"/>
            <w:rFonts w:asciiTheme="minorHAnsi" w:hAnsiTheme="minorHAnsi" w:cstheme="minorHAnsi"/>
            <w:bCs/>
            <w:color w:val="auto"/>
            <w:lang w:val="pt-BR"/>
          </w:rPr>
          <w:t>nathaliaindolfo@gmail.com</w:t>
        </w:r>
      </w:hyperlink>
      <w:r w:rsidRPr="001220A4">
        <w:rPr>
          <w:rFonts w:asciiTheme="minorHAnsi" w:hAnsiTheme="minorHAnsi" w:cstheme="minorHAnsi"/>
          <w:bCs/>
          <w:color w:val="auto"/>
          <w:lang w:val="pt-BR"/>
        </w:rPr>
        <w:t>)</w:t>
      </w:r>
    </w:p>
    <w:p w14:paraId="4CADBA73" w14:textId="3D3EED3B" w:rsidR="00263F42" w:rsidRPr="001220A4" w:rsidRDefault="00263F42" w:rsidP="0054535F">
      <w:pPr>
        <w:pStyle w:val="NormalWeb"/>
        <w:spacing w:before="0" w:beforeAutospacing="0" w:after="0" w:afterAutospacing="0"/>
        <w:ind w:right="4"/>
        <w:contextualSpacing/>
        <w:rPr>
          <w:rFonts w:asciiTheme="minorHAnsi" w:hAnsiTheme="minorHAnsi" w:cstheme="minorHAnsi"/>
          <w:bCs/>
          <w:color w:val="auto"/>
          <w:lang w:val="pt-BR"/>
        </w:rPr>
      </w:pPr>
      <w:r w:rsidRPr="001220A4">
        <w:rPr>
          <w:rFonts w:asciiTheme="minorHAnsi" w:hAnsiTheme="minorHAnsi" w:cstheme="minorHAnsi"/>
          <w:bCs/>
          <w:color w:val="auto"/>
          <w:lang w:val="pt-BR"/>
        </w:rPr>
        <w:t>Silvana A Rocco (</w:t>
      </w:r>
      <w:hyperlink r:id="rId9" w:history="1">
        <w:r w:rsidRPr="001220A4">
          <w:rPr>
            <w:rStyle w:val="Hyperlink"/>
            <w:rFonts w:asciiTheme="minorHAnsi" w:hAnsiTheme="minorHAnsi" w:cstheme="minorHAnsi"/>
            <w:bCs/>
            <w:color w:val="auto"/>
            <w:lang w:val="pt-BR"/>
          </w:rPr>
          <w:t>silvana.rocco@lnbio.cnpem.br</w:t>
        </w:r>
      </w:hyperlink>
      <w:r w:rsidRPr="001220A4">
        <w:rPr>
          <w:rFonts w:asciiTheme="minorHAnsi" w:hAnsiTheme="minorHAnsi" w:cstheme="minorHAnsi"/>
          <w:bCs/>
          <w:color w:val="auto"/>
          <w:lang w:val="pt-BR"/>
        </w:rPr>
        <w:t>)</w:t>
      </w:r>
    </w:p>
    <w:p w14:paraId="3FD69CAD" w14:textId="46591182" w:rsidR="00263F42" w:rsidRPr="001220A4" w:rsidRDefault="00263F42" w:rsidP="0054535F">
      <w:pPr>
        <w:pStyle w:val="NormalWeb"/>
        <w:spacing w:before="0" w:beforeAutospacing="0" w:after="0" w:afterAutospacing="0"/>
        <w:ind w:right="4"/>
        <w:contextualSpacing/>
        <w:rPr>
          <w:rFonts w:asciiTheme="minorHAnsi" w:hAnsiTheme="minorHAnsi" w:cstheme="minorHAnsi"/>
          <w:bCs/>
          <w:color w:val="auto"/>
          <w:lang w:val="pt-BR"/>
        </w:rPr>
      </w:pPr>
      <w:r w:rsidRPr="001220A4">
        <w:rPr>
          <w:rFonts w:asciiTheme="minorHAnsi" w:hAnsiTheme="minorHAnsi" w:cstheme="minorHAnsi"/>
          <w:bCs/>
          <w:color w:val="auto"/>
          <w:lang w:val="pt-BR"/>
        </w:rPr>
        <w:t>Murilo de Carvalho (</w:t>
      </w:r>
      <w:hyperlink r:id="rId10" w:history="1">
        <w:r w:rsidRPr="001220A4">
          <w:rPr>
            <w:rStyle w:val="Hyperlink"/>
            <w:rFonts w:asciiTheme="minorHAnsi" w:hAnsiTheme="minorHAnsi" w:cstheme="minorHAnsi"/>
            <w:bCs/>
            <w:color w:val="auto"/>
            <w:lang w:val="pt-BR"/>
          </w:rPr>
          <w:t>murilo.carvalho@lnbio.cnpem.br</w:t>
        </w:r>
      </w:hyperlink>
      <w:r w:rsidRPr="001220A4">
        <w:rPr>
          <w:rFonts w:asciiTheme="minorHAnsi" w:hAnsiTheme="minorHAnsi" w:cstheme="minorHAnsi"/>
          <w:bCs/>
          <w:color w:val="auto"/>
          <w:lang w:val="pt-BR"/>
        </w:rPr>
        <w:t>)</w:t>
      </w:r>
    </w:p>
    <w:p w14:paraId="37B6402D" w14:textId="77777777" w:rsidR="001017B5" w:rsidRPr="001220A4" w:rsidRDefault="001017B5" w:rsidP="0054535F">
      <w:pPr>
        <w:pStyle w:val="NormalWeb"/>
        <w:spacing w:before="0" w:beforeAutospacing="0" w:after="0" w:afterAutospacing="0"/>
        <w:ind w:right="4"/>
        <w:contextualSpacing/>
        <w:rPr>
          <w:rFonts w:asciiTheme="minorHAnsi" w:hAnsiTheme="minorHAnsi" w:cstheme="minorHAnsi"/>
          <w:bCs/>
          <w:color w:val="auto"/>
          <w:lang w:val="pt-BR"/>
        </w:rPr>
      </w:pPr>
      <w:r w:rsidRPr="001220A4">
        <w:rPr>
          <w:rFonts w:asciiTheme="minorHAnsi" w:hAnsiTheme="minorHAnsi" w:cstheme="minorHAnsi"/>
          <w:bCs/>
          <w:color w:val="auto"/>
          <w:lang w:val="pt-BR"/>
        </w:rPr>
        <w:t>Marilia M Dias (</w:t>
      </w:r>
      <w:hyperlink r:id="rId11" w:history="1">
        <w:r w:rsidRPr="001220A4">
          <w:rPr>
            <w:rStyle w:val="Hyperlink"/>
            <w:rFonts w:asciiTheme="minorHAnsi" w:hAnsiTheme="minorHAnsi" w:cstheme="minorHAnsi"/>
            <w:bCs/>
            <w:color w:val="auto"/>
            <w:lang w:val="pt-BR"/>
          </w:rPr>
          <w:t>marilia.dias@lnbio.cnpem.br</w:t>
        </w:r>
      </w:hyperlink>
      <w:r w:rsidRPr="001220A4">
        <w:rPr>
          <w:rFonts w:asciiTheme="minorHAnsi" w:hAnsiTheme="minorHAnsi" w:cstheme="minorHAnsi"/>
          <w:bCs/>
          <w:color w:val="auto"/>
          <w:lang w:val="pt-BR"/>
        </w:rPr>
        <w:t>)</w:t>
      </w:r>
    </w:p>
    <w:p w14:paraId="24528E16" w14:textId="749DE23E" w:rsidR="007C58E8" w:rsidRPr="001220A4" w:rsidRDefault="007C58E8" w:rsidP="0054535F">
      <w:pPr>
        <w:pStyle w:val="NormalWeb"/>
        <w:spacing w:before="0" w:beforeAutospacing="0" w:after="0" w:afterAutospacing="0"/>
        <w:ind w:right="4"/>
        <w:contextualSpacing/>
        <w:rPr>
          <w:rFonts w:asciiTheme="minorHAnsi" w:hAnsiTheme="minorHAnsi" w:cstheme="minorHAnsi"/>
          <w:bCs/>
          <w:color w:val="auto"/>
          <w:lang w:val="pt-BR"/>
        </w:rPr>
      </w:pPr>
      <w:r w:rsidRPr="001220A4">
        <w:rPr>
          <w:rFonts w:asciiTheme="minorHAnsi" w:hAnsiTheme="minorHAnsi" w:cstheme="minorHAnsi"/>
          <w:bCs/>
          <w:color w:val="auto"/>
          <w:lang w:val="pt-BR"/>
        </w:rPr>
        <w:t>Graziele Izalina Vasconcelos Bento (</w:t>
      </w:r>
      <w:r w:rsidR="00CA1BC4" w:rsidRPr="001220A4">
        <w:rPr>
          <w:rFonts w:asciiTheme="minorHAnsi" w:hAnsiTheme="minorHAnsi" w:cstheme="minorHAnsi"/>
        </w:rPr>
        <w:t>grazivasconcelosb@gmail.com</w:t>
      </w:r>
      <w:r w:rsidRPr="001220A4">
        <w:rPr>
          <w:rFonts w:asciiTheme="minorHAnsi" w:hAnsiTheme="minorHAnsi" w:cstheme="minorHAnsi"/>
          <w:bCs/>
          <w:color w:val="auto"/>
          <w:lang w:val="pt-BR"/>
        </w:rPr>
        <w:t>)</w:t>
      </w:r>
    </w:p>
    <w:p w14:paraId="08344DB2" w14:textId="1228CA6F" w:rsidR="009D5FE8" w:rsidRPr="001220A4" w:rsidRDefault="009D5FE8" w:rsidP="0054535F">
      <w:pPr>
        <w:pStyle w:val="NormalWeb"/>
        <w:spacing w:before="0" w:beforeAutospacing="0" w:after="0" w:afterAutospacing="0"/>
        <w:ind w:right="4"/>
        <w:contextualSpacing/>
        <w:rPr>
          <w:rFonts w:asciiTheme="minorHAnsi" w:hAnsiTheme="minorHAnsi" w:cstheme="minorHAnsi"/>
          <w:bCs/>
          <w:color w:val="auto"/>
          <w:lang w:val="pt-BR"/>
        </w:rPr>
      </w:pPr>
      <w:r w:rsidRPr="001220A4">
        <w:rPr>
          <w:rFonts w:asciiTheme="minorHAnsi" w:hAnsiTheme="minorHAnsi" w:cstheme="minorHAnsi"/>
          <w:bCs/>
          <w:color w:val="auto"/>
          <w:lang w:val="pt-BR"/>
        </w:rPr>
        <w:t>Leandro</w:t>
      </w:r>
      <w:r w:rsidR="000F4AD4" w:rsidRPr="001220A4">
        <w:rPr>
          <w:rFonts w:asciiTheme="minorHAnsi" w:hAnsiTheme="minorHAnsi" w:cstheme="minorHAnsi"/>
          <w:bCs/>
          <w:color w:val="auto"/>
          <w:lang w:val="pt-BR"/>
        </w:rPr>
        <w:t xml:space="preserve"> oliveira Bortot</w:t>
      </w:r>
      <w:r w:rsidRPr="001220A4">
        <w:rPr>
          <w:rFonts w:asciiTheme="minorHAnsi" w:hAnsiTheme="minorHAnsi" w:cstheme="minorHAnsi"/>
          <w:bCs/>
          <w:color w:val="auto"/>
          <w:lang w:val="pt-BR"/>
        </w:rPr>
        <w:t xml:space="preserve"> (</w:t>
      </w:r>
      <w:r w:rsidR="000F4AD4" w:rsidRPr="001220A4">
        <w:rPr>
          <w:rFonts w:asciiTheme="minorHAnsi" w:hAnsiTheme="minorHAnsi" w:cstheme="minorHAnsi"/>
          <w:bCs/>
          <w:color w:val="auto"/>
          <w:lang w:val="pt-BR"/>
        </w:rPr>
        <w:t>leandro.bortot</w:t>
      </w:r>
      <w:r w:rsidRPr="001220A4">
        <w:rPr>
          <w:rFonts w:asciiTheme="minorHAnsi" w:hAnsiTheme="minorHAnsi" w:cstheme="minorHAnsi"/>
          <w:bCs/>
          <w:color w:val="auto"/>
          <w:lang w:val="pt-BR"/>
        </w:rPr>
        <w:t xml:space="preserve"> @lnbio.cnpem.br)</w:t>
      </w:r>
    </w:p>
    <w:p w14:paraId="250F2E84" w14:textId="7F45BE24" w:rsidR="003F4860" w:rsidRPr="001220A4" w:rsidRDefault="003F4860" w:rsidP="0054535F">
      <w:pPr>
        <w:pStyle w:val="NormalWeb"/>
        <w:spacing w:before="0" w:beforeAutospacing="0" w:after="0" w:afterAutospacing="0"/>
        <w:ind w:right="4"/>
        <w:contextualSpacing/>
        <w:rPr>
          <w:rFonts w:asciiTheme="minorHAnsi" w:hAnsiTheme="minorHAnsi" w:cstheme="minorHAnsi"/>
          <w:bCs/>
          <w:color w:val="auto"/>
          <w:lang w:val="pt-BR"/>
        </w:rPr>
      </w:pPr>
      <w:r w:rsidRPr="001220A4">
        <w:rPr>
          <w:rFonts w:asciiTheme="minorHAnsi" w:hAnsiTheme="minorHAnsi" w:cstheme="minorHAnsi"/>
          <w:bCs/>
          <w:color w:val="auto"/>
          <w:lang w:val="pt-BR"/>
        </w:rPr>
        <w:t>Desirée Cigaran Schuck (desirees@grupoboticario.com.br)</w:t>
      </w:r>
    </w:p>
    <w:p w14:paraId="2B90FA2D" w14:textId="02847C98" w:rsidR="008C26CC" w:rsidRPr="001220A4" w:rsidRDefault="008C26CC" w:rsidP="0054535F">
      <w:pPr>
        <w:pStyle w:val="NormalWeb"/>
        <w:spacing w:before="0" w:beforeAutospacing="0" w:after="0" w:afterAutospacing="0"/>
        <w:ind w:right="4"/>
        <w:contextualSpacing/>
        <w:rPr>
          <w:rFonts w:asciiTheme="minorHAnsi" w:hAnsiTheme="minorHAnsi" w:cstheme="minorHAnsi"/>
          <w:bCs/>
          <w:color w:val="auto"/>
          <w:lang w:val="pt-BR"/>
        </w:rPr>
      </w:pPr>
      <w:r w:rsidRPr="001220A4">
        <w:rPr>
          <w:rFonts w:asciiTheme="minorHAnsi" w:hAnsiTheme="minorHAnsi" w:cstheme="minorHAnsi"/>
          <w:bCs/>
          <w:color w:val="auto"/>
          <w:lang w:val="pt-BR"/>
        </w:rPr>
        <w:t xml:space="preserve">Márcio </w:t>
      </w:r>
      <w:r w:rsidR="003F4860" w:rsidRPr="001220A4">
        <w:rPr>
          <w:rFonts w:asciiTheme="minorHAnsi" w:hAnsiTheme="minorHAnsi" w:cstheme="minorHAnsi"/>
          <w:bCs/>
          <w:color w:val="auto"/>
          <w:lang w:val="pt-BR"/>
        </w:rPr>
        <w:t>Lorencini (marciolo@grupoboticario.com.br)</w:t>
      </w:r>
    </w:p>
    <w:p w14:paraId="2FD769E5" w14:textId="6E0FE6C4" w:rsidR="00263F42" w:rsidRPr="001220A4" w:rsidRDefault="00263F42" w:rsidP="0054535F">
      <w:pPr>
        <w:pStyle w:val="NormalWeb"/>
        <w:spacing w:before="0" w:beforeAutospacing="0" w:after="0" w:afterAutospacing="0"/>
        <w:ind w:right="4"/>
        <w:contextualSpacing/>
        <w:rPr>
          <w:rFonts w:asciiTheme="minorHAnsi" w:hAnsiTheme="minorHAnsi" w:cstheme="minorHAnsi"/>
          <w:bCs/>
          <w:color w:val="auto"/>
          <w:lang w:val="pt-BR"/>
        </w:rPr>
      </w:pPr>
      <w:r w:rsidRPr="001220A4">
        <w:rPr>
          <w:rFonts w:asciiTheme="minorHAnsi" w:hAnsiTheme="minorHAnsi" w:cstheme="minorHAnsi"/>
          <w:bCs/>
          <w:color w:val="auto"/>
          <w:lang w:val="pt-BR"/>
        </w:rPr>
        <w:t>Eduardo Pagani (</w:t>
      </w:r>
      <w:r w:rsidR="00CA1BC4" w:rsidRPr="001220A4">
        <w:rPr>
          <w:rFonts w:asciiTheme="minorHAnsi" w:hAnsiTheme="minorHAnsi" w:cstheme="minorHAnsi"/>
        </w:rPr>
        <w:t>edupagani@terra.com.br</w:t>
      </w:r>
      <w:r w:rsidRPr="001220A4">
        <w:rPr>
          <w:rFonts w:asciiTheme="minorHAnsi" w:hAnsiTheme="minorHAnsi" w:cstheme="minorHAnsi"/>
          <w:bCs/>
          <w:color w:val="auto"/>
          <w:lang w:val="pt-BR"/>
        </w:rPr>
        <w:t>)</w:t>
      </w:r>
    </w:p>
    <w:p w14:paraId="76063414" w14:textId="77777777" w:rsidR="00263F42" w:rsidRPr="001220A4" w:rsidRDefault="00263F42" w:rsidP="0054535F">
      <w:pPr>
        <w:pStyle w:val="NormalWeb"/>
        <w:spacing w:before="0" w:beforeAutospacing="0" w:after="0" w:afterAutospacing="0"/>
        <w:ind w:right="4"/>
        <w:contextualSpacing/>
        <w:rPr>
          <w:rFonts w:asciiTheme="minorHAnsi" w:hAnsiTheme="minorHAnsi" w:cstheme="minorHAnsi"/>
          <w:bCs/>
          <w:color w:val="auto"/>
          <w:lang w:val="pt-BR"/>
        </w:rPr>
      </w:pPr>
    </w:p>
    <w:p w14:paraId="6708E4D1" w14:textId="77777777" w:rsidR="00263F42" w:rsidRPr="001220A4" w:rsidRDefault="00263F42" w:rsidP="0054535F">
      <w:pPr>
        <w:ind w:right="4"/>
        <w:contextualSpacing/>
        <w:rPr>
          <w:rFonts w:asciiTheme="minorHAnsi" w:hAnsiTheme="minorHAnsi" w:cstheme="minorHAnsi"/>
          <w:bCs/>
          <w:color w:val="auto"/>
        </w:rPr>
      </w:pPr>
      <w:r w:rsidRPr="001220A4">
        <w:rPr>
          <w:rFonts w:asciiTheme="minorHAnsi" w:hAnsiTheme="minorHAnsi" w:cstheme="minorHAnsi"/>
          <w:bCs/>
          <w:color w:val="auto"/>
        </w:rPr>
        <w:t xml:space="preserve">Corresponding author: </w:t>
      </w:r>
    </w:p>
    <w:p w14:paraId="5B3F0203" w14:textId="6BE767FE" w:rsidR="00263F42" w:rsidRPr="001220A4" w:rsidRDefault="00263F42" w:rsidP="0054535F">
      <w:pPr>
        <w:ind w:right="4"/>
        <w:contextualSpacing/>
        <w:rPr>
          <w:rFonts w:asciiTheme="minorHAnsi" w:hAnsiTheme="minorHAnsi" w:cstheme="minorHAnsi"/>
          <w:bCs/>
          <w:color w:val="auto"/>
        </w:rPr>
      </w:pPr>
      <w:r w:rsidRPr="001220A4">
        <w:rPr>
          <w:rFonts w:asciiTheme="minorHAnsi" w:hAnsiTheme="minorHAnsi" w:cstheme="minorHAnsi"/>
          <w:bCs/>
          <w:color w:val="auto"/>
        </w:rPr>
        <w:t xml:space="preserve">Talita M </w:t>
      </w:r>
      <w:r w:rsidR="003F4860" w:rsidRPr="001220A4">
        <w:rPr>
          <w:rFonts w:asciiTheme="minorHAnsi" w:hAnsiTheme="minorHAnsi" w:cstheme="minorHAnsi"/>
          <w:bCs/>
          <w:color w:val="auto"/>
        </w:rPr>
        <w:t>Marin (</w:t>
      </w:r>
      <w:r w:rsidRPr="001220A4">
        <w:rPr>
          <w:rFonts w:asciiTheme="minorHAnsi" w:hAnsiTheme="minorHAnsi" w:cstheme="minorHAnsi"/>
          <w:bCs/>
          <w:color w:val="auto"/>
        </w:rPr>
        <w:t>talita.marin@lnbio.cnpem.br)</w:t>
      </w:r>
    </w:p>
    <w:p w14:paraId="1B3D0FFF" w14:textId="77777777" w:rsidR="00263F42" w:rsidRPr="001220A4" w:rsidRDefault="00263F42" w:rsidP="0054535F">
      <w:pPr>
        <w:ind w:right="4"/>
        <w:contextualSpacing/>
        <w:rPr>
          <w:rFonts w:asciiTheme="minorHAnsi" w:hAnsiTheme="minorHAnsi" w:cstheme="minorHAnsi"/>
          <w:color w:val="808080" w:themeColor="background1" w:themeShade="80"/>
        </w:rPr>
      </w:pPr>
    </w:p>
    <w:p w14:paraId="109B7A7D" w14:textId="77777777" w:rsidR="00263F42" w:rsidRPr="001220A4" w:rsidRDefault="00263F42" w:rsidP="0054535F">
      <w:pPr>
        <w:pStyle w:val="NormalWeb"/>
        <w:spacing w:before="0" w:beforeAutospacing="0" w:after="0" w:afterAutospacing="0"/>
        <w:ind w:right="4"/>
        <w:contextualSpacing/>
        <w:rPr>
          <w:rFonts w:asciiTheme="minorHAnsi" w:hAnsiTheme="minorHAnsi" w:cstheme="minorHAnsi"/>
        </w:rPr>
      </w:pPr>
      <w:r w:rsidRPr="001220A4">
        <w:rPr>
          <w:rFonts w:asciiTheme="minorHAnsi" w:hAnsiTheme="minorHAnsi" w:cstheme="minorHAnsi"/>
          <w:b/>
          <w:bCs/>
        </w:rPr>
        <w:t>KEYWORDS:</w:t>
      </w:r>
      <w:r w:rsidRPr="001220A4">
        <w:rPr>
          <w:rFonts w:asciiTheme="minorHAnsi" w:hAnsiTheme="minorHAnsi" w:cstheme="minorHAnsi"/>
        </w:rPr>
        <w:t xml:space="preserve"> </w:t>
      </w:r>
    </w:p>
    <w:p w14:paraId="37B6C083" w14:textId="34C23B6E" w:rsidR="00263F42" w:rsidRPr="001220A4" w:rsidRDefault="00263F42" w:rsidP="0054535F">
      <w:pPr>
        <w:ind w:right="4"/>
        <w:contextualSpacing/>
        <w:rPr>
          <w:rFonts w:asciiTheme="minorHAnsi" w:hAnsiTheme="minorHAnsi" w:cstheme="minorHAnsi"/>
          <w:color w:val="auto"/>
        </w:rPr>
      </w:pPr>
      <w:proofErr w:type="spellStart"/>
      <w:r w:rsidRPr="001220A4">
        <w:rPr>
          <w:rFonts w:asciiTheme="minorHAnsi" w:hAnsiTheme="minorHAnsi" w:cstheme="minorHAnsi"/>
          <w:color w:val="auto"/>
        </w:rPr>
        <w:t>Microphysiological</w:t>
      </w:r>
      <w:proofErr w:type="spellEnd"/>
      <w:r w:rsidRPr="001220A4">
        <w:rPr>
          <w:rFonts w:asciiTheme="minorHAnsi" w:hAnsiTheme="minorHAnsi" w:cstheme="minorHAnsi"/>
          <w:color w:val="auto"/>
        </w:rPr>
        <w:t xml:space="preserve"> System, Acetaminophen, </w:t>
      </w:r>
      <w:proofErr w:type="spellStart"/>
      <w:r w:rsidRPr="001220A4">
        <w:rPr>
          <w:rFonts w:asciiTheme="minorHAnsi" w:hAnsiTheme="minorHAnsi" w:cstheme="minorHAnsi"/>
          <w:color w:val="auto"/>
        </w:rPr>
        <w:t>ADMETox</w:t>
      </w:r>
      <w:proofErr w:type="spellEnd"/>
      <w:r w:rsidR="00D04A42" w:rsidRPr="001220A4">
        <w:rPr>
          <w:rFonts w:asciiTheme="minorHAnsi" w:hAnsiTheme="minorHAnsi" w:cstheme="minorHAnsi"/>
          <w:color w:val="auto"/>
        </w:rPr>
        <w:t>,</w:t>
      </w:r>
      <w:r w:rsidRPr="001220A4">
        <w:rPr>
          <w:rFonts w:asciiTheme="minorHAnsi" w:hAnsiTheme="minorHAnsi" w:cstheme="minorHAnsi"/>
          <w:color w:val="auto"/>
        </w:rPr>
        <w:t xml:space="preserve"> </w:t>
      </w:r>
      <w:r w:rsidR="00CA1BC4" w:rsidRPr="001220A4">
        <w:rPr>
          <w:rFonts w:asciiTheme="minorHAnsi" w:hAnsiTheme="minorHAnsi" w:cstheme="minorHAnsi"/>
          <w:color w:val="auto"/>
        </w:rPr>
        <w:t>O</w:t>
      </w:r>
      <w:r w:rsidRPr="001220A4">
        <w:rPr>
          <w:rFonts w:asciiTheme="minorHAnsi" w:hAnsiTheme="minorHAnsi" w:cstheme="minorHAnsi"/>
          <w:color w:val="auto"/>
        </w:rPr>
        <w:t>rganoids</w:t>
      </w:r>
      <w:r w:rsidR="00CA1BC4" w:rsidRPr="001220A4">
        <w:rPr>
          <w:rFonts w:asciiTheme="minorHAnsi" w:hAnsiTheme="minorHAnsi" w:cstheme="minorHAnsi"/>
          <w:color w:val="auto"/>
        </w:rPr>
        <w:t>.</w:t>
      </w:r>
    </w:p>
    <w:p w14:paraId="790436C8" w14:textId="77777777" w:rsidR="00263F42" w:rsidRPr="001220A4" w:rsidRDefault="00263F42" w:rsidP="0054535F">
      <w:pPr>
        <w:pStyle w:val="NormalWeb"/>
        <w:spacing w:before="0" w:beforeAutospacing="0" w:after="0" w:afterAutospacing="0"/>
        <w:ind w:right="4"/>
        <w:contextualSpacing/>
        <w:rPr>
          <w:rFonts w:asciiTheme="minorHAnsi" w:hAnsiTheme="minorHAnsi" w:cstheme="minorHAnsi"/>
        </w:rPr>
      </w:pPr>
    </w:p>
    <w:p w14:paraId="31B684A7" w14:textId="77777777" w:rsidR="00263F42" w:rsidRPr="001220A4" w:rsidRDefault="00263F42" w:rsidP="0054535F">
      <w:pPr>
        <w:ind w:right="4"/>
        <w:contextualSpacing/>
        <w:rPr>
          <w:rFonts w:asciiTheme="minorHAnsi" w:hAnsiTheme="minorHAnsi" w:cstheme="minorHAnsi"/>
        </w:rPr>
      </w:pPr>
      <w:r w:rsidRPr="001220A4">
        <w:rPr>
          <w:rFonts w:asciiTheme="minorHAnsi" w:hAnsiTheme="minorHAnsi" w:cstheme="minorHAnsi"/>
          <w:b/>
          <w:bCs/>
        </w:rPr>
        <w:t>SUMMARY:</w:t>
      </w:r>
      <w:r w:rsidRPr="001220A4">
        <w:rPr>
          <w:rFonts w:asciiTheme="minorHAnsi" w:hAnsiTheme="minorHAnsi" w:cstheme="minorHAnsi"/>
        </w:rPr>
        <w:t xml:space="preserve"> </w:t>
      </w:r>
    </w:p>
    <w:p w14:paraId="420BC705" w14:textId="4D7E8303" w:rsidR="00263F42" w:rsidRPr="001220A4" w:rsidRDefault="00263F42" w:rsidP="0054535F">
      <w:pPr>
        <w:ind w:right="4"/>
        <w:contextualSpacing/>
        <w:rPr>
          <w:rFonts w:asciiTheme="minorHAnsi" w:hAnsiTheme="minorHAnsi" w:cstheme="minorHAnsi"/>
          <w:color w:val="auto"/>
        </w:rPr>
      </w:pPr>
      <w:r w:rsidRPr="001220A4">
        <w:rPr>
          <w:rFonts w:asciiTheme="minorHAnsi" w:hAnsiTheme="minorHAnsi" w:cstheme="minorHAnsi"/>
          <w:color w:val="auto"/>
        </w:rPr>
        <w:t xml:space="preserve">We exposed a </w:t>
      </w:r>
      <w:proofErr w:type="spellStart"/>
      <w:r w:rsidR="008E4F90" w:rsidRPr="001220A4">
        <w:rPr>
          <w:rFonts w:asciiTheme="minorHAnsi" w:hAnsiTheme="minorHAnsi" w:cstheme="minorHAnsi"/>
          <w:color w:val="auto"/>
        </w:rPr>
        <w:t>microphysiological</w:t>
      </w:r>
      <w:proofErr w:type="spellEnd"/>
      <w:r w:rsidR="008E4F90" w:rsidRPr="001220A4">
        <w:rPr>
          <w:rFonts w:asciiTheme="minorHAnsi" w:hAnsiTheme="minorHAnsi" w:cstheme="minorHAnsi"/>
          <w:color w:val="auto"/>
        </w:rPr>
        <w:t xml:space="preserve"> system </w:t>
      </w:r>
      <w:r w:rsidRPr="001220A4">
        <w:rPr>
          <w:rFonts w:asciiTheme="minorHAnsi" w:hAnsiTheme="minorHAnsi" w:cstheme="minorHAnsi"/>
          <w:color w:val="auto"/>
        </w:rPr>
        <w:t xml:space="preserve">(MPS) with intestine and liver organoids to </w:t>
      </w:r>
      <w:r w:rsidR="008E4F90">
        <w:rPr>
          <w:rFonts w:asciiTheme="minorHAnsi" w:hAnsiTheme="minorHAnsi" w:cstheme="minorHAnsi"/>
          <w:color w:val="auto"/>
        </w:rPr>
        <w:t>a</w:t>
      </w:r>
      <w:r w:rsidRPr="001220A4">
        <w:rPr>
          <w:rFonts w:asciiTheme="minorHAnsi" w:hAnsiTheme="minorHAnsi" w:cstheme="minorHAnsi"/>
          <w:color w:val="auto"/>
        </w:rPr>
        <w:t>cetaminophen (APAP). This article describes the methods for organoid</w:t>
      </w:r>
      <w:r w:rsidR="008E4F90">
        <w:rPr>
          <w:rFonts w:asciiTheme="minorHAnsi" w:hAnsiTheme="minorHAnsi" w:cstheme="minorHAnsi"/>
          <w:color w:val="auto"/>
        </w:rPr>
        <w:t xml:space="preserve"> </w:t>
      </w:r>
      <w:r w:rsidRPr="001220A4">
        <w:rPr>
          <w:rFonts w:asciiTheme="minorHAnsi" w:hAnsiTheme="minorHAnsi" w:cstheme="minorHAnsi"/>
          <w:color w:val="auto"/>
        </w:rPr>
        <w:t>production and APAP pharmacokinetic</w:t>
      </w:r>
      <w:r w:rsidR="00610526" w:rsidRPr="001220A4">
        <w:rPr>
          <w:rFonts w:asciiTheme="minorHAnsi" w:hAnsiTheme="minorHAnsi" w:cstheme="minorHAnsi"/>
          <w:color w:val="auto"/>
        </w:rPr>
        <w:t xml:space="preserve"> and toxicological</w:t>
      </w:r>
      <w:r w:rsidRPr="001220A4">
        <w:rPr>
          <w:rFonts w:asciiTheme="minorHAnsi" w:hAnsiTheme="minorHAnsi" w:cstheme="minorHAnsi"/>
          <w:color w:val="auto"/>
        </w:rPr>
        <w:t xml:space="preserve"> propert</w:t>
      </w:r>
      <w:r w:rsidR="008E4F90">
        <w:rPr>
          <w:rFonts w:asciiTheme="minorHAnsi" w:hAnsiTheme="minorHAnsi" w:cstheme="minorHAnsi"/>
          <w:color w:val="auto"/>
        </w:rPr>
        <w:t>y</w:t>
      </w:r>
      <w:r w:rsidRPr="001220A4">
        <w:rPr>
          <w:rFonts w:asciiTheme="minorHAnsi" w:hAnsiTheme="minorHAnsi" w:cstheme="minorHAnsi"/>
          <w:color w:val="auto"/>
        </w:rPr>
        <w:t xml:space="preserve"> assessments in the MPS.</w:t>
      </w:r>
      <w:r w:rsidR="00610526" w:rsidRPr="001220A4">
        <w:rPr>
          <w:rFonts w:asciiTheme="minorHAnsi" w:hAnsiTheme="minorHAnsi" w:cstheme="minorHAnsi"/>
        </w:rPr>
        <w:t xml:space="preserve"> It</w:t>
      </w:r>
      <w:r w:rsidR="00610526" w:rsidRPr="001220A4">
        <w:rPr>
          <w:rFonts w:asciiTheme="minorHAnsi" w:hAnsiTheme="minorHAnsi" w:cstheme="minorHAnsi"/>
          <w:color w:val="auto"/>
        </w:rPr>
        <w:t xml:space="preserve"> also describes the tissue functionality analyses necessary to validate the results.</w:t>
      </w:r>
    </w:p>
    <w:p w14:paraId="58DEE82D" w14:textId="41A7FB39" w:rsidR="00263F42" w:rsidRPr="001220A4" w:rsidRDefault="00263F42" w:rsidP="0054535F">
      <w:pPr>
        <w:ind w:right="4"/>
        <w:contextualSpacing/>
        <w:rPr>
          <w:rFonts w:asciiTheme="minorHAnsi" w:hAnsiTheme="minorHAnsi" w:cstheme="minorHAnsi"/>
          <w:color w:val="auto"/>
        </w:rPr>
      </w:pPr>
    </w:p>
    <w:p w14:paraId="7A7DEC9F" w14:textId="77777777" w:rsidR="00263F42" w:rsidRPr="001220A4" w:rsidRDefault="00263F42" w:rsidP="0054535F">
      <w:pPr>
        <w:ind w:right="4"/>
        <w:contextualSpacing/>
        <w:rPr>
          <w:rFonts w:asciiTheme="minorHAnsi" w:hAnsiTheme="minorHAnsi" w:cstheme="minorHAnsi"/>
        </w:rPr>
      </w:pPr>
      <w:r w:rsidRPr="001220A4">
        <w:rPr>
          <w:rFonts w:asciiTheme="minorHAnsi" w:hAnsiTheme="minorHAnsi" w:cstheme="minorHAnsi"/>
          <w:b/>
          <w:bCs/>
        </w:rPr>
        <w:t>ABSTRACT:</w:t>
      </w:r>
      <w:r w:rsidRPr="001220A4">
        <w:rPr>
          <w:rFonts w:asciiTheme="minorHAnsi" w:hAnsiTheme="minorHAnsi" w:cstheme="minorHAnsi"/>
        </w:rPr>
        <w:t xml:space="preserve"> </w:t>
      </w:r>
    </w:p>
    <w:p w14:paraId="4BEB8DA4" w14:textId="58EAA282" w:rsidR="00263F42" w:rsidRPr="001220A4" w:rsidRDefault="00263F42" w:rsidP="0054535F">
      <w:pPr>
        <w:ind w:right="4"/>
        <w:contextualSpacing/>
        <w:rPr>
          <w:rFonts w:asciiTheme="minorHAnsi" w:hAnsiTheme="minorHAnsi" w:cstheme="minorHAnsi"/>
          <w:color w:val="auto"/>
        </w:rPr>
      </w:pPr>
      <w:r w:rsidRPr="001220A4">
        <w:rPr>
          <w:rFonts w:asciiTheme="minorHAnsi" w:hAnsiTheme="minorHAnsi" w:cstheme="minorHAnsi"/>
          <w:color w:val="auto"/>
        </w:rPr>
        <w:t xml:space="preserve">The recently introduced </w:t>
      </w:r>
      <w:proofErr w:type="spellStart"/>
      <w:r w:rsidR="008E4F90" w:rsidRPr="001220A4">
        <w:rPr>
          <w:rFonts w:asciiTheme="minorHAnsi" w:hAnsiTheme="minorHAnsi" w:cstheme="minorHAnsi"/>
          <w:color w:val="auto"/>
        </w:rPr>
        <w:t>microphysiological</w:t>
      </w:r>
      <w:proofErr w:type="spellEnd"/>
      <w:r w:rsidR="008E4F90" w:rsidRPr="001220A4">
        <w:rPr>
          <w:rFonts w:asciiTheme="minorHAnsi" w:hAnsiTheme="minorHAnsi" w:cstheme="minorHAnsi"/>
          <w:color w:val="auto"/>
        </w:rPr>
        <w:t xml:space="preserve"> systems </w:t>
      </w:r>
      <w:r w:rsidRPr="001220A4">
        <w:rPr>
          <w:rFonts w:asciiTheme="minorHAnsi" w:hAnsiTheme="minorHAnsi" w:cstheme="minorHAnsi"/>
          <w:color w:val="auto"/>
        </w:rPr>
        <w:t xml:space="preserve">(MPS) cultivating human organoids are expected to perform better than </w:t>
      </w:r>
      <w:r w:rsidR="003E6700" w:rsidRPr="001220A4">
        <w:rPr>
          <w:rFonts w:asciiTheme="minorHAnsi" w:hAnsiTheme="minorHAnsi" w:cstheme="minorHAnsi"/>
          <w:color w:val="auto"/>
        </w:rPr>
        <w:t>animals in</w:t>
      </w:r>
      <w:r w:rsidR="00F86A41" w:rsidRPr="001220A4">
        <w:rPr>
          <w:rFonts w:asciiTheme="minorHAnsi" w:hAnsiTheme="minorHAnsi" w:cstheme="minorHAnsi"/>
          <w:color w:val="auto"/>
        </w:rPr>
        <w:t xml:space="preserve"> </w:t>
      </w:r>
      <w:r w:rsidR="00B11781" w:rsidRPr="001220A4">
        <w:rPr>
          <w:rFonts w:asciiTheme="minorHAnsi" w:hAnsiTheme="minorHAnsi" w:cstheme="minorHAnsi"/>
          <w:color w:val="auto"/>
        </w:rPr>
        <w:t>the preclinical tests</w:t>
      </w:r>
      <w:r w:rsidR="00F86A41" w:rsidRPr="001220A4">
        <w:rPr>
          <w:rFonts w:asciiTheme="minorHAnsi" w:hAnsiTheme="minorHAnsi" w:cstheme="minorHAnsi"/>
          <w:color w:val="auto"/>
        </w:rPr>
        <w:t xml:space="preserve"> pha</w:t>
      </w:r>
      <w:r w:rsidR="00DE44B9" w:rsidRPr="001220A4">
        <w:rPr>
          <w:rFonts w:asciiTheme="minorHAnsi" w:hAnsiTheme="minorHAnsi" w:cstheme="minorHAnsi"/>
          <w:color w:val="auto"/>
        </w:rPr>
        <w:t>se of drug developing process</w:t>
      </w:r>
      <w:r w:rsidRPr="001220A4">
        <w:rPr>
          <w:rFonts w:asciiTheme="minorHAnsi" w:hAnsiTheme="minorHAnsi" w:cstheme="minorHAnsi"/>
          <w:color w:val="auto"/>
        </w:rPr>
        <w:t xml:space="preserve"> because they are genetically human and recapitulate the interplay among tissues.</w:t>
      </w:r>
      <w:r w:rsidR="00383A87" w:rsidRPr="001220A4">
        <w:rPr>
          <w:rFonts w:asciiTheme="minorHAnsi" w:hAnsiTheme="minorHAnsi" w:cstheme="minorHAnsi"/>
          <w:color w:val="auto"/>
        </w:rPr>
        <w:t xml:space="preserve"> In this study,</w:t>
      </w:r>
      <w:r w:rsidRPr="001220A4">
        <w:rPr>
          <w:rFonts w:asciiTheme="minorHAnsi" w:hAnsiTheme="minorHAnsi" w:cstheme="minorHAnsi"/>
          <w:color w:val="auto"/>
        </w:rPr>
        <w:t xml:space="preserve"> </w:t>
      </w:r>
      <w:r w:rsidR="00383A87" w:rsidRPr="001220A4">
        <w:rPr>
          <w:rFonts w:asciiTheme="minorHAnsi" w:hAnsiTheme="minorHAnsi" w:cstheme="minorHAnsi"/>
          <w:color w:val="auto"/>
        </w:rPr>
        <w:t>t</w:t>
      </w:r>
      <w:r w:rsidRPr="001220A4">
        <w:rPr>
          <w:rFonts w:asciiTheme="minorHAnsi" w:hAnsiTheme="minorHAnsi" w:cstheme="minorHAnsi"/>
          <w:color w:val="auto"/>
        </w:rPr>
        <w:t>he</w:t>
      </w:r>
      <w:r w:rsidR="006143E8" w:rsidRPr="001220A4">
        <w:rPr>
          <w:rFonts w:asciiTheme="minorHAnsi" w:hAnsiTheme="minorHAnsi" w:cstheme="minorHAnsi"/>
          <w:color w:val="auto"/>
        </w:rPr>
        <w:t xml:space="preserve"> human</w:t>
      </w:r>
      <w:r w:rsidRPr="001220A4">
        <w:rPr>
          <w:rFonts w:asciiTheme="minorHAnsi" w:hAnsiTheme="minorHAnsi" w:cstheme="minorHAnsi"/>
          <w:color w:val="auto"/>
        </w:rPr>
        <w:t xml:space="preserve"> intestinal barrier </w:t>
      </w:r>
      <w:r w:rsidR="00F86A41" w:rsidRPr="001220A4">
        <w:rPr>
          <w:rFonts w:asciiTheme="minorHAnsi" w:hAnsiTheme="minorHAnsi" w:cstheme="minorHAnsi"/>
          <w:color w:val="auto"/>
        </w:rPr>
        <w:t>(</w:t>
      </w:r>
      <w:r w:rsidRPr="001220A4">
        <w:rPr>
          <w:rFonts w:asciiTheme="minorHAnsi" w:hAnsiTheme="minorHAnsi" w:cstheme="minorHAnsi"/>
          <w:color w:val="auto"/>
        </w:rPr>
        <w:t xml:space="preserve">emulated by a </w:t>
      </w:r>
      <w:r w:rsidR="009D6A74" w:rsidRPr="001220A4">
        <w:rPr>
          <w:rFonts w:asciiTheme="minorHAnsi" w:hAnsiTheme="minorHAnsi" w:cstheme="minorHAnsi"/>
          <w:color w:val="auto"/>
        </w:rPr>
        <w:t>co-culture</w:t>
      </w:r>
      <w:r w:rsidRPr="001220A4">
        <w:rPr>
          <w:rFonts w:asciiTheme="minorHAnsi" w:hAnsiTheme="minorHAnsi" w:cstheme="minorHAnsi"/>
          <w:color w:val="auto"/>
        </w:rPr>
        <w:t xml:space="preserve"> of Caco</w:t>
      </w:r>
      <w:r w:rsidR="0076459C">
        <w:rPr>
          <w:rFonts w:asciiTheme="minorHAnsi" w:hAnsiTheme="minorHAnsi" w:cstheme="minorHAnsi"/>
          <w:color w:val="auto"/>
        </w:rPr>
        <w:t>-</w:t>
      </w:r>
      <w:r w:rsidRPr="001220A4">
        <w:rPr>
          <w:rFonts w:asciiTheme="minorHAnsi" w:hAnsiTheme="minorHAnsi" w:cstheme="minorHAnsi"/>
          <w:color w:val="auto"/>
        </w:rPr>
        <w:t>2 and HT-29 cells</w:t>
      </w:r>
      <w:r w:rsidR="00F86A41" w:rsidRPr="001220A4">
        <w:rPr>
          <w:rFonts w:asciiTheme="minorHAnsi" w:hAnsiTheme="minorHAnsi" w:cstheme="minorHAnsi"/>
          <w:color w:val="auto"/>
        </w:rPr>
        <w:t xml:space="preserve">) and </w:t>
      </w:r>
      <w:r w:rsidRPr="001220A4">
        <w:rPr>
          <w:rFonts w:asciiTheme="minorHAnsi" w:hAnsiTheme="minorHAnsi" w:cstheme="minorHAnsi"/>
          <w:color w:val="auto"/>
        </w:rPr>
        <w:t>the liver</w:t>
      </w:r>
      <w:r w:rsidR="006143E8" w:rsidRPr="001220A4">
        <w:rPr>
          <w:rFonts w:asciiTheme="minorHAnsi" w:hAnsiTheme="minorHAnsi" w:cstheme="minorHAnsi"/>
          <w:color w:val="auto"/>
        </w:rPr>
        <w:t xml:space="preserve"> </w:t>
      </w:r>
      <w:r w:rsidR="006143E8" w:rsidRPr="001220A4">
        <w:rPr>
          <w:rFonts w:asciiTheme="minorHAnsi" w:hAnsiTheme="minorHAnsi" w:cstheme="minorHAnsi"/>
          <w:color w:val="auto"/>
        </w:rPr>
        <w:lastRenderedPageBreak/>
        <w:t>equivalent</w:t>
      </w:r>
      <w:r w:rsidRPr="001220A4">
        <w:rPr>
          <w:rFonts w:asciiTheme="minorHAnsi" w:hAnsiTheme="minorHAnsi" w:cstheme="minorHAnsi"/>
          <w:color w:val="auto"/>
        </w:rPr>
        <w:t xml:space="preserve"> </w:t>
      </w:r>
      <w:r w:rsidR="00F86A41" w:rsidRPr="001220A4">
        <w:rPr>
          <w:rFonts w:asciiTheme="minorHAnsi" w:hAnsiTheme="minorHAnsi" w:cstheme="minorHAnsi"/>
          <w:color w:val="auto"/>
        </w:rPr>
        <w:t>(</w:t>
      </w:r>
      <w:r w:rsidRPr="001220A4">
        <w:rPr>
          <w:rFonts w:asciiTheme="minorHAnsi" w:hAnsiTheme="minorHAnsi" w:cstheme="minorHAnsi"/>
          <w:color w:val="auto"/>
        </w:rPr>
        <w:t xml:space="preserve">emulated by spheroids made of differentiated </w:t>
      </w:r>
      <w:proofErr w:type="spellStart"/>
      <w:r w:rsidRPr="001220A4">
        <w:rPr>
          <w:rFonts w:asciiTheme="minorHAnsi" w:hAnsiTheme="minorHAnsi" w:cstheme="minorHAnsi"/>
          <w:color w:val="auto"/>
        </w:rPr>
        <w:t>HepaRG</w:t>
      </w:r>
      <w:proofErr w:type="spellEnd"/>
      <w:r w:rsidRPr="001220A4">
        <w:rPr>
          <w:rFonts w:asciiTheme="minorHAnsi" w:hAnsiTheme="minorHAnsi" w:cstheme="minorHAnsi"/>
          <w:color w:val="auto"/>
        </w:rPr>
        <w:t xml:space="preserve"> cells </w:t>
      </w:r>
      <w:r w:rsidR="006847CC" w:rsidRPr="001220A4">
        <w:rPr>
          <w:rFonts w:asciiTheme="minorHAnsi" w:hAnsiTheme="minorHAnsi" w:cstheme="minorHAnsi"/>
          <w:color w:val="auto"/>
        </w:rPr>
        <w:t>and</w:t>
      </w:r>
      <w:r w:rsidRPr="001220A4">
        <w:rPr>
          <w:rFonts w:asciiTheme="minorHAnsi" w:hAnsiTheme="minorHAnsi" w:cstheme="minorHAnsi"/>
          <w:color w:val="auto"/>
        </w:rPr>
        <w:t xml:space="preserve"> human hepatic stellate cells</w:t>
      </w:r>
      <w:r w:rsidR="00F86A41" w:rsidRPr="001220A4">
        <w:rPr>
          <w:rFonts w:asciiTheme="minorHAnsi" w:hAnsiTheme="minorHAnsi" w:cstheme="minorHAnsi"/>
          <w:color w:val="auto"/>
        </w:rPr>
        <w:t>)</w:t>
      </w:r>
      <w:r w:rsidR="00745D27" w:rsidRPr="001220A4">
        <w:rPr>
          <w:rFonts w:asciiTheme="minorHAnsi" w:hAnsiTheme="minorHAnsi" w:cstheme="minorHAnsi"/>
          <w:color w:val="auto"/>
        </w:rPr>
        <w:t xml:space="preserve"> were integrated in</w:t>
      </w:r>
      <w:r w:rsidR="00646C34" w:rsidRPr="001220A4">
        <w:rPr>
          <w:rFonts w:asciiTheme="minorHAnsi" w:hAnsiTheme="minorHAnsi" w:cstheme="minorHAnsi"/>
          <w:color w:val="auto"/>
        </w:rPr>
        <w:t>to</w:t>
      </w:r>
      <w:r w:rsidR="00745D27" w:rsidRPr="001220A4">
        <w:rPr>
          <w:rFonts w:asciiTheme="minorHAnsi" w:hAnsiTheme="minorHAnsi" w:cstheme="minorHAnsi"/>
          <w:color w:val="auto"/>
        </w:rPr>
        <w:t xml:space="preserve"> </w:t>
      </w:r>
      <w:r w:rsidR="008E4F90">
        <w:rPr>
          <w:rFonts w:asciiTheme="minorHAnsi" w:hAnsiTheme="minorHAnsi" w:cstheme="minorHAnsi"/>
          <w:color w:val="auto"/>
        </w:rPr>
        <w:t>a</w:t>
      </w:r>
      <w:r w:rsidR="002530E9" w:rsidRPr="001220A4">
        <w:rPr>
          <w:rFonts w:asciiTheme="minorHAnsi" w:hAnsiTheme="minorHAnsi" w:cstheme="minorHAnsi"/>
          <w:color w:val="auto"/>
        </w:rPr>
        <w:t xml:space="preserve"> </w:t>
      </w:r>
      <w:r w:rsidR="008E4F90">
        <w:rPr>
          <w:rFonts w:asciiTheme="minorHAnsi" w:hAnsiTheme="minorHAnsi" w:cstheme="minorHAnsi"/>
          <w:color w:val="auto"/>
        </w:rPr>
        <w:t>t</w:t>
      </w:r>
      <w:r w:rsidR="006143E8" w:rsidRPr="001220A4">
        <w:rPr>
          <w:rFonts w:asciiTheme="minorHAnsi" w:hAnsiTheme="minorHAnsi" w:cstheme="minorHAnsi"/>
          <w:color w:val="auto"/>
        </w:rPr>
        <w:t xml:space="preserve">wo-organ </w:t>
      </w:r>
      <w:r w:rsidR="008E4F90">
        <w:rPr>
          <w:rFonts w:asciiTheme="minorHAnsi" w:hAnsiTheme="minorHAnsi" w:cstheme="minorHAnsi"/>
          <w:color w:val="auto"/>
        </w:rPr>
        <w:t>c</w:t>
      </w:r>
      <w:r w:rsidR="006143E8" w:rsidRPr="001220A4">
        <w:rPr>
          <w:rFonts w:asciiTheme="minorHAnsi" w:hAnsiTheme="minorHAnsi" w:cstheme="minorHAnsi"/>
          <w:color w:val="auto"/>
        </w:rPr>
        <w:t>hip</w:t>
      </w:r>
      <w:r w:rsidR="002739E8" w:rsidRPr="001220A4">
        <w:rPr>
          <w:rFonts w:asciiTheme="minorHAnsi" w:hAnsiTheme="minorHAnsi" w:cstheme="minorHAnsi"/>
          <w:color w:val="auto"/>
        </w:rPr>
        <w:t xml:space="preserve"> (2-OC)</w:t>
      </w:r>
      <w:r w:rsidR="00F03ADE" w:rsidRPr="001220A4">
        <w:rPr>
          <w:rFonts w:asciiTheme="minorHAnsi" w:hAnsiTheme="minorHAnsi" w:cstheme="minorHAnsi"/>
          <w:color w:val="auto"/>
        </w:rPr>
        <w:t xml:space="preserve"> microfluidic device</w:t>
      </w:r>
      <w:r w:rsidR="006143E8" w:rsidRPr="001220A4">
        <w:rPr>
          <w:rFonts w:asciiTheme="minorHAnsi" w:hAnsiTheme="minorHAnsi" w:cstheme="minorHAnsi"/>
          <w:color w:val="auto"/>
        </w:rPr>
        <w:t xml:space="preserve"> to assess some </w:t>
      </w:r>
      <w:r w:rsidR="008E4F90">
        <w:rPr>
          <w:rFonts w:asciiTheme="minorHAnsi" w:hAnsiTheme="minorHAnsi" w:cstheme="minorHAnsi"/>
          <w:color w:val="auto"/>
        </w:rPr>
        <w:t>a</w:t>
      </w:r>
      <w:r w:rsidR="006143E8" w:rsidRPr="001220A4">
        <w:rPr>
          <w:rFonts w:asciiTheme="minorHAnsi" w:hAnsiTheme="minorHAnsi" w:cstheme="minorHAnsi"/>
          <w:color w:val="auto"/>
        </w:rPr>
        <w:t>cetaminophen (APAP) pharmacokinetic (PK) and toxicologic</w:t>
      </w:r>
      <w:r w:rsidR="0016220A" w:rsidRPr="001220A4">
        <w:rPr>
          <w:rFonts w:asciiTheme="minorHAnsi" w:hAnsiTheme="minorHAnsi" w:cstheme="minorHAnsi"/>
          <w:color w:val="auto"/>
        </w:rPr>
        <w:t>al</w:t>
      </w:r>
      <w:r w:rsidR="006143E8" w:rsidRPr="001220A4">
        <w:rPr>
          <w:rFonts w:asciiTheme="minorHAnsi" w:hAnsiTheme="minorHAnsi" w:cstheme="minorHAnsi"/>
          <w:color w:val="auto"/>
        </w:rPr>
        <w:t xml:space="preserve"> properties.</w:t>
      </w:r>
      <w:r w:rsidR="002739E8" w:rsidRPr="001220A4">
        <w:rPr>
          <w:rFonts w:asciiTheme="minorHAnsi" w:hAnsiTheme="minorHAnsi" w:cstheme="minorHAnsi"/>
          <w:color w:val="auto"/>
        </w:rPr>
        <w:t xml:space="preserve"> </w:t>
      </w:r>
      <w:r w:rsidRPr="001220A4">
        <w:rPr>
          <w:rFonts w:asciiTheme="minorHAnsi" w:hAnsiTheme="minorHAnsi" w:cstheme="minorHAnsi"/>
          <w:color w:val="auto"/>
        </w:rPr>
        <w:t xml:space="preserve">The MPS had three assemblies: Intestine only 2-OC, Liver only 2-OC, and Intestine/Liver 2-OC with the same media perfusing both organoids. For </w:t>
      </w:r>
      <w:r w:rsidR="009D6A74" w:rsidRPr="001220A4">
        <w:rPr>
          <w:rFonts w:asciiTheme="minorHAnsi" w:hAnsiTheme="minorHAnsi" w:cstheme="minorHAnsi"/>
          <w:color w:val="auto"/>
        </w:rPr>
        <w:t>PK</w:t>
      </w:r>
      <w:r w:rsidRPr="001220A4">
        <w:rPr>
          <w:rFonts w:asciiTheme="minorHAnsi" w:hAnsiTheme="minorHAnsi" w:cstheme="minorHAnsi"/>
          <w:color w:val="auto"/>
        </w:rPr>
        <w:t xml:space="preserve"> assessments, we dosed the APAP in the media at preset timepoints after administering it either over the intestinal barrier (emulating the oral route) or in the media (emulating the intravenous route)</w:t>
      </w:r>
      <w:r w:rsidR="009D6A74" w:rsidRPr="001220A4">
        <w:rPr>
          <w:rFonts w:asciiTheme="minorHAnsi" w:hAnsiTheme="minorHAnsi" w:cstheme="minorHAnsi"/>
          <w:color w:val="auto"/>
        </w:rPr>
        <w:t>, at 12</w:t>
      </w:r>
      <w:r w:rsidR="00AE3D5F" w:rsidRPr="001220A4">
        <w:rPr>
          <w:rFonts w:asciiTheme="minorHAnsi" w:hAnsiTheme="minorHAnsi" w:cstheme="minorHAnsi"/>
          <w:color w:val="auto"/>
        </w:rPr>
        <w:t xml:space="preserve"> µM</w:t>
      </w:r>
      <w:r w:rsidR="009D6A74" w:rsidRPr="001220A4">
        <w:rPr>
          <w:rFonts w:asciiTheme="minorHAnsi" w:hAnsiTheme="minorHAnsi" w:cstheme="minorHAnsi"/>
          <w:color w:val="auto"/>
        </w:rPr>
        <w:t xml:space="preserve"> and 2 µM </w:t>
      </w:r>
      <w:r w:rsidR="00F40860" w:rsidRPr="001220A4">
        <w:rPr>
          <w:rFonts w:asciiTheme="minorHAnsi" w:hAnsiTheme="minorHAnsi" w:cstheme="minorHAnsi"/>
          <w:color w:val="auto"/>
        </w:rPr>
        <w:t>respectively</w:t>
      </w:r>
      <w:r w:rsidRPr="001220A4">
        <w:rPr>
          <w:rFonts w:asciiTheme="minorHAnsi" w:hAnsiTheme="minorHAnsi" w:cstheme="minorHAnsi"/>
          <w:color w:val="auto"/>
        </w:rPr>
        <w:t xml:space="preserve">. The media samples were analyzed by reversed-phase </w:t>
      </w:r>
      <w:r w:rsidR="008E4F90" w:rsidRPr="001220A4">
        <w:rPr>
          <w:rFonts w:asciiTheme="minorHAnsi" w:hAnsiTheme="minorHAnsi" w:cstheme="minorHAnsi"/>
          <w:color w:val="auto"/>
        </w:rPr>
        <w:t xml:space="preserve">high-pressure liquid chromatography </w:t>
      </w:r>
      <w:r w:rsidRPr="001220A4">
        <w:rPr>
          <w:rFonts w:asciiTheme="minorHAnsi" w:hAnsiTheme="minorHAnsi" w:cstheme="minorHAnsi"/>
          <w:color w:val="auto"/>
        </w:rPr>
        <w:t>(HPLC</w:t>
      </w:r>
      <w:r w:rsidR="00CA139D" w:rsidRPr="001220A4">
        <w:rPr>
          <w:rFonts w:asciiTheme="minorHAnsi" w:hAnsiTheme="minorHAnsi" w:cstheme="minorHAnsi"/>
          <w:color w:val="auto"/>
        </w:rPr>
        <w:t>).</w:t>
      </w:r>
      <w:r w:rsidRPr="001220A4">
        <w:rPr>
          <w:rFonts w:asciiTheme="minorHAnsi" w:hAnsiTheme="minorHAnsi" w:cstheme="minorHAnsi"/>
          <w:color w:val="auto"/>
        </w:rPr>
        <w:t xml:space="preserve"> </w:t>
      </w:r>
      <w:r w:rsidR="00CA139D" w:rsidRPr="001220A4">
        <w:rPr>
          <w:rFonts w:asciiTheme="minorHAnsi" w:hAnsiTheme="minorHAnsi" w:cstheme="minorHAnsi"/>
          <w:color w:val="auto"/>
        </w:rPr>
        <w:t>O</w:t>
      </w:r>
      <w:r w:rsidRPr="001220A4">
        <w:rPr>
          <w:rFonts w:asciiTheme="minorHAnsi" w:hAnsiTheme="minorHAnsi" w:cstheme="minorHAnsi"/>
          <w:color w:val="auto"/>
        </w:rPr>
        <w:t>rganoids were</w:t>
      </w:r>
      <w:r w:rsidR="008C26CC" w:rsidRPr="001220A4">
        <w:rPr>
          <w:rFonts w:asciiTheme="minorHAnsi" w:hAnsiTheme="minorHAnsi" w:cstheme="minorHAnsi"/>
          <w:color w:val="auto"/>
        </w:rPr>
        <w:t xml:space="preserve"> analyzed for gene expression, </w:t>
      </w:r>
      <w:r w:rsidR="00E718E5">
        <w:rPr>
          <w:rFonts w:asciiTheme="minorHAnsi" w:hAnsiTheme="minorHAnsi" w:cstheme="minorHAnsi"/>
          <w:color w:val="auto"/>
        </w:rPr>
        <w:t xml:space="preserve">for </w:t>
      </w:r>
      <w:r w:rsidR="008C26CC" w:rsidRPr="001220A4">
        <w:rPr>
          <w:rFonts w:asciiTheme="minorHAnsi" w:hAnsiTheme="minorHAnsi" w:cstheme="minorHAnsi"/>
          <w:color w:val="auto"/>
        </w:rPr>
        <w:t xml:space="preserve">TEER values, for </w:t>
      </w:r>
      <w:r w:rsidR="0016220A" w:rsidRPr="001220A4">
        <w:rPr>
          <w:rFonts w:asciiTheme="minorHAnsi" w:hAnsiTheme="minorHAnsi" w:cstheme="minorHAnsi"/>
          <w:color w:val="auto"/>
        </w:rPr>
        <w:t>protein</w:t>
      </w:r>
      <w:r w:rsidR="008C26CC" w:rsidRPr="001220A4">
        <w:rPr>
          <w:rFonts w:asciiTheme="minorHAnsi" w:hAnsiTheme="minorHAnsi" w:cstheme="minorHAnsi"/>
          <w:color w:val="auto"/>
        </w:rPr>
        <w:t xml:space="preserve"> </w:t>
      </w:r>
      <w:r w:rsidR="0016220A" w:rsidRPr="001220A4">
        <w:rPr>
          <w:rFonts w:asciiTheme="minorHAnsi" w:hAnsiTheme="minorHAnsi" w:cstheme="minorHAnsi"/>
          <w:color w:val="auto"/>
        </w:rPr>
        <w:t>expression</w:t>
      </w:r>
      <w:r w:rsidR="008C26CC" w:rsidRPr="001220A4">
        <w:rPr>
          <w:rFonts w:asciiTheme="minorHAnsi" w:hAnsiTheme="minorHAnsi" w:cstheme="minorHAnsi"/>
          <w:color w:val="auto"/>
        </w:rPr>
        <w:t xml:space="preserve"> </w:t>
      </w:r>
      <w:r w:rsidR="0016220A" w:rsidRPr="001220A4">
        <w:rPr>
          <w:rFonts w:asciiTheme="minorHAnsi" w:hAnsiTheme="minorHAnsi" w:cstheme="minorHAnsi"/>
          <w:color w:val="auto"/>
        </w:rPr>
        <w:t xml:space="preserve">and </w:t>
      </w:r>
      <w:r w:rsidR="008C26CC" w:rsidRPr="001220A4">
        <w:rPr>
          <w:rFonts w:asciiTheme="minorHAnsi" w:hAnsiTheme="minorHAnsi" w:cstheme="minorHAnsi"/>
          <w:color w:val="auto"/>
        </w:rPr>
        <w:t>activity,</w:t>
      </w:r>
      <w:r w:rsidRPr="001220A4">
        <w:rPr>
          <w:rFonts w:asciiTheme="minorHAnsi" w:hAnsiTheme="minorHAnsi" w:cstheme="minorHAnsi"/>
          <w:color w:val="auto"/>
        </w:rPr>
        <w:t xml:space="preserve"> </w:t>
      </w:r>
      <w:r w:rsidR="00E718E5">
        <w:rPr>
          <w:rFonts w:asciiTheme="minorHAnsi" w:hAnsiTheme="minorHAnsi" w:cstheme="minorHAnsi"/>
          <w:color w:val="auto"/>
        </w:rPr>
        <w:t xml:space="preserve">and then </w:t>
      </w:r>
      <w:r w:rsidRPr="001220A4">
        <w:rPr>
          <w:rFonts w:asciiTheme="minorHAnsi" w:hAnsiTheme="minorHAnsi" w:cstheme="minorHAnsi"/>
          <w:color w:val="auto"/>
        </w:rPr>
        <w:t>collected, fixed</w:t>
      </w:r>
      <w:r w:rsidR="002C3C2E" w:rsidRPr="001220A4">
        <w:rPr>
          <w:rFonts w:asciiTheme="minorHAnsi" w:hAnsiTheme="minorHAnsi" w:cstheme="minorHAnsi"/>
          <w:color w:val="auto"/>
        </w:rPr>
        <w:t>,</w:t>
      </w:r>
      <w:r w:rsidRPr="001220A4">
        <w:rPr>
          <w:rFonts w:asciiTheme="minorHAnsi" w:hAnsiTheme="minorHAnsi" w:cstheme="minorHAnsi"/>
          <w:color w:val="auto"/>
        </w:rPr>
        <w:t xml:space="preserve"> and submitted to a set of morphological evaluations.</w:t>
      </w:r>
      <w:r w:rsidR="002E79C9" w:rsidRPr="001220A4">
        <w:rPr>
          <w:rFonts w:asciiTheme="minorHAnsi" w:hAnsiTheme="minorHAnsi" w:cstheme="minorHAnsi"/>
          <w:color w:val="auto"/>
        </w:rPr>
        <w:t xml:space="preserve"> </w:t>
      </w:r>
      <w:r w:rsidR="00AE3D5F" w:rsidRPr="001220A4">
        <w:rPr>
          <w:rFonts w:asciiTheme="minorHAnsi" w:hAnsiTheme="minorHAnsi" w:cstheme="minorHAnsi"/>
          <w:color w:val="auto"/>
        </w:rPr>
        <w:t xml:space="preserve">The MTT technique performed well </w:t>
      </w:r>
      <w:r w:rsidR="00646C34" w:rsidRPr="001220A4">
        <w:rPr>
          <w:rFonts w:asciiTheme="minorHAnsi" w:hAnsiTheme="minorHAnsi" w:cstheme="minorHAnsi"/>
          <w:color w:val="auto"/>
        </w:rPr>
        <w:t>in</w:t>
      </w:r>
      <w:r w:rsidR="00AE3D5F" w:rsidRPr="001220A4">
        <w:rPr>
          <w:rFonts w:asciiTheme="minorHAnsi" w:hAnsiTheme="minorHAnsi" w:cstheme="minorHAnsi"/>
          <w:color w:val="auto"/>
        </w:rPr>
        <w:t xml:space="preserve"> assessing the</w:t>
      </w:r>
      <w:r w:rsidR="001A2AFF" w:rsidRPr="001220A4">
        <w:rPr>
          <w:rFonts w:asciiTheme="minorHAnsi" w:hAnsiTheme="minorHAnsi" w:cstheme="minorHAnsi"/>
          <w:color w:val="auto"/>
        </w:rPr>
        <w:t xml:space="preserve"> organoid</w:t>
      </w:r>
      <w:r w:rsidR="00AE3D5F" w:rsidRPr="001220A4">
        <w:rPr>
          <w:rFonts w:asciiTheme="minorHAnsi" w:hAnsiTheme="minorHAnsi" w:cstheme="minorHAnsi"/>
          <w:color w:val="auto"/>
        </w:rPr>
        <w:t xml:space="preserve"> viability</w:t>
      </w:r>
      <w:r w:rsidR="001A2AFF" w:rsidRPr="001220A4">
        <w:rPr>
          <w:rFonts w:asciiTheme="minorHAnsi" w:hAnsiTheme="minorHAnsi" w:cstheme="minorHAnsi"/>
          <w:color w:val="auto"/>
        </w:rPr>
        <w:t>,</w:t>
      </w:r>
      <w:r w:rsidR="00AE3D5F" w:rsidRPr="001220A4">
        <w:rPr>
          <w:rFonts w:asciiTheme="minorHAnsi" w:hAnsiTheme="minorHAnsi" w:cstheme="minorHAnsi"/>
          <w:color w:val="auto"/>
        </w:rPr>
        <w:t xml:space="preserve"> but the</w:t>
      </w:r>
      <w:r w:rsidR="00F40860" w:rsidRPr="001220A4">
        <w:rPr>
          <w:rFonts w:asciiTheme="minorHAnsi" w:hAnsiTheme="minorHAnsi" w:cstheme="minorHAnsi"/>
          <w:color w:val="auto"/>
        </w:rPr>
        <w:t xml:space="preserve"> </w:t>
      </w:r>
      <w:r w:rsidR="008E4F90" w:rsidRPr="001220A4">
        <w:rPr>
          <w:rFonts w:asciiTheme="minorHAnsi" w:hAnsiTheme="minorHAnsi" w:cstheme="minorHAnsi"/>
          <w:color w:val="auto"/>
        </w:rPr>
        <w:t xml:space="preserve">high content analyses </w:t>
      </w:r>
      <w:r w:rsidR="00F40860" w:rsidRPr="001220A4">
        <w:rPr>
          <w:rFonts w:asciiTheme="minorHAnsi" w:hAnsiTheme="minorHAnsi" w:cstheme="minorHAnsi"/>
          <w:color w:val="auto"/>
        </w:rPr>
        <w:t>(</w:t>
      </w:r>
      <w:r w:rsidR="00AE3D5F" w:rsidRPr="001220A4">
        <w:rPr>
          <w:rFonts w:asciiTheme="minorHAnsi" w:hAnsiTheme="minorHAnsi" w:cstheme="minorHAnsi"/>
          <w:color w:val="auto"/>
        </w:rPr>
        <w:t>HCA</w:t>
      </w:r>
      <w:r w:rsidR="00F40860" w:rsidRPr="001220A4">
        <w:rPr>
          <w:rFonts w:asciiTheme="minorHAnsi" w:hAnsiTheme="minorHAnsi" w:cstheme="minorHAnsi"/>
          <w:color w:val="auto"/>
        </w:rPr>
        <w:t>)</w:t>
      </w:r>
      <w:r w:rsidR="00AE3D5F" w:rsidRPr="001220A4">
        <w:rPr>
          <w:rFonts w:asciiTheme="minorHAnsi" w:hAnsiTheme="minorHAnsi" w:cstheme="minorHAnsi"/>
          <w:color w:val="auto"/>
        </w:rPr>
        <w:t xml:space="preserve"> </w:t>
      </w:r>
      <w:r w:rsidR="008E4F90">
        <w:rPr>
          <w:rFonts w:asciiTheme="minorHAnsi" w:hAnsiTheme="minorHAnsi" w:cstheme="minorHAnsi"/>
          <w:color w:val="auto"/>
        </w:rPr>
        <w:t>were</w:t>
      </w:r>
      <w:r w:rsidR="00AE3D5F" w:rsidRPr="001220A4">
        <w:rPr>
          <w:rFonts w:asciiTheme="minorHAnsi" w:hAnsiTheme="minorHAnsi" w:cstheme="minorHAnsi"/>
          <w:color w:val="auto"/>
        </w:rPr>
        <w:t xml:space="preserve"> able to detect</w:t>
      </w:r>
      <w:r w:rsidR="001A2AFF" w:rsidRPr="001220A4">
        <w:rPr>
          <w:rFonts w:asciiTheme="minorHAnsi" w:hAnsiTheme="minorHAnsi" w:cstheme="minorHAnsi"/>
          <w:color w:val="auto"/>
        </w:rPr>
        <w:t xml:space="preserve"> very</w:t>
      </w:r>
      <w:r w:rsidR="00AE3D5F" w:rsidRPr="001220A4">
        <w:rPr>
          <w:rFonts w:asciiTheme="minorHAnsi" w:hAnsiTheme="minorHAnsi" w:cstheme="minorHAnsi"/>
          <w:color w:val="auto"/>
        </w:rPr>
        <w:t xml:space="preserve"> early toxic</w:t>
      </w:r>
      <w:r w:rsidR="001A2AFF" w:rsidRPr="001220A4">
        <w:rPr>
          <w:rFonts w:asciiTheme="minorHAnsi" w:hAnsiTheme="minorHAnsi" w:cstheme="minorHAnsi"/>
          <w:color w:val="auto"/>
        </w:rPr>
        <w:t xml:space="preserve"> </w:t>
      </w:r>
      <w:r w:rsidR="00AE3D5F" w:rsidRPr="001220A4">
        <w:rPr>
          <w:rFonts w:asciiTheme="minorHAnsi" w:hAnsiTheme="minorHAnsi" w:cstheme="minorHAnsi"/>
          <w:color w:val="auto"/>
        </w:rPr>
        <w:t>events</w:t>
      </w:r>
      <w:r w:rsidR="005D4758" w:rsidRPr="001220A4">
        <w:rPr>
          <w:rFonts w:asciiTheme="minorHAnsi" w:hAnsiTheme="minorHAnsi" w:cstheme="minorHAnsi"/>
          <w:color w:val="auto"/>
        </w:rPr>
        <w:t xml:space="preserve"> in response to APAP treatment</w:t>
      </w:r>
      <w:r w:rsidR="00AE3D5F" w:rsidRPr="001220A4">
        <w:rPr>
          <w:rFonts w:asciiTheme="minorHAnsi" w:hAnsiTheme="minorHAnsi" w:cstheme="minorHAnsi"/>
          <w:color w:val="auto"/>
        </w:rPr>
        <w:t>.</w:t>
      </w:r>
      <w:r w:rsidR="008E4F90">
        <w:rPr>
          <w:rFonts w:asciiTheme="minorHAnsi" w:hAnsiTheme="minorHAnsi" w:cstheme="minorHAnsi"/>
          <w:color w:val="auto"/>
        </w:rPr>
        <w:t xml:space="preserve"> </w:t>
      </w:r>
      <w:r w:rsidR="002E79C9" w:rsidRPr="001220A4">
        <w:rPr>
          <w:rFonts w:asciiTheme="minorHAnsi" w:hAnsiTheme="minorHAnsi" w:cstheme="minorHAnsi"/>
          <w:color w:val="auto"/>
        </w:rPr>
        <w:t>We verified that</w:t>
      </w:r>
      <w:r w:rsidR="00912EDF" w:rsidRPr="001220A4">
        <w:rPr>
          <w:rFonts w:asciiTheme="minorHAnsi" w:hAnsiTheme="minorHAnsi" w:cstheme="minorHAnsi"/>
          <w:color w:val="auto"/>
        </w:rPr>
        <w:t xml:space="preserve"> the medi</w:t>
      </w:r>
      <w:r w:rsidR="00012280" w:rsidRPr="001220A4">
        <w:rPr>
          <w:rFonts w:asciiTheme="minorHAnsi" w:hAnsiTheme="minorHAnsi" w:cstheme="minorHAnsi"/>
          <w:color w:val="auto"/>
        </w:rPr>
        <w:t>a</w:t>
      </w:r>
      <w:r w:rsidR="00912EDF" w:rsidRPr="001220A4">
        <w:rPr>
          <w:rFonts w:asciiTheme="minorHAnsi" w:hAnsiTheme="minorHAnsi" w:cstheme="minorHAnsi"/>
          <w:color w:val="auto"/>
        </w:rPr>
        <w:t xml:space="preserve"> flow does not </w:t>
      </w:r>
      <w:r w:rsidR="00E718E5" w:rsidRPr="001220A4">
        <w:rPr>
          <w:rFonts w:asciiTheme="minorHAnsi" w:hAnsiTheme="minorHAnsi" w:cstheme="minorHAnsi"/>
          <w:color w:val="auto"/>
        </w:rPr>
        <w:t xml:space="preserve">significantly </w:t>
      </w:r>
      <w:r w:rsidR="00912EDF" w:rsidRPr="001220A4">
        <w:rPr>
          <w:rFonts w:asciiTheme="minorHAnsi" w:hAnsiTheme="minorHAnsi" w:cstheme="minorHAnsi"/>
          <w:color w:val="auto"/>
        </w:rPr>
        <w:t xml:space="preserve">affect the APAP absorption whereas it </w:t>
      </w:r>
      <w:r w:rsidR="00E718E5" w:rsidRPr="001220A4">
        <w:rPr>
          <w:rFonts w:asciiTheme="minorHAnsi" w:hAnsiTheme="minorHAnsi" w:cstheme="minorHAnsi"/>
          <w:color w:val="auto"/>
        </w:rPr>
        <w:t xml:space="preserve">significantly </w:t>
      </w:r>
      <w:r w:rsidR="00912EDF" w:rsidRPr="001220A4">
        <w:rPr>
          <w:rFonts w:asciiTheme="minorHAnsi" w:hAnsiTheme="minorHAnsi" w:cstheme="minorHAnsi"/>
          <w:color w:val="auto"/>
        </w:rPr>
        <w:t>improves the liver equivalent</w:t>
      </w:r>
      <w:r w:rsidR="00E718E5">
        <w:rPr>
          <w:rFonts w:asciiTheme="minorHAnsi" w:hAnsiTheme="minorHAnsi" w:cstheme="minorHAnsi"/>
          <w:color w:val="auto"/>
        </w:rPr>
        <w:t xml:space="preserve"> </w:t>
      </w:r>
      <w:r w:rsidR="00912EDF" w:rsidRPr="001220A4">
        <w:rPr>
          <w:rFonts w:asciiTheme="minorHAnsi" w:hAnsiTheme="minorHAnsi" w:cstheme="minorHAnsi"/>
          <w:color w:val="auto"/>
        </w:rPr>
        <w:t>functionality. The APAP</w:t>
      </w:r>
      <w:r w:rsidR="008E4F90">
        <w:rPr>
          <w:rFonts w:asciiTheme="minorHAnsi" w:hAnsiTheme="minorHAnsi" w:cstheme="minorHAnsi"/>
          <w:color w:val="auto"/>
        </w:rPr>
        <w:t xml:space="preserve"> </w:t>
      </w:r>
      <w:r w:rsidR="00912EDF" w:rsidRPr="001220A4">
        <w:rPr>
          <w:rFonts w:asciiTheme="minorHAnsi" w:hAnsiTheme="minorHAnsi" w:cstheme="minorHAnsi"/>
          <w:color w:val="auto"/>
        </w:rPr>
        <w:t xml:space="preserve">human intestinal absorption and hepatic metabolism could be emulated in the MPS. The association between MPS data and </w:t>
      </w:r>
      <w:r w:rsidR="00912EDF" w:rsidRPr="008E4F90">
        <w:rPr>
          <w:rFonts w:asciiTheme="minorHAnsi" w:hAnsiTheme="minorHAnsi" w:cstheme="minorHAnsi"/>
          <w:color w:val="auto"/>
        </w:rPr>
        <w:t>in silico</w:t>
      </w:r>
      <w:r w:rsidR="00912EDF" w:rsidRPr="001220A4">
        <w:rPr>
          <w:rFonts w:asciiTheme="minorHAnsi" w:hAnsiTheme="minorHAnsi" w:cstheme="minorHAnsi"/>
          <w:color w:val="auto"/>
        </w:rPr>
        <w:t xml:space="preserve"> modeling has great potential to improve</w:t>
      </w:r>
      <w:r w:rsidR="00E718E5">
        <w:rPr>
          <w:rFonts w:asciiTheme="minorHAnsi" w:hAnsiTheme="minorHAnsi" w:cstheme="minorHAnsi"/>
          <w:color w:val="auto"/>
        </w:rPr>
        <w:t xml:space="preserve"> </w:t>
      </w:r>
      <w:r w:rsidR="00912EDF" w:rsidRPr="001220A4">
        <w:rPr>
          <w:rFonts w:asciiTheme="minorHAnsi" w:hAnsiTheme="minorHAnsi" w:cstheme="minorHAnsi"/>
          <w:color w:val="auto"/>
        </w:rPr>
        <w:t xml:space="preserve">the predictability of the </w:t>
      </w:r>
      <w:r w:rsidR="00194937" w:rsidRPr="00194937">
        <w:rPr>
          <w:rFonts w:asciiTheme="minorHAnsi" w:hAnsiTheme="minorHAnsi" w:cstheme="minorHAnsi"/>
          <w:color w:val="auto"/>
        </w:rPr>
        <w:t>in vitro</w:t>
      </w:r>
      <w:r w:rsidR="00912EDF" w:rsidRPr="001220A4">
        <w:rPr>
          <w:rFonts w:asciiTheme="minorHAnsi" w:hAnsiTheme="minorHAnsi" w:cstheme="minorHAnsi"/>
          <w:color w:val="auto"/>
        </w:rPr>
        <w:t xml:space="preserve"> methods and</w:t>
      </w:r>
      <w:r w:rsidR="007A4CF1" w:rsidRPr="001220A4">
        <w:rPr>
          <w:rFonts w:asciiTheme="minorHAnsi" w:hAnsiTheme="minorHAnsi" w:cstheme="minorHAnsi"/>
          <w:color w:val="auto"/>
        </w:rPr>
        <w:t xml:space="preserve"> provid</w:t>
      </w:r>
      <w:r w:rsidR="00E718E5">
        <w:rPr>
          <w:rFonts w:asciiTheme="minorHAnsi" w:hAnsiTheme="minorHAnsi" w:cstheme="minorHAnsi"/>
          <w:color w:val="auto"/>
        </w:rPr>
        <w:t>e</w:t>
      </w:r>
      <w:r w:rsidR="007A4CF1" w:rsidRPr="001220A4">
        <w:rPr>
          <w:rFonts w:asciiTheme="minorHAnsi" w:hAnsiTheme="minorHAnsi" w:cstheme="minorHAnsi"/>
          <w:color w:val="auto"/>
        </w:rPr>
        <w:t xml:space="preserve"> better accuracy than animal models</w:t>
      </w:r>
      <w:r w:rsidR="002C3C2E" w:rsidRPr="001220A4">
        <w:rPr>
          <w:rFonts w:asciiTheme="minorHAnsi" w:hAnsiTheme="minorHAnsi" w:cstheme="minorHAnsi"/>
          <w:color w:val="auto"/>
        </w:rPr>
        <w:t xml:space="preserve"> in pharmacokinetic</w:t>
      </w:r>
      <w:r w:rsidR="00E718E5">
        <w:rPr>
          <w:rFonts w:asciiTheme="minorHAnsi" w:hAnsiTheme="minorHAnsi" w:cstheme="minorHAnsi"/>
          <w:color w:val="auto"/>
        </w:rPr>
        <w:t xml:space="preserve"> </w:t>
      </w:r>
      <w:r w:rsidR="002C3C2E" w:rsidRPr="001220A4">
        <w:rPr>
          <w:rFonts w:asciiTheme="minorHAnsi" w:hAnsiTheme="minorHAnsi" w:cstheme="minorHAnsi"/>
          <w:color w:val="auto"/>
        </w:rPr>
        <w:t>and toxicological studies</w:t>
      </w:r>
      <w:r w:rsidR="007A4CF1" w:rsidRPr="001220A4">
        <w:rPr>
          <w:rFonts w:asciiTheme="minorHAnsi" w:hAnsiTheme="minorHAnsi" w:cstheme="minorHAnsi"/>
          <w:color w:val="auto"/>
        </w:rPr>
        <w:t>.</w:t>
      </w:r>
    </w:p>
    <w:p w14:paraId="65D38BA3" w14:textId="5F11B42D" w:rsidR="00912EDF" w:rsidRPr="001220A4" w:rsidRDefault="00912EDF" w:rsidP="0054535F">
      <w:pPr>
        <w:ind w:right="4"/>
        <w:contextualSpacing/>
        <w:rPr>
          <w:rFonts w:asciiTheme="minorHAnsi" w:hAnsiTheme="minorHAnsi" w:cstheme="minorHAnsi"/>
          <w:color w:val="auto"/>
        </w:rPr>
      </w:pPr>
    </w:p>
    <w:p w14:paraId="30974D24" w14:textId="2C7C1948" w:rsidR="00263F42" w:rsidRPr="001220A4" w:rsidRDefault="00263F42" w:rsidP="0054535F">
      <w:pPr>
        <w:ind w:right="4"/>
        <w:contextualSpacing/>
        <w:rPr>
          <w:rFonts w:asciiTheme="minorHAnsi" w:hAnsiTheme="minorHAnsi" w:cstheme="minorHAnsi"/>
          <w:b/>
          <w:bCs/>
        </w:rPr>
      </w:pPr>
      <w:r w:rsidRPr="001220A4">
        <w:rPr>
          <w:rFonts w:asciiTheme="minorHAnsi" w:hAnsiTheme="minorHAnsi" w:cstheme="minorHAnsi"/>
          <w:b/>
        </w:rPr>
        <w:t>INTRODUCTION</w:t>
      </w:r>
      <w:r w:rsidRPr="001220A4">
        <w:rPr>
          <w:rFonts w:asciiTheme="minorHAnsi" w:hAnsiTheme="minorHAnsi" w:cstheme="minorHAnsi"/>
          <w:b/>
          <w:bCs/>
        </w:rPr>
        <w:t>:</w:t>
      </w:r>
    </w:p>
    <w:p w14:paraId="377723EA" w14:textId="38647D65" w:rsidR="00263F42" w:rsidRDefault="00A00800" w:rsidP="0054535F">
      <w:pPr>
        <w:ind w:right="4"/>
        <w:contextualSpacing/>
        <w:rPr>
          <w:rFonts w:asciiTheme="minorHAnsi" w:hAnsiTheme="minorHAnsi" w:cstheme="minorHAnsi"/>
          <w:bCs/>
        </w:rPr>
      </w:pPr>
      <w:r w:rsidRPr="001220A4">
        <w:rPr>
          <w:rFonts w:asciiTheme="minorHAnsi" w:hAnsiTheme="minorHAnsi" w:cstheme="minorHAnsi"/>
          <w:bCs/>
        </w:rPr>
        <w:t>Due to genomic and proteomic differences, animal models have limited predictive value for several human outcomes. Moreover, they are time-consuming, expensive and ethically questionable</w:t>
      </w:r>
      <w:r w:rsidR="00133F78" w:rsidRPr="001220A4">
        <w:rPr>
          <w:rFonts w:asciiTheme="minorHAnsi" w:hAnsiTheme="minorHAnsi" w:cstheme="minorHAnsi"/>
          <w:bCs/>
        </w:rPr>
        <w:fldChar w:fldCharType="begin" w:fldLock="1"/>
      </w:r>
      <w:r w:rsidR="00F83556" w:rsidRPr="001220A4">
        <w:rPr>
          <w:rFonts w:asciiTheme="minorHAnsi" w:hAnsiTheme="minorHAnsi" w:cstheme="minorHAnsi"/>
          <w:bCs/>
        </w:rPr>
        <w:instrText>ADDIN CSL_CITATION {"citationItems":[{"id":"ITEM-1","itemData":{"DOI":"10.1016/j.apsb.2012.10.004","ISSN":"22113835","abstract":"Drug discovery and development involve the utilization of in vitro and in vivo experimental models. Different models, ranging from test tube experiments to cell cultures, animals, healthy human subjects, and even small numbers of patients that are involved in clinical trials, are used at different stages of drug discovery and development for determination of efficacy and safety. The proper selection and applications of correct models, as well as appropriate data interpretation, are critically important in decision making and successful advancement of drug candidates. In this review, we discuss strategies in the applications of both in vitro and in vivo experimental models of drug metabolism and disposition.","author":[{"dropping-particle":"","family":"Zhang","given":"Donglu","non-dropping-particle":"","parse-names":false,"suffix":""},{"dropping-particle":"","family":"Luo","given":"Gang","non-dropping-particle":"","parse-names":false,"suffix":""},{"dropping-particle":"","family":"Ding","given":"Xinxin","non-dropping-particle":"","parse-names":false,"suffix":""},{"dropping-particle":"","family":"Lu","given":"Chuang","non-dropping-particle":"","parse-names":false,"suffix":""}],"container-title":"Acta Pharmaceutica Sinica B","id":"ITEM-1","issue":"6","issued":{"date-parts":[["2012","12"]]},"page":"549-561","publisher":"Elsevier BV","title":"Preclinical experimental models of drug metabolism and disposition in drug discovery and development","type":"article-journal","volume":"2"},"uris":["http://www.mendeley.com/documents/?uuid=b6e01647-d4e2-3eb8-a750-a43ca829bd13"]}],"mendeley":{"formattedCitation":"&lt;sup&gt;1&lt;/sup&gt;","plainTextFormattedCitation":"1","previouslyFormattedCitation":"&lt;sup&gt;1&lt;/sup&gt;"},"properties":{"noteIndex":0},"schema":"https://github.com/citation-style-language/schema/raw/master/csl-citation.json"}</w:instrText>
      </w:r>
      <w:r w:rsidR="00133F78" w:rsidRPr="001220A4">
        <w:rPr>
          <w:rFonts w:asciiTheme="minorHAnsi" w:hAnsiTheme="minorHAnsi" w:cstheme="minorHAnsi"/>
          <w:bCs/>
        </w:rPr>
        <w:fldChar w:fldCharType="separate"/>
      </w:r>
      <w:r w:rsidR="00133F78" w:rsidRPr="001220A4">
        <w:rPr>
          <w:rFonts w:asciiTheme="minorHAnsi" w:hAnsiTheme="minorHAnsi" w:cstheme="minorHAnsi"/>
          <w:bCs/>
          <w:noProof/>
          <w:vertAlign w:val="superscript"/>
        </w:rPr>
        <w:t>1</w:t>
      </w:r>
      <w:r w:rsidR="00133F78" w:rsidRPr="001220A4">
        <w:rPr>
          <w:rFonts w:asciiTheme="minorHAnsi" w:hAnsiTheme="minorHAnsi" w:cstheme="minorHAnsi"/>
          <w:bCs/>
        </w:rPr>
        <w:fldChar w:fldCharType="end"/>
      </w:r>
      <w:r w:rsidRPr="001220A4">
        <w:rPr>
          <w:rFonts w:asciiTheme="minorHAnsi" w:hAnsiTheme="minorHAnsi" w:cstheme="minorHAnsi"/>
          <w:bCs/>
        </w:rPr>
        <w:t>. MPS is a relatively new technology that aims at improving the predictive power and reduce the costs and time spent with pre</w:t>
      </w:r>
      <w:r w:rsidR="00012280" w:rsidRPr="001220A4">
        <w:rPr>
          <w:rFonts w:asciiTheme="minorHAnsi" w:hAnsiTheme="minorHAnsi" w:cstheme="minorHAnsi"/>
          <w:bCs/>
        </w:rPr>
        <w:t>-</w:t>
      </w:r>
      <w:r w:rsidRPr="001220A4">
        <w:rPr>
          <w:rFonts w:asciiTheme="minorHAnsi" w:hAnsiTheme="minorHAnsi" w:cstheme="minorHAnsi"/>
          <w:bCs/>
        </w:rPr>
        <w:t>clinical tests. They are microfluidic devices cultivating organoids (artificial mimetics</w:t>
      </w:r>
      <w:r w:rsidR="00012280" w:rsidRPr="001220A4">
        <w:rPr>
          <w:rFonts w:asciiTheme="minorHAnsi" w:hAnsiTheme="minorHAnsi" w:cstheme="minorHAnsi"/>
          <w:bCs/>
        </w:rPr>
        <w:t xml:space="preserve"> functional units</w:t>
      </w:r>
      <w:r w:rsidRPr="001220A4">
        <w:rPr>
          <w:rFonts w:asciiTheme="minorHAnsi" w:hAnsiTheme="minorHAnsi" w:cstheme="minorHAnsi"/>
          <w:bCs/>
        </w:rPr>
        <w:t xml:space="preserve"> of organs) under media flow that promotes </w:t>
      </w:r>
      <w:proofErr w:type="spellStart"/>
      <w:r w:rsidRPr="001220A4">
        <w:rPr>
          <w:rFonts w:asciiTheme="minorHAnsi" w:hAnsiTheme="minorHAnsi" w:cstheme="minorHAnsi"/>
          <w:bCs/>
        </w:rPr>
        <w:t>interorganoid</w:t>
      </w:r>
      <w:proofErr w:type="spellEnd"/>
      <w:r w:rsidRPr="001220A4">
        <w:rPr>
          <w:rFonts w:asciiTheme="minorHAnsi" w:hAnsiTheme="minorHAnsi" w:cstheme="minorHAnsi"/>
          <w:bCs/>
        </w:rPr>
        <w:t xml:space="preserve"> communication. Organoids made of human cells increase translational relevance</w:t>
      </w:r>
      <w:r w:rsidR="0077280B" w:rsidRPr="001220A4">
        <w:rPr>
          <w:rFonts w:asciiTheme="minorHAnsi" w:hAnsiTheme="minorHAnsi" w:cstheme="minorHAnsi"/>
          <w:bCs/>
        </w:rPr>
        <w:fldChar w:fldCharType="begin" w:fldLock="1"/>
      </w:r>
      <w:r w:rsidR="002E703E" w:rsidRPr="001220A4">
        <w:rPr>
          <w:rFonts w:asciiTheme="minorHAnsi" w:hAnsiTheme="minorHAnsi" w:cstheme="minorHAnsi"/>
          <w:bCs/>
        </w:rPr>
        <w:instrText>ADDIN CSL_CITATION {"citationItems":[{"id":"ITEM-1","itemData":{"DOI":"10.1002/stem.1290","ISSN":"10665099","abstract":"Epithelial organ remodeling is a major contributing factor to worldwide death and disease, costing healthcare systems billions of dollars every year. Despite this, most fundamental epithelial organ research fails to produce new therapies and mortality rates for epithelial organ diseases remain unacceptably high. In large part, this failure in translating basic epithelial research into clinical therapy is due to a lack of relevance in existing preclinical models. To correct this, new models are required that improve preclinical target identification, pharmacological lead validation, and compound optimization. In this review, we discuss the relevance of human stem cell-derived, three-dimensional organoid models for addressing each of these challenges. We highlight the advantages of stem cell-derived organoid models over existing culture systems, discuss recent advances in epithelial tissue-specific organoids, and present a paradigm for using organoid models in human translational medicine. © AlphaMed Press.","author":[{"dropping-particle":"","family":"Hynds","given":"Robert E.","non-dropping-particle":"","parse-names":false,"suffix":""},{"dropping-particle":"","family":"Giangreco","given":"Adam","non-dropping-particle":"","parse-names":false,"suffix":""}],"container-title":"Stem Cells","id":"ITEM-1","issue":"3","issued":{"date-parts":[["2013"]]},"page":"417-422","title":"The relevance of human stem cell-derived organoid models for epithelial translational medicine","type":"article","volume":"31"},"uris":["http://www.mendeley.com/documents/?uuid=9a8f1538-ad09-3a24-ae26-f1d264a0a382"]},{"id":"ITEM-2","itemData":{"DOI":"10.2174/138920005774832632","ISSN":"13892002","abstract":"In vitro models of the liver using isolated primary hepatocytes have been used as screens for measuring the metabolism, toxicity and efficacy of xenobiotics, for studying hepatocyte proliferation, and as bioartificial liver support systems. Yet, primary isolated hepatocytes rapidly lose liver specific functions when maintained under standard in vitro cell culture conditions. Many modifications to conventional culture methods have been developed to foster retention of hepatocyte function. Still, not all of the important functions -- especially the biotransformation functions of the liver -- can as yet be replicated at desired levels, prompting continued development of new culture systems. In the first part of this article, we review primary hepatocyte in vitro systems used in metabolism and enzyme induction studies. We then describe a scalable microreactor system that fosters development of 3D-perfused micro-tissue units and show that primary rat cells cultured in this system are substantially closer to native liver compared to cells cultured by other in vitro methods, as assessed by a broad spectrum of gene expression, protein expression and biochemical activity metrics. These results provide a foundation for extension of this culture model to other applications in drug discovery -- as a model to study drug-drug interactions, as a model for the assessment of acute and chronic liver toxicity arising from exposure to drugs or environmental agents; and as a disease model for the study of viral hepatitis infection and cancer metastasis.","author":[{"dropping-particle":"","family":"Sivaraman","given":"A.","non-dropping-particle":"","parse-names":false,"suffix":""},{"dropping-particle":"","family":"Leach","given":"J.","non-dropping-particle":"","parse-names":false,"suffix":""},{"dropping-particle":"","family":"Townsend","given":"S.","non-dropping-particle":"","parse-names":false,"suffix":""},{"dropping-particle":"","family":"Iida","given":"T.","non-dropping-particle":"","parse-names":false,"suffix":""},{"dropping-particle":"","family":"Hogan","given":"B.","non-dropping-particle":"","parse-names":false,"suffix":""},{"dropping-particle":"","family":"Stolz","given":"D.","non-dropping-particle":"","parse-names":false,"suffix":""},{"dropping-particle":"","family":"Fry","given":"R.","non-dropping-particle":"","parse-names":false,"suffix":""},{"dropping-particle":"","family":"Samson","given":"L.","non-dropping-particle":"","parse-names":false,"suffix":""},{"dropping-particle":"","family":"Tannenbaum","given":"S.","non-dropping-particle":"","parse-names":false,"suffix":""},{"dropping-particle":"","family":"Griffith","given":"L.","non-dropping-particle":"","parse-names":false,"suffix":""}],"container-title":"Current Drug Metabolism","id":"ITEM-2","issue":"6","issued":{"date-parts":[["2005","11","17"]]},"page":"569-591","publisher":"Bentham Science Publishers Ltd.","title":"A Microscale In Vitro Physiological Model of the Liver: Predictive Screens for Drug Metabolism and Enzyme Induction","type":"article-journal","volume":"6"},"uris":["http://www.mendeley.com/documents/?uuid=5c79b8f6-a593-3f40-a194-9c454dedb97a"]},{"id":"ITEM-3","itemData":{"DOI":"10.4155/fsoa-2017-0002","ISSN":"2056-5623","PMID":"28670475","abstract":"The development of drugs is a process obstructed with manifold security and efficacy concerns. Although animal models are still widely used to meet the diligence required, they are regarded as outdated tools with limited predictability. Novel microphysiological systems intend to create systemic models of human biology. Their ability to host 3D organoid constructs in a controlled microenvironment with mechanical and electrophysiological stimuli enables them to create and maintain homeostasis. These platforms are, thus, envisioned to be superior tools for testing and developing substances such as drugs, cosmetics and chemicals. We will present reasons why microphysiological systems are required for the emerging demands, highlight current technological and regulatory obstacles, and depict possible solutions from state-of-the-art platforms from major contributors.","author":[{"dropping-particle":"","family":"Dehne","given":"Eva-Maria","non-dropping-particle":"","parse-names":false,"suffix":""},{"dropping-particle":"","family":"Hasenberg","given":"Tobias","non-dropping-particle":"","parse-names":false,"suffix":""},{"dropping-particle":"","family":"Marx","given":"Uwe","non-dropping-particle":"","parse-names":false,"suffix":""}],"container-title":"Future Science OA","id":"ITEM-3","issue":"2","issued":{"date-parts":[["2017"]]},"page":"FSO185","title":"The ascendance of microphysiological systems to solve the drug testing dilemma","type":"article-journal","volume":"3"},"uris":["http://www.mendeley.com/documents/?uuid=6dbff102-7f58-3502-bd90-2d2f4fbf93dc"]}],"mendeley":{"formattedCitation":"&lt;sup&gt;2–4&lt;/sup&gt;","plainTextFormattedCitation":"2–4","previouslyFormattedCitation":"&lt;sup&gt;2–4&lt;/sup&gt;"},"properties":{"noteIndex":0},"schema":"https://github.com/citation-style-language/schema/raw/master/csl-citation.json"}</w:instrText>
      </w:r>
      <w:r w:rsidR="0077280B" w:rsidRPr="001220A4">
        <w:rPr>
          <w:rFonts w:asciiTheme="minorHAnsi" w:hAnsiTheme="minorHAnsi" w:cstheme="minorHAnsi"/>
          <w:bCs/>
        </w:rPr>
        <w:fldChar w:fldCharType="separate"/>
      </w:r>
      <w:r w:rsidR="0077280B" w:rsidRPr="001220A4">
        <w:rPr>
          <w:rFonts w:asciiTheme="minorHAnsi" w:hAnsiTheme="minorHAnsi" w:cstheme="minorHAnsi"/>
          <w:bCs/>
          <w:noProof/>
          <w:vertAlign w:val="superscript"/>
        </w:rPr>
        <w:t>2–4</w:t>
      </w:r>
      <w:r w:rsidR="0077280B" w:rsidRPr="001220A4">
        <w:rPr>
          <w:rFonts w:asciiTheme="minorHAnsi" w:hAnsiTheme="minorHAnsi" w:cstheme="minorHAnsi"/>
          <w:bCs/>
        </w:rPr>
        <w:fldChar w:fldCharType="end"/>
      </w:r>
      <w:r w:rsidR="0077280B" w:rsidRPr="001220A4">
        <w:rPr>
          <w:rFonts w:asciiTheme="minorHAnsi" w:hAnsiTheme="minorHAnsi" w:cstheme="minorHAnsi"/>
          <w:bCs/>
        </w:rPr>
        <w:t xml:space="preserve">. </w:t>
      </w:r>
      <w:r w:rsidRPr="001220A4">
        <w:rPr>
          <w:rFonts w:asciiTheme="minorHAnsi" w:hAnsiTheme="minorHAnsi" w:cstheme="minorHAnsi"/>
          <w:bCs/>
        </w:rPr>
        <w:t xml:space="preserve">MPS </w:t>
      </w:r>
      <w:r w:rsidR="00E718E5">
        <w:rPr>
          <w:rFonts w:asciiTheme="minorHAnsi" w:hAnsiTheme="minorHAnsi" w:cstheme="minorHAnsi"/>
          <w:bCs/>
        </w:rPr>
        <w:t>is</w:t>
      </w:r>
      <w:r w:rsidRPr="001220A4">
        <w:rPr>
          <w:rFonts w:asciiTheme="minorHAnsi" w:hAnsiTheme="minorHAnsi" w:cstheme="minorHAnsi"/>
          <w:bCs/>
        </w:rPr>
        <w:t xml:space="preserve"> expected to perform better than the animal tests because they are genetically human and recapitulate the interplay among tissues. When fully functional, the MPS will provide more meaningful results, at higher speed and lower costs and risks</w:t>
      </w:r>
      <w:r w:rsidR="00133F78" w:rsidRPr="001220A4">
        <w:rPr>
          <w:rFonts w:asciiTheme="minorHAnsi" w:hAnsiTheme="minorHAnsi" w:cstheme="minorHAnsi"/>
          <w:bCs/>
          <w:vertAlign w:val="superscript"/>
        </w:rPr>
        <w:fldChar w:fldCharType="begin" w:fldLock="1"/>
      </w:r>
      <w:r w:rsidR="002E703E" w:rsidRPr="001220A4">
        <w:rPr>
          <w:rFonts w:asciiTheme="minorHAnsi" w:hAnsiTheme="minorHAnsi" w:cstheme="minorHAnsi"/>
          <w:bCs/>
          <w:vertAlign w:val="superscript"/>
        </w:rPr>
        <w:instrText>ADDIN CSL_CITATION {"citationItems":[{"id":"ITEM-1","itemData":{"DOI":"10.4155/fsoa-2017-0002","ISSN":"2056-5623","PMID":"28670475","abstract":"The development of drugs is a process obstructed with manifold security and efficacy concerns. Although animal models are still widely used to meet the diligence required, they are regarded as outdated tools with limited predictability. Novel microphysiological systems intend to create systemic models of human biology. Their ability to host 3D organoid constructs in a controlled microenvironment with mechanical and electrophysiological stimuli enables them to create and maintain homeostasis. These platforms are, thus, envisioned to be superior tools for testing and developing substances such as drugs, cosmetics and chemicals. We will present reasons why microphysiological systems are required for the emerging demands, highlight current technological and regulatory obstacles, and depict possible solutions from state-of-the-art platforms from major contributors.","author":[{"dropping-particle":"","family":"Dehne","given":"Eva-Maria","non-dropping-particle":"","parse-names":false,"suffix":""},{"dropping-particle":"","family":"Hasenberg","given":"Tobias","non-dropping-particle":"","parse-names":false,"suffix":""},{"dropping-particle":"","family":"Marx","given":"Uwe","non-dropping-particle":"","parse-names":false,"suffix":""}],"container-title":"Future Science OA","id":"ITEM-1","issue":"2","issued":{"date-parts":[["2017"]]},"page":"FSO185","title":"The ascendance of microphysiological systems to solve the drug testing dilemma","type":"article-journal","volume":"3"},"uris":["http://www.mendeley.com/documents/?uuid=6dbff102-7f58-3502-bd90-2d2f4fbf93dc"]}],"mendeley":{"formattedCitation":"&lt;sup&gt;4&lt;/sup&gt;","plainTextFormattedCitation":"4","previouslyFormattedCitation":"&lt;sup&gt;4&lt;/sup&gt;"},"properties":{"noteIndex":0},"schema":"https://github.com/citation-style-language/schema/raw/master/csl-citation.json"}</w:instrText>
      </w:r>
      <w:r w:rsidR="00133F78" w:rsidRPr="001220A4">
        <w:rPr>
          <w:rFonts w:asciiTheme="minorHAnsi" w:hAnsiTheme="minorHAnsi" w:cstheme="minorHAnsi"/>
          <w:bCs/>
          <w:vertAlign w:val="superscript"/>
        </w:rPr>
        <w:fldChar w:fldCharType="separate"/>
      </w:r>
      <w:r w:rsidR="0077280B" w:rsidRPr="001220A4">
        <w:rPr>
          <w:rFonts w:asciiTheme="minorHAnsi" w:hAnsiTheme="minorHAnsi" w:cstheme="minorHAnsi"/>
          <w:bCs/>
          <w:noProof/>
          <w:vertAlign w:val="superscript"/>
        </w:rPr>
        <w:t>4</w:t>
      </w:r>
      <w:r w:rsidR="00133F78" w:rsidRPr="001220A4">
        <w:rPr>
          <w:rFonts w:asciiTheme="minorHAnsi" w:hAnsiTheme="minorHAnsi" w:cstheme="minorHAnsi"/>
          <w:bCs/>
          <w:vertAlign w:val="superscript"/>
        </w:rPr>
        <w:fldChar w:fldCharType="end"/>
      </w:r>
      <w:r w:rsidRPr="001220A4">
        <w:rPr>
          <w:rFonts w:asciiTheme="minorHAnsi" w:hAnsiTheme="minorHAnsi" w:cstheme="minorHAnsi"/>
          <w:bCs/>
        </w:rPr>
        <w:t xml:space="preserve">. </w:t>
      </w:r>
      <w:r w:rsidR="00A437F1" w:rsidRPr="001220A4">
        <w:rPr>
          <w:rFonts w:asciiTheme="minorHAnsi" w:hAnsiTheme="minorHAnsi" w:cstheme="minorHAnsi"/>
          <w:bCs/>
        </w:rPr>
        <w:t>Many</w:t>
      </w:r>
      <w:r w:rsidRPr="001220A4">
        <w:rPr>
          <w:rFonts w:asciiTheme="minorHAnsi" w:hAnsiTheme="minorHAnsi" w:cstheme="minorHAnsi"/>
          <w:bCs/>
        </w:rPr>
        <w:t xml:space="preserve"> groups are developing MPS for several purposes, especially disease models to tests </w:t>
      </w:r>
      <w:r w:rsidR="00BD3FE4" w:rsidRPr="001220A4">
        <w:rPr>
          <w:rFonts w:asciiTheme="minorHAnsi" w:hAnsiTheme="minorHAnsi" w:cstheme="minorHAnsi"/>
          <w:bCs/>
        </w:rPr>
        <w:t>drug’s</w:t>
      </w:r>
      <w:r w:rsidRPr="001220A4">
        <w:rPr>
          <w:rFonts w:asciiTheme="minorHAnsi" w:hAnsiTheme="minorHAnsi" w:cstheme="minorHAnsi"/>
          <w:bCs/>
        </w:rPr>
        <w:t xml:space="preserve"> efficacy. </w:t>
      </w:r>
    </w:p>
    <w:p w14:paraId="088C8103" w14:textId="77777777" w:rsidR="00E718E5" w:rsidRPr="001220A4" w:rsidRDefault="00E718E5" w:rsidP="0054535F">
      <w:pPr>
        <w:ind w:right="4"/>
        <w:contextualSpacing/>
        <w:rPr>
          <w:rFonts w:asciiTheme="minorHAnsi" w:hAnsiTheme="minorHAnsi" w:cstheme="minorHAnsi"/>
          <w:bCs/>
        </w:rPr>
      </w:pPr>
    </w:p>
    <w:p w14:paraId="70A98692" w14:textId="680A30A5" w:rsidR="00263F42" w:rsidRDefault="00E718E5" w:rsidP="0054535F">
      <w:pPr>
        <w:ind w:right="4"/>
        <w:contextualSpacing/>
        <w:rPr>
          <w:rFonts w:asciiTheme="minorHAnsi" w:hAnsiTheme="minorHAnsi" w:cstheme="minorHAnsi"/>
          <w:bCs/>
        </w:rPr>
      </w:pPr>
      <w:r>
        <w:rPr>
          <w:rFonts w:asciiTheme="minorHAnsi" w:hAnsiTheme="minorHAnsi" w:cstheme="minorHAnsi"/>
          <w:bCs/>
        </w:rPr>
        <w:t>E</w:t>
      </w:r>
      <w:r w:rsidR="00263F42" w:rsidRPr="001220A4">
        <w:rPr>
          <w:rFonts w:asciiTheme="minorHAnsi" w:hAnsiTheme="minorHAnsi" w:cstheme="minorHAnsi"/>
          <w:bCs/>
        </w:rPr>
        <w:t>xposure level is one of the most critical parameters for evaluating drug efficacy and toxicity</w:t>
      </w:r>
      <w:r w:rsidR="00133F78" w:rsidRPr="001220A4">
        <w:rPr>
          <w:rFonts w:asciiTheme="minorHAnsi" w:hAnsiTheme="minorHAnsi" w:cstheme="minorHAnsi"/>
          <w:bCs/>
        </w:rPr>
        <w:fldChar w:fldCharType="begin" w:fldLock="1"/>
      </w:r>
      <w:r w:rsidR="00E57B04" w:rsidRPr="001220A4">
        <w:rPr>
          <w:rFonts w:asciiTheme="minorHAnsi" w:hAnsiTheme="minorHAnsi" w:cstheme="minorHAnsi"/>
          <w:bCs/>
        </w:rPr>
        <w:instrText>ADDIN CSL_CITATION {"citationItems":[{"id":"ITEM-1","itemData":{"DOI":"10.1038/srep20030","ISSN":"20452322","PMID":"26837601","abstract":"We report on a functional human model to evaluate multi-organ toxicity in a 4-organ system under continuous flow conditions in a serum-free defined medium utilizing a pumpless platform for 14 days. Computer simulations of the platform established flow rates and resultant shear stress within accepted ranges. Viability of the system was demonstrated for 14 days as well as functional activity of cardiac, muscle, neuronal and liver modules. The pharmacological relevance of the integrated modules were evaluated for their response at 7 days to 5 drugs with known side effects after a 48 hour drug treatment regime. The results of all drug treatments were in general agreement with published toxicity results from human and animal data. The presented phenotypic culture model exhibits a multi-organ toxicity response, representing the next generation of in vitro systems, and constitutes a step towards an in vitro \"human-on-a-chip\" assay for systemic toxicity screening.","author":[{"dropping-particle":"","family":"Oleaga","given":"Carlota","non-dropping-particle":"","parse-names":false,"suffix":""},{"dropping-particle":"","family":"Bernabini","given":"Catia","non-dropping-particle":"","parse-names":false,"suffix":""},{"dropping-particle":"","family":"Smith","given":"Alec S.T.","non-dropping-particle":"","parse-names":false,"suffix":""},{"dropping-particle":"","family":"Srinivasan","given":"Balaji","non-dropping-particle":"","parse-names":false,"suffix":""},{"dropping-particle":"","family":"Jackson","given":"Max","non-dropping-particle":"","parse-names":false,"suffix":""},{"dropping-particle":"","family":"McLamb","given":"William","non-dropping-particle":"","parse-names":false,"suffix":""},{"dropping-particle":"","family":"Platt","given":"Vivien","non-dropping-particle":"","parse-names":false,"suffix":""},{"dropping-particle":"","family":"Bridges","given":"Richard","non-dropping-particle":"","parse-names":false,"suffix":""},{"dropping-particle":"","family":"Cai","given":"Yunqing","non-dropping-particle":"","parse-names":false,"suffix":""},{"dropping-particle":"","family":"Santhanam","given":"Navaneetha","non-dropping-particle":"","parse-names":false,"suffix":""},{"dropping-particle":"","family":"Berry","given":"Bonnie","non-dropping-particle":"","parse-names":false,"suffix":""},{"dropping-particle":"","family":"Najjar","given":"Sarah","non-dropping-particle":"","parse-names":false,"suffix":""},{"dropping-particle":"","family":"Akanda","given":"Nesar","non-dropping-particle":"","parse-names":false,"suffix":""},{"dropping-particle":"","family":"Guo","given":"Xiufang","non-dropping-particle":"","parse-names":false,"suffix":""},{"dropping-particle":"","family":"Martin","given":"Candace","non-dropping-particle":"","parse-names":false,"suffix":""},{"dropping-particle":"","family":"Ekman","given":"Gail","non-dropping-particle":"","parse-names":false,"suffix":""},{"dropping-particle":"","family":"Esch","given":"Mandy B.","non-dropping-particle":"","parse-names":false,"suffix":""},{"dropping-particle":"","family":"Langer","given":"Jessica","non-dropping-particle":"","parse-names":false,"suffix":""},{"dropping-particle":"","family":"Ouedraogo","given":"Gladys","non-dropping-particle":"","parse-names":false,"suffix":""},{"dropping-particle":"","family":"Cotovio","given":"Jose","non-dropping-particle":"","parse-names":false,"suffix":""},{"dropping-particle":"","family":"Breton","given":"Lionel","non-dropping-particle":"","parse-names":false,"suffix":""},{"dropping-particle":"","family":"Shuler","given":"Michael L.","non-dropping-particle":"","parse-names":false,"suffix":""},{"dropping-particle":"","family":"Hickman","given":"James J.","non-dropping-particle":"","parse-names":false,"suffix":""}],"container-title":"Scientific Reports","id":"ITEM-1","issued":{"date-parts":[["2016"]]},"page":"20030","title":"Multi-Organ toxicity demonstration in a functional human in vitro system composed of four organs","type":"article-journal","volume":"6"},"uris":["http://www.mendeley.com/documents/?uuid=57f6b442-7423-3609-9e5f-376518a54303"]},{"id":"ITEM-2","itemData":{"DOI":"10.1039/C5LC00392J","ISBN":"1473-0189 (Electronic)\\r1473-0189 (Linking)","ISSN":"1473-0197","PMID":"25996126","abstract":"Systemic absorption and metabolism of drugs in the small intestine, metabolism by the liver as well as excretion by the kidney are key determinants of efficacy and safety for therapeutic candidates. However, these systemic responses of applied substances lack in most in vitro assays. In this study, a microphysiological system maintaining the functionality of four organs over 28 days in co-culture has been established at a minute but standardized microsystem scale. Preformed human intestine and skin models have been integrated into the four-organ-chip on standard cell culture inserts at a size 100000-fold smaller than their human counterpart organs. A 3D-based spheroid, equivalent to ten liver lobules, mimics liver function. Finally, a barrier segregating the media flow through the organs from fluids excreted by the kidney has been generated by a polymeric membrane covered by a monolayer of human proximal tubule epithelial cells. A peristaltic on-chip micropump ensures pulsatile media flow interconnecting the four tissue culture compartments through microfluidic channels. A second microfluidic circuit ensures drainage of the fluid excreted through the kidney epithelial cell layer. This four-organ-chip system assures near to physiological fluid-to-tissue ratios. In-depth metabolic and gene analysis revealed the establishment of reproducible homeostasis among the co-cultures within two to four days, sustainable over at least 28 days independent of the individual human cell line or tissue donor background used for each organ equivalent. Lastly, 3D imaging two-photon microscopy visualised details of spatiotemporal segregation of the two microfluidic flows by proximal tubule epithelia. To our knowledge, this study is the first approach to establish a system for in vitro microfluidic ADME profiling and repeated dose systemic toxicity testing of drug candidates over 28 days.","author":[{"dropping-particle":"","family":"Maschmeyer","given":"Ilka","non-dropping-particle":"","parse-names":false,"suffix":""},{"dropping-particle":"","family":"Lorenz","given":"Alexandra K.","non-dropping-particle":"","parse-names":false,"suffix":""},{"dropping-particle":"","family":"Schimek","given":"Katharina","non-dropping-particle":"","parse-names":false,"suffix":""},{"dropping-particle":"","family":"Hasenberg","given":"Tobias","non-dropping-particle":"","parse-names":false,"suffix":""},{"dropping-particle":"","family":"Ramme","given":"Anja P.","non-dropping-particle":"","parse-names":false,"suffix":""},{"dropping-particle":"","family":"Hübner","given":"Juliane","non-dropping-particle":"","parse-names":false,"suffix":""},{"dropping-particle":"","family":"Lindner","given":"Marcus","non-dropping-particle":"","parse-names":false,"suffix":""},{"dropping-particle":"","family":"Drewell","given":"Christopher","non-dropping-particle":"","parse-names":false,"suffix":""},{"dropping-particle":"","family":"Bauer","given":"Sophie","non-dropping-particle":"","parse-names":false,"suffix":""},{"dropping-particle":"","family":"Thomas","given":"Alexander","non-dropping-particle":"","parse-names":false,"suffix":""},{"dropping-particle":"","family":"Sambo","given":"Naomia Sisoli","non-dropping-particle":"","parse-names":false,"suffix":""},{"dropping-particle":"","family":"Sonntag","given":"Frank","non-dropping-particle":"","parse-names":false,"suffix":""},{"dropping-particle":"","family":"Lauster","given":"Roland","non-dropping-particle":"","parse-names":false,"suffix":""},{"dropping-particle":"","family":"Marx","given":"Uwe","non-dropping-particle":"","parse-names":false,"suffix":""}],"container-title":"Lab Chip","id":"ITEM-2","issue":"12","issued":{"date-parts":[["2015"]]},"page":"2688-2699","title":"A four-organ-chip for interconnected long-term co-culture of human intestine, liver, skin and kidney equivalents","type":"article-journal","volume":"15"},"uris":["http://www.mendeley.com/documents/?uuid=da62ab58-38b3-3b46-9f74-6125132b2a09"]},{"id":"ITEM-3","itemData":{"DOI":"10.1039/C4LC00371C","ISSN":"1473-0197","PMID":"24970651","abstract":"The use of nanoparticles in medical applications is highly anticipated, and at the same time little is known about how these nanoparticles affect human tissues.","author":[{"dropping-particle":"","family":"Esch","given":"Mandy B.","non-dropping-particle":"","parse-names":false,"suffix":""},{"dropping-particle":"","family":"Mahler","given":"Gretchen J.","non-dropping-particle":"","parse-names":false,"suffix":""},{"dropping-particle":"","family":"Stokol","given":"Tracy","non-dropping-particle":"","parse-names":false,"suffix":""},{"dropping-particle":"","family":"Shuler","given":"Michael L.","non-dropping-particle":"","parse-names":false,"suffix":""}],"container-title":"Lab Chip","id":"ITEM-3","issue":"16","issued":{"date-parts":[["2014"]]},"page":"3081-3092","title":"Body-on-a-chip simulation with gastrointestinal tract and liver tissues suggests that ingested nanoparticles have the potential to cause liver injury","type":"article-journal","volume":"14"},"uris":["http://www.mendeley.com/documents/?uuid=696ca12a-8a51-3a93-997e-a7d503c8077b"]},{"id":"ITEM-4","itemData":{"DOI":"10.3791/52526","ISBN":"1940-087X (Electronic)\\r1940-087X (Linking)","ISSN":"1940-087X","PMID":"25992921","abstract":"The ever growing amount of new substances released onto the market and the limited predictability of current in vitro test systems has led to a high need for new solutions for substance testing. Many drugs that have been removed from the market due to drug-induced liver injury released their toxic potential only after several doses of chronic testing in humans. However, a controlled microenvironment is pivotal for long-term multiple dosing experiments, as even minor alterations in extracellular conditions may greatly influence the cell physiology. We focused within our research program on the generation of a microengineered bioreactor, which can be dynamically perfused by an on-chip pump and combines at least two culture spaces for multi-organ applications. This circulatory system mimics the in vivo conditions of primary cell cultures better and assures a steadier, more quantifiable extracellular relay of signals to the cells. For demonstration purposes, human liver equivalents, generated by aggregating differentiated HepaRG cells with human hepatic stellate cells in hanging drop plates, were cocultured with human skin punch biopsies for up to 28 days inside the microbioreactor. The use of cell culture inserts enables the skin to be cultured at an air-liquid interface, allowing topical substance exposure. The microbioreactor system is capable of supporting these cocultures at near physiologic fluid flow and volume-to-liquid ratios, ensuring stable and organotypic culture conditions. The possibility of long-term cultures enables the repeated exposure to substances. Furthermore, a vascularization of the microfluidic channel circuit using human dermal microvascular endothelial cells yields a physiologically more relevant vascular model.","author":[{"dropping-particle":"","family":"Materne","given":"Eva-Maria","non-dropping-particle":"","parse-names":false,"suffix":""},{"dropping-particle":"","family":"Maschmeyer","given":"Ilka","non-dropping-particle":"","parse-names":false,"suffix":""},{"dropping-particle":"","family":"Lorenz","given":"Alexandra K.","non-dropping-particle":"","parse-names":false,"suffix":""},{"dropping-particle":"","family":"Horland","given":"Reyk","non-dropping-particle":"","parse-names":false,"suffix":""},{"dropping-particle":"","family":"Schimek","given":"Katharina M. S.","non-dropping-particle":"","parse-names":false,"suffix":""},{"dropping-particle":"","family":"Busek","given":"Mathias","non-dropping-particle":"","parse-names":false,"suffix":""},{"dropping-particle":"","family":"Sonntag","given":"Frank","non-dropping-particle":"","parse-names":false,"suffix":""},{"dropping-particle":"","family":"Lauster","given":"Roland","non-dropping-particle":"","parse-names":false,"suffix":""},{"dropping-particle":"","family":"Marx","given":"Uwe","non-dropping-particle":"","parse-names":false,"suffix":""}],"container-title":"Journal of Visualized Experiments","id":"ITEM-4","issued":{"date-parts":[["2015"]]},"page":"52526","title":"The Multi-organ Chip - A Microfluidic Platform for Long-term Multi-tissue Coculture","type":"article-journal","volume":"98"},"uris":["http://www.mendeley.com/documents/?uuid=46e098b2-af2f-351c-a6d5-13ee3a218010"]},{"id":"ITEM-5","itemData":{"DOI":"10.1039/C6LC00461J","ISBN":"1473-0197","ISSN":"1473-0197","PMID":"27332143","abstract":"We have developed an expandable modular body-on-a-chip design that allows for a plug-and-play approach.","author":[{"dropping-particle":"","family":"Esch","given":"Mandy B.","non-dropping-particle":"","parse-names":false,"suffix":""},{"dropping-particle":"","family":"Ueno","given":"Hidetaka","non-dropping-particle":"","parse-names":false,"suffix":""},{"dropping-particle":"","family":"Applegate","given":"Dawn R.","non-dropping-particle":"","parse-names":false,"suffix":""},{"dropping-particle":"","family":"Shuler","given":"Michael L.","non-dropping-particle":"","parse-names":false,"suffix":""}],"container-title":"Lab Chip","id":"ITEM-5","issue":"14","issued":{"date-parts":[["2016"]]},"page":"2719-2729","title":"Modular, pumpless body-on-a-chip platform for the co-culture of GI tract epithelium and 3D primary liver tissue","type":"article-journal","volume":"16"},"uris":["http://www.mendeley.com/documents/?uuid=668ae259-893d-39c2-ae9b-a3e45985533a"]},{"id":"ITEM-6","itemData":{"DOI":"10.1039/b917763a","ISBN":"1473-0197","ISSN":"1473-0197","PMID":"20126684","abstract":"Drug discovery is often impeded by the poor predictability of in vitro assays for drug toxicity. One primary reason for this observation is the inability to reproduce the pharmacokinetics (PK) of drugs in vitro. Mathematical models to predict the pharmacokinetics-pharmacodynamics (PK-PD) of drugs are available{,} but have several limitations{,} preventing broader application. A microscale cell culture analog ([small micro]CCA) is a microfluidic device based on a PK-PD model{,} where multiple cell culture chambers are connected with fluidic channels to mimic multi-organ interactions and test drug toxicity in a pharmacokinetic-based manner. One critical issue with microfluidics{,} including the [small micro]CCA{,} is that specialized techniques are required for assembly and operation{,} limiting its usability to non-experts. Here{,} we describe a novel design{,} with enhanced usability while allowing hydrogel-cell cultures of multiple types. Gravity-induced flow enables pumpless operation and prevents bubble formation. Three cell lines representing the liver{,} tumor and marrow were cultured in the three-chamber [small micro]CCA to test the toxicity of an anticancer drug{,} 5-fluorouracil. The result was analyzed with a PK-PD model of the device{,} and compared with the result in static conditions. Each cell type exhibited differential responses to 5-FU{,} and the responses in the microfluidic environment were different from those in static environment. Combination of a mathematical modeling approach (PK-PD modeling) and an in vitro experimental approach ([small micro]CCA) provides a novel platform with improved predictability for testing drug toxicity and can help researchers gain a better insight into the drug{'}s mechanism of action.","author":[{"dropping-particle":"","family":"Sung","given":"Jong Hwan","non-dropping-particle":"","parse-names":false,"suffix":""},{"dropping-particle":"","family":"Kam","given":"Carrie","non-dropping-particle":"","parse-names":false,"suffix":""},{"dropping-particle":"","family":"Shuler","given":"Michael L.","non-dropping-particle":"","parse-names":false,"suffix":""}],"container-title":"Lab on a Chip","id":"ITEM-6","issue":"4","issued":{"date-parts":[["2010"]]},"page":"446-455","title":"A microfluidic device for a pharmacokinetic–pharmacodynamic (PK–PD) model on a chip","type":"article-journal","volume":"10"},"uris":["http://www.mendeley.com/documents/?uuid=a82b75e9-9044-3f09-9a69-be3427120f68"]},{"id":"ITEM-7","itemData":{"DOI":"10.1021/bp0341996","ISBN":"8756-7938","ISSN":"87567938","PMID":"14763858","abstract":"Prediction of human response to drugs or chemicals is difficult as a result of the complexity of living organisms. We describe an in vitro model that can realistically and inexpensively study the adsorption, distribution, metabolism, elimination, and potential toxicity (ADMET) of chemicals. A microscale cell culture analog (microCCA) is a physical replica of the physiologically based pharmacokinetics (PBPK) model. Such a microfabricated device consists of a fluidic network of channels to mimic the circulatory system and chambers containing cultured mammalian cells representing key functions of animal \"organ\" systems. This paper describes the application of a two-cell system, four-chamber microCCA (\"lung\"-\"liver\"-\"other tissue\"-\"fat\") device for proof-of-concept study using naphthalene as a model toxicant. Naphthalene is converted into reactive metabolites (i.e., 1,2-naphthalenediol and 1,2-naphthoquinone) in the \"liver\" compartment, which then circulate to the \"lung\" depleting glutathione (GSH) in lung cells. Such microfabricated in vitro devices are potential human surrogates for testing chemicals and pharmaceutics for toxicity and efficacy.","author":[{"dropping-particle":"","family":"Viravaidya","given":"Kwanchanok","non-dropping-particle":"","parse-names":false,"suffix":""},{"dropping-particle":"","family":"Sin","given":"Aaron","non-dropping-particle":"","parse-names":false,"suffix":""},{"dropping-particle":"","family":"Shuler","given":"Michael L.","non-dropping-particle":"","parse-names":false,"suffix":""}],"container-title":"Biotechnology Progress","id":"ITEM-7","issue":"1","issued":{"date-parts":[["2004"]]},"page":"316-323","title":"Development of a Microscale Cell Culture Analog to Probe Naphthalene Toxicity","type":"article-journal","volume":"20"},"uris":["http://www.mendeley.com/documents/?uuid=1b253eb4-5160-3718-bd4c-70bdf7903707"]},{"id":"ITEM-8","itemData":{"DOI":"10.1021/bp034077d","ISBN":"8756-7938","ISSN":"87567938","PMID":"14763861","abstract":"Whole animal testing is an essential part in evaluating the toxicological and pharmacological profiles of chemicals and pharmaceuticals, but these experiments are expensive and cumbersome. A cell culture analog (CCA) system, when used in conjunction with a physiologically based pharmacokinetic (PBPK) model, provides an in vitro supplement to animal studies and the possibility of a human surrogate for predicting human response in clinical trials. A PBPK model mathematically simulates animal metabolism by modeling the absorption, distribution, metabolism, and elimination kinetics of a chemical in interconnected tissue compartments. A CCA uses mammalian cells cultured in interconnected chambers to physically represent the corresponding PBPK. These compartments are connected by recirculating tissue culture medium that acts as a blood surrogate. The purpose of this article is to describe the design and basic operation of the microscale manifestation of such a system. Microscale CCAs offer the potential for inexpensive, relatively high throughput evaluation of chemicals while minimizing demand for reagents and cells. Using microfabrication technology, a three-chamber (\"lung\"-\"liver\"-\"other\") microscale cell culture analog (muCCA) device was fabricated on a 1 in. (2.54 cm) square silicon chip. With a design flow rate of 1.76 muL/min, this muCCA device achieves approximate physiological liquid-to-cell ratio and hydrodynamic shear stress while replicating the liquid residence time parameters in the PBPK model. A dissolved oxygen sensor based on collision quenching of a fluorescent ruthenium complex by oxygen molecules was integrated into the system, demonstrating the potential to integrate real-time sensors into such devices.","author":[{"dropping-particle":"","family":"Sin","given":"Aaron","non-dropping-particle":"","parse-names":false,"suffix":""},{"dropping-particle":"","family":"Chin","given":"Katherine C.","non-dropping-particle":"","parse-names":false,"suffix":""},{"dropping-particle":"","family":"Jamil","given":"Muhammad F.","non-dropping-particle":"","parse-names":false,"suffix":""},{"dropping-particle":"","family":"Kostov","given":"Yordan","non-dropping-particle":"","parse-names":false,"suffix":""},{"dropping-particle":"","family":"Rao","given":"Govind","non-dropping-particle":"","parse-names":false,"suffix":""},{"dropping-particle":"","family":"Shuler","given":"Michael L.","non-dropping-particle":"","parse-names":false,"suffix":""}],"container-title":"Biotechnology Progress","id":"ITEM-8","issue":"1","issued":{"date-parts":[["2004"]]},"page":"338-345","title":"The Design and Fabrication of Three-Chamber Microscale Cell Culture Analog Devices with Integrated Dissolved Oxygen Sensors","type":"article-journal","volume":"20"},"uris":["http://www.mendeley.com/documents/?uuid=ff4ea0f1-0a82-4031-9719-1856489b5bfe"]}],"mendeley":{"formattedCitation":"&lt;sup&gt;5–12&lt;/sup&gt;","plainTextFormattedCitation":"5–12","previouslyFormattedCitation":"&lt;sup&gt;5–12&lt;/sup&gt;"},"properties":{"noteIndex":0},"schema":"https://github.com/citation-style-language/schema/raw/master/csl-citation.json"}</w:instrText>
      </w:r>
      <w:r w:rsidR="00133F78" w:rsidRPr="001220A4">
        <w:rPr>
          <w:rFonts w:asciiTheme="minorHAnsi" w:hAnsiTheme="minorHAnsi" w:cstheme="minorHAnsi"/>
          <w:bCs/>
        </w:rPr>
        <w:fldChar w:fldCharType="separate"/>
      </w:r>
      <w:r w:rsidR="0077280B" w:rsidRPr="001220A4">
        <w:rPr>
          <w:rFonts w:asciiTheme="minorHAnsi" w:hAnsiTheme="minorHAnsi" w:cstheme="minorHAnsi"/>
          <w:bCs/>
          <w:noProof/>
          <w:vertAlign w:val="superscript"/>
        </w:rPr>
        <w:t>5–12</w:t>
      </w:r>
      <w:r w:rsidR="00133F78" w:rsidRPr="001220A4">
        <w:rPr>
          <w:rFonts w:asciiTheme="minorHAnsi" w:hAnsiTheme="minorHAnsi" w:cstheme="minorHAnsi"/>
          <w:bCs/>
        </w:rPr>
        <w:fldChar w:fldCharType="end"/>
      </w:r>
      <w:r w:rsidR="00263F42" w:rsidRPr="001220A4">
        <w:rPr>
          <w:rFonts w:asciiTheme="minorHAnsi" w:hAnsiTheme="minorHAnsi" w:cstheme="minorHAnsi"/>
          <w:bCs/>
        </w:rPr>
        <w:t>. MPS allow</w:t>
      </w:r>
      <w:r w:rsidR="00646C34" w:rsidRPr="001220A4">
        <w:rPr>
          <w:rFonts w:asciiTheme="minorHAnsi" w:hAnsiTheme="minorHAnsi" w:cstheme="minorHAnsi"/>
          <w:bCs/>
        </w:rPr>
        <w:t>s</w:t>
      </w:r>
      <w:r w:rsidR="00263F42" w:rsidRPr="001220A4">
        <w:rPr>
          <w:rFonts w:asciiTheme="minorHAnsi" w:hAnsiTheme="minorHAnsi" w:cstheme="minorHAnsi"/>
          <w:bCs/>
        </w:rPr>
        <w:t xml:space="preserve"> organoid integration that emulates systemic exposure and </w:t>
      </w:r>
      <w:r w:rsidR="00646C34" w:rsidRPr="001220A4">
        <w:rPr>
          <w:rFonts w:asciiTheme="minorHAnsi" w:hAnsiTheme="minorHAnsi" w:cstheme="minorHAnsi"/>
          <w:bCs/>
        </w:rPr>
        <w:t>is</w:t>
      </w:r>
      <w:r w:rsidR="00263F42" w:rsidRPr="001220A4">
        <w:rPr>
          <w:rFonts w:asciiTheme="minorHAnsi" w:hAnsiTheme="minorHAnsi" w:cstheme="minorHAnsi"/>
          <w:bCs/>
        </w:rPr>
        <w:t xml:space="preserve"> expected to perform better than the traditional 2D human tissue culture. This technology can significantly improve the prediction of compound intestinal absorption and liver metabolism</w:t>
      </w:r>
      <w:r w:rsidR="0077280B" w:rsidRPr="001220A4">
        <w:rPr>
          <w:rFonts w:asciiTheme="minorHAnsi" w:hAnsiTheme="minorHAnsi" w:cstheme="minorHAnsi"/>
          <w:bCs/>
        </w:rPr>
        <w:fldChar w:fldCharType="begin" w:fldLock="1"/>
      </w:r>
      <w:r w:rsidR="002E703E" w:rsidRPr="001220A4">
        <w:rPr>
          <w:rFonts w:asciiTheme="minorHAnsi" w:hAnsiTheme="minorHAnsi" w:cstheme="minorHAnsi"/>
          <w:bCs/>
        </w:rPr>
        <w:instrText>ADDIN CSL_CITATION {"citationItems":[{"id":"ITEM-1","itemData":{"DOI":"10.4155/fsoa-2017-0002","ISSN":"2056-5623","PMID":"28670475","abstract":"The development of drugs is a process obstructed with manifold security and efficacy concerns. Although animal models are still widely used to meet the diligence required, they are regarded as outdated tools with limited predictability. Novel microphysiological systems intend to create systemic models of human biology. Their ability to host 3D organoid constructs in a controlled microenvironment with mechanical and electrophysiological stimuli enables them to create and maintain homeostasis. These platforms are, thus, envisioned to be superior tools for testing and developing substances such as drugs, cosmetics and chemicals. We will present reasons why microphysiological systems are required for the emerging demands, highlight current technological and regulatory obstacles, and depict possible solutions from state-of-the-art platforms from major contributors.","author":[{"dropping-particle":"","family":"Dehne","given":"Eva-Maria","non-dropping-particle":"","parse-names":false,"suffix":""},{"dropping-particle":"","family":"Hasenberg","given":"Tobias","non-dropping-particle":"","parse-names":false,"suffix":""},{"dropping-particle":"","family":"Marx","given":"Uwe","non-dropping-particle":"","parse-names":false,"suffix":""}],"container-title":"Future Science OA","id":"ITEM-1","issue":"2","issued":{"date-parts":[["2017"]]},"page":"FSO185","title":"The ascendance of microphysiological systems to solve the drug testing dilemma","type":"article-journal","volume":"3"},"uris":["http://www.mendeley.com/documents/?uuid=6dbff102-7f58-3502-bd90-2d2f4fbf93dc"]}],"mendeley":{"formattedCitation":"&lt;sup&gt;4&lt;/sup&gt;","plainTextFormattedCitation":"4","previouslyFormattedCitation":"&lt;sup&gt;4&lt;/sup&gt;"},"properties":{"noteIndex":0},"schema":"https://github.com/citation-style-language/schema/raw/master/csl-citation.json"}</w:instrText>
      </w:r>
      <w:r w:rsidR="0077280B" w:rsidRPr="001220A4">
        <w:rPr>
          <w:rFonts w:asciiTheme="minorHAnsi" w:hAnsiTheme="minorHAnsi" w:cstheme="minorHAnsi"/>
          <w:bCs/>
        </w:rPr>
        <w:fldChar w:fldCharType="separate"/>
      </w:r>
      <w:r w:rsidR="0077280B" w:rsidRPr="001220A4">
        <w:rPr>
          <w:rFonts w:asciiTheme="minorHAnsi" w:hAnsiTheme="minorHAnsi" w:cstheme="minorHAnsi"/>
          <w:bCs/>
          <w:noProof/>
          <w:vertAlign w:val="superscript"/>
        </w:rPr>
        <w:t>4</w:t>
      </w:r>
      <w:r w:rsidR="0077280B" w:rsidRPr="001220A4">
        <w:rPr>
          <w:rFonts w:asciiTheme="minorHAnsi" w:hAnsiTheme="minorHAnsi" w:cstheme="minorHAnsi"/>
          <w:bCs/>
        </w:rPr>
        <w:fldChar w:fldCharType="end"/>
      </w:r>
      <w:r w:rsidR="0077280B" w:rsidRPr="001220A4">
        <w:rPr>
          <w:rFonts w:asciiTheme="minorHAnsi" w:hAnsiTheme="minorHAnsi" w:cstheme="minorHAnsi"/>
          <w:bCs/>
        </w:rPr>
        <w:t>.</w:t>
      </w:r>
    </w:p>
    <w:p w14:paraId="7E29EBAD" w14:textId="77777777" w:rsidR="00E718E5" w:rsidRPr="001220A4" w:rsidRDefault="00E718E5" w:rsidP="0054535F">
      <w:pPr>
        <w:ind w:right="4"/>
        <w:contextualSpacing/>
        <w:rPr>
          <w:rFonts w:asciiTheme="minorHAnsi" w:hAnsiTheme="minorHAnsi" w:cstheme="minorHAnsi"/>
          <w:bCs/>
        </w:rPr>
      </w:pPr>
    </w:p>
    <w:p w14:paraId="329C8294" w14:textId="6A657350" w:rsidR="00263F42" w:rsidRDefault="00263F42" w:rsidP="0054535F">
      <w:pPr>
        <w:ind w:right="4"/>
        <w:contextualSpacing/>
        <w:rPr>
          <w:rFonts w:asciiTheme="minorHAnsi" w:hAnsiTheme="minorHAnsi" w:cstheme="minorHAnsi"/>
          <w:bCs/>
        </w:rPr>
      </w:pPr>
      <w:r w:rsidRPr="001220A4">
        <w:rPr>
          <w:rFonts w:asciiTheme="minorHAnsi" w:hAnsiTheme="minorHAnsi" w:cstheme="minorHAnsi"/>
          <w:bCs/>
        </w:rPr>
        <w:t xml:space="preserve">An MPS integrating human equivalent model of </w:t>
      </w:r>
      <w:r w:rsidR="00194937">
        <w:rPr>
          <w:rFonts w:asciiTheme="minorHAnsi" w:hAnsiTheme="minorHAnsi" w:cstheme="minorHAnsi"/>
          <w:bCs/>
        </w:rPr>
        <w:t xml:space="preserve">the </w:t>
      </w:r>
      <w:r w:rsidRPr="001220A4">
        <w:rPr>
          <w:rFonts w:asciiTheme="minorHAnsi" w:hAnsiTheme="minorHAnsi" w:cstheme="minorHAnsi"/>
          <w:bCs/>
        </w:rPr>
        <w:t xml:space="preserve">intestine and </w:t>
      </w:r>
      <w:r w:rsidR="00194937">
        <w:rPr>
          <w:rFonts w:asciiTheme="minorHAnsi" w:hAnsiTheme="minorHAnsi" w:cstheme="minorHAnsi"/>
          <w:bCs/>
        </w:rPr>
        <w:t xml:space="preserve">the </w:t>
      </w:r>
      <w:r w:rsidRPr="001220A4">
        <w:rPr>
          <w:rFonts w:asciiTheme="minorHAnsi" w:hAnsiTheme="minorHAnsi" w:cstheme="minorHAnsi"/>
          <w:bCs/>
        </w:rPr>
        <w:t>liver is a good starting point, considering the central role of these two organs in drug bioavailability and systemic exposure</w:t>
      </w:r>
      <w:r w:rsidR="00133F78" w:rsidRPr="001220A4">
        <w:rPr>
          <w:rFonts w:asciiTheme="minorHAnsi" w:hAnsiTheme="minorHAnsi" w:cstheme="minorHAnsi"/>
          <w:bCs/>
        </w:rPr>
        <w:fldChar w:fldCharType="begin" w:fldLock="1"/>
      </w:r>
      <w:r w:rsidR="00E57B04" w:rsidRPr="001220A4">
        <w:rPr>
          <w:rFonts w:asciiTheme="minorHAnsi" w:hAnsiTheme="minorHAnsi" w:cstheme="minorHAnsi"/>
          <w:bCs/>
        </w:rPr>
        <w:instrText>ADDIN CSL_CITATION {"citationItems":[{"id":"ITEM-1","itemData":{"DOI":"10.1208/s12248-017-0122-4","ISSN":"1550-7416","abstract":"© 2017, The Author(s). Investigation of the pharmacokinetics (PK) of a compound is of significant importance during the early stages of drug development, and therefore several in vitro systems are routinely employed for this purpose. However, the need for more physiologically realistic in vitro models has recently fueled the emerging field of tissue-engineered 3D cultures, also referred to as organs-on-chips, or microphysiological systems (MPSs). We have developed a novel fluidic platform that interconnects multiple MPSs, allowing PK studies in multi-organ in vitro systems along with the collection of high-content quantitative data. This platform was employed here to integrate a gut and a liver MPS together in continuous communication, and investigate simultaneously different PK processes taking place after oral drug administration in humans (e.g., intestinal permeability, hepatic metabolism). Measurement of tissue-specific phenotypic metrics indicated that gut and liver MPSs can be fluidically coupled with circulating common medium without compromising their functionality. The PK of diclofenac and hydrocortisone was investigated under different experimental perturbations, and results illustrate the robustness of this integrated system for quantitative PK studies. Mechanistic model-based analysis of the obtained data allowed the derivation of the intrinsic parameters (e.g., permeability, metabolic clearance) associated with the PK processes taking place in each MPS. Although these processes were not substantially affected by the gut-liver interaction, our results indicate that inter-MPS communication can have a modulating effect (hepatic metabolism upregulation). We envision that our integrative approach, which combines multi-cellular tissue models, multi-MPS platforms, and quantitative mechanistic modeling, will have broad applicability in pre-clinical drug development.","author":[{"dropping-particle":"","family":"Tsamandouras","given":"Nikolaos","non-dropping-particle":"","parse-names":false,"suffix":""},{"dropping-particle":"","family":"Chen","given":"Wen Li Kelly","non-dropping-particle":"","parse-names":false,"suffix":""},{"dropping-particle":"","family":"Edington","given":"Collin D.","non-dropping-particle":"","parse-names":false,"suffix":""},{"dropping-particle":"","family":"Stokes","given":"Cynthia L.","non-dropping-particle":"","parse-names":false,"suffix":""},{"dropping-particle":"","family":"Griffith","given":"Linda G.","non-dropping-particle":"","parse-names":false,"suffix":""},{"dropping-particle":"","family":"Cirit","given":"Murat","non-dropping-particle":"","parse-names":false,"suffix":""}],"container-title":"The AAPS Journal","id":"ITEM-1","issue":"5","issued":{"date-parts":[["2017"]]},"page":"1499-1512","title":"Integrated Gut and Liver Microphysiological Systems for Quantitative In Vitro Pharmacokinetic Studies","type":"article-journal","volume":"19"},"uris":["http://www.mendeley.com/documents/?uuid=4e6482a7-4772-39cd-9323-d31538af283f"]},{"id":"ITEM-2","itemData":{"DOI":"10.1007/s10787-013-0172-x","ISBN":"0925-4692","ISSN":"09254692","PMID":"23719833","abstract":"Paracetamol is used worldwide for its analgesic and antipyretic actions. It has a spectrum of action similar to that of NSAIDs and resembles particularly the COX-2 selective inhibitors. Paracetamol is, on average, a weaker analgesic than NSAIDs or COX-2 selective inhibitors but is often preferred because of its better tolerance. Despite the similarities to NSAIDs, the mode of action of paracetamol has been uncertain, but it is now generally accepted that it inhibits COX-1 and COX-2 through metabolism by the peroxidase function of these isoenzymes. This results in inhibition of phenoxyl radical formation from a critical tyrosine residue essential for the cyclooxygenase activity of COX-1 and COX-2 and prostaglandin (PG) synthesis. Paracetamol shows selectivity for inhibition of the synthesis of PGs and related factors when low levels of arachidonic acid and peroxides are available but conversely, it has little activity at substantial levels of arachidonic acid and peroxides. The result is that paracetamol does not suppress the severe inflammation of rheumatoid arthritis and acute gout but does inhibit the lesser inflammation resulting from extraction of teeth and is also active in a variety of inflammatory tests in experimental animals. Paracetamol often appears to have COX-2 selectivity. The apparent COX-2 selectivity of action of paracetamol is shown by its poor anti-platelet activity and good gastrointestinal tolerance. Unlike both non-selective NSAIDs and selective COX-2 inhibitors, paracetamol inhibits other peroxidase enzymes including myeloperoxidase. Inhibition of myeloperoxidase involves paracetamol oxidation and concomitant decreased formation of halogenating oxidants (e.g. hypochlorous acid, hypobromous acid) that may be associated with multiple inflammatory pathologies including atherosclerosis and rheumatic diseases. Paracetamol may, therefore, slow the development of these diseases. Paracetamol, NSAIDs and selective COX-2 inhibitors all have central and peripheral effects. As is the case with the NSAIDs, including the selective COX-2 inhibitors, the analgesic effects of paracetamol are reduced by inhibitors of many endogenous neurotransmitter systems including serotonergic, opioid and cannabinoid systems. There is considerable debate about the hepatotoxicity of therapeutic doses of paracetamol. Much of the toxicity may result from overuse of combinations of paracetamol with opioids which are widely used, particularly in USA.","author":[{"dropping-particle":"","family":"Graham","given":"Garry G.","non-dropping-particle":"","parse-names":false,"suffix":""},{"dropping-particle":"","family":"Davies","given":"Michael J.","non-dropping-particle":"","parse-names":false,"suffix":""},{"dropping-particle":"","family":"Day","given":"Richard O.","non-dropping-particle":"","parse-names":false,"suffix":""},{"dropping-particle":"","family":"Mohamudally","given":"Anthoulla","non-dropping-particle":"","parse-names":false,"suffix":""},{"dropping-particle":"","family":"Scott","given":"Kieran F.","non-dropping-particle":"","parse-names":false,"suffix":""}],"container-title":"Inflammopharmacology","id":"ITEM-2","issue":"3","issued":{"date-parts":[["2013"]]},"page":"201-232","title":"The modern pharmacology of paracetamol: Therapeutic actions, mechanism of action, metabolism, toxicity and recent pharmacological findings","type":"article-journal","volume":"21"},"uris":["http://www.mendeley.com/documents/?uuid=16d75e34-7bec-3682-b8f1-9a0cb2147794"]},{"id":"ITEM-3","itemData":{"DOI":"10.1016/j.ccc.2012.07.006","ISBN":"1557-8232 (Electronic)\\r0749-0704 (Linking)","ISSN":"07490704","PMID":"22998987","abstract":"Acetaminophen poisoning remains one of the more common drugs taken in overdose with potentially fatal consequences. Early recognition and prompt treatment with N-acetylcysteine can prevent hepatic injury. With acute overdose, the Rumack-Matthew nomogram is a useful tool to assess risk and guide management. Equally common to acute overdose is the repeated use of excessive amounts of acetaminophen. Simultaneous ingestion of several different acetaminophen-containing products may result in excessive dosage. These patients also benefit from N-acetylcysteine. Standard courses of N-acetylcysteine may need to be extended in patients with persistently elevated plasma concentrations of acetaminophen or with signs of hepatic injury. © 2012 Elsevier Inc.","author":[{"dropping-particle":"","family":"Hodgman","given":"Michael J.","non-dropping-particle":"","parse-names":false,"suffix":""},{"dropping-particle":"","family":"Garrard","given":"Alexander R.","non-dropping-particle":"","parse-names":false,"suffix":""}],"container-title":"Critical Care Clinics","id":"ITEM-3","issue":"4","issued":{"date-parts":[["2012"]]},"page":"499-516","title":"A Review of Acetaminophen Poisoning","type":"article-journal","volume":"28"},"uris":["http://www.mendeley.com/documents/?uuid=5e028a89-d5a9-30b2-b3dd-4d254d1671f7"]}],"mendeley":{"formattedCitation":"&lt;sup&gt;13–15&lt;/sup&gt;","plainTextFormattedCitation":"13–15","previouslyFormattedCitation":"&lt;sup&gt;13–15&lt;/sup&gt;"},"properties":{"noteIndex":0},"schema":"https://github.com/citation-style-language/schema/raw/master/csl-citation.json"}</w:instrText>
      </w:r>
      <w:r w:rsidR="00133F78" w:rsidRPr="001220A4">
        <w:rPr>
          <w:rFonts w:asciiTheme="minorHAnsi" w:hAnsiTheme="minorHAnsi" w:cstheme="minorHAnsi"/>
          <w:bCs/>
        </w:rPr>
        <w:fldChar w:fldCharType="separate"/>
      </w:r>
      <w:r w:rsidR="0077280B" w:rsidRPr="001220A4">
        <w:rPr>
          <w:rFonts w:asciiTheme="minorHAnsi" w:hAnsiTheme="minorHAnsi" w:cstheme="minorHAnsi"/>
          <w:bCs/>
          <w:noProof/>
          <w:vertAlign w:val="superscript"/>
        </w:rPr>
        <w:t>13–15</w:t>
      </w:r>
      <w:r w:rsidR="00133F78" w:rsidRPr="001220A4">
        <w:rPr>
          <w:rFonts w:asciiTheme="minorHAnsi" w:hAnsiTheme="minorHAnsi" w:cstheme="minorHAnsi"/>
          <w:bCs/>
        </w:rPr>
        <w:fldChar w:fldCharType="end"/>
      </w:r>
      <w:r w:rsidRPr="001220A4">
        <w:rPr>
          <w:rFonts w:asciiTheme="minorHAnsi" w:hAnsiTheme="minorHAnsi" w:cstheme="minorHAnsi"/>
          <w:bCs/>
        </w:rPr>
        <w:t xml:space="preserve">. APAP is </w:t>
      </w:r>
      <w:r w:rsidR="00CA1BC4" w:rsidRPr="001220A4">
        <w:rPr>
          <w:rFonts w:asciiTheme="minorHAnsi" w:hAnsiTheme="minorHAnsi" w:cstheme="minorHAnsi"/>
          <w:bCs/>
        </w:rPr>
        <w:t xml:space="preserve">an </w:t>
      </w:r>
      <w:r w:rsidRPr="001220A4">
        <w:rPr>
          <w:rFonts w:asciiTheme="minorHAnsi" w:hAnsiTheme="minorHAnsi" w:cstheme="minorHAnsi"/>
          <w:bCs/>
        </w:rPr>
        <w:t>attractive</w:t>
      </w:r>
      <w:r w:rsidR="00A437F1" w:rsidRPr="001220A4">
        <w:rPr>
          <w:rFonts w:asciiTheme="minorHAnsi" w:hAnsiTheme="minorHAnsi" w:cstheme="minorHAnsi"/>
          <w:bCs/>
        </w:rPr>
        <w:t xml:space="preserve"> drug</w:t>
      </w:r>
      <w:r w:rsidR="005335DC" w:rsidRPr="001220A4">
        <w:rPr>
          <w:rFonts w:asciiTheme="minorHAnsi" w:hAnsiTheme="minorHAnsi" w:cstheme="minorHAnsi"/>
          <w:bCs/>
        </w:rPr>
        <w:t xml:space="preserve"> for studying an</w:t>
      </w:r>
      <w:r w:rsidRPr="001220A4">
        <w:rPr>
          <w:rFonts w:asciiTheme="minorHAnsi" w:hAnsiTheme="minorHAnsi" w:cstheme="minorHAnsi"/>
          <w:bCs/>
        </w:rPr>
        <w:t xml:space="preserve"> MPS without a kidney equivalent because its metabolization is done mainly by the liver</w:t>
      </w:r>
      <w:r w:rsidR="00133F78" w:rsidRPr="001220A4">
        <w:rPr>
          <w:rFonts w:asciiTheme="minorHAnsi" w:hAnsiTheme="minorHAnsi" w:cstheme="minorHAnsi"/>
          <w:bCs/>
        </w:rPr>
        <w:fldChar w:fldCharType="begin" w:fldLock="1"/>
      </w:r>
      <w:r w:rsidR="006766D3" w:rsidRPr="001220A4">
        <w:rPr>
          <w:rFonts w:asciiTheme="minorHAnsi" w:hAnsiTheme="minorHAnsi" w:cstheme="minorHAnsi"/>
          <w:bCs/>
        </w:rPr>
        <w:instrText>ADDIN CSL_CITATION {"citationItems":[{"id":"ITEM-1","itemData":{"DOI":"10.1016/j.ejpb.2015.03.002","ISBN":"1873-3441 (Electronic)\\r0939-6411 (Linking)","ISSN":"18733441","PMID":"25857839","abstract":"Systemic repeated dose safety assessment and systemic efficacy evaluation of substances are currently carried out on laboratory animals and in humans due to the lack of predictive alternatives. Relevant international regulations, such as OECD and ICH guidelines, demand long-term testing and oral, dermal, inhalation, and systemic exposure routes for such evaluations. So-called \"human-on-a-chip\" concepts are aiming to replace respective animals and humans in substance evaluation with miniaturized functional human organisms. The major technical hurdle toward success in this field is the life-like combination of human barrier organ models, such as intestine, lung or skin, with parenchymal organ equivalents, such as liver, at the smallest biologically acceptable scale. Here, we report on a reproducible homeostatic long-term co-culture of human liver equivalents with either a reconstructed human intestinal barrier model or a human skin biopsy applying a microphysiological system. We used a multi-organ chip (MOC) platform, which provides pulsatile fluid flow within physiological ranges at low media-to-tissue ratios. The MOC supports submerse cultivation of an intact intestinal barrier model and an air-liquid interface for the skin model during their co-culture with the liver equivalents respectively at1/100.000the scale of their human counterparts in vivo. To increase the degree of organismal emulation, microfluidic channels of the liver-skin co-culture could be successfully covered with human endothelial cells, thus mimicking human vasculature, for the first time. Finally, exposure routes emulating oral and systemic administration in humans have been qualified by applying a repeated dose administration of a model substance - troglitazone - to the chip-based co-cultures.","author":[{"dropping-particle":"","family":"Maschmeyer","given":"Ilka","non-dropping-particle":"","parse-names":false,"suffix":""},{"dropping-particle":"","family":"Hasenberg","given":"Tobias","non-dropping-particle":"","parse-names":false,"suffix":""},{"dropping-particle":"","family":"Jaenicke","given":"Annika","non-dropping-particle":"","parse-names":false,"suffix":""},{"dropping-particle":"","family":"Lindner","given":"Marcus","non-dropping-particle":"","parse-names":false,"suffix":""},{"dropping-particle":"","family":"Lorenz","given":"Alexandra Katharina","non-dropping-particle":"","parse-names":false,"suffix":""},{"dropping-particle":"","family":"Zech","given":"Julie","non-dropping-particle":"","parse-names":false,"suffix":""},{"dropping-particle":"","family":"Garbe","given":"Leif Alexander","non-dropping-particle":"","parse-names":false,"suffix":""},{"dropping-particle":"","family":"Sonntag","given":"Frank","non-dropping-particle":"","parse-names":false,"suffix":""},{"dropping-particle":"","family":"Hayden","given":"Patrick","non-dropping-particle":"","parse-names":false,"suffix":""},{"dropping-particle":"","family":"Ayehunie","given":"Seyoum","non-dropping-particle":"","parse-names":false,"suffix":""},{"dropping-particle":"","family":"Lauster","given":"Roland","non-dropping-particle":"","parse-names":false,"suffix":""},{"dropping-particle":"","family":"Marx","given":"Uwe","non-dropping-particle":"","parse-names":false,"suffix":""},{"dropping-particle":"","family":"Materne","given":"Eva Maria","non-dropping-particle":"","parse-names":false,"suffix":""}],"container-title":"European Journal of Pharmaceutics and Biopharmaceutics","id":"ITEM-1","issued":{"date-parts":[["2015"]]},"page":"77-87","title":"Chip-based human liver-intestine and liver-skin co-cultures - A first step toward systemic repeated dose substance testing in vitro","type":"article-journal","volume":"95"},"uris":["http://www.mendeley.com/documents/?uuid=60c04144-a2e4-3d24-afb0-d17d03dd421c"]},{"id":"ITEM-2","itemData":{"DOI":"10.1080/20014091111677","ISBN":"1040-8444 (Print)\\n1040-8444 (Linking)","ISSN":"10408444","PMID":"11215692","abstract":"An overview is presented on the molecular aspects of toxicity due to paracetamol (acetaminophen) and structural analogues. The emphasis is on four main topics, that is, bioactivation, detoxication, chemoprevention, and chemoprotection. In addition, some pharmacological and clinical aspects are discussed briefly. A general introduction is presented on the biokinetics, biotransformation, and structural modification of paracetamol. Phase II biotransformation in relation to marked species differences and interorgan transport of metabolites are described in detail, as are bioactivation by cytochrome P450 and peroxidases, two important phase I enzyme families. Hepatotoxicity is described in depth, as it is the most frequent clinical observation after paracetamol-intoxication. In this context, covalent protein binding and oxidative stress are two important initial (Stage I) events highlighted. In addition, the more recently reported nuclear effects are discussed as well as secondary events (Stage II) that spread over the whole liver and may be relevant targets for clinical treatment. The second most frequent clinical observation, renal toxicity, is described with respect to the involvement of prostaglandin synthase, N-deacetylase, cytochrome P450 and glutathione S-transferase. Lastly, mechanism-based developments of chemoprotective agents and progress in the development of structural analogues with an improved therapeutic index are outlined.","author":[{"dropping-particle":"","family":"Bessems","given":"J. G.M.","non-dropping-particle":"","parse-names":false,"suffix":""},{"dropping-particle":"","family":"Vermeulen","given":"N. P.E.","non-dropping-particle":"","parse-names":false,"suffix":""}],"container-title":"Critical Reviews in Toxicology","id":"ITEM-2","issue":"1","issued":{"date-parts":[["2001"]]},"page":"55-138","title":"Paracetamol (acetaminophen)-induced toxicity: Molecular and biochemical mechanisms, analogues and protective approaches","type":"article-journal","volume":"31"},"uris":["http://www.mendeley.com/documents/?uuid=e3b853ec-e7b9-3958-896e-ab437f01ebbe"]}],"mendeley":{"formattedCitation":"&lt;sup&gt;16, 17&lt;/sup&gt;","plainTextFormattedCitation":"16, 17","previouslyFormattedCitation":"&lt;sup&gt;16, 17&lt;/sup&gt;"},"properties":{"noteIndex":0},"schema":"https://github.com/citation-style-language/schema/raw/master/csl-citation.json"}</w:instrText>
      </w:r>
      <w:r w:rsidR="00133F78" w:rsidRPr="001220A4">
        <w:rPr>
          <w:rFonts w:asciiTheme="minorHAnsi" w:hAnsiTheme="minorHAnsi" w:cstheme="minorHAnsi"/>
          <w:bCs/>
        </w:rPr>
        <w:fldChar w:fldCharType="separate"/>
      </w:r>
      <w:r w:rsidR="0077280B" w:rsidRPr="001220A4">
        <w:rPr>
          <w:rFonts w:asciiTheme="minorHAnsi" w:hAnsiTheme="minorHAnsi" w:cstheme="minorHAnsi"/>
          <w:bCs/>
          <w:noProof/>
          <w:vertAlign w:val="superscript"/>
        </w:rPr>
        <w:t>16,17</w:t>
      </w:r>
      <w:r w:rsidR="00133F78" w:rsidRPr="001220A4">
        <w:rPr>
          <w:rFonts w:asciiTheme="minorHAnsi" w:hAnsiTheme="minorHAnsi" w:cstheme="minorHAnsi"/>
          <w:bCs/>
        </w:rPr>
        <w:fldChar w:fldCharType="end"/>
      </w:r>
      <w:r w:rsidRPr="001220A4">
        <w:rPr>
          <w:rFonts w:asciiTheme="minorHAnsi" w:hAnsiTheme="minorHAnsi" w:cstheme="minorHAnsi"/>
          <w:bCs/>
        </w:rPr>
        <w:t xml:space="preserve">. </w:t>
      </w:r>
    </w:p>
    <w:p w14:paraId="039D5EAA" w14:textId="77777777" w:rsidR="00E718E5" w:rsidRPr="001220A4" w:rsidRDefault="00E718E5" w:rsidP="0054535F">
      <w:pPr>
        <w:ind w:right="4"/>
        <w:contextualSpacing/>
        <w:rPr>
          <w:rFonts w:asciiTheme="minorHAnsi" w:hAnsiTheme="minorHAnsi" w:cstheme="minorHAnsi"/>
          <w:bCs/>
        </w:rPr>
      </w:pPr>
    </w:p>
    <w:p w14:paraId="394A4534" w14:textId="718FF877" w:rsidR="00263F42" w:rsidRDefault="00263F42" w:rsidP="0054535F">
      <w:pPr>
        <w:ind w:right="4"/>
        <w:contextualSpacing/>
        <w:rPr>
          <w:rFonts w:asciiTheme="minorHAnsi" w:hAnsiTheme="minorHAnsi" w:cstheme="minorHAnsi"/>
          <w:bCs/>
        </w:rPr>
      </w:pPr>
      <w:r w:rsidRPr="001220A4">
        <w:rPr>
          <w:rFonts w:asciiTheme="minorHAnsi" w:hAnsiTheme="minorHAnsi" w:cstheme="minorHAnsi"/>
          <w:bCs/>
        </w:rPr>
        <w:t>The 2-OC is a two-chamber microfluidic device suitable for the culture of two different human equivalent</w:t>
      </w:r>
      <w:r w:rsidR="00194937">
        <w:rPr>
          <w:rFonts w:asciiTheme="minorHAnsi" w:hAnsiTheme="minorHAnsi" w:cstheme="minorHAnsi"/>
          <w:bCs/>
        </w:rPr>
        <w:t xml:space="preserve"> </w:t>
      </w:r>
      <w:r w:rsidRPr="001220A4">
        <w:rPr>
          <w:rFonts w:asciiTheme="minorHAnsi" w:hAnsiTheme="minorHAnsi" w:cstheme="minorHAnsi"/>
          <w:bCs/>
        </w:rPr>
        <w:t>tissues/organoids interconnected by microchannels</w:t>
      </w:r>
      <w:r w:rsidR="00E30005" w:rsidRPr="001220A4">
        <w:rPr>
          <w:rFonts w:asciiTheme="minorHAnsi" w:hAnsiTheme="minorHAnsi" w:cstheme="minorHAnsi"/>
          <w:bCs/>
        </w:rPr>
        <w:fldChar w:fldCharType="begin" w:fldLock="1"/>
      </w:r>
      <w:r w:rsidR="006766D3" w:rsidRPr="001220A4">
        <w:rPr>
          <w:rFonts w:asciiTheme="minorHAnsi" w:hAnsiTheme="minorHAnsi" w:cstheme="minorHAnsi"/>
          <w:bCs/>
        </w:rPr>
        <w:instrText>ADDIN CSL_CITATION {"citationItems":[{"id":"ITEM-1","itemData":{"DOI":"10.1016/j.ejpb.2015.03.002","ISBN":"1873-3441 (Electronic)\\r0939-6411 (Linking)","ISSN":"18733441","PMID":"25857839","abstract":"Systemic repeated dose safety assessment and systemic efficacy evaluation of substances are currently carried out on laboratory animals and in humans due to the lack of predictive alternatives. Relevant international regulations, such as OECD and ICH guidelines, demand long-term testing and oral, dermal, inhalation, and systemic exposure routes for such evaluations. So-called \"human-on-a-chip\" concepts are aiming to replace respective animals and humans in substance evaluation with miniaturized functional human organisms. The major technical hurdle toward success in this field is the life-like combination of human barrier organ models, such as intestine, lung or skin, with parenchymal organ equivalents, such as liver, at the smallest biologically acceptable scale. Here, we report on a reproducible homeostatic long-term co-culture of human liver equivalents with either a reconstructed human intestinal barrier model or a human skin biopsy applying a microphysiological system. We used a multi-organ chip (MOC) platform, which provides pulsatile fluid flow within physiological ranges at low media-to-tissue ratios. The MOC supports submerse cultivation of an intact intestinal barrier model and an air-liquid interface for the skin model during their co-culture with the liver equivalents respectively at1/100.000the scale of their human counterparts in vivo. To increase the degree of organismal emulation, microfluidic channels of the liver-skin co-culture could be successfully covered with human endothelial cells, thus mimicking human vasculature, for the first time. Finally, exposure routes emulating oral and systemic administration in humans have been qualified by applying a repeated dose administration of a model substance - troglitazone - to the chip-based co-cultures.","author":[{"dropping-particle":"","family":"Maschmeyer","given":"Ilka","non-dropping-particle":"","parse-names":false,"suffix":""},{"dropping-particle":"","family":"Hasenberg","given":"Tobias","non-dropping-particle":"","parse-names":false,"suffix":""},{"dropping-particle":"","family":"Jaenicke","given":"Annika","non-dropping-particle":"","parse-names":false,"suffix":""},{"dropping-particle":"","family":"Lindner","given":"Marcus","non-dropping-particle":"","parse-names":false,"suffix":""},{"dropping-particle":"","family":"Lorenz","given":"Alexandra Katharina","non-dropping-particle":"","parse-names":false,"suffix":""},{"dropping-particle":"","family":"Zech","given":"Julie","non-dropping-particle":"","parse-names":false,"suffix":""},{"dropping-particle":"","family":"Garbe","given":"Leif Alexander","non-dropping-particle":"","parse-names":false,"suffix":""},{"dropping-particle":"","family":"Sonntag","given":"Frank","non-dropping-particle":"","parse-names":false,"suffix":""},{"dropping-particle":"","family":"Hayden","given":"Patrick","non-dropping-particle":"","parse-names":false,"suffix":""},{"dropping-particle":"","family":"Ayehunie","given":"Seyoum","non-dropping-particle":"","parse-names":false,"suffix":""},{"dropping-particle":"","family":"Lauster","given":"Roland","non-dropping-particle":"","parse-names":false,"suffix":""},{"dropping-particle":"","family":"Marx","given":"Uwe","non-dropping-particle":"","parse-names":false,"suffix":""},{"dropping-particle":"","family":"Materne","given":"Eva Maria","non-dropping-particle":"","parse-names":false,"suffix":""}],"container-title":"European Journal of Pharmaceutics and Biopharmaceutics","id":"ITEM-1","issued":{"date-parts":[["2015"]]},"page":"77-87","title":"Chip-based human liver-intestine and liver-skin co-cultures - A first step toward systemic repeated dose substance testing in vitro","type":"article-journal","volume":"95"},"uris":["http://www.mendeley.com/documents/?uuid=60c04144-a2e4-3d24-afb0-d17d03dd421c"]}],"mendeley":{"formattedCitation":"&lt;sup&gt;16&lt;/sup&gt;","plainTextFormattedCitation":"16","previouslyFormattedCitation":"&lt;sup&gt;16&lt;/sup&gt;"},"properties":{"noteIndex":0},"schema":"https://github.com/citation-style-language/schema/raw/master/csl-citation.json"}</w:instrText>
      </w:r>
      <w:r w:rsidR="00E30005" w:rsidRPr="001220A4">
        <w:rPr>
          <w:rFonts w:asciiTheme="minorHAnsi" w:hAnsiTheme="minorHAnsi" w:cstheme="minorHAnsi"/>
          <w:bCs/>
        </w:rPr>
        <w:fldChar w:fldCharType="separate"/>
      </w:r>
      <w:r w:rsidR="0077280B" w:rsidRPr="001220A4">
        <w:rPr>
          <w:rFonts w:asciiTheme="minorHAnsi" w:hAnsiTheme="minorHAnsi" w:cstheme="minorHAnsi"/>
          <w:bCs/>
          <w:noProof/>
          <w:vertAlign w:val="superscript"/>
        </w:rPr>
        <w:t>16</w:t>
      </w:r>
      <w:r w:rsidR="00E30005" w:rsidRPr="001220A4">
        <w:rPr>
          <w:rFonts w:asciiTheme="minorHAnsi" w:hAnsiTheme="minorHAnsi" w:cstheme="minorHAnsi"/>
          <w:bCs/>
        </w:rPr>
        <w:fldChar w:fldCharType="end"/>
      </w:r>
      <w:r w:rsidRPr="001220A4">
        <w:rPr>
          <w:rFonts w:asciiTheme="minorHAnsi" w:hAnsiTheme="minorHAnsi" w:cstheme="minorHAnsi"/>
          <w:bCs/>
        </w:rPr>
        <w:t xml:space="preserve">. </w:t>
      </w:r>
      <w:r w:rsidR="00012280" w:rsidRPr="001220A4">
        <w:rPr>
          <w:rFonts w:asciiTheme="minorHAnsi" w:hAnsiTheme="minorHAnsi" w:cstheme="minorHAnsi"/>
          <w:bCs/>
        </w:rPr>
        <w:t xml:space="preserve">In order to emulate </w:t>
      </w:r>
      <w:r w:rsidR="00194937">
        <w:rPr>
          <w:rFonts w:asciiTheme="minorHAnsi" w:hAnsiTheme="minorHAnsi" w:cstheme="minorHAnsi"/>
          <w:bCs/>
        </w:rPr>
        <w:t xml:space="preserve">an </w:t>
      </w:r>
      <w:r w:rsidR="00194937" w:rsidRPr="00194937">
        <w:rPr>
          <w:rFonts w:asciiTheme="minorHAnsi" w:hAnsiTheme="minorHAnsi" w:cstheme="minorHAnsi"/>
          <w:bCs/>
        </w:rPr>
        <w:t>in vitro</w:t>
      </w:r>
      <w:r w:rsidR="00194937">
        <w:rPr>
          <w:rFonts w:asciiTheme="minorHAnsi" w:hAnsiTheme="minorHAnsi" w:cstheme="minorHAnsi"/>
          <w:bCs/>
        </w:rPr>
        <w:t xml:space="preserve"> </w:t>
      </w:r>
      <w:r w:rsidR="00012280" w:rsidRPr="001220A4">
        <w:rPr>
          <w:rFonts w:asciiTheme="minorHAnsi" w:hAnsiTheme="minorHAnsi" w:cstheme="minorHAnsi"/>
          <w:bCs/>
        </w:rPr>
        <w:t>human oral/intravenous administration of a drug and</w:t>
      </w:r>
      <w:r w:rsidRPr="001220A4">
        <w:rPr>
          <w:rFonts w:asciiTheme="minorHAnsi" w:hAnsiTheme="minorHAnsi" w:cstheme="minorHAnsi"/>
          <w:bCs/>
        </w:rPr>
        <w:t xml:space="preserve"> assess the effects of the cross-talk between </w:t>
      </w:r>
      <w:r w:rsidR="00012280" w:rsidRPr="001220A4">
        <w:rPr>
          <w:rFonts w:asciiTheme="minorHAnsi" w:hAnsiTheme="minorHAnsi" w:cstheme="minorHAnsi"/>
          <w:bCs/>
        </w:rPr>
        <w:t xml:space="preserve">the </w:t>
      </w:r>
      <w:r w:rsidRPr="001220A4">
        <w:rPr>
          <w:rFonts w:asciiTheme="minorHAnsi" w:hAnsiTheme="minorHAnsi" w:cstheme="minorHAnsi"/>
          <w:bCs/>
        </w:rPr>
        <w:t>intestine and liver</w:t>
      </w:r>
      <w:r w:rsidR="00012280" w:rsidRPr="001220A4">
        <w:rPr>
          <w:rFonts w:asciiTheme="minorHAnsi" w:hAnsiTheme="minorHAnsi" w:cstheme="minorHAnsi"/>
          <w:bCs/>
        </w:rPr>
        <w:t xml:space="preserve"> equivalents</w:t>
      </w:r>
      <w:r w:rsidRPr="001220A4">
        <w:rPr>
          <w:rFonts w:asciiTheme="minorHAnsi" w:hAnsiTheme="minorHAnsi" w:cstheme="minorHAnsi"/>
          <w:bCs/>
        </w:rPr>
        <w:t xml:space="preserve"> on APAP pharmacokinetics, </w:t>
      </w:r>
      <w:r w:rsidR="00012280" w:rsidRPr="001220A4">
        <w:rPr>
          <w:rFonts w:asciiTheme="minorHAnsi" w:hAnsiTheme="minorHAnsi" w:cstheme="minorHAnsi"/>
          <w:bCs/>
        </w:rPr>
        <w:t>besides the</w:t>
      </w:r>
      <w:r w:rsidRPr="001220A4">
        <w:rPr>
          <w:rFonts w:asciiTheme="minorHAnsi" w:hAnsiTheme="minorHAnsi" w:cstheme="minorHAnsi"/>
          <w:bCs/>
        </w:rPr>
        <w:t xml:space="preserve"> organoids </w:t>
      </w:r>
      <w:r w:rsidRPr="001220A4">
        <w:rPr>
          <w:rFonts w:asciiTheme="minorHAnsi" w:hAnsiTheme="minorHAnsi" w:cstheme="minorHAnsi"/>
          <w:bCs/>
        </w:rPr>
        <w:lastRenderedPageBreak/>
        <w:t xml:space="preserve">functionality and viability, three different MPS assemblies were performed: </w:t>
      </w:r>
      <w:r w:rsidR="00194937">
        <w:rPr>
          <w:rFonts w:asciiTheme="minorHAnsi" w:hAnsiTheme="minorHAnsi" w:cstheme="minorHAnsi"/>
          <w:bCs/>
        </w:rPr>
        <w:t>(1)</w:t>
      </w:r>
      <w:r w:rsidRPr="001220A4">
        <w:rPr>
          <w:rFonts w:asciiTheme="minorHAnsi" w:hAnsiTheme="minorHAnsi" w:cstheme="minorHAnsi"/>
          <w:bCs/>
        </w:rPr>
        <w:t xml:space="preserve"> </w:t>
      </w:r>
      <w:r w:rsidR="00194937">
        <w:rPr>
          <w:rFonts w:asciiTheme="minorHAnsi" w:hAnsiTheme="minorHAnsi" w:cstheme="minorHAnsi"/>
          <w:bCs/>
        </w:rPr>
        <w:t>an</w:t>
      </w:r>
      <w:r w:rsidRPr="001220A4">
        <w:rPr>
          <w:rFonts w:asciiTheme="minorHAnsi" w:hAnsiTheme="minorHAnsi" w:cstheme="minorHAnsi"/>
          <w:bCs/>
        </w:rPr>
        <w:t xml:space="preserve"> “Intestine 2-OC MPS” </w:t>
      </w:r>
      <w:r w:rsidR="0076459C">
        <w:rPr>
          <w:rFonts w:asciiTheme="minorHAnsi" w:hAnsiTheme="minorHAnsi" w:cstheme="minorHAnsi"/>
          <w:bCs/>
        </w:rPr>
        <w:t>comprised of</w:t>
      </w:r>
      <w:r w:rsidRPr="001220A4">
        <w:rPr>
          <w:rFonts w:asciiTheme="minorHAnsi" w:hAnsiTheme="minorHAnsi" w:cstheme="minorHAnsi"/>
          <w:bCs/>
        </w:rPr>
        <w:t xml:space="preserve"> an intestine equivalent based in a culture insert containing a Caco-2 + HT-29 cells coculture, integrated in</w:t>
      </w:r>
      <w:r w:rsidR="00012280" w:rsidRPr="001220A4">
        <w:rPr>
          <w:rFonts w:asciiTheme="minorHAnsi" w:hAnsiTheme="minorHAnsi" w:cstheme="minorHAnsi"/>
          <w:bCs/>
        </w:rPr>
        <w:t>to</w:t>
      </w:r>
      <w:r w:rsidRPr="001220A4">
        <w:rPr>
          <w:rFonts w:asciiTheme="minorHAnsi" w:hAnsiTheme="minorHAnsi" w:cstheme="minorHAnsi"/>
          <w:bCs/>
        </w:rPr>
        <w:t xml:space="preserve"> the 2-OC device; </w:t>
      </w:r>
      <w:r w:rsidR="00194937">
        <w:rPr>
          <w:rFonts w:asciiTheme="minorHAnsi" w:hAnsiTheme="minorHAnsi" w:cstheme="minorHAnsi"/>
          <w:bCs/>
        </w:rPr>
        <w:t>(2) a</w:t>
      </w:r>
      <w:r w:rsidRPr="001220A4">
        <w:rPr>
          <w:rFonts w:asciiTheme="minorHAnsi" w:hAnsiTheme="minorHAnsi" w:cstheme="minorHAnsi"/>
          <w:bCs/>
        </w:rPr>
        <w:t xml:space="preserve"> “Liver 2-OC MPS” </w:t>
      </w:r>
      <w:r w:rsidR="0076459C">
        <w:rPr>
          <w:rFonts w:asciiTheme="minorHAnsi" w:hAnsiTheme="minorHAnsi" w:cstheme="minorHAnsi"/>
          <w:bCs/>
        </w:rPr>
        <w:t>comprised of</w:t>
      </w:r>
      <w:r w:rsidR="0076459C" w:rsidRPr="001220A4">
        <w:rPr>
          <w:rFonts w:asciiTheme="minorHAnsi" w:hAnsiTheme="minorHAnsi" w:cstheme="minorHAnsi"/>
          <w:bCs/>
        </w:rPr>
        <w:t xml:space="preserve"> </w:t>
      </w:r>
      <w:r w:rsidRPr="001220A4">
        <w:rPr>
          <w:rFonts w:asciiTheme="minorHAnsi" w:hAnsiTheme="minorHAnsi" w:cstheme="minorHAnsi"/>
          <w:bCs/>
        </w:rPr>
        <w:t xml:space="preserve">liver spheroids with </w:t>
      </w:r>
      <w:proofErr w:type="spellStart"/>
      <w:r w:rsidRPr="001220A4">
        <w:rPr>
          <w:rFonts w:asciiTheme="minorHAnsi" w:hAnsiTheme="minorHAnsi" w:cstheme="minorHAnsi"/>
          <w:bCs/>
        </w:rPr>
        <w:t>HepaRG</w:t>
      </w:r>
      <w:proofErr w:type="spellEnd"/>
      <w:r w:rsidRPr="001220A4">
        <w:rPr>
          <w:rFonts w:asciiTheme="minorHAnsi" w:hAnsiTheme="minorHAnsi" w:cstheme="minorHAnsi"/>
          <w:bCs/>
        </w:rPr>
        <w:t xml:space="preserve"> + </w:t>
      </w:r>
      <w:proofErr w:type="spellStart"/>
      <w:r w:rsidRPr="001220A4">
        <w:rPr>
          <w:rFonts w:asciiTheme="minorHAnsi" w:hAnsiTheme="minorHAnsi" w:cstheme="minorHAnsi"/>
          <w:bCs/>
        </w:rPr>
        <w:t>HHSteC</w:t>
      </w:r>
      <w:proofErr w:type="spellEnd"/>
      <w:r w:rsidRPr="001220A4">
        <w:rPr>
          <w:rFonts w:asciiTheme="minorHAnsi" w:hAnsiTheme="minorHAnsi" w:cstheme="minorHAnsi"/>
          <w:bCs/>
        </w:rPr>
        <w:t xml:space="preserve"> (Human Hepatic Stellate Cells) integrated in the 2-OC device; and </w:t>
      </w:r>
      <w:r w:rsidR="0076459C">
        <w:rPr>
          <w:rFonts w:asciiTheme="minorHAnsi" w:hAnsiTheme="minorHAnsi" w:cstheme="minorHAnsi"/>
          <w:bCs/>
        </w:rPr>
        <w:t>(3) an</w:t>
      </w:r>
      <w:r w:rsidRPr="001220A4">
        <w:rPr>
          <w:rFonts w:asciiTheme="minorHAnsi" w:hAnsiTheme="minorHAnsi" w:cstheme="minorHAnsi"/>
          <w:bCs/>
        </w:rPr>
        <w:t xml:space="preserve"> “Intestine/Liver 2-OC MPS” </w:t>
      </w:r>
      <w:r w:rsidR="0076459C">
        <w:rPr>
          <w:rFonts w:asciiTheme="minorHAnsi" w:hAnsiTheme="minorHAnsi" w:cstheme="minorHAnsi"/>
          <w:bCs/>
        </w:rPr>
        <w:t>comprised of</w:t>
      </w:r>
      <w:r w:rsidR="0076459C" w:rsidRPr="001220A4">
        <w:rPr>
          <w:rFonts w:asciiTheme="minorHAnsi" w:hAnsiTheme="minorHAnsi" w:cstheme="minorHAnsi"/>
          <w:bCs/>
        </w:rPr>
        <w:t xml:space="preserve"> </w:t>
      </w:r>
      <w:r w:rsidRPr="001220A4">
        <w:rPr>
          <w:rFonts w:asciiTheme="minorHAnsi" w:hAnsiTheme="minorHAnsi" w:cstheme="minorHAnsi"/>
          <w:bCs/>
        </w:rPr>
        <w:t xml:space="preserve">the intestine equivalent in one device compartment communicating with the liver equivalent in the other by flow </w:t>
      </w:r>
      <w:r w:rsidR="0076459C">
        <w:rPr>
          <w:rFonts w:asciiTheme="minorHAnsi" w:hAnsiTheme="minorHAnsi" w:cstheme="minorHAnsi"/>
          <w:bCs/>
        </w:rPr>
        <w:t>of</w:t>
      </w:r>
      <w:r w:rsidRPr="001220A4">
        <w:rPr>
          <w:rFonts w:asciiTheme="minorHAnsi" w:hAnsiTheme="minorHAnsi" w:cstheme="minorHAnsi"/>
          <w:bCs/>
        </w:rPr>
        <w:t xml:space="preserve"> the microfluidic channels.</w:t>
      </w:r>
    </w:p>
    <w:p w14:paraId="13AF1148" w14:textId="77777777" w:rsidR="00194937" w:rsidRPr="001220A4" w:rsidRDefault="00194937" w:rsidP="0054535F">
      <w:pPr>
        <w:ind w:right="4"/>
        <w:contextualSpacing/>
        <w:rPr>
          <w:rFonts w:asciiTheme="minorHAnsi" w:hAnsiTheme="minorHAnsi" w:cstheme="minorHAnsi"/>
          <w:bCs/>
        </w:rPr>
      </w:pPr>
    </w:p>
    <w:p w14:paraId="714DA2C5" w14:textId="75ABF75E" w:rsidR="00263F42" w:rsidRPr="001220A4" w:rsidRDefault="00263F42" w:rsidP="0054535F">
      <w:pPr>
        <w:ind w:right="4"/>
        <w:contextualSpacing/>
        <w:rPr>
          <w:rFonts w:asciiTheme="minorHAnsi" w:hAnsiTheme="minorHAnsi" w:cstheme="minorHAnsi"/>
          <w:color w:val="auto"/>
        </w:rPr>
      </w:pPr>
      <w:r w:rsidRPr="001220A4">
        <w:rPr>
          <w:rFonts w:asciiTheme="minorHAnsi" w:hAnsiTheme="minorHAnsi" w:cstheme="minorHAnsi"/>
          <w:bCs/>
        </w:rPr>
        <w:t xml:space="preserve">All assays were performed under static (no flow) and dynamic (with flow) conditions </w:t>
      </w:r>
      <w:r w:rsidR="00012280" w:rsidRPr="001220A4">
        <w:rPr>
          <w:rFonts w:asciiTheme="minorHAnsi" w:hAnsiTheme="minorHAnsi" w:cstheme="minorHAnsi"/>
          <w:bCs/>
        </w:rPr>
        <w:t>due to</w:t>
      </w:r>
      <w:r w:rsidRPr="001220A4">
        <w:rPr>
          <w:rFonts w:asciiTheme="minorHAnsi" w:hAnsiTheme="minorHAnsi" w:cstheme="minorHAnsi"/>
          <w:bCs/>
        </w:rPr>
        <w:t xml:space="preserve"> the impact of the mechanical stimuli (compression, stretching</w:t>
      </w:r>
      <w:r w:rsidR="00012280" w:rsidRPr="001220A4">
        <w:rPr>
          <w:rFonts w:asciiTheme="minorHAnsi" w:hAnsiTheme="minorHAnsi" w:cstheme="minorHAnsi"/>
          <w:bCs/>
        </w:rPr>
        <w:t>,</w:t>
      </w:r>
      <w:r w:rsidRPr="001220A4">
        <w:rPr>
          <w:rFonts w:asciiTheme="minorHAnsi" w:hAnsiTheme="minorHAnsi" w:cstheme="minorHAnsi"/>
          <w:bCs/>
        </w:rPr>
        <w:t xml:space="preserve"> and shear) on the cell viability and functionalities</w:t>
      </w:r>
      <w:r w:rsidR="00E30005" w:rsidRPr="001220A4">
        <w:rPr>
          <w:rFonts w:asciiTheme="minorHAnsi" w:hAnsiTheme="minorHAnsi" w:cstheme="minorHAnsi"/>
          <w:bCs/>
        </w:rPr>
        <w:fldChar w:fldCharType="begin" w:fldLock="1"/>
      </w:r>
      <w:r w:rsidR="006766D3" w:rsidRPr="001220A4">
        <w:rPr>
          <w:rFonts w:asciiTheme="minorHAnsi" w:hAnsiTheme="minorHAnsi" w:cstheme="minorHAnsi"/>
          <w:bCs/>
        </w:rPr>
        <w:instrText>ADDIN CSL_CITATION {"citationItems":[{"id":"ITEM-1","itemData":{"DOI":"10.1007/s00395-012-0307-z","ISBN":"9780874216561","ISSN":"14351803","PMID":"23099820","abstract":"Increased afterload results in 'pathological' cardiac hypertrophy, the most important risk factor for the development of heart failure. Current in vitro models fall short in deciphering the mechanisms of hypertrophy induced by afterload enhancement. The aim of this study was to develop an experimental model that allows investigating the impact of afterload enhancement (AE) on work-performing heart muscles in vitro. Fibrin-based engineered heart tissue (EHT) was cast between two hollow elastic silicone posts in a 24-well cell culture format. After 2 weeks, the posts were reinforced with metal braces, which markedly increased afterload of the spontaneously beating EHTs. Serum-free, triiodothyronine-, and hydrocortisone-supplemented medium conditions were established to prevent undefined serum effects. Control EHTs were handled identically without reinforcement. Endothelin-1 (ET-1)- or phenylephrine (PE)-stimulated EHTs served as positive control for hypertrophy. Cardiomyocytes in EHTs enlarged by 28.4 % under AE and to a similar extent by ET-1- or PE-stimulation (40.6 or 23.6 %), as determined by dystrophin staining. Cardiomyocyte hypertrophy was accompanied by activation of the fetal gene program, increased glucose consumption, and increased mRNA levels and extracellular deposition of collagen-1. Importantly, afterload-enhanced EHTs exhibited reduced contractile force and impaired diastolic relaxation directly after release of the metal braces. These deleterious effects of afterload enhancement were preventable by endothelin-A, but not endothelin-B receptor blockade. Sustained afterload enhancement of EHTs alone is sufficient to induce pathological cardiac remodeling with reduced contractile function and increased glucose consumption. The model will be useful to investigate novel therapeutic approaches in a simple and fast manner.","author":[{"dropping-particle":"","family":"Hirt","given":"Marc N.","non-dropping-particle":"","parse-names":false,"suffix":""},{"dropping-particle":"","family":"Sörensen","given":"Nils A.","non-dropping-particle":"","parse-names":false,"suffix":""},{"dropping-particle":"","family":"Bartholdt","given":"Lena M.","non-dropping-particle":"","parse-names":false,"suffix":""},{"dropping-particle":"","family":"Boeddinghaus","given":"Jasper","non-dropping-particle":"","parse-names":false,"suffix":""},{"dropping-particle":"","family":"Schaaf","given":"Sebastian","non-dropping-particle":"","parse-names":false,"suffix":""},{"dropping-particle":"","family":"Eder","given":"Alexandra","non-dropping-particle":"","parse-names":false,"suffix":""},{"dropping-particle":"","family":"Vollert","given":"Ingra","non-dropping-particle":"","parse-names":false,"suffix":""},{"dropping-particle":"","family":"Stöhr","given":"Andrea","non-dropping-particle":"","parse-names":false,"suffix":""},{"dropping-particle":"","family":"Schulze","given":"Thomas","non-dropping-particle":"","parse-names":false,"suffix":""},{"dropping-particle":"","family":"Witten","given":"Anika","non-dropping-particle":"","parse-names":false,"suffix":""},{"dropping-particle":"","family":"Stoll","given":"Monika","non-dropping-particle":"","parse-names":false,"suffix":""},{"dropping-particle":"","family":"Hansen","given":"Arne","non-dropping-particle":"","parse-names":false,"suffix":""},{"dropping-particle":"","family":"Eschenhagen","given":"Thomas","non-dropping-particle":"","parse-names":false,"suffix":""}],"container-title":"Basic Research in Cardiology","id":"ITEM-1","issue":"6","issued":{"date-parts":[["2012"]]},"page":"307","title":"Increased afterload induces pathological cardiac hypertrophy: A new in vitro model","type":"article-journal","volume":"107"},"uris":["http://www.mendeley.com/documents/?uuid=91cd73d2-9b48-3971-9d15-fc12d544282a"]},{"id":"ITEM-2","itemData":{"DOI":"10.1007/0-387-21547-6_18","ISBN":"0892-6638 (Print)\\r0892-6638 (Linking)","ISSN":"0892-6638","PMID":"10744624","abstract":"To examine the influence of chronic mechanical stretch on functional behavior of cardiac myocytes, we reconstituted embryonic chick or neonatal rat cardiac myocytes to a 3-dimensional engineered heart tissue (EHT) by mixing freshly isolated cells with neutralized collagen I and culturing them between two Velcro-coated silicone tubes, held at a fixed distance with a metal spacer. After 4 days, EHTs were subjected to a phasic unidirectional stretch for 6 days in serum-containing medium. Compared to unstretched controls, RNA/DNA and protein/cell ratios increased by 100% and 50%, respectively. ANF mRNA and alpha-sarcomeric actin increased by 98% and 40%, respectively. Morphologically, stretched EHTs exhibited improved organization of cardiac myocytes into parallel arrays of rod-shaped cells, increased cell length and width, longer myofilaments, and increased mitochondrial density. Thus, stretch induced phenotypic changes, generally referred to as hypertrophy. Concomitantly, force of contraction was two- to fourfold higher both under basal conditions and after stimulation with calcium or the beta-adrenergic agonist isoprenaline. Contraction kinetics were accelerated with a 14-44% decrease in twitch duration under all those conditions. In summary, we have developed a new in vitro model that allows morphological, molecular, and functional consequences of stretch to be studied under defined conditions. The main finding was that stretch of EHTs induced cardiac myocyte hypertrophy, which was accompanied by marked improvement of contractile function.","author":[{"dropping-particle":"","family":"Fink","given":"C","non-dropping-particle":"","parse-names":false,"suffix":""},{"dropping-particle":"","family":"Ergün","given":"S","non-dropping-particle":"","parse-names":false,"suffix":""},{"dropping-particle":"","family":"Kralisch","given":"D","non-dropping-particle":"","parse-names":false,"suffix":""},{"dropping-particle":"","family":"Remmers","given":"U","non-dropping-particle":"","parse-names":false,"suffix":""},{"dropping-particle":"","family":"Weil","given":"J","non-dropping-particle":"","parse-names":false,"suffix":""},{"dropping-particle":"","family":"Eschenhagen","given":"T","non-dropping-particle":"","parse-names":false,"suffix":""}],"container-title":"The FASEB journal : official publication of the Federation of American Societies for Experimental Biology","id":"ITEM-2","issue":"5","issued":{"date-parts":[["2000"]]},"page":"669-679","title":"Chronic stretch of engineered heart tissue induces hypertrophy and functional improvement.","type":"article-journal","volume":"14"},"uris":["http://www.mendeley.com/documents/?uuid=572395f4-7605-345a-ad4e-41a78592fe7d"]},{"id":"ITEM-3","itemData":{"DOI":"10.1063/1.4818837","ISBN":"doi:10.1063/1.4818837","ISSN":"19321058","PMID":"24404058","abstract":"Studying the effects of pharmacological agents on human endothelium includes the routine use of cell monolayers cultivated in multi-well plates. This configuration fails to recapitulate the complex architecture of vascular networks in vivo and does not capture the relationship between shear stress (i.e. flow) experienced by the cells and dose of the applied pharmacological agents. Microfluidic platforms have been applied extensively to create vascular systems in vitro; however, they rely on bulky external hardware to operate, which hinders the wide application of microfluidic chips by non-microfluidic experts. Here, we have developed a standalone perfusion platform where multiple devices were perfused at a time with a single miniaturized peristaltic pump. Using the platform, multiple micro-vessel networks, that contained three levels of branching structures, were created by culturing endothelial cells within circular micro-channel networks mimicking the geometrical configuration of natural blood vessels. To demonstrate the feasibility of our platform for drug testing and validation assays, a drug induced nitric oxide assay was performed on the engineered micro-vessel network using a panel of vaso-active drugs (acetylcholine, phenylephrine, atorvastatin, and sildenafil), showing both flow and drug dose dependent responses. The interactive effects between flow and drug dose for sildenafil could not be captured by a simple straight rectangular channel coated with endothelial cells, but it was captured in a more physiological branching circular network. A monocyte adhesion assay was also demonstrated with and without stimulation by an inflammatory cytokine, tumor necrosis factor-α.","author":[{"dropping-particle":"","family":"Zhang","given":"Boyang","non-dropping-particle":"","parse-names":false,"suffix":""},{"dropping-particle":"","family":"Peticone","given":"Carlotta","non-dropping-particle":"","parse-names":false,"suffix":""},{"dropping-particle":"","family":"Murthy","given":"Shashi K.","non-dropping-particle":"","parse-names":false,"suffix":""},{"dropping-particle":"","family":"Radisic","given":"Milica","non-dropping-particle":"","parse-names":false,"suffix":""}],"container-title":"Biomicrofluidics","id":"ITEM-3","issue":"4","issued":{"date-parts":[["2013"]]},"page":"044125","title":"A standalone perfusion platform for drug testing and target validation in micro-vessel networks","type":"article-journal","volume":"7"},"uris":["http://www.mendeley.com/documents/?uuid=246c27f4-1895-3a3c-a066-7c8b7adb2c44"]}],"mendeley":{"formattedCitation":"&lt;sup&gt;18–20&lt;/sup&gt;","plainTextFormattedCitation":"18–20","previouslyFormattedCitation":"&lt;sup&gt;18–20&lt;/sup&gt;"},"properties":{"noteIndex":0},"schema":"https://github.com/citation-style-language/schema/raw/master/csl-citation.json"}</w:instrText>
      </w:r>
      <w:r w:rsidR="00E30005" w:rsidRPr="001220A4">
        <w:rPr>
          <w:rFonts w:asciiTheme="minorHAnsi" w:hAnsiTheme="minorHAnsi" w:cstheme="minorHAnsi"/>
          <w:bCs/>
        </w:rPr>
        <w:fldChar w:fldCharType="separate"/>
      </w:r>
      <w:r w:rsidR="0077280B" w:rsidRPr="001220A4">
        <w:rPr>
          <w:rFonts w:asciiTheme="minorHAnsi" w:hAnsiTheme="minorHAnsi" w:cstheme="minorHAnsi"/>
          <w:bCs/>
          <w:noProof/>
          <w:vertAlign w:val="superscript"/>
        </w:rPr>
        <w:t>18–20</w:t>
      </w:r>
      <w:r w:rsidR="00E30005" w:rsidRPr="001220A4">
        <w:rPr>
          <w:rFonts w:asciiTheme="minorHAnsi" w:hAnsiTheme="minorHAnsi" w:cstheme="minorHAnsi"/>
          <w:bCs/>
        </w:rPr>
        <w:fldChar w:fldCharType="end"/>
      </w:r>
      <w:r w:rsidRPr="001220A4">
        <w:rPr>
          <w:rFonts w:asciiTheme="minorHAnsi" w:hAnsiTheme="minorHAnsi" w:cstheme="minorHAnsi"/>
          <w:bCs/>
        </w:rPr>
        <w:t>. The present article describes the protocol for APAP oral/intravenous administration emulation and the respective absorption/metabolism and toxicological analy</w:t>
      </w:r>
      <w:r w:rsidR="0076459C">
        <w:rPr>
          <w:rFonts w:asciiTheme="minorHAnsi" w:hAnsiTheme="minorHAnsi" w:cstheme="minorHAnsi"/>
          <w:bCs/>
        </w:rPr>
        <w:t>ses</w:t>
      </w:r>
      <w:r w:rsidRPr="001220A4">
        <w:rPr>
          <w:rFonts w:asciiTheme="minorHAnsi" w:hAnsiTheme="minorHAnsi" w:cstheme="minorHAnsi"/>
          <w:bCs/>
        </w:rPr>
        <w:t xml:space="preserve"> in the 2-OC MPS containing human intestine and liver equivalent</w:t>
      </w:r>
      <w:r w:rsidR="0076459C">
        <w:rPr>
          <w:rFonts w:asciiTheme="minorHAnsi" w:hAnsiTheme="minorHAnsi" w:cstheme="minorHAnsi"/>
          <w:bCs/>
        </w:rPr>
        <w:t xml:space="preserve"> </w:t>
      </w:r>
      <w:r w:rsidRPr="001220A4">
        <w:rPr>
          <w:rFonts w:asciiTheme="minorHAnsi" w:hAnsiTheme="minorHAnsi" w:cstheme="minorHAnsi"/>
          <w:bCs/>
        </w:rPr>
        <w:t xml:space="preserve">models. </w:t>
      </w:r>
    </w:p>
    <w:p w14:paraId="4A6A5953" w14:textId="77777777" w:rsidR="00263F42" w:rsidRPr="001220A4" w:rsidRDefault="00263F42" w:rsidP="0054535F">
      <w:pPr>
        <w:ind w:right="4"/>
        <w:contextualSpacing/>
        <w:rPr>
          <w:rFonts w:asciiTheme="minorHAnsi" w:hAnsiTheme="minorHAnsi" w:cstheme="minorHAnsi"/>
          <w:color w:val="auto"/>
        </w:rPr>
      </w:pPr>
    </w:p>
    <w:p w14:paraId="1BBD048A" w14:textId="7B325A4A" w:rsidR="0040013E" w:rsidRPr="001220A4" w:rsidRDefault="00733AE7" w:rsidP="0054535F">
      <w:pPr>
        <w:ind w:right="4"/>
        <w:contextualSpacing/>
        <w:rPr>
          <w:rFonts w:asciiTheme="minorHAnsi" w:hAnsiTheme="minorHAnsi" w:cstheme="minorHAnsi"/>
        </w:rPr>
      </w:pPr>
      <w:r w:rsidRPr="001220A4">
        <w:rPr>
          <w:rFonts w:asciiTheme="minorHAnsi" w:hAnsiTheme="minorHAnsi" w:cstheme="minorHAnsi"/>
          <w:b/>
        </w:rPr>
        <w:t>PROTOCOL:</w:t>
      </w:r>
      <w:r w:rsidRPr="001220A4">
        <w:rPr>
          <w:rFonts w:asciiTheme="minorHAnsi" w:hAnsiTheme="minorHAnsi" w:cstheme="minorHAnsi"/>
        </w:rPr>
        <w:t xml:space="preserve"> </w:t>
      </w:r>
    </w:p>
    <w:p w14:paraId="55BEBEF8" w14:textId="77777777" w:rsidR="001D52E2" w:rsidRPr="001220A4" w:rsidRDefault="001D52E2" w:rsidP="0054535F">
      <w:pPr>
        <w:ind w:right="4"/>
        <w:contextualSpacing/>
        <w:rPr>
          <w:rFonts w:asciiTheme="minorHAnsi" w:hAnsiTheme="minorHAnsi" w:cstheme="minorHAnsi"/>
          <w:color w:val="808080"/>
        </w:rPr>
      </w:pPr>
    </w:p>
    <w:p w14:paraId="03B0D7A8" w14:textId="6801134D" w:rsidR="001D52E2" w:rsidRPr="001220A4" w:rsidRDefault="001D52E2" w:rsidP="0054535F">
      <w:pPr>
        <w:pStyle w:val="NormalWeb"/>
        <w:numPr>
          <w:ilvl w:val="0"/>
          <w:numId w:val="29"/>
        </w:numPr>
        <w:spacing w:before="0" w:beforeAutospacing="0" w:after="0" w:afterAutospacing="0"/>
        <w:ind w:left="0" w:right="4" w:firstLine="0"/>
        <w:contextualSpacing/>
        <w:rPr>
          <w:rFonts w:asciiTheme="minorHAnsi" w:hAnsiTheme="minorHAnsi" w:cstheme="minorHAnsi"/>
          <w:b/>
        </w:rPr>
      </w:pPr>
      <w:r w:rsidRPr="001220A4">
        <w:rPr>
          <w:rFonts w:asciiTheme="minorHAnsi" w:hAnsiTheme="minorHAnsi" w:cstheme="minorHAnsi"/>
          <w:b/>
        </w:rPr>
        <w:t>Production of tissue equivalents for cultivation in the 2-OC</w:t>
      </w:r>
    </w:p>
    <w:p w14:paraId="0C4E571A" w14:textId="77777777" w:rsidR="001D52E2" w:rsidRPr="001220A4" w:rsidRDefault="001D52E2" w:rsidP="0054535F">
      <w:pPr>
        <w:pStyle w:val="NormalWeb"/>
        <w:spacing w:before="0" w:beforeAutospacing="0" w:after="0" w:afterAutospacing="0"/>
        <w:ind w:right="4"/>
        <w:contextualSpacing/>
        <w:rPr>
          <w:rFonts w:asciiTheme="minorHAnsi" w:hAnsiTheme="minorHAnsi" w:cstheme="minorHAnsi"/>
          <w:b/>
        </w:rPr>
      </w:pPr>
    </w:p>
    <w:p w14:paraId="746E9F21" w14:textId="771985D3" w:rsidR="001D52E2" w:rsidRPr="0076459C" w:rsidRDefault="001D52E2" w:rsidP="0054535F">
      <w:pPr>
        <w:pStyle w:val="NormalWeb"/>
        <w:numPr>
          <w:ilvl w:val="1"/>
          <w:numId w:val="29"/>
        </w:numPr>
        <w:spacing w:before="0" w:beforeAutospacing="0" w:after="0" w:afterAutospacing="0"/>
        <w:ind w:left="0" w:right="4" w:firstLine="0"/>
        <w:contextualSpacing/>
        <w:rPr>
          <w:rFonts w:asciiTheme="minorHAnsi" w:hAnsiTheme="minorHAnsi" w:cstheme="minorHAnsi"/>
          <w:bCs/>
        </w:rPr>
      </w:pPr>
      <w:r w:rsidRPr="0076459C">
        <w:rPr>
          <w:rFonts w:asciiTheme="minorHAnsi" w:hAnsiTheme="minorHAnsi" w:cstheme="minorHAnsi"/>
          <w:bCs/>
        </w:rPr>
        <w:t xml:space="preserve">Small </w:t>
      </w:r>
      <w:r w:rsidR="00DB456E">
        <w:rPr>
          <w:rFonts w:asciiTheme="minorHAnsi" w:hAnsiTheme="minorHAnsi" w:cstheme="minorHAnsi"/>
          <w:bCs/>
        </w:rPr>
        <w:t>i</w:t>
      </w:r>
      <w:r w:rsidRPr="0076459C">
        <w:rPr>
          <w:rFonts w:asciiTheme="minorHAnsi" w:hAnsiTheme="minorHAnsi" w:cstheme="minorHAnsi"/>
          <w:bCs/>
        </w:rPr>
        <w:t xml:space="preserve">ntestine barrier equivalent production </w:t>
      </w:r>
    </w:p>
    <w:p w14:paraId="386B000E" w14:textId="77777777" w:rsidR="001D52E2" w:rsidRPr="001220A4" w:rsidRDefault="001D52E2" w:rsidP="0054535F">
      <w:pPr>
        <w:pStyle w:val="NormalWeb"/>
        <w:spacing w:before="0" w:beforeAutospacing="0" w:after="0" w:afterAutospacing="0"/>
        <w:ind w:right="4"/>
        <w:contextualSpacing/>
        <w:rPr>
          <w:rFonts w:asciiTheme="minorHAnsi" w:hAnsiTheme="minorHAnsi" w:cstheme="minorHAnsi"/>
          <w:b/>
        </w:rPr>
      </w:pPr>
    </w:p>
    <w:p w14:paraId="778AE1F2" w14:textId="299F63ED" w:rsidR="001D52E2" w:rsidRPr="001220A4" w:rsidRDefault="001D52E2" w:rsidP="0054535F">
      <w:pPr>
        <w:pStyle w:val="NormalWeb"/>
        <w:numPr>
          <w:ilvl w:val="2"/>
          <w:numId w:val="31"/>
        </w:numPr>
        <w:spacing w:before="0" w:beforeAutospacing="0" w:after="0" w:afterAutospacing="0"/>
        <w:ind w:left="0" w:right="4" w:firstLine="0"/>
        <w:contextualSpacing/>
        <w:rPr>
          <w:rFonts w:asciiTheme="minorHAnsi" w:hAnsiTheme="minorHAnsi" w:cstheme="minorHAnsi"/>
          <w:color w:val="auto"/>
        </w:rPr>
      </w:pPr>
      <w:r w:rsidRPr="001220A4">
        <w:rPr>
          <w:rFonts w:asciiTheme="minorHAnsi" w:hAnsiTheme="minorHAnsi" w:cstheme="minorHAnsi"/>
          <w:color w:val="auto"/>
        </w:rPr>
        <w:t>Maintain Caco-2 and HT-29 cells using the intestine equivalent medium: DMEM supplemented with 10% FBS, 1% penicillin and streptomycin</w:t>
      </w:r>
      <w:r w:rsidR="00012280" w:rsidRPr="001220A4">
        <w:rPr>
          <w:rFonts w:asciiTheme="minorHAnsi" w:hAnsiTheme="minorHAnsi" w:cstheme="minorHAnsi"/>
          <w:color w:val="auto"/>
        </w:rPr>
        <w:t>,</w:t>
      </w:r>
      <w:r w:rsidRPr="001220A4">
        <w:rPr>
          <w:rFonts w:asciiTheme="minorHAnsi" w:hAnsiTheme="minorHAnsi" w:cstheme="minorHAnsi"/>
          <w:color w:val="auto"/>
        </w:rPr>
        <w:t xml:space="preserve"> and 1% non-essential </w:t>
      </w:r>
      <w:r w:rsidR="00017BD1" w:rsidRPr="001220A4">
        <w:rPr>
          <w:rFonts w:asciiTheme="minorHAnsi" w:hAnsiTheme="minorHAnsi" w:cstheme="minorHAnsi"/>
          <w:color w:val="auto"/>
        </w:rPr>
        <w:t>amino acids</w:t>
      </w:r>
      <w:r w:rsidRPr="001220A4">
        <w:rPr>
          <w:rFonts w:asciiTheme="minorHAnsi" w:hAnsiTheme="minorHAnsi" w:cstheme="minorHAnsi"/>
          <w:color w:val="auto"/>
        </w:rPr>
        <w:t xml:space="preserve">, which is named as </w:t>
      </w:r>
      <w:r w:rsidR="00F44550" w:rsidRPr="001220A4">
        <w:rPr>
          <w:rFonts w:asciiTheme="minorHAnsi" w:hAnsiTheme="minorHAnsi" w:cstheme="minorHAnsi"/>
          <w:color w:val="auto"/>
        </w:rPr>
        <w:t>“</w:t>
      </w:r>
      <w:r w:rsidRPr="001220A4">
        <w:rPr>
          <w:rFonts w:asciiTheme="minorHAnsi" w:hAnsiTheme="minorHAnsi" w:cstheme="minorHAnsi"/>
          <w:color w:val="auto"/>
        </w:rPr>
        <w:t>DMEM</w:t>
      </w:r>
      <w:r w:rsidR="00F44550" w:rsidRPr="001220A4">
        <w:rPr>
          <w:rFonts w:asciiTheme="minorHAnsi" w:hAnsiTheme="minorHAnsi" w:cstheme="minorHAnsi"/>
          <w:color w:val="auto"/>
        </w:rPr>
        <w:t xml:space="preserve"> S”</w:t>
      </w:r>
      <w:r w:rsidRPr="001220A4">
        <w:rPr>
          <w:rFonts w:asciiTheme="minorHAnsi" w:hAnsiTheme="minorHAnsi" w:cstheme="minorHAnsi"/>
          <w:color w:val="auto"/>
        </w:rPr>
        <w:t xml:space="preserve"> in this manuscript.</w:t>
      </w:r>
    </w:p>
    <w:p w14:paraId="4FE2E012" w14:textId="5AD6A528" w:rsidR="001D52E2" w:rsidRPr="001220A4" w:rsidRDefault="001D52E2" w:rsidP="0054535F">
      <w:pPr>
        <w:pStyle w:val="NormalWeb"/>
        <w:spacing w:before="0" w:beforeAutospacing="0" w:after="0" w:afterAutospacing="0"/>
        <w:ind w:right="4"/>
        <w:contextualSpacing/>
        <w:rPr>
          <w:rFonts w:asciiTheme="minorHAnsi" w:hAnsiTheme="minorHAnsi" w:cstheme="minorHAnsi"/>
          <w:color w:val="365F91" w:themeColor="accent1" w:themeShade="BF"/>
        </w:rPr>
      </w:pPr>
      <w:r w:rsidRPr="001220A4">
        <w:rPr>
          <w:rFonts w:asciiTheme="minorHAnsi" w:hAnsiTheme="minorHAnsi" w:cstheme="minorHAnsi"/>
          <w:color w:val="365F91" w:themeColor="accent1" w:themeShade="BF"/>
        </w:rPr>
        <w:t xml:space="preserve"> </w:t>
      </w:r>
    </w:p>
    <w:p w14:paraId="16A0BBB3" w14:textId="22C42A3F" w:rsidR="001D52E2" w:rsidRPr="001220A4" w:rsidRDefault="00EA1B43" w:rsidP="0054535F">
      <w:pPr>
        <w:pStyle w:val="NormalWeb"/>
        <w:widowControl/>
        <w:numPr>
          <w:ilvl w:val="2"/>
          <w:numId w:val="31"/>
        </w:numPr>
        <w:spacing w:before="0" w:beforeAutospacing="0" w:after="0" w:afterAutospacing="0"/>
        <w:ind w:left="0" w:right="4" w:firstLine="0"/>
        <w:contextualSpacing/>
        <w:rPr>
          <w:rFonts w:asciiTheme="minorHAnsi" w:hAnsiTheme="minorHAnsi" w:cstheme="minorHAnsi"/>
          <w:color w:val="auto"/>
        </w:rPr>
      </w:pPr>
      <w:r w:rsidRPr="001220A4">
        <w:rPr>
          <w:rFonts w:asciiTheme="minorHAnsi" w:hAnsiTheme="minorHAnsi" w:cstheme="minorHAnsi"/>
        </w:rPr>
        <w:t>Remove the medium, wash twice with 1x DPBS and add 8 mL of 0.25% Trypsin/EDTA</w:t>
      </w:r>
      <w:r w:rsidR="0076459C">
        <w:rPr>
          <w:rFonts w:asciiTheme="minorHAnsi" w:hAnsiTheme="minorHAnsi" w:cstheme="minorHAnsi"/>
        </w:rPr>
        <w:t xml:space="preserve"> </w:t>
      </w:r>
      <w:r w:rsidRPr="001220A4">
        <w:rPr>
          <w:rFonts w:asciiTheme="minorHAnsi" w:hAnsiTheme="minorHAnsi" w:cstheme="minorHAnsi"/>
          <w:color w:val="auto"/>
        </w:rPr>
        <w:t>t</w:t>
      </w:r>
      <w:r w:rsidR="001D52E2" w:rsidRPr="001220A4">
        <w:rPr>
          <w:rFonts w:asciiTheme="minorHAnsi" w:hAnsiTheme="minorHAnsi" w:cstheme="minorHAnsi"/>
          <w:color w:val="auto"/>
        </w:rPr>
        <w:t>o dissociate Caco-2 cells grown in cell culture flasks (175 cm</w:t>
      </w:r>
      <w:r w:rsidR="001D52E2" w:rsidRPr="001220A4">
        <w:rPr>
          <w:rFonts w:asciiTheme="minorHAnsi" w:hAnsiTheme="minorHAnsi" w:cstheme="minorHAnsi"/>
          <w:color w:val="auto"/>
          <w:vertAlign w:val="superscript"/>
        </w:rPr>
        <w:t>2</w:t>
      </w:r>
      <w:r w:rsidR="001D52E2" w:rsidRPr="001220A4">
        <w:rPr>
          <w:rFonts w:asciiTheme="minorHAnsi" w:hAnsiTheme="minorHAnsi" w:cstheme="minorHAnsi"/>
          <w:color w:val="auto"/>
        </w:rPr>
        <w:t xml:space="preserve">). Incubate for 5 min at 37 °C and stop the reaction </w:t>
      </w:r>
      <w:r w:rsidR="0076459C">
        <w:rPr>
          <w:rFonts w:asciiTheme="minorHAnsi" w:hAnsiTheme="minorHAnsi" w:cstheme="minorHAnsi"/>
          <w:color w:val="auto"/>
        </w:rPr>
        <w:t xml:space="preserve">by </w:t>
      </w:r>
      <w:r w:rsidR="001D52E2" w:rsidRPr="001220A4">
        <w:rPr>
          <w:rFonts w:asciiTheme="minorHAnsi" w:hAnsiTheme="minorHAnsi" w:cstheme="minorHAnsi"/>
          <w:color w:val="auto"/>
        </w:rPr>
        <w:t xml:space="preserve">adding at least the double volume of trypsin inhibitor. Perform the same procedure for HT-29 cells, </w:t>
      </w:r>
      <w:r w:rsidR="0076459C">
        <w:rPr>
          <w:rFonts w:asciiTheme="minorHAnsi" w:hAnsiTheme="minorHAnsi" w:cstheme="minorHAnsi"/>
          <w:color w:val="auto"/>
        </w:rPr>
        <w:t>adjusting</w:t>
      </w:r>
      <w:r w:rsidR="001D52E2" w:rsidRPr="001220A4">
        <w:rPr>
          <w:rFonts w:asciiTheme="minorHAnsi" w:hAnsiTheme="minorHAnsi" w:cstheme="minorHAnsi"/>
          <w:color w:val="auto"/>
        </w:rPr>
        <w:t xml:space="preserve"> the reagent volumes since a smaller quantity of these cells is needed and they are maintained in smaller flasks (75 cm</w:t>
      </w:r>
      <w:r w:rsidR="001D52E2" w:rsidRPr="001220A4">
        <w:rPr>
          <w:rFonts w:asciiTheme="minorHAnsi" w:hAnsiTheme="minorHAnsi" w:cstheme="minorHAnsi"/>
          <w:color w:val="auto"/>
          <w:vertAlign w:val="superscript"/>
        </w:rPr>
        <w:t>2</w:t>
      </w:r>
      <w:r w:rsidR="001D52E2" w:rsidRPr="001220A4">
        <w:rPr>
          <w:rFonts w:asciiTheme="minorHAnsi" w:hAnsiTheme="minorHAnsi" w:cstheme="minorHAnsi"/>
          <w:color w:val="auto"/>
        </w:rPr>
        <w:t xml:space="preserve">). </w:t>
      </w:r>
    </w:p>
    <w:p w14:paraId="2F4D7415" w14:textId="77777777" w:rsidR="001D52E2" w:rsidRPr="001220A4" w:rsidRDefault="001D52E2" w:rsidP="0054535F">
      <w:pPr>
        <w:pStyle w:val="NormalWeb"/>
        <w:spacing w:before="0" w:beforeAutospacing="0" w:after="0" w:afterAutospacing="0"/>
        <w:ind w:right="4"/>
        <w:contextualSpacing/>
        <w:rPr>
          <w:rFonts w:asciiTheme="minorHAnsi" w:hAnsiTheme="minorHAnsi" w:cstheme="minorHAnsi"/>
          <w:b/>
          <w:color w:val="365F91" w:themeColor="accent1" w:themeShade="BF"/>
        </w:rPr>
      </w:pPr>
    </w:p>
    <w:p w14:paraId="6D265B44" w14:textId="2CD20636" w:rsidR="001D52E2" w:rsidRPr="001220A4" w:rsidRDefault="001D52E2" w:rsidP="0054535F">
      <w:pPr>
        <w:pStyle w:val="NormalWeb"/>
        <w:widowControl/>
        <w:numPr>
          <w:ilvl w:val="2"/>
          <w:numId w:val="31"/>
        </w:numPr>
        <w:spacing w:before="0" w:beforeAutospacing="0" w:after="0" w:afterAutospacing="0"/>
        <w:ind w:left="0" w:right="4" w:firstLine="0"/>
        <w:contextualSpacing/>
        <w:rPr>
          <w:rFonts w:asciiTheme="minorHAnsi" w:hAnsiTheme="minorHAnsi" w:cstheme="minorHAnsi"/>
          <w:b/>
          <w:color w:val="auto"/>
        </w:rPr>
      </w:pPr>
      <w:r w:rsidRPr="001220A4">
        <w:rPr>
          <w:rFonts w:asciiTheme="minorHAnsi" w:hAnsiTheme="minorHAnsi" w:cstheme="minorHAnsi"/>
          <w:color w:val="auto"/>
        </w:rPr>
        <w:t>Centrifuge at 250 x</w:t>
      </w:r>
      <w:r w:rsidR="0076459C" w:rsidRPr="0076459C">
        <w:rPr>
          <w:rFonts w:asciiTheme="minorHAnsi" w:hAnsiTheme="minorHAnsi" w:cstheme="minorHAnsi"/>
          <w:i/>
          <w:iCs/>
          <w:color w:val="auto"/>
        </w:rPr>
        <w:t xml:space="preserve"> g </w:t>
      </w:r>
      <w:r w:rsidRPr="001220A4">
        <w:rPr>
          <w:rFonts w:asciiTheme="minorHAnsi" w:hAnsiTheme="minorHAnsi" w:cstheme="minorHAnsi"/>
          <w:color w:val="auto"/>
        </w:rPr>
        <w:t xml:space="preserve">for 5 min, remove </w:t>
      </w:r>
      <w:r w:rsidR="0076459C">
        <w:rPr>
          <w:rFonts w:asciiTheme="minorHAnsi" w:hAnsiTheme="minorHAnsi" w:cstheme="minorHAnsi"/>
          <w:color w:val="auto"/>
        </w:rPr>
        <w:t xml:space="preserve">the </w:t>
      </w:r>
      <w:r w:rsidRPr="001220A4">
        <w:rPr>
          <w:rFonts w:asciiTheme="minorHAnsi" w:hAnsiTheme="minorHAnsi" w:cstheme="minorHAnsi"/>
          <w:color w:val="auto"/>
        </w:rPr>
        <w:t>supernatant from both tubes</w:t>
      </w:r>
      <w:r w:rsidR="00012280" w:rsidRPr="001220A4">
        <w:rPr>
          <w:rFonts w:asciiTheme="minorHAnsi" w:hAnsiTheme="minorHAnsi" w:cstheme="minorHAnsi"/>
          <w:color w:val="auto"/>
        </w:rPr>
        <w:t>,</w:t>
      </w:r>
      <w:r w:rsidRPr="001220A4">
        <w:rPr>
          <w:rFonts w:asciiTheme="minorHAnsi" w:hAnsiTheme="minorHAnsi" w:cstheme="minorHAnsi"/>
          <w:color w:val="auto"/>
        </w:rPr>
        <w:t xml:space="preserve"> and resuspend the cell pellets in 10 mL of DMEM</w:t>
      </w:r>
      <w:r w:rsidR="00F44550" w:rsidRPr="001220A4">
        <w:rPr>
          <w:rFonts w:asciiTheme="minorHAnsi" w:hAnsiTheme="minorHAnsi" w:cstheme="minorHAnsi"/>
          <w:color w:val="auto"/>
        </w:rPr>
        <w:t xml:space="preserve"> S</w:t>
      </w:r>
      <w:r w:rsidRPr="001220A4">
        <w:rPr>
          <w:rFonts w:asciiTheme="minorHAnsi" w:hAnsiTheme="minorHAnsi" w:cstheme="minorHAnsi"/>
          <w:color w:val="auto"/>
        </w:rPr>
        <w:t xml:space="preserve">. Count cells, assuring a cell viability higher </w:t>
      </w:r>
      <w:r w:rsidR="00DB456E">
        <w:rPr>
          <w:rFonts w:asciiTheme="minorHAnsi" w:hAnsiTheme="minorHAnsi" w:cstheme="minorHAnsi"/>
          <w:color w:val="auto"/>
        </w:rPr>
        <w:t xml:space="preserve">than </w:t>
      </w:r>
      <w:r w:rsidRPr="001220A4">
        <w:rPr>
          <w:rFonts w:asciiTheme="minorHAnsi" w:hAnsiTheme="minorHAnsi" w:cstheme="minorHAnsi"/>
          <w:color w:val="auto"/>
        </w:rPr>
        <w:t>80%.</w:t>
      </w:r>
      <w:r w:rsidR="00EA1B43" w:rsidRPr="001220A4">
        <w:rPr>
          <w:rFonts w:asciiTheme="minorHAnsi" w:hAnsiTheme="minorHAnsi" w:cstheme="minorHAnsi"/>
          <w:color w:val="auto"/>
        </w:rPr>
        <w:t xml:space="preserve"> </w:t>
      </w:r>
      <w:r w:rsidR="00DB456E">
        <w:rPr>
          <w:rFonts w:asciiTheme="minorHAnsi" w:hAnsiTheme="minorHAnsi" w:cstheme="minorHAnsi"/>
          <w:color w:val="auto"/>
        </w:rPr>
        <w:t>A</w:t>
      </w:r>
      <w:r w:rsidR="00DB456E" w:rsidRPr="001220A4">
        <w:rPr>
          <w:rFonts w:asciiTheme="minorHAnsi" w:hAnsiTheme="minorHAnsi" w:cstheme="minorHAnsi"/>
          <w:color w:val="auto"/>
        </w:rPr>
        <w:t xml:space="preserve">septically </w:t>
      </w:r>
      <w:r w:rsidR="00DB456E">
        <w:rPr>
          <w:rFonts w:asciiTheme="minorHAnsi" w:hAnsiTheme="minorHAnsi" w:cstheme="minorHAnsi"/>
          <w:color w:val="auto"/>
        </w:rPr>
        <w:t>i</w:t>
      </w:r>
      <w:r w:rsidRPr="001220A4">
        <w:rPr>
          <w:rFonts w:asciiTheme="minorHAnsi" w:hAnsiTheme="minorHAnsi" w:cstheme="minorHAnsi"/>
          <w:color w:val="auto"/>
        </w:rPr>
        <w:t>ntegrate cell culture inserts in a 24-well plate previously filled with 400 µL of DMEM</w:t>
      </w:r>
      <w:r w:rsidR="00F44550" w:rsidRPr="001220A4">
        <w:rPr>
          <w:rFonts w:asciiTheme="minorHAnsi" w:hAnsiTheme="minorHAnsi" w:cstheme="minorHAnsi"/>
          <w:color w:val="auto"/>
        </w:rPr>
        <w:t xml:space="preserve"> S</w:t>
      </w:r>
      <w:r w:rsidRPr="001220A4">
        <w:rPr>
          <w:rFonts w:asciiTheme="minorHAnsi" w:hAnsiTheme="minorHAnsi" w:cstheme="minorHAnsi"/>
          <w:color w:val="auto"/>
        </w:rPr>
        <w:t xml:space="preserve"> per well in the basolateral side (which represents the human bloodstream).</w:t>
      </w:r>
    </w:p>
    <w:p w14:paraId="73882800" w14:textId="77777777" w:rsidR="001D52E2" w:rsidRPr="001220A4" w:rsidRDefault="001D52E2" w:rsidP="0054535F">
      <w:pPr>
        <w:pStyle w:val="NormalWeb"/>
        <w:spacing w:before="0" w:beforeAutospacing="0" w:after="0" w:afterAutospacing="0"/>
        <w:ind w:right="4"/>
        <w:contextualSpacing/>
        <w:rPr>
          <w:rFonts w:asciiTheme="minorHAnsi" w:hAnsiTheme="minorHAnsi" w:cstheme="minorHAnsi"/>
          <w:b/>
          <w:color w:val="auto"/>
        </w:rPr>
      </w:pPr>
    </w:p>
    <w:p w14:paraId="49738235" w14:textId="43C2A62A" w:rsidR="001D52E2" w:rsidRPr="001220A4" w:rsidRDefault="001D52E2" w:rsidP="0054535F">
      <w:pPr>
        <w:pStyle w:val="NormalWeb"/>
        <w:widowControl/>
        <w:numPr>
          <w:ilvl w:val="2"/>
          <w:numId w:val="31"/>
        </w:numPr>
        <w:spacing w:before="0" w:beforeAutospacing="0" w:after="0" w:afterAutospacing="0"/>
        <w:ind w:left="0" w:right="4" w:firstLine="0"/>
        <w:contextualSpacing/>
        <w:rPr>
          <w:rFonts w:asciiTheme="minorHAnsi" w:hAnsiTheme="minorHAnsi" w:cstheme="minorHAnsi"/>
          <w:color w:val="auto"/>
        </w:rPr>
      </w:pPr>
      <w:r w:rsidRPr="001220A4">
        <w:rPr>
          <w:rFonts w:asciiTheme="minorHAnsi" w:hAnsiTheme="minorHAnsi" w:cstheme="minorHAnsi"/>
          <w:color w:val="auto"/>
        </w:rPr>
        <w:t>Co-cultivate Caco-2 and HT-29 cells at a ratio of 9:1</w:t>
      </w:r>
      <w:r w:rsidRPr="001220A4">
        <w:rPr>
          <w:rFonts w:asciiTheme="minorHAnsi" w:hAnsiTheme="minorHAnsi" w:cstheme="minorHAnsi"/>
          <w:color w:val="auto"/>
        </w:rPr>
        <w:fldChar w:fldCharType="begin" w:fldLock="1"/>
      </w:r>
      <w:r w:rsidR="006766D3" w:rsidRPr="001220A4">
        <w:rPr>
          <w:rFonts w:asciiTheme="minorHAnsi" w:hAnsiTheme="minorHAnsi" w:cstheme="minorHAnsi"/>
          <w:color w:val="auto"/>
        </w:rPr>
        <w:instrText>ADDIN CSL_CITATION {"citationItems":[{"id":"ITEM-1","itemData":{"DOI":"10.1016/j.ijpharm.2013.10.003","ISBN":"1873-3476 (Electronic)\\r0378-5173 (Linking)","ISSN":"03785173","PMID":"24120728","abstract":"Caco-2 based cell models have been the gold standard in vitro method to study intestinal drug permeability, despite the absence of many important features with major influence in the drug absorption mechanism. In the present work, a triple co-culture comprising Caco-2, HT29-MTX and Raji B cells was established to mimic in a closely way the human intestinal epithelium, presenting the main components in the process of drug absorption, namely the absorptive cells that resemble enterocytes, mucus producers cells and cells able to induce M-cell phenotype on Caco-2 cells. All the three cell lines maintained their function when cultured together with each other being, thus, an asset to new orally administrated drugs development. The seeding ratio of 90:10 between Caco-2 and HT29-MTX showed to be the best to achieve physiological proportions after cells maturation and differentiation in culture. The formation of M-cells phenotype from enterocytes was identified for the first time in a co-culture system comprising Caco-2 and HT29-MTX cells through immunocytochemical techniques. Thus, the triple co-culture model presented in the herein work is a good and reliable alternative to the in vitro methods already existents for the study of drugs permeability. © 2013 Elsevier B.V.","author":[{"dropping-particle":"","family":"Araújo","given":"Francisca","non-dropping-particle":"","parse-names":false,"suffix":""},{"dropping-particle":"","family":"Sarmento","given":"Bruno","non-dropping-particle":"","parse-names":false,"suffix":""}],"container-title":"International Journal of Pharmaceutics","id":"ITEM-1","issue":"1","issued":{"date-parts":[["2013"]]},"page":"128-134","title":"Towards the characterization of an in vitro triple co-culture intestine cell model for permeability studies","type":"article-journal","volume":"458"},"uris":["http://www.mendeley.com/documents/?uuid=d53d7402-0289-328b-8398-aea548d9d416"]}],"mendeley":{"formattedCitation":"&lt;sup&gt;21&lt;/sup&gt;","plainTextFormattedCitation":"21","previouslyFormattedCitation":"&lt;sup&gt;21&lt;/sup&gt;"},"properties":{"noteIndex":0},"schema":"https://github.com/citation-style-language/schema/raw/master/csl-citation.json"}</w:instrText>
      </w:r>
      <w:r w:rsidRPr="001220A4">
        <w:rPr>
          <w:rFonts w:asciiTheme="minorHAnsi" w:hAnsiTheme="minorHAnsi" w:cstheme="minorHAnsi"/>
          <w:color w:val="auto"/>
        </w:rPr>
        <w:fldChar w:fldCharType="separate"/>
      </w:r>
      <w:r w:rsidR="0077280B" w:rsidRPr="001220A4">
        <w:rPr>
          <w:rFonts w:asciiTheme="minorHAnsi" w:hAnsiTheme="minorHAnsi" w:cstheme="minorHAnsi"/>
          <w:noProof/>
          <w:color w:val="auto"/>
          <w:vertAlign w:val="superscript"/>
        </w:rPr>
        <w:t>21</w:t>
      </w:r>
      <w:r w:rsidRPr="001220A4">
        <w:rPr>
          <w:rFonts w:asciiTheme="minorHAnsi" w:hAnsiTheme="minorHAnsi" w:cstheme="minorHAnsi"/>
          <w:color w:val="auto"/>
        </w:rPr>
        <w:fldChar w:fldCharType="end"/>
      </w:r>
      <w:r w:rsidRPr="001220A4">
        <w:rPr>
          <w:rFonts w:asciiTheme="minorHAnsi" w:hAnsiTheme="minorHAnsi" w:cstheme="minorHAnsi"/>
          <w:color w:val="auto"/>
        </w:rPr>
        <w:t>. Use 2.25 x 10</w:t>
      </w:r>
      <w:r w:rsidRPr="001220A4">
        <w:rPr>
          <w:rFonts w:asciiTheme="minorHAnsi" w:hAnsiTheme="minorHAnsi" w:cstheme="minorHAnsi"/>
          <w:color w:val="auto"/>
          <w:vertAlign w:val="superscript"/>
        </w:rPr>
        <w:t>5</w:t>
      </w:r>
      <w:r w:rsidRPr="001220A4">
        <w:rPr>
          <w:rFonts w:asciiTheme="minorHAnsi" w:hAnsiTheme="minorHAnsi" w:cstheme="minorHAnsi"/>
          <w:color w:val="auto"/>
        </w:rPr>
        <w:t xml:space="preserve"> Caco-2 and 2.5 x 10</w:t>
      </w:r>
      <w:r w:rsidRPr="001220A4">
        <w:rPr>
          <w:rFonts w:asciiTheme="minorHAnsi" w:hAnsiTheme="minorHAnsi" w:cstheme="minorHAnsi"/>
          <w:color w:val="auto"/>
          <w:vertAlign w:val="superscript"/>
        </w:rPr>
        <w:t>4</w:t>
      </w:r>
      <w:r w:rsidRPr="001220A4">
        <w:rPr>
          <w:rFonts w:asciiTheme="minorHAnsi" w:hAnsiTheme="minorHAnsi" w:cstheme="minorHAnsi"/>
          <w:color w:val="auto"/>
        </w:rPr>
        <w:t xml:space="preserve"> HT-29 cells to each intestine equivalent in a final volume of 200 µL of DMEM</w:t>
      </w:r>
      <w:r w:rsidR="00F44550" w:rsidRPr="001220A4">
        <w:rPr>
          <w:rFonts w:asciiTheme="minorHAnsi" w:hAnsiTheme="minorHAnsi" w:cstheme="minorHAnsi"/>
          <w:color w:val="auto"/>
        </w:rPr>
        <w:t xml:space="preserve"> S</w:t>
      </w:r>
      <w:r w:rsidRPr="001220A4">
        <w:rPr>
          <w:rFonts w:asciiTheme="minorHAnsi" w:hAnsiTheme="minorHAnsi" w:cstheme="minorHAnsi"/>
          <w:color w:val="auto"/>
        </w:rPr>
        <w:t xml:space="preserve">. Adjust cell numbers and volume according to the desired number of organoids. Mix carefully. </w:t>
      </w:r>
    </w:p>
    <w:p w14:paraId="6F570EFB" w14:textId="77777777" w:rsidR="001D52E2" w:rsidRPr="001220A4" w:rsidRDefault="001D52E2" w:rsidP="0054535F">
      <w:pPr>
        <w:ind w:right="4"/>
        <w:contextualSpacing/>
        <w:rPr>
          <w:rFonts w:asciiTheme="minorHAnsi" w:hAnsiTheme="minorHAnsi" w:cstheme="minorHAnsi"/>
          <w:b/>
          <w:color w:val="auto"/>
        </w:rPr>
      </w:pPr>
    </w:p>
    <w:p w14:paraId="14AD5F62" w14:textId="43B10C08" w:rsidR="003D295E" w:rsidRDefault="001D52E2" w:rsidP="0054535F">
      <w:pPr>
        <w:pStyle w:val="NormalWeb"/>
        <w:numPr>
          <w:ilvl w:val="2"/>
          <w:numId w:val="31"/>
        </w:numPr>
        <w:spacing w:before="0" w:beforeAutospacing="0" w:after="0" w:afterAutospacing="0"/>
        <w:ind w:left="0" w:right="4" w:firstLine="0"/>
        <w:contextualSpacing/>
        <w:rPr>
          <w:rFonts w:asciiTheme="minorHAnsi" w:hAnsiTheme="minorHAnsi" w:cstheme="minorHAnsi"/>
          <w:bCs/>
          <w:color w:val="auto"/>
        </w:rPr>
      </w:pPr>
      <w:r w:rsidRPr="001220A4">
        <w:rPr>
          <w:rFonts w:asciiTheme="minorHAnsi" w:hAnsiTheme="minorHAnsi" w:cstheme="minorHAnsi"/>
          <w:color w:val="auto"/>
        </w:rPr>
        <w:t xml:space="preserve">Pipette 200 µL of cell solution into each insert’s apical side (which represents the human intestinal lumen side), seeding 250,000 cells per insert. Co-cultivate the cells in the inserts </w:t>
      </w:r>
      <w:r w:rsidR="00DB456E">
        <w:rPr>
          <w:rFonts w:asciiTheme="minorHAnsi" w:hAnsiTheme="minorHAnsi" w:cstheme="minorHAnsi"/>
          <w:color w:val="auto"/>
        </w:rPr>
        <w:t>for</w:t>
      </w:r>
      <w:r w:rsidRPr="001220A4">
        <w:rPr>
          <w:rFonts w:asciiTheme="minorHAnsi" w:hAnsiTheme="minorHAnsi" w:cstheme="minorHAnsi"/>
          <w:color w:val="auto"/>
        </w:rPr>
        <w:t xml:space="preserve"> three weeks</w:t>
      </w:r>
      <w:r w:rsidRPr="001220A4">
        <w:rPr>
          <w:rFonts w:asciiTheme="minorHAnsi" w:hAnsiTheme="minorHAnsi" w:cstheme="minorHAnsi"/>
          <w:color w:val="auto"/>
        </w:rPr>
        <w:fldChar w:fldCharType="begin" w:fldLock="1"/>
      </w:r>
      <w:r w:rsidR="006766D3" w:rsidRPr="001220A4">
        <w:rPr>
          <w:rFonts w:asciiTheme="minorHAnsi" w:hAnsiTheme="minorHAnsi" w:cstheme="minorHAnsi"/>
          <w:color w:val="auto"/>
        </w:rPr>
        <w:instrText>ADDIN CSL_CITATION {"citationItems":[{"id":"ITEM-1","itemData":{"DOI":"10.1016/j.btre.2015.04.004","ISBN":"2215-017X","ISSN":"2215017X","PMID":"28626709","abstract":"Abstract A viable cell count is essential to evaluate the kinetics of cell growth. Since the hemocytometer was first used for counting blood cells, several variants of the methodology have been developed towards reducing the time of analysis and improving accuracy through automation of both sample preparation and counting. The successful implementation of automated techniques relies in the adjustment of cell staining, image display parameters and cell morphology to obtain equivalent precision, accuracy and linearity with respect to the hemocytometer. In this study we conducted the validation of three trypan blue exclusion-based methods: manual, semi-automated, and fully automated; which were used for the estimation of density and viability of cells employed for the biosynthesis and bioassays of recombinant proteins. Our results showed that the evaluated attributes remained within the same range for the automated methods with respect to the manual, providing an efficient alternative for analyzing a huge number of samples.","author":[{"dropping-particle":"","family":"Cadena-Herrera","given":"Daniela","non-dropping-particle":"","parse-names":false,"suffix":""},{"dropping-particle":"","family":"Esparza-De Lara","given":"Joshua E.","non-dropping-particle":"","parse-names":false,"suffix":""},{"dropping-particle":"","family":"Ramírez-Ibañez","given":"Nancy D.","non-dropping-particle":"","parse-names":false,"suffix":""},{"dropping-particle":"","family":"López-Morales","given":"Carlos A.","non-dropping-particle":"","parse-names":false,"suffix":""},{"dropping-particle":"","family":"Pérez","given":"Néstor O.","non-dropping-particle":"","parse-names":false,"suffix":""},{"dropping-particle":"","family":"Flores-Ortiz","given":"Luis F.","non-dropping-particle":"","parse-names":false,"suffix":""},{"dropping-particle":"","family":"Medina-Rivero","given":"Emilio","non-dropping-particle":"","parse-names":false,"suffix":""}],"container-title":"Biotechnology Reports","id":"ITEM-1","issued":{"date-parts":[["2015"]]},"page":"9-16","title":"Validation of three viable-cell counting methods: Manual, semi-automated, and automated","type":"article-journal","volume":"7"},"uris":["http://www.mendeley.com/documents/?uuid=8d82c981-f7ab-31cb-be70-cbee7576195b"]}],"mendeley":{"formattedCitation":"&lt;sup&gt;22&lt;/sup&gt;","plainTextFormattedCitation":"22","previouslyFormattedCitation":"&lt;sup&gt;22&lt;/sup&gt;"},"properties":{"noteIndex":0},"schema":"https://github.com/citation-style-language/schema/raw/master/csl-citation.json"}</w:instrText>
      </w:r>
      <w:r w:rsidRPr="001220A4">
        <w:rPr>
          <w:rFonts w:asciiTheme="minorHAnsi" w:hAnsiTheme="minorHAnsi" w:cstheme="minorHAnsi"/>
          <w:color w:val="auto"/>
        </w:rPr>
        <w:fldChar w:fldCharType="separate"/>
      </w:r>
      <w:r w:rsidR="0077280B" w:rsidRPr="001220A4">
        <w:rPr>
          <w:rFonts w:asciiTheme="minorHAnsi" w:hAnsiTheme="minorHAnsi" w:cstheme="minorHAnsi"/>
          <w:noProof/>
          <w:color w:val="auto"/>
          <w:vertAlign w:val="superscript"/>
        </w:rPr>
        <w:t>22</w:t>
      </w:r>
      <w:r w:rsidRPr="001220A4">
        <w:rPr>
          <w:rFonts w:asciiTheme="minorHAnsi" w:hAnsiTheme="minorHAnsi" w:cstheme="minorHAnsi"/>
          <w:color w:val="auto"/>
        </w:rPr>
        <w:fldChar w:fldCharType="end"/>
      </w:r>
      <w:r w:rsidRPr="001220A4">
        <w:rPr>
          <w:rFonts w:asciiTheme="minorHAnsi" w:hAnsiTheme="minorHAnsi" w:cstheme="minorHAnsi"/>
          <w:color w:val="auto"/>
        </w:rPr>
        <w:t>.</w:t>
      </w:r>
      <w:r w:rsidR="008E4F90">
        <w:rPr>
          <w:rFonts w:asciiTheme="minorHAnsi" w:hAnsiTheme="minorHAnsi" w:cstheme="minorHAnsi"/>
          <w:color w:val="auto"/>
        </w:rPr>
        <w:t xml:space="preserve"> </w:t>
      </w:r>
      <w:bookmarkStart w:id="0" w:name="_Hlk48419623"/>
      <w:r w:rsidRPr="001220A4">
        <w:rPr>
          <w:rFonts w:asciiTheme="minorHAnsi" w:hAnsiTheme="minorHAnsi" w:cstheme="minorHAnsi"/>
          <w:color w:val="auto"/>
        </w:rPr>
        <w:t xml:space="preserve">Change the medium at least three times a </w:t>
      </w:r>
      <w:r w:rsidRPr="001220A4">
        <w:rPr>
          <w:rFonts w:asciiTheme="minorHAnsi" w:hAnsiTheme="minorHAnsi" w:cstheme="minorHAnsi"/>
          <w:noProof/>
          <w:color w:val="auto"/>
        </w:rPr>
        <w:t>week</w:t>
      </w:r>
      <w:r w:rsidRPr="001220A4">
        <w:rPr>
          <w:rFonts w:asciiTheme="minorHAnsi" w:hAnsiTheme="minorHAnsi" w:cstheme="minorHAnsi"/>
          <w:color w:val="auto"/>
        </w:rPr>
        <w:t>, aspirating it from both the apical and basolateral sides with a sterile Pasteur pipette,</w:t>
      </w:r>
      <w:r w:rsidR="003D295E" w:rsidRPr="001220A4">
        <w:rPr>
          <w:rFonts w:asciiTheme="minorHAnsi" w:hAnsiTheme="minorHAnsi" w:cstheme="minorHAnsi"/>
          <w:color w:val="auto"/>
        </w:rPr>
        <w:t xml:space="preserve"> </w:t>
      </w:r>
      <w:r w:rsidR="003D295E" w:rsidRPr="001220A4">
        <w:rPr>
          <w:rFonts w:asciiTheme="minorHAnsi" w:hAnsiTheme="minorHAnsi" w:cstheme="minorHAnsi"/>
          <w:bCs/>
          <w:color w:val="auto"/>
        </w:rPr>
        <w:t>taking care not to damage the intact cell barrier.</w:t>
      </w:r>
    </w:p>
    <w:p w14:paraId="632B0604" w14:textId="77777777" w:rsidR="0076459C" w:rsidRPr="001220A4" w:rsidRDefault="0076459C" w:rsidP="0054535F">
      <w:pPr>
        <w:pStyle w:val="NormalWeb"/>
        <w:spacing w:before="0" w:beforeAutospacing="0" w:after="0" w:afterAutospacing="0"/>
        <w:ind w:right="4"/>
        <w:contextualSpacing/>
        <w:rPr>
          <w:rFonts w:asciiTheme="minorHAnsi" w:hAnsiTheme="minorHAnsi" w:cstheme="minorHAnsi"/>
          <w:bCs/>
          <w:color w:val="auto"/>
        </w:rPr>
      </w:pPr>
    </w:p>
    <w:p w14:paraId="387A069B" w14:textId="5A30E28E" w:rsidR="003D295E" w:rsidRPr="001220A4" w:rsidRDefault="003D295E" w:rsidP="0054535F">
      <w:pPr>
        <w:pStyle w:val="NormalWeb"/>
        <w:spacing w:before="0" w:beforeAutospacing="0" w:after="0" w:afterAutospacing="0"/>
        <w:ind w:right="4"/>
        <w:contextualSpacing/>
        <w:rPr>
          <w:rFonts w:asciiTheme="minorHAnsi" w:hAnsiTheme="minorHAnsi" w:cstheme="minorHAnsi"/>
          <w:bCs/>
          <w:color w:val="auto"/>
        </w:rPr>
      </w:pPr>
      <w:r w:rsidRPr="001220A4">
        <w:rPr>
          <w:rFonts w:asciiTheme="minorHAnsi" w:hAnsiTheme="minorHAnsi" w:cstheme="minorHAnsi"/>
          <w:bCs/>
          <w:color w:val="auto"/>
        </w:rPr>
        <w:t>NOTE: Proceed with the aspiration on the apical side, so as not to touch the cell barrier (aspirate by supporting the Pasteur pipette on the plastic rim of the cell insert).</w:t>
      </w:r>
    </w:p>
    <w:bookmarkEnd w:id="0"/>
    <w:p w14:paraId="3FEADFA7" w14:textId="77777777" w:rsidR="001D52E2" w:rsidRPr="001220A4" w:rsidRDefault="001D52E2" w:rsidP="0054535F">
      <w:pPr>
        <w:pStyle w:val="NormalWeb"/>
        <w:spacing w:before="0" w:beforeAutospacing="0" w:after="0" w:afterAutospacing="0"/>
        <w:ind w:right="4"/>
        <w:contextualSpacing/>
        <w:rPr>
          <w:rFonts w:asciiTheme="minorHAnsi" w:hAnsiTheme="minorHAnsi" w:cstheme="minorHAnsi"/>
          <w:b/>
          <w:color w:val="auto"/>
        </w:rPr>
      </w:pPr>
    </w:p>
    <w:p w14:paraId="1680B76B" w14:textId="77777777" w:rsidR="0076459C" w:rsidRDefault="00A92025" w:rsidP="0054535F">
      <w:pPr>
        <w:pStyle w:val="NormalWeb"/>
        <w:numPr>
          <w:ilvl w:val="2"/>
          <w:numId w:val="31"/>
        </w:numPr>
        <w:spacing w:before="0" w:beforeAutospacing="0" w:after="0" w:afterAutospacing="0"/>
        <w:ind w:left="0" w:right="4" w:firstLine="0"/>
        <w:contextualSpacing/>
        <w:rPr>
          <w:rFonts w:asciiTheme="minorHAnsi" w:hAnsiTheme="minorHAnsi" w:cstheme="minorHAnsi"/>
          <w:color w:val="auto"/>
        </w:rPr>
      </w:pPr>
      <w:r w:rsidRPr="001220A4">
        <w:rPr>
          <w:rFonts w:asciiTheme="minorHAnsi" w:hAnsiTheme="minorHAnsi" w:cstheme="minorHAnsi"/>
          <w:color w:val="365F91" w:themeColor="accent1" w:themeShade="BF"/>
        </w:rPr>
        <w:t xml:space="preserve"> </w:t>
      </w:r>
      <w:bookmarkStart w:id="1" w:name="_Hlk48415914"/>
      <w:bookmarkStart w:id="2" w:name="_Hlk48420611"/>
      <w:r w:rsidR="001D52E2" w:rsidRPr="001220A4">
        <w:rPr>
          <w:rFonts w:asciiTheme="minorHAnsi" w:hAnsiTheme="minorHAnsi" w:cstheme="minorHAnsi"/>
          <w:color w:val="auto"/>
        </w:rPr>
        <w:t>Check the tight monolayer formation</w:t>
      </w:r>
      <w:r w:rsidR="0076459C">
        <w:rPr>
          <w:rFonts w:asciiTheme="minorHAnsi" w:hAnsiTheme="minorHAnsi" w:cstheme="minorHAnsi"/>
          <w:color w:val="auto"/>
        </w:rPr>
        <w:t xml:space="preserve"> by </w:t>
      </w:r>
      <w:r w:rsidR="001D52E2" w:rsidRPr="001220A4">
        <w:rPr>
          <w:rFonts w:asciiTheme="minorHAnsi" w:hAnsiTheme="minorHAnsi" w:cstheme="minorHAnsi"/>
          <w:color w:val="auto"/>
        </w:rPr>
        <w:t xml:space="preserve">measuring </w:t>
      </w:r>
      <w:r w:rsidR="0076459C">
        <w:rPr>
          <w:rFonts w:asciiTheme="minorHAnsi" w:hAnsiTheme="minorHAnsi" w:cstheme="minorHAnsi"/>
          <w:color w:val="auto"/>
        </w:rPr>
        <w:t xml:space="preserve">the </w:t>
      </w:r>
      <w:r w:rsidR="001D52E2" w:rsidRPr="001220A4">
        <w:rPr>
          <w:rFonts w:asciiTheme="minorHAnsi" w:hAnsiTheme="minorHAnsi" w:cstheme="minorHAnsi"/>
          <w:color w:val="auto"/>
        </w:rPr>
        <w:t>TEER (transepithelial electrical resistance) every three days using a voltmeter</w:t>
      </w:r>
      <w:r w:rsidR="001D52E2" w:rsidRPr="001220A4">
        <w:rPr>
          <w:rFonts w:asciiTheme="minorHAnsi" w:hAnsiTheme="minorHAnsi" w:cstheme="minorHAnsi"/>
          <w:color w:val="auto"/>
        </w:rPr>
        <w:fldChar w:fldCharType="begin" w:fldLock="1"/>
      </w:r>
      <w:r w:rsidR="006766D3" w:rsidRPr="001220A4">
        <w:rPr>
          <w:rFonts w:asciiTheme="minorHAnsi" w:hAnsiTheme="minorHAnsi" w:cstheme="minorHAnsi"/>
          <w:color w:val="auto"/>
        </w:rPr>
        <w:instrText>ADDIN CSL_CITATION {"citationItems":[{"id":"ITEM-1","itemData":{"author":[{"dropping-particle":"","family":"Millipore","given":"Merck","non-dropping-particle":"","parse-names":false,"suffix":""}],"id":"ITEM-1","issued":{"date-parts":[["2016"]]},"page":"6-10","title":"User Guide Millicell® ERS-2 Electrical Resistance System","type":"article"},"uris":["http://www.mendeley.com/documents/?uuid=e2be66a9-78c6-448b-8957-04a273a0283f"]}],"mendeley":{"formattedCitation":"&lt;sup&gt;23&lt;/sup&gt;","plainTextFormattedCitation":"23","previouslyFormattedCitation":"&lt;sup&gt;23&lt;/sup&gt;"},"properties":{"noteIndex":0},"schema":"https://github.com/citation-style-language/schema/raw/master/csl-citation.json"}</w:instrText>
      </w:r>
      <w:r w:rsidR="001D52E2" w:rsidRPr="001220A4">
        <w:rPr>
          <w:rFonts w:asciiTheme="minorHAnsi" w:hAnsiTheme="minorHAnsi" w:cstheme="minorHAnsi"/>
          <w:color w:val="auto"/>
        </w:rPr>
        <w:fldChar w:fldCharType="separate"/>
      </w:r>
      <w:r w:rsidR="0077280B" w:rsidRPr="001220A4">
        <w:rPr>
          <w:rFonts w:asciiTheme="minorHAnsi" w:hAnsiTheme="minorHAnsi" w:cstheme="minorHAnsi"/>
          <w:noProof/>
          <w:color w:val="auto"/>
          <w:vertAlign w:val="superscript"/>
        </w:rPr>
        <w:t>23</w:t>
      </w:r>
      <w:r w:rsidR="001D52E2" w:rsidRPr="001220A4">
        <w:rPr>
          <w:rFonts w:asciiTheme="minorHAnsi" w:hAnsiTheme="minorHAnsi" w:cstheme="minorHAnsi"/>
          <w:color w:val="auto"/>
        </w:rPr>
        <w:fldChar w:fldCharType="end"/>
      </w:r>
      <w:bookmarkEnd w:id="1"/>
      <w:r w:rsidR="00CC74D3" w:rsidRPr="001220A4">
        <w:rPr>
          <w:rFonts w:asciiTheme="minorHAnsi" w:hAnsiTheme="minorHAnsi" w:cstheme="minorHAnsi"/>
          <w:color w:val="auto"/>
        </w:rPr>
        <w:t>, according to the manufacturer's instructions</w:t>
      </w:r>
      <w:r w:rsidR="001D52E2" w:rsidRPr="001220A4">
        <w:rPr>
          <w:rFonts w:asciiTheme="minorHAnsi" w:hAnsiTheme="minorHAnsi" w:cstheme="minorHAnsi"/>
          <w:color w:val="auto"/>
        </w:rPr>
        <w:t xml:space="preserve">. </w:t>
      </w:r>
    </w:p>
    <w:p w14:paraId="6DB9D900" w14:textId="77777777" w:rsidR="0076459C" w:rsidRDefault="0076459C" w:rsidP="0054535F">
      <w:pPr>
        <w:pStyle w:val="NormalWeb"/>
        <w:spacing w:before="0" w:beforeAutospacing="0" w:after="0" w:afterAutospacing="0"/>
        <w:ind w:right="4"/>
        <w:contextualSpacing/>
        <w:rPr>
          <w:rFonts w:asciiTheme="minorHAnsi" w:hAnsiTheme="minorHAnsi" w:cstheme="minorHAnsi"/>
          <w:color w:val="auto"/>
        </w:rPr>
      </w:pPr>
    </w:p>
    <w:p w14:paraId="3665C5EE" w14:textId="34CCF5E6" w:rsidR="0076459C" w:rsidRDefault="001D52E2" w:rsidP="0054535F">
      <w:pPr>
        <w:pStyle w:val="NormalWeb"/>
        <w:numPr>
          <w:ilvl w:val="3"/>
          <w:numId w:val="31"/>
        </w:numPr>
        <w:spacing w:before="0" w:beforeAutospacing="0" w:after="0" w:afterAutospacing="0"/>
        <w:ind w:left="0" w:right="4" w:firstLine="0"/>
        <w:contextualSpacing/>
        <w:rPr>
          <w:rFonts w:asciiTheme="minorHAnsi" w:hAnsiTheme="minorHAnsi" w:cstheme="minorHAnsi"/>
          <w:color w:val="auto"/>
        </w:rPr>
      </w:pPr>
      <w:r w:rsidRPr="001220A4">
        <w:rPr>
          <w:rFonts w:asciiTheme="minorHAnsi" w:hAnsiTheme="minorHAnsi" w:cstheme="minorHAnsi"/>
          <w:color w:val="auto"/>
        </w:rPr>
        <w:t xml:space="preserve">Perform a blank, measuring the resistance across a cell culture insert without cells, but with the same cell medium and at the same cell plate. </w:t>
      </w:r>
    </w:p>
    <w:p w14:paraId="36024D86" w14:textId="77777777" w:rsidR="0076459C" w:rsidRDefault="0076459C" w:rsidP="0054535F">
      <w:pPr>
        <w:pStyle w:val="NormalWeb"/>
        <w:spacing w:before="0" w:beforeAutospacing="0" w:after="0" w:afterAutospacing="0"/>
        <w:ind w:right="4"/>
        <w:contextualSpacing/>
        <w:rPr>
          <w:rFonts w:asciiTheme="minorHAnsi" w:hAnsiTheme="minorHAnsi" w:cstheme="minorHAnsi"/>
          <w:color w:val="auto"/>
        </w:rPr>
      </w:pPr>
    </w:p>
    <w:p w14:paraId="0C2F1AEC" w14:textId="0188BA85" w:rsidR="001D52E2" w:rsidRDefault="001D52E2" w:rsidP="0054535F">
      <w:pPr>
        <w:pStyle w:val="NormalWeb"/>
        <w:numPr>
          <w:ilvl w:val="3"/>
          <w:numId w:val="31"/>
        </w:numPr>
        <w:spacing w:before="0" w:beforeAutospacing="0" w:after="0" w:afterAutospacing="0"/>
        <w:ind w:left="0" w:right="4" w:firstLine="0"/>
        <w:contextualSpacing/>
        <w:rPr>
          <w:rFonts w:asciiTheme="minorHAnsi" w:hAnsiTheme="minorHAnsi" w:cstheme="minorHAnsi"/>
          <w:color w:val="auto"/>
        </w:rPr>
      </w:pPr>
      <w:r w:rsidRPr="001220A4">
        <w:rPr>
          <w:rFonts w:asciiTheme="minorHAnsi" w:hAnsiTheme="minorHAnsi" w:cstheme="minorHAnsi"/>
          <w:color w:val="auto"/>
        </w:rPr>
        <w:t>Calculate tissue resistance</w:t>
      </w:r>
      <w:r w:rsidR="00DB456E">
        <w:rPr>
          <w:rFonts w:asciiTheme="minorHAnsi" w:hAnsiTheme="minorHAnsi" w:cstheme="minorHAnsi"/>
          <w:color w:val="auto"/>
        </w:rPr>
        <w:t xml:space="preserve"> by </w:t>
      </w:r>
      <w:r w:rsidRPr="001220A4">
        <w:rPr>
          <w:rFonts w:asciiTheme="minorHAnsi" w:hAnsiTheme="minorHAnsi" w:cstheme="minorHAnsi"/>
          <w:color w:val="auto"/>
        </w:rPr>
        <w:t>subtracting the blank resistance from the tissue</w:t>
      </w:r>
      <w:r w:rsidR="00012280" w:rsidRPr="001220A4">
        <w:rPr>
          <w:rFonts w:asciiTheme="minorHAnsi" w:hAnsiTheme="minorHAnsi" w:cstheme="minorHAnsi"/>
          <w:color w:val="auto"/>
        </w:rPr>
        <w:t>-</w:t>
      </w:r>
      <w:r w:rsidRPr="001220A4">
        <w:rPr>
          <w:rFonts w:asciiTheme="minorHAnsi" w:hAnsiTheme="minorHAnsi" w:cstheme="minorHAnsi"/>
          <w:color w:val="auto"/>
        </w:rPr>
        <w:t>equivalent resistance</w:t>
      </w:r>
      <w:r w:rsidR="00012280" w:rsidRPr="001220A4">
        <w:rPr>
          <w:rFonts w:asciiTheme="minorHAnsi" w:hAnsiTheme="minorHAnsi" w:cstheme="minorHAnsi"/>
          <w:color w:val="auto"/>
        </w:rPr>
        <w:t>,</w:t>
      </w:r>
      <w:r w:rsidRPr="001220A4">
        <w:rPr>
          <w:rFonts w:asciiTheme="minorHAnsi" w:hAnsiTheme="minorHAnsi" w:cstheme="minorHAnsi"/>
          <w:color w:val="auto"/>
        </w:rPr>
        <w:t xml:space="preserve"> and multiply by the effective surface area of the filter membrane (0.6 cm</w:t>
      </w:r>
      <w:r w:rsidRPr="001220A4">
        <w:rPr>
          <w:rFonts w:asciiTheme="minorHAnsi" w:hAnsiTheme="minorHAnsi" w:cstheme="minorHAnsi"/>
          <w:color w:val="auto"/>
          <w:vertAlign w:val="superscript"/>
        </w:rPr>
        <w:t>2</w:t>
      </w:r>
      <w:r w:rsidRPr="001220A4">
        <w:rPr>
          <w:rFonts w:asciiTheme="minorHAnsi" w:hAnsiTheme="minorHAnsi" w:cstheme="minorHAnsi"/>
          <w:color w:val="auto"/>
        </w:rPr>
        <w:t>). A good intestine barrier resistance is in a range of 150 to 400 Ω</w:t>
      </w:r>
      <w:r w:rsidR="00DB456E">
        <w:rPr>
          <w:rFonts w:asciiTheme="minorHAnsi" w:hAnsiTheme="minorHAnsi" w:cstheme="minorHAnsi"/>
          <w:color w:val="auto"/>
        </w:rPr>
        <w:t>∙</w:t>
      </w:r>
      <w:r w:rsidRPr="001220A4">
        <w:rPr>
          <w:rFonts w:asciiTheme="minorHAnsi" w:hAnsiTheme="minorHAnsi" w:cstheme="minorHAnsi"/>
          <w:color w:val="auto"/>
        </w:rPr>
        <w:t>cm</w:t>
      </w:r>
      <w:r w:rsidRPr="001220A4">
        <w:rPr>
          <w:rFonts w:asciiTheme="minorHAnsi" w:hAnsiTheme="minorHAnsi" w:cstheme="minorHAnsi"/>
          <w:color w:val="auto"/>
          <w:vertAlign w:val="superscript"/>
        </w:rPr>
        <w:t>2</w:t>
      </w:r>
      <w:r w:rsidRPr="001220A4">
        <w:rPr>
          <w:rFonts w:asciiTheme="minorHAnsi" w:hAnsiTheme="minorHAnsi" w:cstheme="minorHAnsi"/>
          <w:color w:val="auto"/>
        </w:rPr>
        <w:t>.</w:t>
      </w:r>
    </w:p>
    <w:p w14:paraId="0AB2A322" w14:textId="77777777" w:rsidR="0076459C" w:rsidRPr="001220A4" w:rsidRDefault="0076459C" w:rsidP="0054535F">
      <w:pPr>
        <w:pStyle w:val="NormalWeb"/>
        <w:spacing w:before="0" w:beforeAutospacing="0" w:after="0" w:afterAutospacing="0"/>
        <w:ind w:right="4"/>
        <w:contextualSpacing/>
        <w:rPr>
          <w:rFonts w:asciiTheme="minorHAnsi" w:hAnsiTheme="minorHAnsi" w:cstheme="minorHAnsi"/>
          <w:color w:val="auto"/>
        </w:rPr>
      </w:pPr>
    </w:p>
    <w:p w14:paraId="06288769" w14:textId="66657A9D" w:rsidR="001D52E2" w:rsidRPr="001220A4" w:rsidRDefault="001D52E2" w:rsidP="0054535F">
      <w:pPr>
        <w:pStyle w:val="NormalWeb"/>
        <w:spacing w:before="0" w:beforeAutospacing="0" w:after="0" w:afterAutospacing="0"/>
        <w:ind w:right="4"/>
        <w:contextualSpacing/>
        <w:rPr>
          <w:rFonts w:asciiTheme="minorHAnsi" w:hAnsiTheme="minorHAnsi" w:cstheme="minorHAnsi"/>
          <w:b/>
          <w:color w:val="365F91" w:themeColor="accent1" w:themeShade="BF"/>
        </w:rPr>
      </w:pPr>
      <w:r w:rsidRPr="001220A4">
        <w:rPr>
          <w:rFonts w:asciiTheme="minorHAnsi" w:hAnsiTheme="minorHAnsi" w:cstheme="minorHAnsi"/>
          <w:color w:val="auto"/>
        </w:rPr>
        <w:t>NOTE: After 21 days the cells must be fully differentiated</w:t>
      </w:r>
      <w:r w:rsidR="00DB456E">
        <w:rPr>
          <w:rFonts w:asciiTheme="minorHAnsi" w:hAnsiTheme="minorHAnsi" w:cstheme="minorHAnsi"/>
          <w:color w:val="auto"/>
        </w:rPr>
        <w:t xml:space="preserve"> and </w:t>
      </w:r>
      <w:r w:rsidRPr="001220A4">
        <w:rPr>
          <w:rFonts w:asciiTheme="minorHAnsi" w:hAnsiTheme="minorHAnsi" w:cstheme="minorHAnsi"/>
          <w:color w:val="auto"/>
        </w:rPr>
        <w:t>the intestinal barrier formed, so the intestine equivalents are ready to be integrated into MPS</w:t>
      </w:r>
      <w:r w:rsidRPr="001220A4">
        <w:rPr>
          <w:rFonts w:asciiTheme="minorHAnsi" w:hAnsiTheme="minorHAnsi" w:cstheme="minorHAnsi"/>
          <w:color w:val="365F91" w:themeColor="accent1" w:themeShade="BF"/>
        </w:rPr>
        <w:t xml:space="preserve">. </w:t>
      </w:r>
    </w:p>
    <w:bookmarkEnd w:id="2"/>
    <w:p w14:paraId="5BDF790C" w14:textId="77777777" w:rsidR="001D52E2" w:rsidRPr="001220A4" w:rsidRDefault="001D52E2" w:rsidP="0054535F">
      <w:pPr>
        <w:pStyle w:val="NormalWeb"/>
        <w:spacing w:before="0" w:beforeAutospacing="0" w:after="0" w:afterAutospacing="0"/>
        <w:ind w:right="4"/>
        <w:contextualSpacing/>
        <w:rPr>
          <w:rFonts w:asciiTheme="minorHAnsi" w:hAnsiTheme="minorHAnsi" w:cstheme="minorHAnsi"/>
          <w:b/>
        </w:rPr>
      </w:pPr>
    </w:p>
    <w:p w14:paraId="27339A27" w14:textId="77777777" w:rsidR="001D52E2" w:rsidRPr="001220A4" w:rsidRDefault="001D52E2" w:rsidP="0054535F">
      <w:pPr>
        <w:pStyle w:val="ListParagraph"/>
        <w:numPr>
          <w:ilvl w:val="1"/>
          <w:numId w:val="31"/>
        </w:numPr>
        <w:ind w:left="0" w:right="4" w:firstLine="0"/>
        <w:rPr>
          <w:rFonts w:asciiTheme="minorHAnsi" w:hAnsiTheme="minorHAnsi" w:cstheme="minorHAnsi"/>
          <w:b/>
        </w:rPr>
      </w:pPr>
      <w:r w:rsidRPr="001220A4">
        <w:rPr>
          <w:rFonts w:asciiTheme="minorHAnsi" w:hAnsiTheme="minorHAnsi" w:cstheme="minorHAnsi"/>
          <w:b/>
        </w:rPr>
        <w:t>Liver equivalents production</w:t>
      </w:r>
    </w:p>
    <w:p w14:paraId="01AD8704" w14:textId="77777777" w:rsidR="001D52E2" w:rsidRPr="001220A4" w:rsidRDefault="001D52E2" w:rsidP="0054535F">
      <w:pPr>
        <w:pStyle w:val="NormalWeb"/>
        <w:spacing w:before="0" w:beforeAutospacing="0" w:after="0" w:afterAutospacing="0"/>
        <w:ind w:right="4"/>
        <w:contextualSpacing/>
        <w:rPr>
          <w:rFonts w:asciiTheme="minorHAnsi" w:hAnsiTheme="minorHAnsi" w:cstheme="minorHAnsi"/>
          <w:color w:val="auto"/>
        </w:rPr>
      </w:pPr>
    </w:p>
    <w:p w14:paraId="79214472" w14:textId="49D8EB03" w:rsidR="001D52E2" w:rsidRPr="001220A4" w:rsidRDefault="001D52E2" w:rsidP="0054535F">
      <w:pPr>
        <w:pStyle w:val="NormalWeb"/>
        <w:numPr>
          <w:ilvl w:val="2"/>
          <w:numId w:val="31"/>
        </w:numPr>
        <w:spacing w:before="0" w:beforeAutospacing="0" w:after="0" w:afterAutospacing="0"/>
        <w:ind w:left="0" w:right="4" w:firstLine="0"/>
        <w:contextualSpacing/>
        <w:rPr>
          <w:rFonts w:asciiTheme="minorHAnsi" w:hAnsiTheme="minorHAnsi" w:cstheme="minorHAnsi"/>
          <w:color w:val="auto"/>
        </w:rPr>
      </w:pPr>
      <w:r w:rsidRPr="001220A4">
        <w:rPr>
          <w:rFonts w:asciiTheme="minorHAnsi" w:hAnsiTheme="minorHAnsi" w:cstheme="minorHAnsi"/>
          <w:color w:val="auto"/>
        </w:rPr>
        <w:t xml:space="preserve">Maintain </w:t>
      </w:r>
      <w:proofErr w:type="spellStart"/>
      <w:r w:rsidRPr="001220A4">
        <w:rPr>
          <w:rFonts w:asciiTheme="minorHAnsi" w:hAnsiTheme="minorHAnsi" w:cstheme="minorHAnsi"/>
          <w:color w:val="auto"/>
        </w:rPr>
        <w:t>HepaRG</w:t>
      </w:r>
      <w:proofErr w:type="spellEnd"/>
      <w:r w:rsidRPr="001220A4">
        <w:rPr>
          <w:rFonts w:asciiTheme="minorHAnsi" w:hAnsiTheme="minorHAnsi" w:cstheme="minorHAnsi"/>
          <w:color w:val="auto"/>
        </w:rPr>
        <w:t xml:space="preserve"> cells using the liver equivalent medium, which is William’s Medium E supplemented with 10% fetal bovine serum, 2 mM L-glutamine, 100 units</w:t>
      </w:r>
      <w:r w:rsidR="00182D70">
        <w:rPr>
          <w:rFonts w:asciiTheme="minorHAnsi" w:hAnsiTheme="minorHAnsi" w:cstheme="minorHAnsi"/>
          <w:color w:val="auto"/>
        </w:rPr>
        <w:t>/mL</w:t>
      </w:r>
      <w:r w:rsidRPr="001220A4">
        <w:rPr>
          <w:rFonts w:asciiTheme="minorHAnsi" w:hAnsiTheme="minorHAnsi" w:cstheme="minorHAnsi"/>
          <w:color w:val="auto"/>
        </w:rPr>
        <w:t xml:space="preserve"> penicillin, 100 µg</w:t>
      </w:r>
      <w:r w:rsidR="00182D70">
        <w:rPr>
          <w:rFonts w:asciiTheme="minorHAnsi" w:hAnsiTheme="minorHAnsi" w:cstheme="minorHAnsi"/>
          <w:color w:val="auto"/>
        </w:rPr>
        <w:t>/mL</w:t>
      </w:r>
      <w:r w:rsidRPr="001220A4">
        <w:rPr>
          <w:rFonts w:asciiTheme="minorHAnsi" w:hAnsiTheme="minorHAnsi" w:cstheme="minorHAnsi"/>
          <w:color w:val="auto"/>
        </w:rPr>
        <w:t xml:space="preserve"> streptomycin, 5 µg</w:t>
      </w:r>
      <w:r w:rsidR="00182D70">
        <w:rPr>
          <w:rFonts w:asciiTheme="minorHAnsi" w:hAnsiTheme="minorHAnsi" w:cstheme="minorHAnsi"/>
          <w:color w:val="auto"/>
        </w:rPr>
        <w:t>/mL</w:t>
      </w:r>
      <w:r w:rsidRPr="001220A4">
        <w:rPr>
          <w:rFonts w:asciiTheme="minorHAnsi" w:hAnsiTheme="minorHAnsi" w:cstheme="minorHAnsi"/>
          <w:color w:val="auto"/>
        </w:rPr>
        <w:t xml:space="preserve"> human insulin and 5</w:t>
      </w:r>
      <w:r w:rsidR="0076459C">
        <w:rPr>
          <w:rFonts w:asciiTheme="minorHAnsi" w:hAnsiTheme="minorHAnsi" w:cstheme="minorHAnsi"/>
          <w:color w:val="auto"/>
        </w:rPr>
        <w:t xml:space="preserve"> x </w:t>
      </w:r>
      <w:r w:rsidRPr="001220A4">
        <w:rPr>
          <w:rFonts w:asciiTheme="minorHAnsi" w:hAnsiTheme="minorHAnsi" w:cstheme="minorHAnsi"/>
          <w:color w:val="auto"/>
        </w:rPr>
        <w:t>10</w:t>
      </w:r>
      <w:r w:rsidRPr="0076459C">
        <w:rPr>
          <w:rFonts w:asciiTheme="minorHAnsi" w:hAnsiTheme="minorHAnsi" w:cstheme="minorHAnsi"/>
          <w:color w:val="auto"/>
          <w:vertAlign w:val="superscript"/>
        </w:rPr>
        <w:t>-5</w:t>
      </w:r>
      <w:r w:rsidR="0076459C">
        <w:rPr>
          <w:rFonts w:asciiTheme="minorHAnsi" w:hAnsiTheme="minorHAnsi" w:cstheme="minorHAnsi"/>
          <w:color w:val="auto"/>
        </w:rPr>
        <w:t xml:space="preserve"> </w:t>
      </w:r>
      <w:r w:rsidRPr="001220A4">
        <w:rPr>
          <w:rFonts w:asciiTheme="minorHAnsi" w:hAnsiTheme="minorHAnsi" w:cstheme="minorHAnsi"/>
          <w:color w:val="auto"/>
        </w:rPr>
        <w:t xml:space="preserve">M hydrocortisone, and is </w:t>
      </w:r>
      <w:r w:rsidR="00F44550" w:rsidRPr="001220A4">
        <w:rPr>
          <w:rFonts w:asciiTheme="minorHAnsi" w:hAnsiTheme="minorHAnsi" w:cstheme="minorHAnsi"/>
          <w:color w:val="auto"/>
        </w:rPr>
        <w:t>named “</w:t>
      </w:r>
      <w:r w:rsidRPr="001220A4">
        <w:rPr>
          <w:rFonts w:asciiTheme="minorHAnsi" w:hAnsiTheme="minorHAnsi" w:cstheme="minorHAnsi"/>
          <w:color w:val="auto"/>
        </w:rPr>
        <w:t>Williams E</w:t>
      </w:r>
      <w:r w:rsidR="00F44550" w:rsidRPr="001220A4">
        <w:rPr>
          <w:rFonts w:asciiTheme="minorHAnsi" w:hAnsiTheme="minorHAnsi" w:cstheme="minorHAnsi"/>
          <w:color w:val="auto"/>
        </w:rPr>
        <w:t xml:space="preserve"> S”</w:t>
      </w:r>
      <w:r w:rsidRPr="001220A4">
        <w:rPr>
          <w:rFonts w:asciiTheme="minorHAnsi" w:hAnsiTheme="minorHAnsi" w:cstheme="minorHAnsi"/>
          <w:color w:val="auto"/>
        </w:rPr>
        <w:t xml:space="preserve"> in this manuscript. Renew </w:t>
      </w:r>
      <w:proofErr w:type="spellStart"/>
      <w:r w:rsidRPr="001220A4">
        <w:rPr>
          <w:rFonts w:asciiTheme="minorHAnsi" w:hAnsiTheme="minorHAnsi" w:cstheme="minorHAnsi"/>
          <w:color w:val="auto"/>
        </w:rPr>
        <w:t>HepaRG</w:t>
      </w:r>
      <w:proofErr w:type="spellEnd"/>
      <w:r w:rsidRPr="001220A4">
        <w:rPr>
          <w:rFonts w:asciiTheme="minorHAnsi" w:hAnsiTheme="minorHAnsi" w:cstheme="minorHAnsi"/>
          <w:color w:val="auto"/>
        </w:rPr>
        <w:t xml:space="preserve"> media every </w:t>
      </w:r>
      <w:r w:rsidR="0076459C">
        <w:rPr>
          <w:rFonts w:asciiTheme="minorHAnsi" w:hAnsiTheme="minorHAnsi" w:cstheme="minorHAnsi"/>
          <w:color w:val="auto"/>
        </w:rPr>
        <w:t>2-3</w:t>
      </w:r>
      <w:r w:rsidRPr="001220A4">
        <w:rPr>
          <w:rFonts w:asciiTheme="minorHAnsi" w:hAnsiTheme="minorHAnsi" w:cstheme="minorHAnsi"/>
          <w:color w:val="auto"/>
        </w:rPr>
        <w:t xml:space="preserve"> days and maintain cell culture for two weeks to initiate the differentiation in hepatocytes and </w:t>
      </w:r>
      <w:proofErr w:type="spellStart"/>
      <w:r w:rsidRPr="001220A4">
        <w:rPr>
          <w:rFonts w:asciiTheme="minorHAnsi" w:hAnsiTheme="minorHAnsi" w:cstheme="minorHAnsi"/>
          <w:color w:val="auto"/>
        </w:rPr>
        <w:t>cholangiocytes</w:t>
      </w:r>
      <w:proofErr w:type="spellEnd"/>
      <w:r w:rsidRPr="001220A4">
        <w:rPr>
          <w:rFonts w:asciiTheme="minorHAnsi" w:hAnsiTheme="minorHAnsi" w:cstheme="minorHAnsi"/>
          <w:color w:val="auto"/>
        </w:rPr>
        <w:t>.</w:t>
      </w:r>
    </w:p>
    <w:p w14:paraId="0C4BB8C3" w14:textId="77777777" w:rsidR="001D52E2" w:rsidRPr="001220A4" w:rsidRDefault="001D52E2" w:rsidP="0054535F">
      <w:pPr>
        <w:pStyle w:val="ListParagraph"/>
        <w:ind w:left="0" w:right="4"/>
        <w:rPr>
          <w:rFonts w:asciiTheme="minorHAnsi" w:hAnsiTheme="minorHAnsi" w:cstheme="minorHAnsi"/>
          <w:color w:val="auto"/>
        </w:rPr>
      </w:pPr>
    </w:p>
    <w:p w14:paraId="250A8464" w14:textId="4EEAD1B0" w:rsidR="001D52E2" w:rsidRPr="001220A4" w:rsidRDefault="001D52E2" w:rsidP="0054535F">
      <w:pPr>
        <w:pStyle w:val="NormalWeb"/>
        <w:numPr>
          <w:ilvl w:val="2"/>
          <w:numId w:val="31"/>
        </w:numPr>
        <w:spacing w:before="0" w:beforeAutospacing="0" w:after="0" w:afterAutospacing="0"/>
        <w:ind w:left="0" w:right="4" w:firstLine="0"/>
        <w:contextualSpacing/>
        <w:rPr>
          <w:rFonts w:asciiTheme="minorHAnsi" w:hAnsiTheme="minorHAnsi" w:cstheme="minorHAnsi"/>
          <w:color w:val="auto"/>
        </w:rPr>
      </w:pPr>
      <w:r w:rsidRPr="001220A4">
        <w:rPr>
          <w:rFonts w:asciiTheme="minorHAnsi" w:hAnsiTheme="minorHAnsi" w:cstheme="minorHAnsi"/>
          <w:color w:val="auto"/>
        </w:rPr>
        <w:t xml:space="preserve">After the first two weeks, add 2% DMSO to </w:t>
      </w:r>
      <w:proofErr w:type="spellStart"/>
      <w:r w:rsidRPr="001220A4">
        <w:rPr>
          <w:rFonts w:asciiTheme="minorHAnsi" w:hAnsiTheme="minorHAnsi" w:cstheme="minorHAnsi"/>
          <w:color w:val="auto"/>
        </w:rPr>
        <w:t>HepaRG’s</w:t>
      </w:r>
      <w:proofErr w:type="spellEnd"/>
      <w:r w:rsidRPr="001220A4">
        <w:rPr>
          <w:rFonts w:asciiTheme="minorHAnsi" w:hAnsiTheme="minorHAnsi" w:cstheme="minorHAnsi"/>
          <w:color w:val="auto"/>
        </w:rPr>
        <w:t xml:space="preserve"> medium for </w:t>
      </w:r>
      <w:r w:rsidR="00012280" w:rsidRPr="001220A4">
        <w:rPr>
          <w:rFonts w:asciiTheme="minorHAnsi" w:hAnsiTheme="minorHAnsi" w:cstheme="minorHAnsi"/>
          <w:color w:val="auto"/>
        </w:rPr>
        <w:t xml:space="preserve">an </w:t>
      </w:r>
      <w:r w:rsidRPr="001220A4">
        <w:rPr>
          <w:rFonts w:asciiTheme="minorHAnsi" w:hAnsiTheme="minorHAnsi" w:cstheme="minorHAnsi"/>
          <w:noProof/>
          <w:color w:val="auto"/>
        </w:rPr>
        <w:t>additional</w:t>
      </w:r>
      <w:r w:rsidRPr="001220A4">
        <w:rPr>
          <w:rFonts w:asciiTheme="minorHAnsi" w:hAnsiTheme="minorHAnsi" w:cstheme="minorHAnsi"/>
          <w:color w:val="auto"/>
        </w:rPr>
        <w:t xml:space="preserve"> two weeks to complete the cell differentiation</w:t>
      </w:r>
      <w:r w:rsidRPr="001220A4">
        <w:rPr>
          <w:rFonts w:asciiTheme="minorHAnsi" w:hAnsiTheme="minorHAnsi" w:cstheme="minorHAnsi"/>
          <w:color w:val="auto"/>
        </w:rPr>
        <w:fldChar w:fldCharType="begin" w:fldLock="1"/>
      </w:r>
      <w:r w:rsidR="006766D3" w:rsidRPr="001220A4">
        <w:rPr>
          <w:rFonts w:asciiTheme="minorHAnsi" w:hAnsiTheme="minorHAnsi" w:cstheme="minorHAnsi"/>
          <w:color w:val="auto"/>
        </w:rPr>
        <w:instrText>ADDIN CSL_CITATION {"citationItems":[{"id":"ITEM-1","itemData":{"DOI":"10.1073/pnas.232137699\\r232137699 [pii]","ISBN":"0027-8424 (Print)\\r0027-8424 (Linking)","ISSN":"0027-8424 (Print) 0027-8424 (Linking)","PMID":"12432097","abstract":"Among numerous established human hepatoma cell lines, none has been shown susceptible to hepatitis B virus (HBV) infection. We describe here a cell line, called HepaRG, which exhibits hepatocyte-like morphology, expresses specific hepatocyte functions, and supports HBV infection as well as primary cultures of normal human hepatocytes. Differentiation and infectability are maintained only when these cells are cultured in the presence of corticoids and dimethyl sulfoxide. The specificity of this HBV infection model was ascertained by both the neutralization capacity of HBV-envelope protein-specific antibodies and the competition with an envelope-derived peptide. HepaRG cells therefore represent a tool for deciphering the mechanism of HBV entry. Moreover, their close resemblance to normal human hepatocytes makes them suitable for many applications including drug metabolism studies.","author":[{"dropping-particle":"","family":"Gripon","given":"P","non-dropping-particle":"","parse-names":false,"suffix":""},{"dropping-particle":"","family":"Rumin","given":"S","non-dropping-particle":"","parse-names":false,"suffix":""},{"dropping-particle":"","family":"Urban","given":"S","non-dropping-particle":"","parse-names":false,"suffix":""},{"dropping-particle":"","family":"Seyec","given":"J","non-dropping-particle":"Le","parse-names":false,"suffix":""},{"dropping-particle":"","family":"Glaise","given":"D","non-dropping-particle":"","parse-names":false,"suffix":""},{"dropping-particle":"","family":"Cannie","given":"I","non-dropping-particle":"","parse-names":false,"suffix":""},{"dropping-particle":"","family":"Guyomard","given":"C","non-dropping-particle":"","parse-names":false,"suffix":""},{"dropping-particle":"","family":"Lucas","given":"J","non-dropping-particle":"","parse-names":false,"suffix":""},{"dropping-particle":"","family":"Trepo","given":"C","non-dropping-particle":"","parse-names":false,"suffix":""},{"dropping-particle":"","family":"Guguen-Guillouzo","given":"C","non-dropping-particle":"","parse-names":false,"suffix":""}],"container-title":"Proceedings of the National Academy of Sciences of the United States of America","id":"ITEM-1","issue":"24","issued":{"date-parts":[["2002"]]},"page":"15655-15660","title":"Infection of a human hepatoma cell line by hepatitis B virus","type":"article-journal","volume":"99"},"uris":["http://www.mendeley.com/documents/?uuid=d7c502af-207a-3010-839c-5e7375fd4ab5"]},{"id":"ITEM-2","itemData":{"DOI":"http://dx.doi.org/10.1016/j.cbi.2006.12.003","ISSN":"0009-2797","abstract":"Although they have several important limitations primary human hepatocytes still represent the in vitro gold standard model for xenobiotic metabolism and toxicity studies. The large use of human liver cell lines either from tumoral origin or obtained by oncogenic immortalisation is prevented by the loss of various liver-specific functions, especially many cytochrome P450 (CYP)-related enzyme activities. We review here recent results obtained with a new human hepatoma cell line, named HepaRG, derived from a human hepatocellular carcinoma. These cells exhibit unique features: when seeded at low density they acquire an elongated undifferentiated morphology, actively divided and after having reached confluency formed typical hepatocyte-like colonies surrounded by biliary epithelial-like cells. Moreover contrary to other human hepatoma cell lines including HepG2 cells, HepaRG cells express various CYPs (CYP1A2, 2B6, 2C9, 2E1, 3A4) and the nuclear receptors constitutive androstane receptor (CAR) and pregnane X receptor (PXR) at levels comparable to those found in cultured primary human hepatocytes. They also express various other functions such phase 2 enzymes, apical and canalicular ABC transporters and basolateral solute carrier transporters, albumin, haptoglobin as well as aldolase B that is a specific marker of adult hepatocytes. HepaRG cells could represent a surrogate to primary human hepatocytes for xenobiotic metabolism and toxicity studies and even more, a unique model system for analysing genotoxic compounds.","author":[{"dropping-particle":"","family":"Guillouzo","given":"André","non-dropping-particle":"","parse-names":false,"suffix":""},{"dropping-particle":"","family":"Corlu","given":"Anne","non-dropping-particle":"","parse-names":false,"suffix":""},{"dropping-particle":"","family":"Aninat","given":"Caroline","non-dropping-particle":"","parse-names":false,"suffix":""},{"dropping-particle":"","family":"Glaise","given":"Denise","non-dropping-particle":"","parse-names":false,"suffix":""},{"dropping-particle":"","family":"Morel","given":"Fabrice","non-dropping-particle":"","parse-names":false,"suffix":""},{"dropping-particle":"","family":"Guguen-Guillouzo","given":"Christiane","non-dropping-particle":"","parse-names":false,"suffix":""}],"container-title":"Chem.-Biol. Interact.","id":"ITEM-2","issue":"1","issued":{"date-parts":[["2007"]]},"page":"66-73","title":"The human hepatoma HepaRG cells: A highly differentiated model for studies of liver metabolism and toxicity of xenobiotics","type":"article-journal","volume":"168"},"uris":["http://www.mendeley.com/documents/?uuid=d7633ab5-91b0-3f58-baff-4caca7d363ae"]}],"mendeley":{"formattedCitation":"&lt;sup&gt;24, 25&lt;/sup&gt;","plainTextFormattedCitation":"24, 25","previouslyFormattedCitation":"&lt;sup&gt;24, 25&lt;/sup&gt;"},"properties":{"noteIndex":0},"schema":"https://github.com/citation-style-language/schema/raw/master/csl-citation.json"}</w:instrText>
      </w:r>
      <w:r w:rsidRPr="001220A4">
        <w:rPr>
          <w:rFonts w:asciiTheme="minorHAnsi" w:hAnsiTheme="minorHAnsi" w:cstheme="minorHAnsi"/>
          <w:color w:val="auto"/>
        </w:rPr>
        <w:fldChar w:fldCharType="separate"/>
      </w:r>
      <w:r w:rsidR="0077280B" w:rsidRPr="001220A4">
        <w:rPr>
          <w:rFonts w:asciiTheme="minorHAnsi" w:hAnsiTheme="minorHAnsi" w:cstheme="minorHAnsi"/>
          <w:noProof/>
          <w:color w:val="auto"/>
          <w:vertAlign w:val="superscript"/>
        </w:rPr>
        <w:t>24,25</w:t>
      </w:r>
      <w:r w:rsidRPr="001220A4">
        <w:rPr>
          <w:rFonts w:asciiTheme="minorHAnsi" w:hAnsiTheme="minorHAnsi" w:cstheme="minorHAnsi"/>
          <w:color w:val="auto"/>
        </w:rPr>
        <w:fldChar w:fldCharType="end"/>
      </w:r>
      <w:r w:rsidRPr="001220A4">
        <w:rPr>
          <w:rFonts w:asciiTheme="minorHAnsi" w:hAnsiTheme="minorHAnsi" w:cstheme="minorHAnsi"/>
          <w:color w:val="auto"/>
        </w:rPr>
        <w:t>.</w:t>
      </w:r>
      <w:r w:rsidR="00017BD1" w:rsidRPr="001220A4">
        <w:rPr>
          <w:rFonts w:asciiTheme="minorHAnsi" w:hAnsiTheme="minorHAnsi" w:cstheme="minorHAnsi"/>
          <w:color w:val="auto"/>
        </w:rPr>
        <w:t xml:space="preserve"> </w:t>
      </w:r>
      <w:r w:rsidRPr="001220A4">
        <w:rPr>
          <w:rFonts w:asciiTheme="minorHAnsi" w:hAnsiTheme="minorHAnsi" w:cstheme="minorHAnsi"/>
          <w:color w:val="auto"/>
        </w:rPr>
        <w:t xml:space="preserve">Grow </w:t>
      </w:r>
      <w:proofErr w:type="spellStart"/>
      <w:r w:rsidRPr="001220A4">
        <w:rPr>
          <w:rFonts w:asciiTheme="minorHAnsi" w:hAnsiTheme="minorHAnsi" w:cstheme="minorHAnsi"/>
          <w:color w:val="auto"/>
        </w:rPr>
        <w:t>HHSTeC</w:t>
      </w:r>
      <w:proofErr w:type="spellEnd"/>
      <w:r w:rsidRPr="001220A4">
        <w:rPr>
          <w:rFonts w:asciiTheme="minorHAnsi" w:hAnsiTheme="minorHAnsi" w:cstheme="minorHAnsi"/>
          <w:color w:val="auto"/>
        </w:rPr>
        <w:t xml:space="preserve"> in Stellate Cell Media (</w:t>
      </w:r>
      <w:proofErr w:type="spellStart"/>
      <w:r w:rsidRPr="001220A4">
        <w:rPr>
          <w:rFonts w:asciiTheme="minorHAnsi" w:hAnsiTheme="minorHAnsi" w:cstheme="minorHAnsi"/>
          <w:color w:val="auto"/>
        </w:rPr>
        <w:t>SteC</w:t>
      </w:r>
      <w:proofErr w:type="spellEnd"/>
      <w:r w:rsidRPr="001220A4">
        <w:rPr>
          <w:rFonts w:asciiTheme="minorHAnsi" w:hAnsiTheme="minorHAnsi" w:cstheme="minorHAnsi"/>
          <w:color w:val="auto"/>
        </w:rPr>
        <w:t xml:space="preserve"> CM), using poly-L-lysine-coated cell culture flasks, changing media every two or three days.</w:t>
      </w:r>
    </w:p>
    <w:p w14:paraId="1F85AF1F" w14:textId="77777777" w:rsidR="001D52E2" w:rsidRPr="001220A4" w:rsidRDefault="001D52E2" w:rsidP="0054535F">
      <w:pPr>
        <w:pStyle w:val="NormalWeb"/>
        <w:spacing w:before="0" w:beforeAutospacing="0" w:after="0" w:afterAutospacing="0"/>
        <w:ind w:right="4"/>
        <w:contextualSpacing/>
        <w:rPr>
          <w:rFonts w:asciiTheme="minorHAnsi" w:hAnsiTheme="minorHAnsi" w:cstheme="minorHAnsi"/>
          <w:color w:val="auto"/>
        </w:rPr>
      </w:pPr>
    </w:p>
    <w:p w14:paraId="669BF3FA" w14:textId="6AEDE804" w:rsidR="001D52E2" w:rsidRPr="001220A4" w:rsidRDefault="00017BD1" w:rsidP="0054535F">
      <w:pPr>
        <w:pStyle w:val="NormalWeb"/>
        <w:widowControl/>
        <w:numPr>
          <w:ilvl w:val="2"/>
          <w:numId w:val="31"/>
        </w:numPr>
        <w:spacing w:before="0" w:beforeAutospacing="0" w:after="0" w:afterAutospacing="0"/>
        <w:ind w:left="0" w:right="4" w:firstLine="0"/>
        <w:contextualSpacing/>
        <w:rPr>
          <w:rFonts w:asciiTheme="minorHAnsi" w:hAnsiTheme="minorHAnsi" w:cstheme="minorHAnsi"/>
          <w:color w:val="auto"/>
        </w:rPr>
      </w:pPr>
      <w:r w:rsidRPr="001220A4">
        <w:rPr>
          <w:rFonts w:asciiTheme="minorHAnsi" w:hAnsiTheme="minorHAnsi" w:cstheme="minorHAnsi"/>
          <w:color w:val="auto"/>
        </w:rPr>
        <w:t>Remove the medium, wash twice with 1x DPBS and add 8 mL of 0.05% Trypsin/EDTA</w:t>
      </w:r>
      <w:r w:rsidR="00EA1B43" w:rsidRPr="001220A4">
        <w:rPr>
          <w:rFonts w:asciiTheme="minorHAnsi" w:hAnsiTheme="minorHAnsi" w:cstheme="minorHAnsi"/>
          <w:color w:val="auto"/>
        </w:rPr>
        <w:t>, t</w:t>
      </w:r>
      <w:r w:rsidR="001D52E2" w:rsidRPr="001220A4">
        <w:rPr>
          <w:rFonts w:asciiTheme="minorHAnsi" w:hAnsiTheme="minorHAnsi" w:cstheme="minorHAnsi"/>
          <w:color w:val="auto"/>
        </w:rPr>
        <w:t xml:space="preserve">o dissociate </w:t>
      </w:r>
      <w:proofErr w:type="spellStart"/>
      <w:r w:rsidR="001D52E2" w:rsidRPr="001220A4">
        <w:rPr>
          <w:rFonts w:asciiTheme="minorHAnsi" w:hAnsiTheme="minorHAnsi" w:cstheme="minorHAnsi"/>
          <w:color w:val="auto"/>
        </w:rPr>
        <w:t>HepaRG</w:t>
      </w:r>
      <w:proofErr w:type="spellEnd"/>
      <w:r w:rsidR="001D52E2" w:rsidRPr="001220A4">
        <w:rPr>
          <w:rFonts w:asciiTheme="minorHAnsi" w:hAnsiTheme="minorHAnsi" w:cstheme="minorHAnsi"/>
          <w:color w:val="auto"/>
        </w:rPr>
        <w:t xml:space="preserve"> cells grown in cell culture flasks (175 cm</w:t>
      </w:r>
      <w:r w:rsidR="001D52E2" w:rsidRPr="001220A4">
        <w:rPr>
          <w:rFonts w:asciiTheme="minorHAnsi" w:hAnsiTheme="minorHAnsi" w:cstheme="minorHAnsi"/>
          <w:color w:val="auto"/>
          <w:vertAlign w:val="superscript"/>
        </w:rPr>
        <w:t>2</w:t>
      </w:r>
      <w:r w:rsidR="001D52E2" w:rsidRPr="001220A4">
        <w:rPr>
          <w:rFonts w:asciiTheme="minorHAnsi" w:hAnsiTheme="minorHAnsi" w:cstheme="minorHAnsi"/>
          <w:color w:val="auto"/>
        </w:rPr>
        <w:t xml:space="preserve">). Incubate for 5 to 10 min at 37 °C and stop the reaction </w:t>
      </w:r>
      <w:r w:rsidR="00DB456E">
        <w:rPr>
          <w:rFonts w:asciiTheme="minorHAnsi" w:hAnsiTheme="minorHAnsi" w:cstheme="minorHAnsi"/>
          <w:color w:val="auto"/>
        </w:rPr>
        <w:t xml:space="preserve">by </w:t>
      </w:r>
      <w:r w:rsidR="001D52E2" w:rsidRPr="001220A4">
        <w:rPr>
          <w:rFonts w:asciiTheme="minorHAnsi" w:hAnsiTheme="minorHAnsi" w:cstheme="minorHAnsi"/>
          <w:color w:val="auto"/>
        </w:rPr>
        <w:t xml:space="preserve">adding at least double </w:t>
      </w:r>
      <w:r w:rsidR="00DB456E">
        <w:rPr>
          <w:rFonts w:asciiTheme="minorHAnsi" w:hAnsiTheme="minorHAnsi" w:cstheme="minorHAnsi"/>
          <w:color w:val="auto"/>
        </w:rPr>
        <w:t xml:space="preserve">the </w:t>
      </w:r>
      <w:r w:rsidR="001D52E2" w:rsidRPr="001220A4">
        <w:rPr>
          <w:rFonts w:asciiTheme="minorHAnsi" w:hAnsiTheme="minorHAnsi" w:cstheme="minorHAnsi"/>
          <w:color w:val="auto"/>
        </w:rPr>
        <w:t xml:space="preserve">volume of trypsin inhibitor. Perform the same for </w:t>
      </w:r>
      <w:proofErr w:type="spellStart"/>
      <w:r w:rsidR="001D52E2" w:rsidRPr="001220A4">
        <w:rPr>
          <w:rFonts w:asciiTheme="minorHAnsi" w:hAnsiTheme="minorHAnsi" w:cstheme="minorHAnsi"/>
          <w:color w:val="auto"/>
        </w:rPr>
        <w:t>HHSTeC</w:t>
      </w:r>
      <w:proofErr w:type="spellEnd"/>
      <w:r w:rsidR="001D52E2" w:rsidRPr="001220A4">
        <w:rPr>
          <w:rFonts w:asciiTheme="minorHAnsi" w:hAnsiTheme="minorHAnsi" w:cstheme="minorHAnsi"/>
          <w:color w:val="auto"/>
        </w:rPr>
        <w:t>, adapting the reagent volume</w:t>
      </w:r>
      <w:r w:rsidR="00DB456E">
        <w:rPr>
          <w:rFonts w:asciiTheme="minorHAnsi" w:hAnsiTheme="minorHAnsi" w:cstheme="minorHAnsi"/>
          <w:color w:val="auto"/>
        </w:rPr>
        <w:t xml:space="preserve"> </w:t>
      </w:r>
      <w:r w:rsidR="001D52E2" w:rsidRPr="001220A4">
        <w:rPr>
          <w:rFonts w:asciiTheme="minorHAnsi" w:hAnsiTheme="minorHAnsi" w:cstheme="minorHAnsi"/>
          <w:color w:val="auto"/>
        </w:rPr>
        <w:t>since a smaller quantity of these cells are needed and they can be maintained in smaller flasks (75 cm</w:t>
      </w:r>
      <w:r w:rsidR="001D52E2" w:rsidRPr="001220A4">
        <w:rPr>
          <w:rFonts w:asciiTheme="minorHAnsi" w:hAnsiTheme="minorHAnsi" w:cstheme="minorHAnsi"/>
          <w:color w:val="auto"/>
          <w:vertAlign w:val="superscript"/>
        </w:rPr>
        <w:t>2</w:t>
      </w:r>
      <w:r w:rsidR="001D52E2" w:rsidRPr="001220A4">
        <w:rPr>
          <w:rFonts w:asciiTheme="minorHAnsi" w:hAnsiTheme="minorHAnsi" w:cstheme="minorHAnsi"/>
          <w:color w:val="auto"/>
        </w:rPr>
        <w:t>).</w:t>
      </w:r>
    </w:p>
    <w:p w14:paraId="07EBB51C" w14:textId="77777777" w:rsidR="001D52E2" w:rsidRPr="001220A4" w:rsidRDefault="001D52E2" w:rsidP="0054535F">
      <w:pPr>
        <w:pStyle w:val="ListParagraph"/>
        <w:ind w:left="0" w:right="4"/>
        <w:rPr>
          <w:rFonts w:asciiTheme="minorHAnsi" w:hAnsiTheme="minorHAnsi" w:cstheme="minorHAnsi"/>
          <w:color w:val="auto"/>
        </w:rPr>
      </w:pPr>
    </w:p>
    <w:p w14:paraId="788FAD3D" w14:textId="5529A6F1" w:rsidR="001D52E2" w:rsidRPr="001220A4" w:rsidRDefault="001D52E2" w:rsidP="0054535F">
      <w:pPr>
        <w:pStyle w:val="NormalWeb"/>
        <w:numPr>
          <w:ilvl w:val="2"/>
          <w:numId w:val="31"/>
        </w:numPr>
        <w:spacing w:before="0" w:beforeAutospacing="0" w:after="0" w:afterAutospacing="0"/>
        <w:ind w:left="0" w:right="4" w:firstLine="0"/>
        <w:contextualSpacing/>
        <w:rPr>
          <w:rFonts w:asciiTheme="minorHAnsi" w:hAnsiTheme="minorHAnsi" w:cstheme="minorHAnsi"/>
          <w:color w:val="auto"/>
        </w:rPr>
      </w:pPr>
      <w:r w:rsidRPr="001220A4">
        <w:rPr>
          <w:rFonts w:asciiTheme="minorHAnsi" w:hAnsiTheme="minorHAnsi" w:cstheme="minorHAnsi"/>
          <w:color w:val="auto"/>
        </w:rPr>
        <w:t>Centrifuge both at 250 x</w:t>
      </w:r>
      <w:r w:rsidR="0076459C" w:rsidRPr="0076459C">
        <w:rPr>
          <w:rFonts w:asciiTheme="minorHAnsi" w:hAnsiTheme="minorHAnsi" w:cstheme="minorHAnsi"/>
          <w:i/>
          <w:iCs/>
          <w:color w:val="auto"/>
        </w:rPr>
        <w:t xml:space="preserve"> g </w:t>
      </w:r>
      <w:r w:rsidRPr="001220A4">
        <w:rPr>
          <w:rFonts w:asciiTheme="minorHAnsi" w:hAnsiTheme="minorHAnsi" w:cstheme="minorHAnsi"/>
          <w:color w:val="auto"/>
        </w:rPr>
        <w:t xml:space="preserve">for 5 min, remove </w:t>
      </w:r>
      <w:r w:rsidR="0076459C">
        <w:rPr>
          <w:rFonts w:asciiTheme="minorHAnsi" w:hAnsiTheme="minorHAnsi" w:cstheme="minorHAnsi"/>
          <w:color w:val="auto"/>
        </w:rPr>
        <w:t xml:space="preserve">the </w:t>
      </w:r>
      <w:r w:rsidRPr="001220A4">
        <w:rPr>
          <w:rFonts w:asciiTheme="minorHAnsi" w:hAnsiTheme="minorHAnsi" w:cstheme="minorHAnsi"/>
          <w:color w:val="auto"/>
        </w:rPr>
        <w:t xml:space="preserve">supernatant and resuspend the cell pellets in Williams E </w:t>
      </w:r>
      <w:r w:rsidR="00F44550" w:rsidRPr="001220A4">
        <w:rPr>
          <w:rFonts w:asciiTheme="minorHAnsi" w:hAnsiTheme="minorHAnsi" w:cstheme="minorHAnsi"/>
          <w:color w:val="auto"/>
        </w:rPr>
        <w:t xml:space="preserve">S </w:t>
      </w:r>
      <w:r w:rsidRPr="001220A4">
        <w:rPr>
          <w:rFonts w:asciiTheme="minorHAnsi" w:hAnsiTheme="minorHAnsi" w:cstheme="minorHAnsi"/>
          <w:color w:val="auto"/>
        </w:rPr>
        <w:t xml:space="preserve">medium. Count cells, assuring a cell viability higher than 80%. </w:t>
      </w:r>
    </w:p>
    <w:p w14:paraId="3AF5F499" w14:textId="77777777" w:rsidR="001D52E2" w:rsidRPr="001220A4" w:rsidRDefault="001D52E2" w:rsidP="0054535F">
      <w:pPr>
        <w:pStyle w:val="ListParagraph"/>
        <w:ind w:left="0" w:right="4"/>
        <w:rPr>
          <w:rFonts w:asciiTheme="minorHAnsi" w:hAnsiTheme="minorHAnsi" w:cstheme="minorHAnsi"/>
          <w:color w:val="auto"/>
        </w:rPr>
      </w:pPr>
    </w:p>
    <w:p w14:paraId="08B559BE" w14:textId="742D217A" w:rsidR="001D52E2" w:rsidRPr="001220A4" w:rsidRDefault="001D52E2" w:rsidP="0054535F">
      <w:pPr>
        <w:pStyle w:val="NormalWeb"/>
        <w:widowControl/>
        <w:numPr>
          <w:ilvl w:val="2"/>
          <w:numId w:val="31"/>
        </w:numPr>
        <w:spacing w:before="0" w:beforeAutospacing="0" w:after="0" w:afterAutospacing="0"/>
        <w:ind w:left="0" w:right="4" w:firstLine="0"/>
        <w:contextualSpacing/>
        <w:rPr>
          <w:rFonts w:asciiTheme="minorHAnsi" w:hAnsiTheme="minorHAnsi" w:cstheme="minorHAnsi"/>
          <w:color w:val="auto"/>
        </w:rPr>
      </w:pPr>
      <w:r w:rsidRPr="001220A4">
        <w:rPr>
          <w:rFonts w:asciiTheme="minorHAnsi" w:hAnsiTheme="minorHAnsi" w:cstheme="minorHAnsi"/>
          <w:color w:val="auto"/>
        </w:rPr>
        <w:t xml:space="preserve">Generate the liver spheroids combining </w:t>
      </w:r>
      <w:proofErr w:type="spellStart"/>
      <w:r w:rsidRPr="001220A4">
        <w:rPr>
          <w:rFonts w:asciiTheme="minorHAnsi" w:hAnsiTheme="minorHAnsi" w:cstheme="minorHAnsi"/>
          <w:color w:val="auto"/>
        </w:rPr>
        <w:t>HepaRG</w:t>
      </w:r>
      <w:proofErr w:type="spellEnd"/>
      <w:r w:rsidRPr="001220A4">
        <w:rPr>
          <w:rFonts w:asciiTheme="minorHAnsi" w:hAnsiTheme="minorHAnsi" w:cstheme="minorHAnsi"/>
          <w:color w:val="auto"/>
        </w:rPr>
        <w:t xml:space="preserve"> and </w:t>
      </w:r>
      <w:proofErr w:type="spellStart"/>
      <w:r w:rsidRPr="001220A4">
        <w:rPr>
          <w:rFonts w:asciiTheme="minorHAnsi" w:hAnsiTheme="minorHAnsi" w:cstheme="minorHAnsi"/>
          <w:color w:val="auto"/>
        </w:rPr>
        <w:t>HHSTeC</w:t>
      </w:r>
      <w:proofErr w:type="spellEnd"/>
      <w:r w:rsidRPr="001220A4">
        <w:rPr>
          <w:rFonts w:asciiTheme="minorHAnsi" w:hAnsiTheme="minorHAnsi" w:cstheme="minorHAnsi"/>
          <w:color w:val="auto"/>
        </w:rPr>
        <w:t xml:space="preserve"> cells at a ratio of 24:1, respectively, in Williams E</w:t>
      </w:r>
      <w:r w:rsidR="00F44550" w:rsidRPr="001220A4">
        <w:rPr>
          <w:rFonts w:asciiTheme="minorHAnsi" w:hAnsiTheme="minorHAnsi" w:cstheme="minorHAnsi"/>
          <w:color w:val="auto"/>
        </w:rPr>
        <w:t xml:space="preserve"> S</w:t>
      </w:r>
      <w:r w:rsidRPr="001220A4">
        <w:rPr>
          <w:rFonts w:asciiTheme="minorHAnsi" w:hAnsiTheme="minorHAnsi" w:cstheme="minorHAnsi"/>
          <w:color w:val="auto"/>
        </w:rPr>
        <w:t xml:space="preserve"> medium</w:t>
      </w:r>
      <w:r w:rsidRPr="001220A4">
        <w:rPr>
          <w:rFonts w:asciiTheme="minorHAnsi" w:hAnsiTheme="minorHAnsi" w:cstheme="minorHAnsi"/>
          <w:color w:val="auto"/>
        </w:rPr>
        <w:fldChar w:fldCharType="begin" w:fldLock="1"/>
      </w:r>
      <w:r w:rsidR="006766D3" w:rsidRPr="001220A4">
        <w:rPr>
          <w:rFonts w:asciiTheme="minorHAnsi" w:hAnsiTheme="minorHAnsi" w:cstheme="minorHAnsi"/>
          <w:color w:val="auto"/>
        </w:rPr>
        <w:instrText>ADDIN CSL_CITATION {"citationItems":[{"id":"ITEM-1","itemData":{"DOI":"10.1016/j.ejpb.2015.03.002","ISBN":"1873-3441 (Electronic)\\r0939-6411 (Linking)","ISSN":"18733441","PMID":"25857839","abstract":"Systemic repeated dose safety assessment and systemic efficacy evaluation of substances are currently carried out on laboratory animals and in humans due to the lack of predictive alternatives. Relevant international regulations, such as OECD and ICH guidelines, demand long-term testing and oral, dermal, inhalation, and systemic exposure routes for such evaluations. So-called \"human-on-a-chip\" concepts are aiming to replace respective animals and humans in substance evaluation with miniaturized functional human organisms. The major technical hurdle toward success in this field is the life-like combination of human barrier organ models, such as intestine, lung or skin, with parenchymal organ equivalents, such as liver, at the smallest biologically acceptable scale. Here, we report on a reproducible homeostatic long-term co-culture of human liver equivalents with either a reconstructed human intestinal barrier model or a human skin biopsy applying a microphysiological system. We used a multi-organ chip (MOC) platform, which provides pulsatile fluid flow within physiological ranges at low media-to-tissue ratios. The MOC supports submerse cultivation of an intact intestinal barrier model and an air-liquid interface for the skin model during their co-culture with the liver equivalents respectively at1/100.000the scale of their human counterparts in vivo. To increase the degree of organismal emulation, microfluidic channels of the liver-skin co-culture could be successfully covered with human endothelial cells, thus mimicking human vasculature, for the first time. Finally, exposure routes emulating oral and systemic administration in humans have been qualified by applying a repeated dose administration of a model substance - troglitazone - to the chip-based co-cultures.","author":[{"dropping-particle":"","family":"Maschmeyer","given":"Ilka","non-dropping-particle":"","parse-names":false,"suffix":""},{"dropping-particle":"","family":"Hasenberg","given":"Tobias","non-dropping-particle":"","parse-names":false,"suffix":""},{"dropping-particle":"","family":"Jaenicke","given":"Annika","non-dropping-particle":"","parse-names":false,"suffix":""},{"dropping-particle":"","family":"Lindner","given":"Marcus","non-dropping-particle":"","parse-names":false,"suffix":""},{"dropping-particle":"","family":"Lorenz","given":"Alexandra Katharina","non-dropping-particle":"","parse-names":false,"suffix":""},{"dropping-particle":"","family":"Zech","given":"Julie","non-dropping-particle":"","parse-names":false,"suffix":""},{"dropping-particle":"","family":"Garbe","given":"Leif Alexander","non-dropping-particle":"","parse-names":false,"suffix":""},{"dropping-particle":"","family":"Sonntag","given":"Frank","non-dropping-particle":"","parse-names":false,"suffix":""},{"dropping-particle":"","family":"Hayden","given":"Patrick","non-dropping-particle":"","parse-names":false,"suffix":""},{"dropping-particle":"","family":"Ayehunie","given":"Seyoum","non-dropping-particle":"","parse-names":false,"suffix":""},{"dropping-particle":"","family":"Lauster","given":"Roland","non-dropping-particle":"","parse-names":false,"suffix":""},{"dropping-particle":"","family":"Marx","given":"Uwe","non-dropping-particle":"","parse-names":false,"suffix":""},{"dropping-particle":"","family":"Materne","given":"Eva Maria","non-dropping-particle":"","parse-names":false,"suffix":""}],"container-title":"European Journal of Pharmaceutics and Biopharmaceutics","id":"ITEM-1","issued":{"date-parts":[["2015"]]},"page":"77-87","title":"Chip-based human liver-intestine and liver-skin co-cultures - A first step toward systemic repeated dose substance testing in vitro","type":"article-journal","volume":"95"},"uris":["http://www.mendeley.com/documents/?uuid=60c04144-a2e4-3d24-afb0-d17d03dd421c"]}],"mendeley":{"formattedCitation":"&lt;sup&gt;16&lt;/sup&gt;","plainTextFormattedCitation":"16","previouslyFormattedCitation":"&lt;sup&gt;16&lt;/sup&gt;"},"properties":{"noteIndex":0},"schema":"https://github.com/citation-style-language/schema/raw/master/csl-citation.json"}</w:instrText>
      </w:r>
      <w:r w:rsidRPr="001220A4">
        <w:rPr>
          <w:rFonts w:asciiTheme="minorHAnsi" w:hAnsiTheme="minorHAnsi" w:cstheme="minorHAnsi"/>
          <w:color w:val="auto"/>
        </w:rPr>
        <w:fldChar w:fldCharType="separate"/>
      </w:r>
      <w:r w:rsidR="0077280B" w:rsidRPr="001220A4">
        <w:rPr>
          <w:rFonts w:asciiTheme="minorHAnsi" w:hAnsiTheme="minorHAnsi" w:cstheme="minorHAnsi"/>
          <w:noProof/>
          <w:color w:val="auto"/>
          <w:vertAlign w:val="superscript"/>
        </w:rPr>
        <w:t>16</w:t>
      </w:r>
      <w:r w:rsidRPr="001220A4">
        <w:rPr>
          <w:rFonts w:asciiTheme="minorHAnsi" w:hAnsiTheme="minorHAnsi" w:cstheme="minorHAnsi"/>
          <w:color w:val="auto"/>
        </w:rPr>
        <w:fldChar w:fldCharType="end"/>
      </w:r>
      <w:r w:rsidRPr="001220A4">
        <w:rPr>
          <w:rFonts w:asciiTheme="minorHAnsi" w:hAnsiTheme="minorHAnsi" w:cstheme="minorHAnsi"/>
          <w:color w:val="auto"/>
        </w:rPr>
        <w:t>. Add 4</w:t>
      </w:r>
      <w:r w:rsidR="0076459C">
        <w:rPr>
          <w:rFonts w:asciiTheme="minorHAnsi" w:hAnsiTheme="minorHAnsi" w:cstheme="minorHAnsi"/>
          <w:color w:val="auto"/>
        </w:rPr>
        <w:t>.</w:t>
      </w:r>
      <w:r w:rsidRPr="001220A4">
        <w:rPr>
          <w:rFonts w:asciiTheme="minorHAnsi" w:hAnsiTheme="minorHAnsi" w:cstheme="minorHAnsi"/>
          <w:color w:val="auto"/>
        </w:rPr>
        <w:t>8</w:t>
      </w:r>
      <w:r w:rsidR="0076459C">
        <w:rPr>
          <w:rFonts w:asciiTheme="minorHAnsi" w:hAnsiTheme="minorHAnsi" w:cstheme="minorHAnsi"/>
          <w:color w:val="auto"/>
        </w:rPr>
        <w:t xml:space="preserve"> </w:t>
      </w:r>
      <w:r w:rsidRPr="001220A4">
        <w:rPr>
          <w:rFonts w:asciiTheme="minorHAnsi" w:hAnsiTheme="minorHAnsi" w:cstheme="minorHAnsi"/>
          <w:color w:val="auto"/>
        </w:rPr>
        <w:t>x</w:t>
      </w:r>
      <w:r w:rsidR="0076459C">
        <w:rPr>
          <w:rFonts w:asciiTheme="minorHAnsi" w:hAnsiTheme="minorHAnsi" w:cstheme="minorHAnsi"/>
          <w:color w:val="auto"/>
        </w:rPr>
        <w:t xml:space="preserve"> </w:t>
      </w:r>
      <w:r w:rsidRPr="001220A4">
        <w:rPr>
          <w:rFonts w:asciiTheme="minorHAnsi" w:hAnsiTheme="minorHAnsi" w:cstheme="minorHAnsi"/>
          <w:color w:val="auto"/>
        </w:rPr>
        <w:t>10</w:t>
      </w:r>
      <w:r w:rsidRPr="001220A4">
        <w:rPr>
          <w:rFonts w:asciiTheme="minorHAnsi" w:hAnsiTheme="minorHAnsi" w:cstheme="minorHAnsi"/>
          <w:color w:val="auto"/>
          <w:vertAlign w:val="superscript"/>
        </w:rPr>
        <w:t>4</w:t>
      </w:r>
      <w:r w:rsidRPr="001220A4">
        <w:rPr>
          <w:rFonts w:asciiTheme="minorHAnsi" w:hAnsiTheme="minorHAnsi" w:cstheme="minorHAnsi"/>
          <w:color w:val="auto"/>
        </w:rPr>
        <w:t xml:space="preserve"> differentiated </w:t>
      </w:r>
      <w:proofErr w:type="spellStart"/>
      <w:r w:rsidRPr="001220A4">
        <w:rPr>
          <w:rFonts w:asciiTheme="minorHAnsi" w:hAnsiTheme="minorHAnsi" w:cstheme="minorHAnsi"/>
          <w:color w:val="auto"/>
        </w:rPr>
        <w:t>HepaRG</w:t>
      </w:r>
      <w:proofErr w:type="spellEnd"/>
      <w:r w:rsidRPr="001220A4">
        <w:rPr>
          <w:rFonts w:asciiTheme="minorHAnsi" w:hAnsiTheme="minorHAnsi" w:cstheme="minorHAnsi"/>
          <w:color w:val="auto"/>
        </w:rPr>
        <w:t xml:space="preserve"> and 0.2</w:t>
      </w:r>
      <w:r w:rsidR="0076459C">
        <w:rPr>
          <w:rFonts w:asciiTheme="minorHAnsi" w:hAnsiTheme="minorHAnsi" w:cstheme="minorHAnsi"/>
          <w:color w:val="auto"/>
        </w:rPr>
        <w:t xml:space="preserve"> </w:t>
      </w:r>
      <w:r w:rsidRPr="001220A4">
        <w:rPr>
          <w:rFonts w:asciiTheme="minorHAnsi" w:hAnsiTheme="minorHAnsi" w:cstheme="minorHAnsi"/>
          <w:color w:val="auto"/>
        </w:rPr>
        <w:t>x</w:t>
      </w:r>
      <w:r w:rsidR="0076459C">
        <w:rPr>
          <w:rFonts w:asciiTheme="minorHAnsi" w:hAnsiTheme="minorHAnsi" w:cstheme="minorHAnsi"/>
          <w:color w:val="auto"/>
        </w:rPr>
        <w:t xml:space="preserve"> </w:t>
      </w:r>
      <w:r w:rsidRPr="001220A4">
        <w:rPr>
          <w:rFonts w:asciiTheme="minorHAnsi" w:hAnsiTheme="minorHAnsi" w:cstheme="minorHAnsi"/>
          <w:color w:val="auto"/>
        </w:rPr>
        <w:t>10</w:t>
      </w:r>
      <w:r w:rsidRPr="001220A4">
        <w:rPr>
          <w:rFonts w:asciiTheme="minorHAnsi" w:hAnsiTheme="minorHAnsi" w:cstheme="minorHAnsi"/>
          <w:color w:val="auto"/>
          <w:vertAlign w:val="superscript"/>
        </w:rPr>
        <w:t>4</w:t>
      </w:r>
      <w:r w:rsidRPr="001220A4">
        <w:rPr>
          <w:rFonts w:asciiTheme="minorHAnsi" w:hAnsiTheme="minorHAnsi" w:cstheme="minorHAnsi"/>
          <w:color w:val="auto"/>
        </w:rPr>
        <w:t xml:space="preserve"> </w:t>
      </w:r>
      <w:proofErr w:type="spellStart"/>
      <w:r w:rsidRPr="001220A4">
        <w:rPr>
          <w:rFonts w:asciiTheme="minorHAnsi" w:hAnsiTheme="minorHAnsi" w:cstheme="minorHAnsi"/>
          <w:color w:val="auto"/>
        </w:rPr>
        <w:t>HHSTeC</w:t>
      </w:r>
      <w:proofErr w:type="spellEnd"/>
      <w:r w:rsidRPr="001220A4">
        <w:rPr>
          <w:rFonts w:asciiTheme="minorHAnsi" w:hAnsiTheme="minorHAnsi" w:cstheme="minorHAnsi"/>
          <w:color w:val="auto"/>
        </w:rPr>
        <w:t xml:space="preserve"> to compose each liver spheroid of 50,000 cells, in a volume of 80 µL. Adjust cell numbers and volume according to the desired number of spheroids. Mix carefully.</w:t>
      </w:r>
    </w:p>
    <w:p w14:paraId="30407E6E" w14:textId="77777777" w:rsidR="001D52E2" w:rsidRPr="001220A4" w:rsidRDefault="001D52E2" w:rsidP="0054535F">
      <w:pPr>
        <w:pStyle w:val="ListParagraph"/>
        <w:ind w:left="0" w:right="4"/>
        <w:rPr>
          <w:rFonts w:asciiTheme="minorHAnsi" w:hAnsiTheme="minorHAnsi" w:cstheme="minorHAnsi"/>
          <w:color w:val="auto"/>
        </w:rPr>
      </w:pPr>
    </w:p>
    <w:p w14:paraId="353F027A" w14:textId="4F45F6A1" w:rsidR="001D52E2" w:rsidRDefault="001D52E2" w:rsidP="0054535F">
      <w:pPr>
        <w:pStyle w:val="NormalWeb"/>
        <w:numPr>
          <w:ilvl w:val="2"/>
          <w:numId w:val="31"/>
        </w:numPr>
        <w:spacing w:before="0" w:beforeAutospacing="0" w:after="0" w:afterAutospacing="0"/>
        <w:ind w:left="0" w:right="4" w:firstLine="0"/>
        <w:contextualSpacing/>
        <w:rPr>
          <w:rFonts w:asciiTheme="minorHAnsi" w:hAnsiTheme="minorHAnsi" w:cstheme="minorHAnsi"/>
          <w:color w:val="auto"/>
        </w:rPr>
      </w:pPr>
      <w:r w:rsidRPr="001220A4">
        <w:rPr>
          <w:rFonts w:asciiTheme="minorHAnsi" w:hAnsiTheme="minorHAnsi" w:cstheme="minorHAnsi"/>
          <w:color w:val="auto"/>
        </w:rPr>
        <w:t xml:space="preserve">Using a multichannel pipette, dispense 80 µL of the combined cell pool in each well of 384 </w:t>
      </w:r>
      <w:r w:rsidRPr="001220A4">
        <w:rPr>
          <w:rFonts w:asciiTheme="minorHAnsi" w:hAnsiTheme="minorHAnsi" w:cstheme="minorHAnsi"/>
          <w:color w:val="auto"/>
        </w:rPr>
        <w:lastRenderedPageBreak/>
        <w:t xml:space="preserve">spheroid microplates, which has round well-bottom geometry. </w:t>
      </w:r>
    </w:p>
    <w:p w14:paraId="4A136C68" w14:textId="77777777" w:rsidR="0076459C" w:rsidRPr="001220A4" w:rsidRDefault="0076459C" w:rsidP="0054535F">
      <w:pPr>
        <w:pStyle w:val="NormalWeb"/>
        <w:spacing w:before="0" w:beforeAutospacing="0" w:after="0" w:afterAutospacing="0"/>
        <w:ind w:right="4"/>
        <w:contextualSpacing/>
        <w:rPr>
          <w:rFonts w:asciiTheme="minorHAnsi" w:hAnsiTheme="minorHAnsi" w:cstheme="minorHAnsi"/>
          <w:color w:val="auto"/>
        </w:rPr>
      </w:pPr>
    </w:p>
    <w:p w14:paraId="4D4EC4DB" w14:textId="756FEF11" w:rsidR="001D52E2" w:rsidRPr="001220A4" w:rsidRDefault="001D52E2" w:rsidP="0054535F">
      <w:pPr>
        <w:ind w:right="4"/>
        <w:contextualSpacing/>
        <w:rPr>
          <w:rFonts w:asciiTheme="minorHAnsi" w:hAnsiTheme="minorHAnsi" w:cstheme="minorHAnsi"/>
          <w:color w:val="auto"/>
        </w:rPr>
      </w:pPr>
      <w:r w:rsidRPr="001220A4">
        <w:rPr>
          <w:rFonts w:asciiTheme="minorHAnsi" w:hAnsiTheme="minorHAnsi" w:cstheme="minorHAnsi"/>
          <w:color w:val="auto"/>
        </w:rPr>
        <w:t>NOTE: After four days, spheroids of about 300 µm are formed.</w:t>
      </w:r>
    </w:p>
    <w:p w14:paraId="62334D3E" w14:textId="77777777" w:rsidR="00A36009" w:rsidRPr="001220A4" w:rsidRDefault="00A36009" w:rsidP="0054535F">
      <w:pPr>
        <w:ind w:right="4"/>
        <w:contextualSpacing/>
        <w:rPr>
          <w:rFonts w:asciiTheme="minorHAnsi" w:hAnsiTheme="minorHAnsi" w:cstheme="minorHAnsi"/>
          <w:color w:val="auto"/>
        </w:rPr>
      </w:pPr>
    </w:p>
    <w:p w14:paraId="59560A11" w14:textId="7309D825" w:rsidR="001D52E2" w:rsidRDefault="001D52E2" w:rsidP="0054535F">
      <w:pPr>
        <w:pStyle w:val="NormalWeb"/>
        <w:numPr>
          <w:ilvl w:val="2"/>
          <w:numId w:val="31"/>
        </w:numPr>
        <w:spacing w:before="0" w:beforeAutospacing="0" w:after="0" w:afterAutospacing="0"/>
        <w:ind w:left="0" w:right="4" w:firstLine="0"/>
        <w:contextualSpacing/>
        <w:rPr>
          <w:rFonts w:asciiTheme="minorHAnsi" w:hAnsiTheme="minorHAnsi" w:cstheme="minorHAnsi"/>
          <w:color w:val="auto"/>
        </w:rPr>
      </w:pPr>
      <w:r w:rsidRPr="001220A4">
        <w:rPr>
          <w:rFonts w:asciiTheme="minorHAnsi" w:hAnsiTheme="minorHAnsi" w:cstheme="minorHAnsi"/>
          <w:color w:val="auto"/>
        </w:rPr>
        <w:t>Using wide-bore tips, transfer the liver spheroids to ultra-low-attachment 6 well plates, which allows the required “</w:t>
      </w:r>
      <w:r w:rsidRPr="001220A4">
        <w:rPr>
          <w:rFonts w:asciiTheme="minorHAnsi" w:hAnsiTheme="minorHAnsi" w:cstheme="minorHAnsi"/>
          <w:noProof/>
          <w:color w:val="auto"/>
        </w:rPr>
        <w:t>one-by-one</w:t>
      </w:r>
      <w:r w:rsidRPr="001220A4">
        <w:rPr>
          <w:rFonts w:asciiTheme="minorHAnsi" w:hAnsiTheme="minorHAnsi" w:cstheme="minorHAnsi"/>
          <w:color w:val="auto"/>
        </w:rPr>
        <w:t>” counting.</w:t>
      </w:r>
    </w:p>
    <w:p w14:paraId="5BB5F8B4" w14:textId="77777777" w:rsidR="0076459C" w:rsidRPr="001220A4" w:rsidRDefault="0076459C" w:rsidP="0054535F">
      <w:pPr>
        <w:pStyle w:val="NormalWeb"/>
        <w:spacing w:before="0" w:beforeAutospacing="0" w:after="0" w:afterAutospacing="0"/>
        <w:ind w:right="4"/>
        <w:contextualSpacing/>
        <w:rPr>
          <w:rFonts w:asciiTheme="minorHAnsi" w:hAnsiTheme="minorHAnsi" w:cstheme="minorHAnsi"/>
          <w:color w:val="auto"/>
        </w:rPr>
      </w:pPr>
    </w:p>
    <w:p w14:paraId="54CD2157" w14:textId="7D4D3AC6" w:rsidR="001D52E2" w:rsidRPr="001220A4" w:rsidRDefault="001D52E2" w:rsidP="0054535F">
      <w:pPr>
        <w:pStyle w:val="NormalWeb"/>
        <w:numPr>
          <w:ilvl w:val="0"/>
          <w:numId w:val="31"/>
        </w:numPr>
        <w:spacing w:before="0" w:beforeAutospacing="0" w:after="0" w:afterAutospacing="0"/>
        <w:ind w:left="0" w:right="4" w:firstLine="0"/>
        <w:contextualSpacing/>
        <w:rPr>
          <w:rFonts w:asciiTheme="minorHAnsi" w:hAnsiTheme="minorHAnsi" w:cstheme="minorHAnsi"/>
          <w:b/>
        </w:rPr>
      </w:pPr>
      <w:r w:rsidRPr="001220A4">
        <w:rPr>
          <w:rFonts w:asciiTheme="minorHAnsi" w:hAnsiTheme="minorHAnsi" w:cstheme="minorHAnsi"/>
          <w:b/>
        </w:rPr>
        <w:t xml:space="preserve"> Integration of </w:t>
      </w:r>
      <w:r w:rsidR="00182D70" w:rsidRPr="001220A4">
        <w:rPr>
          <w:rFonts w:asciiTheme="minorHAnsi" w:hAnsiTheme="minorHAnsi" w:cstheme="minorHAnsi"/>
          <w:b/>
        </w:rPr>
        <w:t xml:space="preserve">intestine and liver </w:t>
      </w:r>
      <w:r w:rsidRPr="001220A4">
        <w:rPr>
          <w:rFonts w:asciiTheme="minorHAnsi" w:hAnsiTheme="minorHAnsi" w:cstheme="minorHAnsi"/>
          <w:b/>
        </w:rPr>
        <w:t xml:space="preserve">equivalents in a 2-OC MPS </w:t>
      </w:r>
    </w:p>
    <w:p w14:paraId="5C84E769" w14:textId="77777777" w:rsidR="001D52E2" w:rsidRPr="001220A4" w:rsidRDefault="001D52E2" w:rsidP="0054535F">
      <w:pPr>
        <w:pStyle w:val="NormalWeb"/>
        <w:spacing w:before="0" w:beforeAutospacing="0" w:after="0" w:afterAutospacing="0"/>
        <w:ind w:right="4"/>
        <w:contextualSpacing/>
        <w:rPr>
          <w:rFonts w:asciiTheme="minorHAnsi" w:hAnsiTheme="minorHAnsi" w:cstheme="minorHAnsi"/>
          <w:b/>
        </w:rPr>
      </w:pPr>
    </w:p>
    <w:p w14:paraId="71AE9B0E" w14:textId="77777777" w:rsidR="001D52E2" w:rsidRPr="001220A4" w:rsidRDefault="001D52E2" w:rsidP="0054535F">
      <w:pPr>
        <w:pStyle w:val="NormalWeb"/>
        <w:numPr>
          <w:ilvl w:val="1"/>
          <w:numId w:val="31"/>
        </w:numPr>
        <w:spacing w:before="0" w:beforeAutospacing="0" w:after="0" w:afterAutospacing="0"/>
        <w:ind w:left="0" w:right="4" w:firstLine="0"/>
        <w:contextualSpacing/>
        <w:rPr>
          <w:rFonts w:asciiTheme="minorHAnsi" w:hAnsiTheme="minorHAnsi" w:cstheme="minorHAnsi"/>
          <w:b/>
        </w:rPr>
      </w:pPr>
      <w:r w:rsidRPr="001220A4">
        <w:rPr>
          <w:rFonts w:asciiTheme="minorHAnsi" w:hAnsiTheme="minorHAnsi" w:cstheme="minorHAnsi"/>
          <w:b/>
        </w:rPr>
        <w:t>Intestine 2-OC MPS assembly for absorption assay</w:t>
      </w:r>
    </w:p>
    <w:p w14:paraId="527F6836" w14:textId="77777777" w:rsidR="001D52E2" w:rsidRPr="001220A4" w:rsidRDefault="001D52E2" w:rsidP="0054535F">
      <w:pPr>
        <w:pStyle w:val="NormalWeb"/>
        <w:spacing w:before="0" w:beforeAutospacing="0" w:after="0" w:afterAutospacing="0"/>
        <w:ind w:right="4"/>
        <w:contextualSpacing/>
        <w:rPr>
          <w:rFonts w:asciiTheme="minorHAnsi" w:hAnsiTheme="minorHAnsi" w:cstheme="minorHAnsi"/>
          <w:b/>
        </w:rPr>
      </w:pPr>
    </w:p>
    <w:p w14:paraId="426298C6" w14:textId="414F293A" w:rsidR="001D52E2" w:rsidRDefault="001D52E2" w:rsidP="0054535F">
      <w:pPr>
        <w:pStyle w:val="NormalWeb"/>
        <w:numPr>
          <w:ilvl w:val="2"/>
          <w:numId w:val="31"/>
        </w:numPr>
        <w:spacing w:before="0" w:beforeAutospacing="0" w:after="0" w:afterAutospacing="0"/>
        <w:ind w:left="0" w:right="4" w:firstLine="0"/>
        <w:contextualSpacing/>
        <w:rPr>
          <w:rFonts w:asciiTheme="minorHAnsi" w:hAnsiTheme="minorHAnsi" w:cstheme="minorHAnsi"/>
          <w:color w:val="auto"/>
        </w:rPr>
      </w:pPr>
      <w:r w:rsidRPr="001220A4">
        <w:rPr>
          <w:rFonts w:asciiTheme="minorHAnsi" w:hAnsiTheme="minorHAnsi" w:cstheme="minorHAnsi"/>
          <w:color w:val="auto"/>
        </w:rPr>
        <w:t>Pipette 500 µL of DMEM</w:t>
      </w:r>
      <w:r w:rsidR="00F44550" w:rsidRPr="001220A4">
        <w:rPr>
          <w:rFonts w:asciiTheme="minorHAnsi" w:hAnsiTheme="minorHAnsi" w:cstheme="minorHAnsi"/>
          <w:color w:val="auto"/>
        </w:rPr>
        <w:t xml:space="preserve"> S</w:t>
      </w:r>
      <w:r w:rsidRPr="001220A4">
        <w:rPr>
          <w:rFonts w:asciiTheme="minorHAnsi" w:hAnsiTheme="minorHAnsi" w:cstheme="minorHAnsi"/>
          <w:color w:val="auto"/>
        </w:rPr>
        <w:t xml:space="preserve"> into the larger compartment of 2-OC and 300 µL in the smaller one.</w:t>
      </w:r>
      <w:r w:rsidR="00EA1B43" w:rsidRPr="001220A4">
        <w:rPr>
          <w:rFonts w:asciiTheme="minorHAnsi" w:hAnsiTheme="minorHAnsi" w:cstheme="minorHAnsi"/>
          <w:color w:val="auto"/>
        </w:rPr>
        <w:t xml:space="preserve"> </w:t>
      </w:r>
      <w:r w:rsidRPr="001220A4">
        <w:rPr>
          <w:rFonts w:asciiTheme="minorHAnsi" w:hAnsiTheme="minorHAnsi" w:cstheme="minorHAnsi"/>
          <w:color w:val="auto"/>
        </w:rPr>
        <w:t>Aspirate the basolateral and apical media of each intestinal barrier equivalent in the 24 well plates. Using sterile forceps, integrate one insert per 2-OC circuit, specifically into the larger compartment. Apply 200 µL of the intestine medium at the apical side.</w:t>
      </w:r>
    </w:p>
    <w:p w14:paraId="14ED5C5B" w14:textId="77777777" w:rsidR="00182D70" w:rsidRPr="001220A4" w:rsidRDefault="00182D70" w:rsidP="0054535F">
      <w:pPr>
        <w:pStyle w:val="NormalWeb"/>
        <w:spacing w:before="0" w:beforeAutospacing="0" w:after="0" w:afterAutospacing="0"/>
        <w:ind w:right="4"/>
        <w:contextualSpacing/>
        <w:rPr>
          <w:rFonts w:asciiTheme="minorHAnsi" w:hAnsiTheme="minorHAnsi" w:cstheme="minorHAnsi"/>
          <w:color w:val="auto"/>
        </w:rPr>
      </w:pPr>
    </w:p>
    <w:p w14:paraId="5B8BC1F7" w14:textId="77777777" w:rsidR="001D52E2" w:rsidRPr="001220A4" w:rsidRDefault="001D52E2" w:rsidP="0054535F">
      <w:pPr>
        <w:pStyle w:val="NormalWeb"/>
        <w:spacing w:before="0" w:beforeAutospacing="0" w:after="0" w:afterAutospacing="0"/>
        <w:ind w:right="4"/>
        <w:contextualSpacing/>
        <w:rPr>
          <w:rFonts w:asciiTheme="minorHAnsi" w:hAnsiTheme="minorHAnsi" w:cstheme="minorHAnsi"/>
          <w:color w:val="auto"/>
        </w:rPr>
      </w:pPr>
      <w:r w:rsidRPr="001220A4">
        <w:rPr>
          <w:rFonts w:asciiTheme="minorHAnsi" w:hAnsiTheme="minorHAnsi" w:cstheme="minorHAnsi"/>
          <w:color w:val="auto"/>
        </w:rPr>
        <w:t>NOTE: Avoid the formation of bubbles when integrating the organoids into the MPS.</w:t>
      </w:r>
    </w:p>
    <w:p w14:paraId="1B9CF900" w14:textId="77777777" w:rsidR="001D52E2" w:rsidRPr="001220A4" w:rsidRDefault="001D52E2" w:rsidP="0054535F">
      <w:pPr>
        <w:ind w:right="4"/>
        <w:contextualSpacing/>
        <w:rPr>
          <w:rFonts w:asciiTheme="minorHAnsi" w:hAnsiTheme="minorHAnsi" w:cstheme="minorHAnsi"/>
          <w:color w:val="auto"/>
        </w:rPr>
      </w:pPr>
    </w:p>
    <w:p w14:paraId="1D139C32" w14:textId="4010FE8E" w:rsidR="001D52E2" w:rsidRPr="001220A4" w:rsidRDefault="001D52E2" w:rsidP="0054535F">
      <w:pPr>
        <w:pStyle w:val="ListParagraph"/>
        <w:numPr>
          <w:ilvl w:val="2"/>
          <w:numId w:val="31"/>
        </w:numPr>
        <w:ind w:left="0" w:right="4" w:firstLine="0"/>
        <w:rPr>
          <w:rFonts w:asciiTheme="minorHAnsi" w:hAnsiTheme="minorHAnsi" w:cstheme="minorHAnsi"/>
          <w:color w:val="auto"/>
        </w:rPr>
      </w:pPr>
      <w:r w:rsidRPr="001220A4">
        <w:rPr>
          <w:rFonts w:asciiTheme="minorHAnsi" w:hAnsiTheme="minorHAnsi" w:cstheme="minorHAnsi"/>
          <w:color w:val="auto"/>
        </w:rPr>
        <w:t xml:space="preserve">Connect the MPS to the control unit, which must be connected to a pressurized air supply. Set the parameters: </w:t>
      </w:r>
      <w:r w:rsidR="00182D70">
        <w:rPr>
          <w:rFonts w:asciiTheme="minorHAnsi" w:hAnsiTheme="minorHAnsi" w:cstheme="minorHAnsi"/>
          <w:color w:val="auto"/>
        </w:rPr>
        <w:t xml:space="preserve">a </w:t>
      </w:r>
      <w:r w:rsidRPr="001220A4">
        <w:rPr>
          <w:rFonts w:asciiTheme="minorHAnsi" w:hAnsiTheme="minorHAnsi" w:cstheme="minorHAnsi"/>
          <w:color w:val="auto"/>
        </w:rPr>
        <w:t xml:space="preserve">pressure of, approximately, ±300 bar and </w:t>
      </w:r>
      <w:r w:rsidR="00182D70">
        <w:rPr>
          <w:rFonts w:asciiTheme="minorHAnsi" w:hAnsiTheme="minorHAnsi" w:cstheme="minorHAnsi"/>
          <w:color w:val="auto"/>
        </w:rPr>
        <w:t xml:space="preserve">a </w:t>
      </w:r>
      <w:r w:rsidRPr="001220A4">
        <w:rPr>
          <w:rFonts w:asciiTheme="minorHAnsi" w:hAnsiTheme="minorHAnsi" w:cstheme="minorHAnsi"/>
          <w:color w:val="auto"/>
        </w:rPr>
        <w:t>pumping frequency of 0</w:t>
      </w:r>
      <w:r w:rsidR="00182D70">
        <w:rPr>
          <w:rFonts w:asciiTheme="minorHAnsi" w:hAnsiTheme="minorHAnsi" w:cstheme="minorHAnsi"/>
          <w:color w:val="auto"/>
        </w:rPr>
        <w:t>.</w:t>
      </w:r>
      <w:r w:rsidRPr="001220A4">
        <w:rPr>
          <w:rFonts w:asciiTheme="minorHAnsi" w:hAnsiTheme="minorHAnsi" w:cstheme="minorHAnsi"/>
          <w:color w:val="auto"/>
        </w:rPr>
        <w:t>3 Hz. Start the flow</w:t>
      </w:r>
      <w:r w:rsidR="008173B3">
        <w:rPr>
          <w:rFonts w:asciiTheme="minorHAnsi" w:hAnsiTheme="minorHAnsi" w:cstheme="minorHAnsi"/>
          <w:color w:val="auto"/>
        </w:rPr>
        <w:t xml:space="preserve"> </w:t>
      </w:r>
      <w:r w:rsidRPr="001220A4">
        <w:rPr>
          <w:rFonts w:asciiTheme="minorHAnsi" w:hAnsiTheme="minorHAnsi" w:cstheme="minorHAnsi"/>
          <w:color w:val="auto"/>
        </w:rPr>
        <w:t xml:space="preserve">24 h before the test substance administration. </w:t>
      </w:r>
      <w:r w:rsidR="00182D70">
        <w:rPr>
          <w:rFonts w:asciiTheme="minorHAnsi" w:hAnsiTheme="minorHAnsi" w:cstheme="minorHAnsi"/>
          <w:color w:val="auto"/>
        </w:rPr>
        <w:t>The n</w:t>
      </w:r>
      <w:r w:rsidRPr="001220A4">
        <w:rPr>
          <w:rFonts w:asciiTheme="minorHAnsi" w:hAnsiTheme="minorHAnsi" w:cstheme="minorHAnsi"/>
          <w:color w:val="auto"/>
        </w:rPr>
        <w:t>ext day, perform the APAP treatment.</w:t>
      </w:r>
    </w:p>
    <w:p w14:paraId="145BF326" w14:textId="77777777" w:rsidR="001D52E2" w:rsidRPr="001220A4" w:rsidRDefault="001D52E2" w:rsidP="0054535F">
      <w:pPr>
        <w:pStyle w:val="NormalWeb"/>
        <w:spacing w:before="0" w:beforeAutospacing="0" w:after="0" w:afterAutospacing="0"/>
        <w:ind w:right="4"/>
        <w:contextualSpacing/>
        <w:rPr>
          <w:rFonts w:asciiTheme="minorHAnsi" w:hAnsiTheme="minorHAnsi" w:cstheme="minorHAnsi"/>
          <w:b/>
          <w:color w:val="365F91" w:themeColor="accent1" w:themeShade="BF"/>
        </w:rPr>
      </w:pPr>
    </w:p>
    <w:p w14:paraId="268BA923" w14:textId="77777777" w:rsidR="001D52E2" w:rsidRPr="001220A4" w:rsidRDefault="001D52E2" w:rsidP="0054535F">
      <w:pPr>
        <w:pStyle w:val="ListParagraph"/>
        <w:numPr>
          <w:ilvl w:val="1"/>
          <w:numId w:val="31"/>
        </w:numPr>
        <w:ind w:left="0" w:right="4" w:firstLine="0"/>
        <w:rPr>
          <w:rFonts w:asciiTheme="minorHAnsi" w:hAnsiTheme="minorHAnsi" w:cstheme="minorHAnsi"/>
          <w:b/>
        </w:rPr>
      </w:pPr>
      <w:r w:rsidRPr="001220A4">
        <w:rPr>
          <w:rFonts w:asciiTheme="minorHAnsi" w:hAnsiTheme="minorHAnsi" w:cstheme="minorHAnsi"/>
          <w:b/>
        </w:rPr>
        <w:t>Liver 2-OC MPS assembly for metabolism assay</w:t>
      </w:r>
    </w:p>
    <w:p w14:paraId="56E45D42" w14:textId="77777777" w:rsidR="001D52E2" w:rsidRPr="001220A4" w:rsidRDefault="001D52E2" w:rsidP="0054535F">
      <w:pPr>
        <w:pStyle w:val="ListParagraph"/>
        <w:ind w:left="0" w:right="4"/>
        <w:rPr>
          <w:rFonts w:asciiTheme="minorHAnsi" w:hAnsiTheme="minorHAnsi" w:cstheme="minorHAnsi"/>
          <w:b/>
        </w:rPr>
      </w:pPr>
    </w:p>
    <w:p w14:paraId="214997FC" w14:textId="1D87A74B" w:rsidR="001D52E2" w:rsidRPr="001220A4" w:rsidRDefault="001D52E2" w:rsidP="0054535F">
      <w:pPr>
        <w:pStyle w:val="ListParagraph"/>
        <w:numPr>
          <w:ilvl w:val="2"/>
          <w:numId w:val="31"/>
        </w:numPr>
        <w:ind w:left="0" w:right="4" w:firstLine="0"/>
        <w:rPr>
          <w:rFonts w:asciiTheme="minorHAnsi" w:hAnsiTheme="minorHAnsi" w:cstheme="minorHAnsi"/>
          <w:color w:val="auto"/>
        </w:rPr>
      </w:pPr>
      <w:r w:rsidRPr="001220A4">
        <w:rPr>
          <w:rFonts w:asciiTheme="minorHAnsi" w:hAnsiTheme="minorHAnsi" w:cstheme="minorHAnsi"/>
          <w:color w:val="auto"/>
        </w:rPr>
        <w:t>Pipette 650 µL of Williams E</w:t>
      </w:r>
      <w:r w:rsidR="00F44550" w:rsidRPr="001220A4">
        <w:rPr>
          <w:rFonts w:asciiTheme="minorHAnsi" w:hAnsiTheme="minorHAnsi" w:cstheme="minorHAnsi"/>
          <w:color w:val="auto"/>
        </w:rPr>
        <w:t xml:space="preserve"> S</w:t>
      </w:r>
      <w:r w:rsidRPr="001220A4">
        <w:rPr>
          <w:rFonts w:asciiTheme="minorHAnsi" w:hAnsiTheme="minorHAnsi" w:cstheme="minorHAnsi"/>
          <w:color w:val="auto"/>
        </w:rPr>
        <w:t xml:space="preserve"> into the large compartment and 350 µL into the smaller compartment, which will receive the spheroids. In the ultra-low-attachment 6 well plates, count the spheroids using wide-bore tips. Each liver equivalent is composed of twenty spheroids</w:t>
      </w:r>
      <w:r w:rsidRPr="001220A4">
        <w:rPr>
          <w:rFonts w:asciiTheme="minorHAnsi" w:hAnsiTheme="minorHAnsi" w:cstheme="minorHAnsi"/>
          <w:color w:val="auto"/>
          <w:vertAlign w:val="superscript"/>
        </w:rPr>
        <w:fldChar w:fldCharType="begin" w:fldLock="1"/>
      </w:r>
      <w:r w:rsidR="006766D3" w:rsidRPr="001220A4">
        <w:rPr>
          <w:rFonts w:asciiTheme="minorHAnsi" w:hAnsiTheme="minorHAnsi" w:cstheme="minorHAnsi"/>
          <w:color w:val="auto"/>
          <w:vertAlign w:val="superscript"/>
        </w:rPr>
        <w:instrText>ADDIN CSL_CITATION {"citationItems":[{"id":"ITEM-1","itemData":{"DOI":"10.1039/c3lc50234a","ISBN":"1473-0189 (Electronic)\\r1473-0189 (Linking)","ISSN":"1473-0197","PMID":"23648632","abstract":"Current in vitro and animal tests for drug development are failing to emulate the systemic organ complexity of the human body and, therefore, to accurately predict drug toxicity. In this study, we present a multi-organ-chip capable of maintaining 3D tissues derived from cell lines, primary cells and biopsies of various human organs. We designed a multi-organ-chip with co-cultures of human artificial liver microtissues and skin biopsies, each a (1)/100,000 of the biomass of their original human organ counterparts, and have successfully proven its long-term performance. The system supports two different culture modes: i) tissue exposed to the fluid flow, or ii) tissue shielded from the underlying fluid flow by standard Transwell® cultures. Crosstalk between the two tissues was observed in 14-day co-cultures exposed to fluid flow. Applying the same culture mode, liver microtissues showed sensitivity at different molecular levels to the toxic substance troglitazone during a 6-day exposure. Finally, an astonishingly stable long-term performance of the Transwell®-based co-cultures could be observed over a 28-day period. This mode facilitates exposure of skin at the air-liquid interface. Thus, we provide here a potential new tool for systemic substance testing.","author":[{"dropping-particle":"","family":"Wagner","given":"Ilka","non-dropping-particle":"","parse-names":false,"suffix":""},{"dropping-particle":"","family":"Materne","given":"Eva-Maria","non-dropping-particle":"","parse-names":false,"suffix":""},{"dropping-particle":"","family":"Brincker","given":"Sven","non-dropping-particle":"","parse-names":false,"suffix":""},{"dropping-particle":"","family":"Süßbier","given":"Ute","non-dropping-particle":"","parse-names":false,"suffix":""},{"dropping-particle":"","family":"Frädrich","given":"Caroline","non-dropping-particle":"","parse-names":false,"suffix":""},{"dropping-particle":"","family":"Busek","given":"Mathias","non-dropping-particle":"","parse-names":false,"suffix":""},{"dropping-particle":"","family":"Sonntag","given":"Frank","non-dropping-particle":"","parse-names":false,"suffix":""},{"dropping-particle":"","family":"Sakharov","given":"Dmitry A.","non-dropping-particle":"","parse-names":false,"suffix":""},{"dropping-particle":"V.","family":"Trushkin","given":"Evgeny","non-dropping-particle":"","parse-names":false,"suffix":""},{"dropping-particle":"","family":"Tonevitsky","given":"Alexander G.","non-dropping-particle":"","parse-names":false,"suffix":""},{"dropping-particle":"","family":"Lauster","given":"Roland","non-dropping-particle":"","parse-names":false,"suffix":""},{"dropping-particle":"","family":"Marx","given":"Uwe","non-dropping-particle":"","parse-names":false,"suffix":""}],"container-title":"Lab on a Chip","id":"ITEM-1","issue":"18","issued":{"date-parts":[["2013"]]},"page":"3538-3547","title":"A dynamic multi-organ-chip for long-term cultivation and substance testing proven by 3D human liver and skin tissue co-culture","type":"article-journal","volume":"13"},"uris":["http://www.mendeley.com/documents/?uuid=46318716-60ed-3cc5-9505-ae8395233212"]}],"mendeley":{"formattedCitation":"&lt;sup&gt;26&lt;/sup&gt;","plainTextFormattedCitation":"26","previouslyFormattedCitation":"&lt;sup&gt;26&lt;/sup&gt;"},"properties":{"noteIndex":0},"schema":"https://github.com/citation-style-language/schema/raw/master/csl-citation.json"}</w:instrText>
      </w:r>
      <w:r w:rsidRPr="001220A4">
        <w:rPr>
          <w:rFonts w:asciiTheme="minorHAnsi" w:hAnsiTheme="minorHAnsi" w:cstheme="minorHAnsi"/>
          <w:color w:val="auto"/>
          <w:vertAlign w:val="superscript"/>
        </w:rPr>
        <w:fldChar w:fldCharType="separate"/>
      </w:r>
      <w:r w:rsidR="0077280B" w:rsidRPr="001220A4">
        <w:rPr>
          <w:rFonts w:asciiTheme="minorHAnsi" w:hAnsiTheme="minorHAnsi" w:cstheme="minorHAnsi"/>
          <w:noProof/>
          <w:color w:val="auto"/>
          <w:vertAlign w:val="superscript"/>
        </w:rPr>
        <w:t>26</w:t>
      </w:r>
      <w:r w:rsidRPr="001220A4">
        <w:rPr>
          <w:rFonts w:asciiTheme="minorHAnsi" w:hAnsiTheme="minorHAnsi" w:cstheme="minorHAnsi"/>
          <w:color w:val="auto"/>
          <w:vertAlign w:val="superscript"/>
        </w:rPr>
        <w:fldChar w:fldCharType="end"/>
      </w:r>
      <w:r w:rsidRPr="001220A4">
        <w:rPr>
          <w:rFonts w:asciiTheme="minorHAnsi" w:hAnsiTheme="minorHAnsi" w:cstheme="minorHAnsi"/>
          <w:color w:val="auto"/>
        </w:rPr>
        <w:t>.</w:t>
      </w:r>
      <w:r w:rsidR="00EA1B43" w:rsidRPr="001220A4">
        <w:rPr>
          <w:rFonts w:asciiTheme="minorHAnsi" w:hAnsiTheme="minorHAnsi" w:cstheme="minorHAnsi"/>
          <w:color w:val="auto"/>
        </w:rPr>
        <w:t xml:space="preserve"> </w:t>
      </w:r>
      <w:r w:rsidRPr="001220A4">
        <w:rPr>
          <w:rFonts w:asciiTheme="minorHAnsi" w:hAnsiTheme="minorHAnsi" w:cstheme="minorHAnsi"/>
          <w:color w:val="auto"/>
        </w:rPr>
        <w:t>Integrate twenty liver equivalents per circuit, using wide-bore tips, which permits the transfer of organoids only, into the smaller compartment of a 2-OC.</w:t>
      </w:r>
    </w:p>
    <w:p w14:paraId="1F585998" w14:textId="77777777" w:rsidR="001D52E2" w:rsidRPr="001220A4" w:rsidRDefault="001D52E2" w:rsidP="0054535F">
      <w:pPr>
        <w:ind w:right="4"/>
        <w:contextualSpacing/>
        <w:rPr>
          <w:rFonts w:asciiTheme="minorHAnsi" w:hAnsiTheme="minorHAnsi" w:cstheme="minorHAnsi"/>
          <w:color w:val="auto"/>
        </w:rPr>
      </w:pPr>
    </w:p>
    <w:p w14:paraId="23092A33" w14:textId="308E3793" w:rsidR="001D52E2" w:rsidRPr="00182D70" w:rsidRDefault="001D52E2" w:rsidP="0054535F">
      <w:pPr>
        <w:pStyle w:val="ListParagraph"/>
        <w:numPr>
          <w:ilvl w:val="2"/>
          <w:numId w:val="31"/>
        </w:numPr>
        <w:ind w:left="0" w:right="4" w:firstLine="0"/>
        <w:rPr>
          <w:rFonts w:asciiTheme="minorHAnsi" w:hAnsiTheme="minorHAnsi" w:cstheme="minorHAnsi"/>
          <w:color w:val="auto"/>
        </w:rPr>
      </w:pPr>
      <w:r w:rsidRPr="001220A4">
        <w:rPr>
          <w:rFonts w:asciiTheme="minorHAnsi" w:hAnsiTheme="minorHAnsi" w:cstheme="minorHAnsi"/>
          <w:color w:val="auto"/>
        </w:rPr>
        <w:t xml:space="preserve">Connect the MPS to the control unit, which must be connected to a pressurized air supply. Set the parameters: </w:t>
      </w:r>
      <w:r w:rsidR="00182D70">
        <w:rPr>
          <w:rFonts w:asciiTheme="minorHAnsi" w:hAnsiTheme="minorHAnsi" w:cstheme="minorHAnsi"/>
          <w:color w:val="auto"/>
        </w:rPr>
        <w:t xml:space="preserve">a </w:t>
      </w:r>
      <w:r w:rsidRPr="001220A4">
        <w:rPr>
          <w:rFonts w:asciiTheme="minorHAnsi" w:hAnsiTheme="minorHAnsi" w:cstheme="minorHAnsi"/>
          <w:color w:val="auto"/>
        </w:rPr>
        <w:t xml:space="preserve">pressure of, approximately, ±300 bar and </w:t>
      </w:r>
      <w:r w:rsidR="00182D70">
        <w:rPr>
          <w:rFonts w:asciiTheme="minorHAnsi" w:hAnsiTheme="minorHAnsi" w:cstheme="minorHAnsi"/>
          <w:color w:val="auto"/>
        </w:rPr>
        <w:t xml:space="preserve">a </w:t>
      </w:r>
      <w:r w:rsidRPr="001220A4">
        <w:rPr>
          <w:rFonts w:asciiTheme="minorHAnsi" w:hAnsiTheme="minorHAnsi" w:cstheme="minorHAnsi"/>
          <w:color w:val="auto"/>
        </w:rPr>
        <w:t>pumping frequency of 0</w:t>
      </w:r>
      <w:r w:rsidR="00182D70">
        <w:rPr>
          <w:rFonts w:asciiTheme="minorHAnsi" w:hAnsiTheme="minorHAnsi" w:cstheme="minorHAnsi"/>
          <w:color w:val="auto"/>
        </w:rPr>
        <w:t>.</w:t>
      </w:r>
      <w:r w:rsidRPr="00182D70">
        <w:rPr>
          <w:rFonts w:asciiTheme="minorHAnsi" w:hAnsiTheme="minorHAnsi" w:cstheme="minorHAnsi"/>
          <w:color w:val="auto"/>
        </w:rPr>
        <w:t>3 Hz. Start the flow</w:t>
      </w:r>
      <w:r w:rsidR="008173B3">
        <w:rPr>
          <w:rFonts w:asciiTheme="minorHAnsi" w:hAnsiTheme="minorHAnsi" w:cstheme="minorHAnsi"/>
          <w:color w:val="auto"/>
        </w:rPr>
        <w:t xml:space="preserve"> </w:t>
      </w:r>
      <w:r w:rsidRPr="00182D70">
        <w:rPr>
          <w:rFonts w:asciiTheme="minorHAnsi" w:hAnsiTheme="minorHAnsi" w:cstheme="minorHAnsi"/>
          <w:color w:val="auto"/>
        </w:rPr>
        <w:t xml:space="preserve">24 h before the test substance administration. </w:t>
      </w:r>
      <w:r w:rsidR="00182D70">
        <w:rPr>
          <w:rFonts w:asciiTheme="minorHAnsi" w:hAnsiTheme="minorHAnsi" w:cstheme="minorHAnsi"/>
          <w:color w:val="auto"/>
        </w:rPr>
        <w:t>The n</w:t>
      </w:r>
      <w:r w:rsidR="00182D70" w:rsidRPr="001220A4">
        <w:rPr>
          <w:rFonts w:asciiTheme="minorHAnsi" w:hAnsiTheme="minorHAnsi" w:cstheme="minorHAnsi"/>
          <w:color w:val="auto"/>
        </w:rPr>
        <w:t>ext day</w:t>
      </w:r>
      <w:r w:rsidRPr="00182D70">
        <w:rPr>
          <w:rFonts w:asciiTheme="minorHAnsi" w:hAnsiTheme="minorHAnsi" w:cstheme="minorHAnsi"/>
          <w:color w:val="auto"/>
        </w:rPr>
        <w:t xml:space="preserve">, perform the APAP treatment. </w:t>
      </w:r>
    </w:p>
    <w:p w14:paraId="31A4A7F1" w14:textId="77777777" w:rsidR="001D52E2" w:rsidRPr="001220A4" w:rsidRDefault="001D52E2" w:rsidP="0054535F">
      <w:pPr>
        <w:pStyle w:val="NormalWeb"/>
        <w:spacing w:before="0" w:beforeAutospacing="0" w:after="0" w:afterAutospacing="0"/>
        <w:ind w:right="4"/>
        <w:contextualSpacing/>
        <w:rPr>
          <w:rFonts w:asciiTheme="minorHAnsi" w:hAnsiTheme="minorHAnsi" w:cstheme="minorHAnsi"/>
          <w:color w:val="auto"/>
        </w:rPr>
      </w:pPr>
    </w:p>
    <w:p w14:paraId="14CB91FC" w14:textId="77777777" w:rsidR="001D52E2" w:rsidRPr="007679BB" w:rsidRDefault="001D52E2" w:rsidP="0054535F">
      <w:pPr>
        <w:pStyle w:val="ListParagraph"/>
        <w:numPr>
          <w:ilvl w:val="1"/>
          <w:numId w:val="31"/>
        </w:numPr>
        <w:ind w:left="0" w:right="4" w:firstLine="0"/>
        <w:rPr>
          <w:rFonts w:asciiTheme="minorHAnsi" w:hAnsiTheme="minorHAnsi" w:cstheme="minorHAnsi"/>
          <w:b/>
          <w:highlight w:val="yellow"/>
        </w:rPr>
      </w:pPr>
      <w:r w:rsidRPr="007679BB">
        <w:rPr>
          <w:rFonts w:asciiTheme="minorHAnsi" w:hAnsiTheme="minorHAnsi" w:cstheme="minorHAnsi"/>
          <w:b/>
          <w:highlight w:val="yellow"/>
        </w:rPr>
        <w:t>Intestine/Liver 2-OC MPS assembly for absorption and metabolism assay</w:t>
      </w:r>
    </w:p>
    <w:p w14:paraId="60AC2452" w14:textId="77777777" w:rsidR="001D52E2" w:rsidRPr="007679BB" w:rsidRDefault="001D52E2" w:rsidP="0054535F">
      <w:pPr>
        <w:pStyle w:val="ListParagraph"/>
        <w:ind w:left="0" w:right="4"/>
        <w:rPr>
          <w:rFonts w:asciiTheme="minorHAnsi" w:hAnsiTheme="minorHAnsi" w:cstheme="minorHAnsi"/>
          <w:b/>
          <w:color w:val="365F91" w:themeColor="accent1" w:themeShade="BF"/>
          <w:highlight w:val="yellow"/>
        </w:rPr>
      </w:pPr>
    </w:p>
    <w:p w14:paraId="3BD1E087" w14:textId="36007C9F" w:rsidR="001D52E2" w:rsidRPr="007679BB" w:rsidRDefault="001D52E2" w:rsidP="0054535F">
      <w:pPr>
        <w:pStyle w:val="ListParagraph"/>
        <w:numPr>
          <w:ilvl w:val="2"/>
          <w:numId w:val="31"/>
        </w:numPr>
        <w:ind w:left="0" w:right="4" w:firstLine="0"/>
        <w:rPr>
          <w:rFonts w:asciiTheme="minorHAnsi" w:hAnsiTheme="minorHAnsi" w:cstheme="minorHAnsi"/>
          <w:color w:val="auto"/>
          <w:highlight w:val="yellow"/>
        </w:rPr>
      </w:pPr>
      <w:r w:rsidRPr="007679BB">
        <w:rPr>
          <w:rFonts w:asciiTheme="minorHAnsi" w:hAnsiTheme="minorHAnsi" w:cstheme="minorHAnsi"/>
          <w:color w:val="auto"/>
          <w:highlight w:val="yellow"/>
        </w:rPr>
        <w:t xml:space="preserve">Combine the two media (intestine and liver) in a 1:4 proportion, which means 200 µL of DMEM </w:t>
      </w:r>
      <w:r w:rsidR="00F44550" w:rsidRPr="007679BB">
        <w:rPr>
          <w:rFonts w:asciiTheme="minorHAnsi" w:hAnsiTheme="minorHAnsi" w:cstheme="minorHAnsi"/>
          <w:color w:val="auto"/>
          <w:highlight w:val="yellow"/>
        </w:rPr>
        <w:t xml:space="preserve">S </w:t>
      </w:r>
      <w:r w:rsidRPr="007679BB">
        <w:rPr>
          <w:rFonts w:asciiTheme="minorHAnsi" w:hAnsiTheme="minorHAnsi" w:cstheme="minorHAnsi"/>
          <w:color w:val="auto"/>
          <w:highlight w:val="yellow"/>
        </w:rPr>
        <w:t>in the intestine apical side and 800 µL of Williams E</w:t>
      </w:r>
      <w:r w:rsidR="00F44550" w:rsidRPr="007679BB">
        <w:rPr>
          <w:rFonts w:asciiTheme="minorHAnsi" w:hAnsiTheme="minorHAnsi" w:cstheme="minorHAnsi"/>
          <w:color w:val="auto"/>
          <w:highlight w:val="yellow"/>
        </w:rPr>
        <w:t xml:space="preserve"> S</w:t>
      </w:r>
      <w:r w:rsidRPr="007679BB">
        <w:rPr>
          <w:rFonts w:asciiTheme="minorHAnsi" w:hAnsiTheme="minorHAnsi" w:cstheme="minorHAnsi"/>
          <w:color w:val="auto"/>
          <w:highlight w:val="yellow"/>
        </w:rPr>
        <w:t xml:space="preserve"> in the basolateral side.</w:t>
      </w:r>
      <w:r w:rsidR="00EA1B43" w:rsidRPr="007679BB">
        <w:rPr>
          <w:rFonts w:asciiTheme="minorHAnsi" w:hAnsiTheme="minorHAnsi" w:cstheme="minorHAnsi"/>
          <w:color w:val="auto"/>
          <w:highlight w:val="yellow"/>
        </w:rPr>
        <w:t xml:space="preserve"> </w:t>
      </w:r>
      <w:r w:rsidRPr="007679BB">
        <w:rPr>
          <w:rFonts w:asciiTheme="minorHAnsi" w:hAnsiTheme="minorHAnsi" w:cstheme="minorHAnsi"/>
          <w:color w:val="auto"/>
          <w:highlight w:val="yellow"/>
        </w:rPr>
        <w:t>Integrate intestine and liver equivalents, simultaneously, in the 2-OC.</w:t>
      </w:r>
    </w:p>
    <w:p w14:paraId="7D9F7F12" w14:textId="77777777" w:rsidR="001D52E2" w:rsidRPr="007679BB" w:rsidRDefault="001D52E2" w:rsidP="0054535F">
      <w:pPr>
        <w:pStyle w:val="ListParagraph"/>
        <w:ind w:left="0" w:right="4"/>
        <w:rPr>
          <w:rFonts w:asciiTheme="minorHAnsi" w:hAnsiTheme="minorHAnsi" w:cstheme="minorHAnsi"/>
          <w:color w:val="auto"/>
          <w:highlight w:val="yellow"/>
        </w:rPr>
      </w:pPr>
    </w:p>
    <w:p w14:paraId="0C716F69" w14:textId="264B47AD" w:rsidR="001D52E2" w:rsidRPr="007679BB" w:rsidRDefault="001D52E2" w:rsidP="0054535F">
      <w:pPr>
        <w:pStyle w:val="ListParagraph"/>
        <w:numPr>
          <w:ilvl w:val="2"/>
          <w:numId w:val="31"/>
        </w:numPr>
        <w:ind w:left="0" w:right="4" w:firstLine="0"/>
        <w:rPr>
          <w:rFonts w:asciiTheme="minorHAnsi" w:hAnsiTheme="minorHAnsi" w:cstheme="minorHAnsi"/>
          <w:color w:val="auto"/>
          <w:highlight w:val="yellow"/>
        </w:rPr>
      </w:pPr>
      <w:r w:rsidRPr="007679BB">
        <w:rPr>
          <w:rFonts w:asciiTheme="minorHAnsi" w:hAnsiTheme="minorHAnsi" w:cstheme="minorHAnsi"/>
          <w:color w:val="auto"/>
          <w:highlight w:val="yellow"/>
        </w:rPr>
        <w:t xml:space="preserve">Connect the MPS to the control unit, which must be connected to a pressurized air supply. Set the parameters: </w:t>
      </w:r>
      <w:r w:rsidR="00182D70" w:rsidRPr="007679BB">
        <w:rPr>
          <w:rFonts w:asciiTheme="minorHAnsi" w:hAnsiTheme="minorHAnsi" w:cstheme="minorHAnsi"/>
          <w:color w:val="auto"/>
          <w:highlight w:val="yellow"/>
        </w:rPr>
        <w:t xml:space="preserve">a </w:t>
      </w:r>
      <w:r w:rsidRPr="007679BB">
        <w:rPr>
          <w:rFonts w:asciiTheme="minorHAnsi" w:hAnsiTheme="minorHAnsi" w:cstheme="minorHAnsi"/>
          <w:color w:val="auto"/>
          <w:highlight w:val="yellow"/>
        </w:rPr>
        <w:t xml:space="preserve">pressure of, approximately, ±300 bar and </w:t>
      </w:r>
      <w:r w:rsidR="00182D70" w:rsidRPr="007679BB">
        <w:rPr>
          <w:rFonts w:asciiTheme="minorHAnsi" w:hAnsiTheme="minorHAnsi" w:cstheme="minorHAnsi"/>
          <w:color w:val="auto"/>
          <w:highlight w:val="yellow"/>
        </w:rPr>
        <w:t xml:space="preserve">a </w:t>
      </w:r>
      <w:r w:rsidRPr="007679BB">
        <w:rPr>
          <w:rFonts w:asciiTheme="minorHAnsi" w:hAnsiTheme="minorHAnsi" w:cstheme="minorHAnsi"/>
          <w:color w:val="auto"/>
          <w:highlight w:val="yellow"/>
        </w:rPr>
        <w:t>pumping frequency of 0</w:t>
      </w:r>
      <w:r w:rsidR="00182D70" w:rsidRPr="007679BB">
        <w:rPr>
          <w:rFonts w:asciiTheme="minorHAnsi" w:hAnsiTheme="minorHAnsi" w:cstheme="minorHAnsi"/>
          <w:color w:val="auto"/>
          <w:highlight w:val="yellow"/>
        </w:rPr>
        <w:t>.</w:t>
      </w:r>
      <w:r w:rsidRPr="007679BB">
        <w:rPr>
          <w:rFonts w:asciiTheme="minorHAnsi" w:hAnsiTheme="minorHAnsi" w:cstheme="minorHAnsi"/>
          <w:color w:val="auto"/>
          <w:highlight w:val="yellow"/>
        </w:rPr>
        <w:t xml:space="preserve">3 Hz. </w:t>
      </w:r>
      <w:r w:rsidRPr="007679BB">
        <w:rPr>
          <w:rFonts w:asciiTheme="minorHAnsi" w:hAnsiTheme="minorHAnsi" w:cstheme="minorHAnsi"/>
          <w:color w:val="auto"/>
          <w:highlight w:val="yellow"/>
        </w:rPr>
        <w:lastRenderedPageBreak/>
        <w:t>Start the flow</w:t>
      </w:r>
      <w:r w:rsidR="008173B3">
        <w:rPr>
          <w:rFonts w:asciiTheme="minorHAnsi" w:hAnsiTheme="minorHAnsi" w:cstheme="minorHAnsi"/>
          <w:color w:val="auto"/>
          <w:highlight w:val="yellow"/>
        </w:rPr>
        <w:t xml:space="preserve"> </w:t>
      </w:r>
      <w:r w:rsidRPr="007679BB">
        <w:rPr>
          <w:rFonts w:asciiTheme="minorHAnsi" w:hAnsiTheme="minorHAnsi" w:cstheme="minorHAnsi"/>
          <w:color w:val="auto"/>
          <w:highlight w:val="yellow"/>
        </w:rPr>
        <w:t>24 h before the test substance administration.</w:t>
      </w:r>
      <w:r w:rsidR="00A92025" w:rsidRPr="007679BB">
        <w:rPr>
          <w:rFonts w:asciiTheme="minorHAnsi" w:hAnsiTheme="minorHAnsi" w:cstheme="minorHAnsi"/>
          <w:color w:val="auto"/>
          <w:highlight w:val="yellow"/>
        </w:rPr>
        <w:t xml:space="preserve"> </w:t>
      </w:r>
      <w:r w:rsidR="00182D70" w:rsidRPr="007679BB">
        <w:rPr>
          <w:rFonts w:asciiTheme="minorHAnsi" w:hAnsiTheme="minorHAnsi" w:cstheme="minorHAnsi"/>
          <w:color w:val="auto"/>
          <w:highlight w:val="yellow"/>
        </w:rPr>
        <w:t>The next day</w:t>
      </w:r>
      <w:r w:rsidRPr="007679BB">
        <w:rPr>
          <w:rFonts w:asciiTheme="minorHAnsi" w:hAnsiTheme="minorHAnsi" w:cstheme="minorHAnsi"/>
          <w:color w:val="auto"/>
          <w:highlight w:val="yellow"/>
        </w:rPr>
        <w:t xml:space="preserve">, perform the APAP treatment. </w:t>
      </w:r>
    </w:p>
    <w:p w14:paraId="5A492E19" w14:textId="77777777" w:rsidR="00182D70" w:rsidRPr="007679BB" w:rsidRDefault="00182D70" w:rsidP="0054535F">
      <w:pPr>
        <w:ind w:right="4"/>
        <w:contextualSpacing/>
        <w:rPr>
          <w:rFonts w:asciiTheme="minorHAnsi" w:hAnsiTheme="minorHAnsi" w:cstheme="minorHAnsi"/>
          <w:color w:val="auto"/>
          <w:highlight w:val="yellow"/>
        </w:rPr>
      </w:pPr>
    </w:p>
    <w:p w14:paraId="76CBC70A" w14:textId="492C0044" w:rsidR="001D52E2" w:rsidRPr="001220A4" w:rsidRDefault="001D52E2" w:rsidP="0054535F">
      <w:pPr>
        <w:ind w:right="4"/>
        <w:contextualSpacing/>
        <w:rPr>
          <w:rFonts w:asciiTheme="minorHAnsi" w:hAnsiTheme="minorHAnsi" w:cstheme="minorHAnsi"/>
          <w:color w:val="auto"/>
        </w:rPr>
      </w:pPr>
      <w:r w:rsidRPr="007679BB">
        <w:rPr>
          <w:rFonts w:asciiTheme="minorHAnsi" w:hAnsiTheme="minorHAnsi" w:cstheme="minorHAnsi"/>
          <w:color w:val="auto"/>
          <w:highlight w:val="yellow"/>
        </w:rPr>
        <w:t>NOTE: For all experiments, perform each time point in triplicate, which means three separated 2-OC circuits (i.e.</w:t>
      </w:r>
      <w:r w:rsidR="00182D70" w:rsidRPr="007679BB">
        <w:rPr>
          <w:rFonts w:asciiTheme="minorHAnsi" w:hAnsiTheme="minorHAnsi" w:cstheme="minorHAnsi"/>
          <w:color w:val="auto"/>
          <w:highlight w:val="yellow"/>
        </w:rPr>
        <w:t>,</w:t>
      </w:r>
      <w:r w:rsidRPr="007679BB">
        <w:rPr>
          <w:rFonts w:asciiTheme="minorHAnsi" w:hAnsiTheme="minorHAnsi" w:cstheme="minorHAnsi"/>
          <w:color w:val="auto"/>
          <w:highlight w:val="yellow"/>
        </w:rPr>
        <w:t xml:space="preserve"> 1 and ½ 2-OC devices). The total volume of each 2-OC circuits is 1 </w:t>
      </w:r>
      <w:proofErr w:type="spellStart"/>
      <w:r w:rsidRPr="007679BB">
        <w:rPr>
          <w:rFonts w:asciiTheme="minorHAnsi" w:hAnsiTheme="minorHAnsi" w:cstheme="minorHAnsi"/>
          <w:color w:val="auto"/>
          <w:highlight w:val="yellow"/>
        </w:rPr>
        <w:t>mL.</w:t>
      </w:r>
      <w:proofErr w:type="spellEnd"/>
    </w:p>
    <w:p w14:paraId="029FB7CF" w14:textId="77777777" w:rsidR="001D52E2" w:rsidRPr="001220A4" w:rsidRDefault="001D52E2" w:rsidP="0054535F">
      <w:pPr>
        <w:pStyle w:val="ListParagraph"/>
        <w:ind w:left="0" w:right="4"/>
        <w:rPr>
          <w:rFonts w:asciiTheme="minorHAnsi" w:hAnsiTheme="minorHAnsi" w:cstheme="minorHAnsi"/>
          <w:color w:val="auto"/>
        </w:rPr>
      </w:pPr>
    </w:p>
    <w:p w14:paraId="445B2656" w14:textId="2E5DA6E6" w:rsidR="001D52E2" w:rsidRPr="007679BB" w:rsidRDefault="00182D70" w:rsidP="0054535F">
      <w:pPr>
        <w:pStyle w:val="ListParagraph"/>
        <w:numPr>
          <w:ilvl w:val="0"/>
          <w:numId w:val="31"/>
        </w:numPr>
        <w:ind w:left="0" w:right="4" w:firstLine="0"/>
        <w:rPr>
          <w:rFonts w:asciiTheme="minorHAnsi" w:hAnsiTheme="minorHAnsi" w:cstheme="minorHAnsi"/>
          <w:b/>
          <w:highlight w:val="yellow"/>
        </w:rPr>
      </w:pPr>
      <w:r w:rsidRPr="007679BB">
        <w:rPr>
          <w:rFonts w:asciiTheme="minorHAnsi" w:hAnsiTheme="minorHAnsi" w:cstheme="minorHAnsi"/>
          <w:b/>
          <w:highlight w:val="yellow"/>
        </w:rPr>
        <w:t>Acetaminophen (APAP) preparation</w:t>
      </w:r>
    </w:p>
    <w:p w14:paraId="3F920A97" w14:textId="77777777" w:rsidR="00A92025" w:rsidRPr="007679BB" w:rsidRDefault="00A92025" w:rsidP="0054535F">
      <w:pPr>
        <w:pStyle w:val="ListParagraph"/>
        <w:ind w:left="0" w:right="4"/>
        <w:rPr>
          <w:rFonts w:asciiTheme="minorHAnsi" w:hAnsiTheme="minorHAnsi" w:cstheme="minorHAnsi"/>
          <w:b/>
          <w:highlight w:val="yellow"/>
        </w:rPr>
      </w:pPr>
    </w:p>
    <w:p w14:paraId="16A946F8" w14:textId="6A5CD0EB" w:rsidR="00182D70" w:rsidRPr="007679BB" w:rsidRDefault="001D52E2" w:rsidP="0054535F">
      <w:pPr>
        <w:pStyle w:val="ListParagraph"/>
        <w:numPr>
          <w:ilvl w:val="1"/>
          <w:numId w:val="31"/>
        </w:numPr>
        <w:ind w:left="0" w:right="4" w:firstLine="0"/>
        <w:rPr>
          <w:rFonts w:asciiTheme="minorHAnsi" w:hAnsiTheme="minorHAnsi" w:cstheme="minorHAnsi"/>
          <w:b/>
          <w:highlight w:val="yellow"/>
        </w:rPr>
      </w:pPr>
      <w:r w:rsidRPr="007679BB">
        <w:rPr>
          <w:rFonts w:asciiTheme="minorHAnsi" w:hAnsiTheme="minorHAnsi" w:cstheme="minorHAnsi"/>
          <w:color w:val="auto"/>
          <w:highlight w:val="yellow"/>
        </w:rPr>
        <w:t>Prepare the APAP stock solution, dissolving APAP in absolute ethanol</w:t>
      </w:r>
      <w:r w:rsidRPr="007679BB">
        <w:rPr>
          <w:rFonts w:asciiTheme="minorHAnsi" w:hAnsiTheme="minorHAnsi" w:cstheme="minorHAnsi"/>
          <w:highlight w:val="yellow"/>
        </w:rPr>
        <w:t>. On the day of the</w:t>
      </w:r>
      <w:r w:rsidRPr="007679BB">
        <w:rPr>
          <w:rFonts w:asciiTheme="minorHAnsi" w:hAnsiTheme="minorHAnsi" w:cstheme="minorHAnsi"/>
          <w:noProof/>
          <w:highlight w:val="yellow"/>
        </w:rPr>
        <w:t xml:space="preserve"> experiment</w:t>
      </w:r>
      <w:r w:rsidRPr="007679BB">
        <w:rPr>
          <w:rFonts w:asciiTheme="minorHAnsi" w:hAnsiTheme="minorHAnsi" w:cstheme="minorHAnsi"/>
          <w:highlight w:val="yellow"/>
        </w:rPr>
        <w:t xml:space="preserve">, dilute APAP in the respective medium (APAP solution), to a concentration of 12 µM for “oral administration” and 2 µM for “intravenous administration”. </w:t>
      </w:r>
    </w:p>
    <w:p w14:paraId="7D904EAC" w14:textId="77777777" w:rsidR="00182D70" w:rsidRPr="007679BB" w:rsidRDefault="00182D70" w:rsidP="0054535F">
      <w:pPr>
        <w:pStyle w:val="ListParagraph"/>
        <w:ind w:left="0" w:right="4"/>
        <w:rPr>
          <w:rFonts w:asciiTheme="minorHAnsi" w:hAnsiTheme="minorHAnsi" w:cstheme="minorHAnsi"/>
          <w:b/>
          <w:highlight w:val="yellow"/>
        </w:rPr>
      </w:pPr>
    </w:p>
    <w:p w14:paraId="0CA5EF56" w14:textId="254130B1" w:rsidR="001D52E2" w:rsidRPr="007679BB" w:rsidRDefault="00182D70" w:rsidP="0054535F">
      <w:pPr>
        <w:pStyle w:val="ListParagraph"/>
        <w:numPr>
          <w:ilvl w:val="1"/>
          <w:numId w:val="31"/>
        </w:numPr>
        <w:ind w:left="0" w:right="4" w:firstLine="0"/>
        <w:rPr>
          <w:rFonts w:asciiTheme="minorHAnsi" w:hAnsiTheme="minorHAnsi" w:cstheme="minorHAnsi"/>
          <w:b/>
          <w:highlight w:val="yellow"/>
        </w:rPr>
      </w:pPr>
      <w:r w:rsidRPr="007679BB">
        <w:rPr>
          <w:rFonts w:asciiTheme="minorHAnsi" w:hAnsiTheme="minorHAnsi" w:cstheme="minorHAnsi"/>
          <w:highlight w:val="yellow"/>
        </w:rPr>
        <w:t>Ensure that</w:t>
      </w:r>
      <w:r w:rsidR="001D52E2" w:rsidRPr="007679BB">
        <w:rPr>
          <w:rFonts w:asciiTheme="minorHAnsi" w:hAnsiTheme="minorHAnsi" w:cstheme="minorHAnsi"/>
          <w:highlight w:val="yellow"/>
        </w:rPr>
        <w:t xml:space="preserve"> the final concentration of ethanol </w:t>
      </w:r>
      <w:r w:rsidR="008173B3">
        <w:rPr>
          <w:rFonts w:asciiTheme="minorHAnsi" w:hAnsiTheme="minorHAnsi" w:cstheme="minorHAnsi"/>
          <w:highlight w:val="yellow"/>
        </w:rPr>
        <w:t>in</w:t>
      </w:r>
      <w:r w:rsidR="001D52E2" w:rsidRPr="007679BB">
        <w:rPr>
          <w:rFonts w:asciiTheme="minorHAnsi" w:hAnsiTheme="minorHAnsi" w:cstheme="minorHAnsi"/>
          <w:highlight w:val="yellow"/>
        </w:rPr>
        <w:t xml:space="preserve"> </w:t>
      </w:r>
      <w:r w:rsidR="008173B3">
        <w:rPr>
          <w:rFonts w:asciiTheme="minorHAnsi" w:hAnsiTheme="minorHAnsi" w:cstheme="minorHAnsi"/>
          <w:highlight w:val="yellow"/>
        </w:rPr>
        <w:t>the</w:t>
      </w:r>
      <w:r w:rsidR="001D52E2" w:rsidRPr="007679BB">
        <w:rPr>
          <w:rFonts w:asciiTheme="minorHAnsi" w:hAnsiTheme="minorHAnsi" w:cstheme="minorHAnsi"/>
          <w:highlight w:val="yellow"/>
        </w:rPr>
        <w:t xml:space="preserve"> vehicle control and treatment solution</w:t>
      </w:r>
      <w:r w:rsidR="008173B3">
        <w:rPr>
          <w:rFonts w:asciiTheme="minorHAnsi" w:hAnsiTheme="minorHAnsi" w:cstheme="minorHAnsi"/>
          <w:highlight w:val="yellow"/>
        </w:rPr>
        <w:t xml:space="preserve"> </w:t>
      </w:r>
      <w:r w:rsidR="001D52E2" w:rsidRPr="007679BB">
        <w:rPr>
          <w:rFonts w:asciiTheme="minorHAnsi" w:hAnsiTheme="minorHAnsi" w:cstheme="minorHAnsi"/>
          <w:highlight w:val="yellow"/>
        </w:rPr>
        <w:t xml:space="preserve">is 0.5% for both administrations. For the positive control (100 mM APAP), the ethanol concentration is 2%. </w:t>
      </w:r>
    </w:p>
    <w:p w14:paraId="54DB7C4D" w14:textId="77777777" w:rsidR="001D52E2" w:rsidRPr="007679BB" w:rsidRDefault="001D52E2" w:rsidP="0054535F">
      <w:pPr>
        <w:pStyle w:val="ListParagraph"/>
        <w:ind w:left="0" w:right="4"/>
        <w:rPr>
          <w:rFonts w:asciiTheme="minorHAnsi" w:hAnsiTheme="minorHAnsi" w:cstheme="minorHAnsi"/>
          <w:b/>
          <w:color w:val="auto"/>
          <w:highlight w:val="yellow"/>
        </w:rPr>
      </w:pPr>
    </w:p>
    <w:p w14:paraId="033C6972" w14:textId="77777777" w:rsidR="001D52E2" w:rsidRPr="007679BB" w:rsidRDefault="001D52E2" w:rsidP="0054535F">
      <w:pPr>
        <w:pStyle w:val="ListParagraph"/>
        <w:numPr>
          <w:ilvl w:val="0"/>
          <w:numId w:val="31"/>
        </w:numPr>
        <w:ind w:left="0" w:right="4" w:firstLine="0"/>
        <w:rPr>
          <w:rFonts w:asciiTheme="minorHAnsi" w:hAnsiTheme="minorHAnsi" w:cstheme="minorHAnsi"/>
          <w:b/>
          <w:color w:val="auto"/>
          <w:highlight w:val="yellow"/>
        </w:rPr>
      </w:pPr>
      <w:r w:rsidRPr="007679BB">
        <w:rPr>
          <w:rFonts w:asciiTheme="minorHAnsi" w:hAnsiTheme="minorHAnsi" w:cstheme="minorHAnsi"/>
          <w:b/>
          <w:color w:val="auto"/>
          <w:highlight w:val="yellow"/>
        </w:rPr>
        <w:t>Test substance administration and media sampling</w:t>
      </w:r>
    </w:p>
    <w:p w14:paraId="3FA5FB3A" w14:textId="77777777" w:rsidR="001D52E2" w:rsidRPr="007679BB" w:rsidRDefault="001D52E2" w:rsidP="0054535F">
      <w:pPr>
        <w:pStyle w:val="ListParagraph"/>
        <w:ind w:left="0" w:right="4"/>
        <w:rPr>
          <w:rFonts w:asciiTheme="minorHAnsi" w:hAnsiTheme="minorHAnsi" w:cstheme="minorHAnsi"/>
          <w:b/>
          <w:color w:val="auto"/>
          <w:highlight w:val="yellow"/>
        </w:rPr>
      </w:pPr>
    </w:p>
    <w:p w14:paraId="5DA3BE7B" w14:textId="77777777" w:rsidR="001D52E2" w:rsidRPr="007679BB" w:rsidRDefault="001D52E2" w:rsidP="0054535F">
      <w:pPr>
        <w:pStyle w:val="ListParagraph"/>
        <w:numPr>
          <w:ilvl w:val="1"/>
          <w:numId w:val="38"/>
        </w:numPr>
        <w:ind w:left="0" w:right="4" w:firstLine="0"/>
        <w:rPr>
          <w:rFonts w:asciiTheme="minorHAnsi" w:hAnsiTheme="minorHAnsi" w:cstheme="minorHAnsi"/>
          <w:bCs/>
          <w:color w:val="auto"/>
          <w:highlight w:val="yellow"/>
        </w:rPr>
      </w:pPr>
      <w:r w:rsidRPr="007679BB">
        <w:rPr>
          <w:rFonts w:asciiTheme="minorHAnsi" w:hAnsiTheme="minorHAnsi" w:cstheme="minorHAnsi"/>
          <w:bCs/>
          <w:color w:val="auto"/>
          <w:highlight w:val="yellow"/>
        </w:rPr>
        <w:t>APAP “oral” administration and media sampling</w:t>
      </w:r>
    </w:p>
    <w:p w14:paraId="6DCF606E" w14:textId="77777777" w:rsidR="001D52E2" w:rsidRPr="007679BB" w:rsidRDefault="001D52E2" w:rsidP="0054535F">
      <w:pPr>
        <w:pStyle w:val="ListParagraph"/>
        <w:ind w:left="0" w:right="4"/>
        <w:rPr>
          <w:rFonts w:asciiTheme="minorHAnsi" w:hAnsiTheme="minorHAnsi" w:cstheme="minorHAnsi"/>
          <w:bCs/>
          <w:color w:val="auto"/>
          <w:highlight w:val="yellow"/>
        </w:rPr>
      </w:pPr>
      <w:r w:rsidRPr="007679BB">
        <w:rPr>
          <w:rFonts w:asciiTheme="minorHAnsi" w:hAnsiTheme="minorHAnsi" w:cstheme="minorHAnsi"/>
          <w:bCs/>
          <w:color w:val="auto"/>
          <w:highlight w:val="yellow"/>
        </w:rPr>
        <w:t xml:space="preserve"> </w:t>
      </w:r>
    </w:p>
    <w:p w14:paraId="47B33D71" w14:textId="77777777" w:rsidR="001D52E2" w:rsidRPr="007679BB" w:rsidRDefault="001D52E2" w:rsidP="0054535F">
      <w:pPr>
        <w:pStyle w:val="ListParagraph"/>
        <w:numPr>
          <w:ilvl w:val="2"/>
          <w:numId w:val="38"/>
        </w:numPr>
        <w:ind w:left="0" w:right="4" w:firstLine="0"/>
        <w:rPr>
          <w:rFonts w:asciiTheme="minorHAnsi" w:hAnsiTheme="minorHAnsi" w:cstheme="minorHAnsi"/>
          <w:color w:val="auto"/>
          <w:highlight w:val="yellow"/>
        </w:rPr>
      </w:pPr>
      <w:r w:rsidRPr="007679BB">
        <w:rPr>
          <w:rFonts w:asciiTheme="minorHAnsi" w:hAnsiTheme="minorHAnsi" w:cstheme="minorHAnsi"/>
          <w:color w:val="auto"/>
          <w:highlight w:val="yellow"/>
        </w:rPr>
        <w:t>Aspirate the basolateral and apical media of each intestinal barrier equivalent in the 2-OC. Pipette 500 µL of the appropriate culture medium into the large compartment at the organoid basolateral side and 300 µL into the small compartment.</w:t>
      </w:r>
    </w:p>
    <w:p w14:paraId="4248FE07" w14:textId="77777777" w:rsidR="001D52E2" w:rsidRPr="007679BB" w:rsidRDefault="001D52E2" w:rsidP="0054535F">
      <w:pPr>
        <w:pStyle w:val="ListParagraph"/>
        <w:ind w:left="0" w:right="4"/>
        <w:rPr>
          <w:rFonts w:asciiTheme="minorHAnsi" w:hAnsiTheme="minorHAnsi" w:cstheme="minorHAnsi"/>
          <w:color w:val="auto"/>
          <w:highlight w:val="yellow"/>
        </w:rPr>
      </w:pPr>
    </w:p>
    <w:p w14:paraId="0546348E" w14:textId="3AA19DE0" w:rsidR="001D52E2" w:rsidRPr="007679BB" w:rsidRDefault="001D52E2" w:rsidP="0054535F">
      <w:pPr>
        <w:pStyle w:val="ListParagraph"/>
        <w:numPr>
          <w:ilvl w:val="2"/>
          <w:numId w:val="38"/>
        </w:numPr>
        <w:ind w:left="0" w:right="4" w:firstLine="0"/>
        <w:rPr>
          <w:rFonts w:asciiTheme="minorHAnsi" w:hAnsiTheme="minorHAnsi" w:cstheme="minorHAnsi"/>
          <w:color w:val="auto"/>
          <w:highlight w:val="yellow"/>
        </w:rPr>
      </w:pPr>
      <w:r w:rsidRPr="007679BB">
        <w:rPr>
          <w:rFonts w:asciiTheme="minorHAnsi" w:hAnsiTheme="minorHAnsi" w:cstheme="minorHAnsi"/>
          <w:color w:val="auto"/>
          <w:highlight w:val="yellow"/>
        </w:rPr>
        <w:t xml:space="preserve">Check for bubbles and proceed with the intestinal barrier equivalent treatment with </w:t>
      </w:r>
      <w:r w:rsidR="00182D70" w:rsidRPr="007679BB">
        <w:rPr>
          <w:rFonts w:asciiTheme="minorHAnsi" w:hAnsiTheme="minorHAnsi" w:cstheme="minorHAnsi"/>
          <w:color w:val="auto"/>
          <w:highlight w:val="yellow"/>
        </w:rPr>
        <w:t xml:space="preserve">the </w:t>
      </w:r>
      <w:r w:rsidRPr="007679BB">
        <w:rPr>
          <w:rFonts w:asciiTheme="minorHAnsi" w:hAnsiTheme="minorHAnsi" w:cstheme="minorHAnsi"/>
          <w:color w:val="auto"/>
          <w:highlight w:val="yellow"/>
        </w:rPr>
        <w:t xml:space="preserve">test substance in the apical side, emulating oral administration. Emulate APAP “oral” administration </w:t>
      </w:r>
      <w:r w:rsidR="00182D70" w:rsidRPr="007679BB">
        <w:rPr>
          <w:rFonts w:asciiTheme="minorHAnsi" w:hAnsiTheme="minorHAnsi" w:cstheme="minorHAnsi"/>
          <w:color w:val="auto"/>
          <w:highlight w:val="yellow"/>
        </w:rPr>
        <w:t xml:space="preserve">by </w:t>
      </w:r>
      <w:r w:rsidRPr="007679BB">
        <w:rPr>
          <w:rFonts w:asciiTheme="minorHAnsi" w:hAnsiTheme="minorHAnsi" w:cstheme="minorHAnsi"/>
          <w:color w:val="auto"/>
          <w:highlight w:val="yellow"/>
        </w:rPr>
        <w:t>adding 200 µL of a 12 µM APAP solution on the apic</w:t>
      </w:r>
      <w:r w:rsidR="00012280" w:rsidRPr="007679BB">
        <w:rPr>
          <w:rFonts w:asciiTheme="minorHAnsi" w:hAnsiTheme="minorHAnsi" w:cstheme="minorHAnsi"/>
          <w:color w:val="auto"/>
          <w:highlight w:val="yellow"/>
        </w:rPr>
        <w:t>al</w:t>
      </w:r>
      <w:r w:rsidRPr="007679BB">
        <w:rPr>
          <w:rFonts w:asciiTheme="minorHAnsi" w:hAnsiTheme="minorHAnsi" w:cstheme="minorHAnsi"/>
          <w:color w:val="auto"/>
          <w:highlight w:val="yellow"/>
        </w:rPr>
        <w:t xml:space="preserve"> side of intestinal culture inserts, which represents the intestinal “lumen side” (</w:t>
      </w:r>
      <w:r w:rsidRPr="007679BB">
        <w:rPr>
          <w:rFonts w:asciiTheme="minorHAnsi" w:hAnsiTheme="minorHAnsi" w:cstheme="minorHAnsi"/>
          <w:b/>
          <w:bCs/>
          <w:color w:val="auto"/>
          <w:highlight w:val="yellow"/>
        </w:rPr>
        <w:t>Figure 1B</w:t>
      </w:r>
      <w:r w:rsidRPr="007679BB">
        <w:rPr>
          <w:rFonts w:asciiTheme="minorHAnsi" w:hAnsiTheme="minorHAnsi" w:cstheme="minorHAnsi"/>
          <w:color w:val="auto"/>
          <w:highlight w:val="yellow"/>
        </w:rPr>
        <w:t xml:space="preserve">). Connect the MPS to the control unit. </w:t>
      </w:r>
    </w:p>
    <w:p w14:paraId="715ACF2D" w14:textId="77777777" w:rsidR="001D52E2" w:rsidRPr="007679BB" w:rsidRDefault="001D52E2" w:rsidP="0054535F">
      <w:pPr>
        <w:pStyle w:val="ListParagraph"/>
        <w:ind w:left="0" w:right="4"/>
        <w:rPr>
          <w:rFonts w:asciiTheme="minorHAnsi" w:hAnsiTheme="minorHAnsi" w:cstheme="minorHAnsi"/>
          <w:color w:val="auto"/>
          <w:highlight w:val="yellow"/>
        </w:rPr>
      </w:pPr>
    </w:p>
    <w:p w14:paraId="38A3E2BE" w14:textId="57719D16" w:rsidR="00A36009" w:rsidRPr="007679BB" w:rsidRDefault="001D52E2" w:rsidP="0054535F">
      <w:pPr>
        <w:pStyle w:val="ListParagraph"/>
        <w:numPr>
          <w:ilvl w:val="2"/>
          <w:numId w:val="38"/>
        </w:numPr>
        <w:ind w:left="0" w:right="4" w:firstLine="0"/>
        <w:rPr>
          <w:rFonts w:asciiTheme="minorHAnsi" w:hAnsiTheme="minorHAnsi" w:cstheme="minorHAnsi"/>
          <w:b/>
          <w:color w:val="auto"/>
          <w:highlight w:val="yellow"/>
        </w:rPr>
      </w:pPr>
      <w:r w:rsidRPr="007679BB">
        <w:rPr>
          <w:rFonts w:asciiTheme="minorHAnsi" w:hAnsiTheme="minorHAnsi" w:cstheme="minorHAnsi"/>
          <w:color w:val="auto"/>
          <w:highlight w:val="yellow"/>
        </w:rPr>
        <w:t>Collect the total volume from apical and from basolateral sides at the following time points: 0 h, 5 min, 15 min, 30 min, 1 h, 3 h, 6 h, 12 h, and 24 h</w:t>
      </w:r>
      <w:r w:rsidRPr="007679BB">
        <w:rPr>
          <w:rFonts w:asciiTheme="minorHAnsi" w:hAnsiTheme="minorHAnsi" w:cstheme="minorHAnsi"/>
          <w:color w:val="auto"/>
          <w:highlight w:val="yellow"/>
        </w:rPr>
        <w:fldChar w:fldCharType="begin" w:fldLock="1"/>
      </w:r>
      <w:r w:rsidR="006766D3" w:rsidRPr="007679BB">
        <w:rPr>
          <w:rFonts w:asciiTheme="minorHAnsi" w:hAnsiTheme="minorHAnsi" w:cstheme="minorHAnsi"/>
          <w:color w:val="auto"/>
          <w:highlight w:val="yellow"/>
        </w:rPr>
        <w:instrText>ADDIN CSL_CITATION {"citationItems":[{"id":"ITEM-1","itemData":{"DOI":"10.2165/00003088-198207020-00001","ISBN":"0312-5963","ISSN":"11791926","PMID":"7039926","abstract":"In therapeutic doses paracetamol is a safe analgesic, but in overdosage it can cause severe hepatic necrosis. Following oral administration it is rapidly absorbed from the gastrointestinal tract, its systemic bioavailability being dose-dependent and ranging from 70 to 90%. Its rate of oral absorption is predominantly dependent on the rate of gastric emptying, being delayed by food, propantheline, pethidine and diamorphine and enhanced by metoclopramide. Paracetamol is also well absorbed from the rectum. It distributes rapidly and evenly throughout most tissues and fluids and has a volume of distribution of approximately 0.9L/kg. 10 to 20% of the drug is bound to red blood cells. Paracetamol is extensively metabolised (predominantly in the liver), the major metabolites being the sulphate and glucuronide conjugates. A minor fraction of drug is converted to a highly reactive alkylating metabolite which is inactivated with reduced glutathione and excreted in the urine as cysteine and mercapturic acid conjugates. Large doses of paracetamol (overdoses) cause acute hepatic necrosis as a result of depletion of glutathione and of binding of the excess reactive metabolite to vital cell constituents. This damage can be prevented by the early administration of sulfhydryl compounds such as methionine and N-acetylcysteine. In healthy subjects 85 to 95% of a therapeutic dose is excreted in the urine within 24 hours with about 4, 55, 30, 4 and 4% appearing as unchanged paracetamol and its glucuronide, sulphate, mercapturic acid and cysteine conjugates, respectively. The plasma half-life in such subjects ranges from 1.9 to 2.5 hours and the total body clearance from 4.5 to 5.5 ml/kg/min. Age has little effect on the plasma half-life, which is shortened in patients taking anticonvulsants. The plasma half-life is usually normal in patients with mild chronic liver disease, but its prolonged in those with decompensated liver disease.","author":[{"dropping-particle":"","family":"Forrest","given":"John A.H.","non-dropping-particle":"","parse-names":false,"suffix":""},{"dropping-particle":"","family":"Clements","given":"J. A.","non-dropping-particle":"","parse-names":false,"suffix":""},{"dropping-particle":"","family":"Prescott","given":"L. F.","non-dropping-particle":"","parse-names":false,"suffix":""}],"container-title":"Clinical Pharmacokinetics","id":"ITEM-1","issue":"2","issued":{"date-parts":[["1982"]]},"page":"93-107","title":"Clinical Pharmacokinetics of Paracetamol","type":"article-journal","volume":"7"},"uris":["http://www.mendeley.com/documents/?uuid=66350ab6-5567-3706-a0d0-bf5de7beaf63","http://www.mendeley.com/documents/?uuid=042d1d73-c16d-4bfc-a51f-8ed6c6eaa43d"]},{"id":"ITEM-2","itemData":{"DOI":"10.1016/j.ccc.2012.07.006","ISBN":"1557-8232 (Electronic)\\r0749-0704 (Linking)","ISSN":"07490704","PMID":"22998987","abstract":"Acetaminophen poisoning remains one of the more common drugs taken in overdose with potentially fatal consequences. Early recognition and prompt treatment with N-acetylcysteine can prevent hepatic injury. With acute overdose, the Rumack-Matthew nomogram is a useful tool to assess risk and guide management. Equally common to acute overdose is the repeated use of excessive amounts of acetaminophen. Simultaneous ingestion of several different acetaminophen-containing products may result in excessive dosage. These patients also benefit from N-acetylcysteine. Standard courses of N-acetylcysteine may need to be extended in patients with persistently elevated plasma concentrations of acetaminophen or with signs of hepatic injury. © 2012 Elsevier Inc.","author":[{"dropping-particle":"","family":"Hodgman","given":"Michael J.","non-dropping-particle":"","parse-names":false,"suffix":""},{"dropping-particle":"","family":"Garrard","given":"Alexander R.","non-dropping-particle":"","parse-names":false,"suffix":""}],"container-title":"Critical Care Clinics","id":"ITEM-2","issue":"4","issued":{"date-parts":[["2012"]]},"page":"499-516","title":"A Review of Acetaminophen Poisoning","type":"article-journal","volume":"28"},"uris":["http://www.mendeley.com/documents/?uuid=5e028a89-d5a9-30b2-b3dd-4d254d1671f7"]}],"mendeley":{"formattedCitation":"&lt;sup&gt;15, 27&lt;/sup&gt;","plainTextFormattedCitation":"15, 27","previouslyFormattedCitation":"&lt;sup&gt;15, 27&lt;/sup&gt;"},"properties":{"noteIndex":0},"schema":"https://github.com/citation-style-language/schema/raw/master/csl-citation.json"}</w:instrText>
      </w:r>
      <w:r w:rsidRPr="007679BB">
        <w:rPr>
          <w:rFonts w:asciiTheme="minorHAnsi" w:hAnsiTheme="minorHAnsi" w:cstheme="minorHAnsi"/>
          <w:color w:val="auto"/>
          <w:highlight w:val="yellow"/>
        </w:rPr>
        <w:fldChar w:fldCharType="separate"/>
      </w:r>
      <w:r w:rsidR="0077280B" w:rsidRPr="007679BB">
        <w:rPr>
          <w:rFonts w:asciiTheme="minorHAnsi" w:hAnsiTheme="minorHAnsi" w:cstheme="minorHAnsi"/>
          <w:noProof/>
          <w:color w:val="auto"/>
          <w:highlight w:val="yellow"/>
          <w:vertAlign w:val="superscript"/>
        </w:rPr>
        <w:t>15,27</w:t>
      </w:r>
      <w:r w:rsidRPr="007679BB">
        <w:rPr>
          <w:rFonts w:asciiTheme="minorHAnsi" w:hAnsiTheme="minorHAnsi" w:cstheme="minorHAnsi"/>
          <w:color w:val="auto"/>
          <w:highlight w:val="yellow"/>
        </w:rPr>
        <w:fldChar w:fldCharType="end"/>
      </w:r>
      <w:r w:rsidRPr="007679BB">
        <w:rPr>
          <w:rFonts w:asciiTheme="minorHAnsi" w:hAnsiTheme="minorHAnsi" w:cstheme="minorHAnsi"/>
          <w:color w:val="auto"/>
          <w:highlight w:val="yellow"/>
        </w:rPr>
        <w:t xml:space="preserve">. </w:t>
      </w:r>
      <w:r w:rsidR="00A36009" w:rsidRPr="007679BB">
        <w:rPr>
          <w:rFonts w:asciiTheme="minorHAnsi" w:hAnsiTheme="minorHAnsi" w:cstheme="minorHAnsi"/>
          <w:color w:val="auto"/>
          <w:highlight w:val="yellow"/>
        </w:rPr>
        <w:t>Perform all experiments in triplicate, at static and dynamic conditions, and collect each sample, of each triplicate, in a separate</w:t>
      </w:r>
      <w:r w:rsidR="008173B3">
        <w:rPr>
          <w:rFonts w:asciiTheme="minorHAnsi" w:hAnsiTheme="minorHAnsi" w:cstheme="minorHAnsi"/>
          <w:color w:val="auto"/>
          <w:highlight w:val="yellow"/>
        </w:rPr>
        <w:t xml:space="preserve"> </w:t>
      </w:r>
      <w:r w:rsidR="00A36009" w:rsidRPr="007679BB">
        <w:rPr>
          <w:rFonts w:asciiTheme="minorHAnsi" w:hAnsiTheme="minorHAnsi" w:cstheme="minorHAnsi"/>
          <w:color w:val="auto"/>
          <w:highlight w:val="yellow"/>
        </w:rPr>
        <w:t xml:space="preserve">microtube. Analyze the samples using HPLC/UV. </w:t>
      </w:r>
    </w:p>
    <w:p w14:paraId="7D98DA3C" w14:textId="77777777" w:rsidR="00182D70" w:rsidRPr="007679BB" w:rsidRDefault="00182D70" w:rsidP="0054535F">
      <w:pPr>
        <w:pStyle w:val="ListParagraph"/>
        <w:ind w:left="0" w:right="4"/>
        <w:rPr>
          <w:rFonts w:asciiTheme="minorHAnsi" w:hAnsiTheme="minorHAnsi" w:cstheme="minorHAnsi"/>
          <w:color w:val="auto"/>
          <w:highlight w:val="yellow"/>
        </w:rPr>
      </w:pPr>
    </w:p>
    <w:p w14:paraId="6A3B6BAA" w14:textId="762B7E4A" w:rsidR="001D52E2" w:rsidRPr="007679BB" w:rsidRDefault="001D52E2" w:rsidP="0054535F">
      <w:pPr>
        <w:pStyle w:val="ListParagraph"/>
        <w:ind w:left="0" w:right="4"/>
        <w:rPr>
          <w:rFonts w:asciiTheme="minorHAnsi" w:hAnsiTheme="minorHAnsi" w:cstheme="minorHAnsi"/>
          <w:b/>
          <w:color w:val="auto"/>
          <w:highlight w:val="yellow"/>
        </w:rPr>
      </w:pPr>
      <w:r w:rsidRPr="007679BB">
        <w:rPr>
          <w:rFonts w:asciiTheme="minorHAnsi" w:hAnsiTheme="minorHAnsi" w:cstheme="minorHAnsi"/>
          <w:color w:val="auto"/>
          <w:highlight w:val="yellow"/>
        </w:rPr>
        <w:t>NOTE: Separate apical and basolateral samples.</w:t>
      </w:r>
    </w:p>
    <w:p w14:paraId="310BBBD6" w14:textId="77777777" w:rsidR="001D52E2" w:rsidRPr="007679BB" w:rsidRDefault="001D52E2" w:rsidP="0054535F">
      <w:pPr>
        <w:pStyle w:val="ListParagraph"/>
        <w:ind w:left="0" w:right="4"/>
        <w:rPr>
          <w:rFonts w:asciiTheme="minorHAnsi" w:hAnsiTheme="minorHAnsi" w:cstheme="minorHAnsi"/>
          <w:b/>
          <w:color w:val="auto"/>
          <w:highlight w:val="yellow"/>
        </w:rPr>
      </w:pPr>
    </w:p>
    <w:p w14:paraId="2A31C0A8" w14:textId="77777777" w:rsidR="001D52E2" w:rsidRPr="007679BB" w:rsidRDefault="001D52E2" w:rsidP="0054535F">
      <w:pPr>
        <w:pStyle w:val="ListParagraph"/>
        <w:numPr>
          <w:ilvl w:val="1"/>
          <w:numId w:val="38"/>
        </w:numPr>
        <w:ind w:left="0" w:right="4" w:firstLine="0"/>
        <w:rPr>
          <w:rFonts w:asciiTheme="minorHAnsi" w:hAnsiTheme="minorHAnsi" w:cstheme="minorHAnsi"/>
          <w:bCs/>
          <w:color w:val="auto"/>
          <w:highlight w:val="yellow"/>
        </w:rPr>
      </w:pPr>
      <w:r w:rsidRPr="007679BB">
        <w:rPr>
          <w:rFonts w:asciiTheme="minorHAnsi" w:hAnsiTheme="minorHAnsi" w:cstheme="minorHAnsi"/>
          <w:bCs/>
          <w:color w:val="auto"/>
          <w:highlight w:val="yellow"/>
        </w:rPr>
        <w:t>APAP “intravenous” administration and media sampling</w:t>
      </w:r>
    </w:p>
    <w:p w14:paraId="51B8C48C" w14:textId="77777777" w:rsidR="001D52E2" w:rsidRPr="007679BB" w:rsidRDefault="001D52E2" w:rsidP="0054535F">
      <w:pPr>
        <w:pStyle w:val="ListParagraph"/>
        <w:ind w:left="0" w:right="4"/>
        <w:rPr>
          <w:rFonts w:asciiTheme="minorHAnsi" w:hAnsiTheme="minorHAnsi" w:cstheme="minorHAnsi"/>
          <w:b/>
          <w:color w:val="auto"/>
          <w:highlight w:val="yellow"/>
        </w:rPr>
      </w:pPr>
    </w:p>
    <w:p w14:paraId="3DA7BB5B" w14:textId="061D276E" w:rsidR="001D52E2" w:rsidRPr="007679BB" w:rsidRDefault="001D52E2" w:rsidP="0054535F">
      <w:pPr>
        <w:pStyle w:val="ListParagraph"/>
        <w:numPr>
          <w:ilvl w:val="2"/>
          <w:numId w:val="38"/>
        </w:numPr>
        <w:ind w:left="0" w:right="4" w:firstLine="0"/>
        <w:rPr>
          <w:rFonts w:asciiTheme="minorHAnsi" w:hAnsiTheme="minorHAnsi" w:cstheme="minorHAnsi"/>
          <w:color w:val="auto"/>
          <w:highlight w:val="yellow"/>
        </w:rPr>
      </w:pPr>
      <w:r w:rsidRPr="007679BB">
        <w:rPr>
          <w:rFonts w:asciiTheme="minorHAnsi" w:hAnsiTheme="minorHAnsi" w:cstheme="minorHAnsi"/>
          <w:color w:val="auto"/>
          <w:highlight w:val="yellow"/>
        </w:rPr>
        <w:t>Emulate the “intravenous” route by administ</w:t>
      </w:r>
      <w:r w:rsidR="00182D70" w:rsidRPr="007679BB">
        <w:rPr>
          <w:rFonts w:asciiTheme="minorHAnsi" w:hAnsiTheme="minorHAnsi" w:cstheme="minorHAnsi"/>
          <w:color w:val="auto"/>
          <w:highlight w:val="yellow"/>
        </w:rPr>
        <w:t>ering</w:t>
      </w:r>
      <w:r w:rsidRPr="007679BB">
        <w:rPr>
          <w:rFonts w:asciiTheme="minorHAnsi" w:hAnsiTheme="minorHAnsi" w:cstheme="minorHAnsi"/>
          <w:color w:val="auto"/>
          <w:highlight w:val="yellow"/>
        </w:rPr>
        <w:t xml:space="preserve"> 2 µM APAP solution directly into the liver compartment. Aspirate all 2-OC medium content. Pipette 650 µL of Williams E</w:t>
      </w:r>
      <w:r w:rsidR="00F44550" w:rsidRPr="007679BB">
        <w:rPr>
          <w:rFonts w:asciiTheme="minorHAnsi" w:hAnsiTheme="minorHAnsi" w:cstheme="minorHAnsi"/>
          <w:color w:val="auto"/>
          <w:highlight w:val="yellow"/>
        </w:rPr>
        <w:t xml:space="preserve"> S</w:t>
      </w:r>
      <w:r w:rsidRPr="007679BB">
        <w:rPr>
          <w:rFonts w:asciiTheme="minorHAnsi" w:hAnsiTheme="minorHAnsi" w:cstheme="minorHAnsi"/>
          <w:color w:val="auto"/>
          <w:highlight w:val="yellow"/>
        </w:rPr>
        <w:t xml:space="preserve"> containing the test substance into the large compartment and 350 µL of the same media into the smaller compartment which </w:t>
      </w:r>
      <w:r w:rsidRPr="007679BB">
        <w:rPr>
          <w:rFonts w:asciiTheme="minorHAnsi" w:hAnsiTheme="minorHAnsi" w:cstheme="minorHAnsi"/>
          <w:noProof/>
          <w:color w:val="auto"/>
          <w:highlight w:val="yellow"/>
        </w:rPr>
        <w:t>contains</w:t>
      </w:r>
      <w:r w:rsidRPr="007679BB">
        <w:rPr>
          <w:rFonts w:asciiTheme="minorHAnsi" w:hAnsiTheme="minorHAnsi" w:cstheme="minorHAnsi"/>
          <w:color w:val="auto"/>
          <w:highlight w:val="yellow"/>
        </w:rPr>
        <w:t xml:space="preserve"> the 20 spheroids.</w:t>
      </w:r>
      <w:r w:rsidR="00EA1B43" w:rsidRPr="007679BB">
        <w:rPr>
          <w:rFonts w:asciiTheme="minorHAnsi" w:hAnsiTheme="minorHAnsi" w:cstheme="minorHAnsi"/>
          <w:color w:val="auto"/>
          <w:highlight w:val="yellow"/>
        </w:rPr>
        <w:t xml:space="preserve"> </w:t>
      </w:r>
      <w:r w:rsidRPr="007679BB">
        <w:rPr>
          <w:rFonts w:asciiTheme="minorHAnsi" w:hAnsiTheme="minorHAnsi" w:cstheme="minorHAnsi"/>
          <w:color w:val="auto"/>
          <w:highlight w:val="yellow"/>
        </w:rPr>
        <w:t>Collect all volume</w:t>
      </w:r>
      <w:r w:rsidR="008173B3">
        <w:rPr>
          <w:rFonts w:asciiTheme="minorHAnsi" w:hAnsiTheme="minorHAnsi" w:cstheme="minorHAnsi"/>
          <w:color w:val="auto"/>
          <w:highlight w:val="yellow"/>
        </w:rPr>
        <w:t>s</w:t>
      </w:r>
      <w:r w:rsidRPr="007679BB">
        <w:rPr>
          <w:rFonts w:asciiTheme="minorHAnsi" w:hAnsiTheme="minorHAnsi" w:cstheme="minorHAnsi"/>
          <w:color w:val="auto"/>
          <w:highlight w:val="yellow"/>
        </w:rPr>
        <w:t xml:space="preserve"> </w:t>
      </w:r>
      <w:r w:rsidR="008173B3">
        <w:rPr>
          <w:rFonts w:asciiTheme="minorHAnsi" w:hAnsiTheme="minorHAnsi" w:cstheme="minorHAnsi"/>
          <w:color w:val="auto"/>
          <w:highlight w:val="yellow"/>
        </w:rPr>
        <w:t>at</w:t>
      </w:r>
      <w:r w:rsidRPr="007679BB">
        <w:rPr>
          <w:rFonts w:asciiTheme="minorHAnsi" w:hAnsiTheme="minorHAnsi" w:cstheme="minorHAnsi"/>
          <w:color w:val="auto"/>
          <w:highlight w:val="yellow"/>
        </w:rPr>
        <w:t xml:space="preserve"> </w:t>
      </w:r>
      <w:r w:rsidRPr="007679BB">
        <w:rPr>
          <w:rFonts w:asciiTheme="minorHAnsi" w:hAnsiTheme="minorHAnsi" w:cstheme="minorHAnsi"/>
          <w:noProof/>
          <w:color w:val="auto"/>
          <w:highlight w:val="yellow"/>
        </w:rPr>
        <w:t>the following</w:t>
      </w:r>
      <w:r w:rsidRPr="007679BB">
        <w:rPr>
          <w:rFonts w:asciiTheme="minorHAnsi" w:hAnsiTheme="minorHAnsi" w:cstheme="minorHAnsi"/>
          <w:color w:val="auto"/>
          <w:highlight w:val="yellow"/>
        </w:rPr>
        <w:t xml:space="preserve"> time points: 0 h, 30 min, 1 h, 2 h, 3 h, 6 h, 12 h, </w:t>
      </w:r>
      <w:r w:rsidRPr="007679BB">
        <w:rPr>
          <w:rFonts w:asciiTheme="minorHAnsi" w:hAnsiTheme="minorHAnsi" w:cstheme="minorHAnsi"/>
          <w:noProof/>
          <w:color w:val="auto"/>
          <w:highlight w:val="yellow"/>
        </w:rPr>
        <w:t>and</w:t>
      </w:r>
      <w:r w:rsidRPr="007679BB">
        <w:rPr>
          <w:rFonts w:asciiTheme="minorHAnsi" w:hAnsiTheme="minorHAnsi" w:cstheme="minorHAnsi"/>
          <w:color w:val="auto"/>
          <w:highlight w:val="yellow"/>
        </w:rPr>
        <w:t xml:space="preserve"> 24 h</w:t>
      </w:r>
      <w:r w:rsidRPr="007679BB">
        <w:rPr>
          <w:rFonts w:asciiTheme="minorHAnsi" w:hAnsiTheme="minorHAnsi" w:cstheme="minorHAnsi"/>
          <w:color w:val="auto"/>
          <w:highlight w:val="yellow"/>
        </w:rPr>
        <w:fldChar w:fldCharType="begin" w:fldLock="1"/>
      </w:r>
      <w:r w:rsidR="00DE664D" w:rsidRPr="007679BB">
        <w:rPr>
          <w:rFonts w:asciiTheme="minorHAnsi" w:hAnsiTheme="minorHAnsi" w:cstheme="minorHAnsi"/>
          <w:color w:val="auto"/>
          <w:highlight w:val="yellow"/>
        </w:rPr>
        <w:instrText>ADDIN CSL_CITATION {"citationItems":[{"id":"ITEM-1","itemData":{"DOI":"10.2165/00003088-198207020-00001","ISBN":"0312-5963","ISSN":"11791926","PMID":"7039926","abstract":"In therapeutic doses paracetamol is a safe analgesic, but in overdosage it can cause severe hepatic necrosis. Following oral administration it is rapidly absorbed from the gastrointestinal tract, its systemic bioavailability being dose-dependent and ranging from 70 to 90%. Its rate of oral absorption is predominantly dependent on the rate of gastric emptying, being delayed by food, propantheline, pethidine and diamorphine and enhanced by metoclopramide. Paracetamol is also well absorbed from the rectum. It distributes rapidly and evenly throughout most tissues and fluids and has a volume of distribution of approximately 0.9L/kg. 10 to 20% of the drug is bound to red blood cells. Paracetamol is extensively metabolised (predominantly in the liver), the major metabolites being the sulphate and glucuronide conjugates. A minor fraction of drug is converted to a highly reactive alkylating metabolite which is inactivated with reduced glutathione and excreted in the urine as cysteine and mercapturic acid conjugates. Large doses of paracetamol (overdoses) cause acute hepatic necrosis as a result of depletion of glutathione and of binding of the excess reactive metabolite to vital cell constituents. This damage can be prevented by the early administration of sulfhydryl compounds such as methionine and N-acetylcysteine. In healthy subjects 85 to 95% of a therapeutic dose is excreted in the urine within 24 hours with about 4, 55, 30, 4 and 4% appearing as unchanged paracetamol and its glucuronide, sulphate, mercapturic acid and cysteine conjugates, respectively. The plasma half-life in such subjects ranges from 1.9 to 2.5 hours and the total body clearance from 4.5 to 5.5 ml/kg/min. Age has little effect on the plasma half-life, which is shortened in patients taking anticonvulsants. The plasma half-life is usually normal in patients with mild chronic liver disease, but its prolonged in those with decompensated liver disease.","author":[{"dropping-particle":"","family":"Forrest","given":"John A.H.","non-dropping-particle":"","parse-names":false,"suffix":""},{"dropping-particle":"","family":"Clements","given":"J. A.","non-dropping-particle":"","parse-names":false,"suffix":""},{"dropping-particle":"","family":"Prescott","given":"L. F.","non-dropping-particle":"","parse-names":false,"suffix":""}],"container-title":"Clinical Pharmacokinetics","id":"ITEM-1","issue":"2","issued":{"date-parts":[["1982"]]},"page":"93-107","title":"Clinical Pharmacokinetics of Paracetamol","type":"article-journal","volume":"7"},"uris":["http://www.mendeley.com/documents/?uuid=66350ab6-5567-3706-a0d0-bf5de7beaf63"]},{"id":"ITEM-2","itemData":{"ISBN":"0443051488, 9780443051487","author":[{"dropping-particle":"","family":"Dollery","given":"C.","non-dropping-particle":"","parse-names":false,"suffix":""}],"edition":"Vol 1&amp;2","id":"ITEM-2","issued":{"date-parts":[["1999"]]},"number-of-pages":"3184","publisher":"Churchill Livingstone","publisher-place":"London","title":"Therapeutic Drugs","type":"book"},"uris":["http://www.mendeley.com/documents/?uuid=87b1db0d-ea94-4de3-878c-039a2b49792b"]}],"mendeley":{"formattedCitation":"&lt;sup&gt;27, 28&lt;/sup&gt;","plainTextFormattedCitation":"27, 28","previouslyFormattedCitation":"&lt;sup&gt;27, 28&lt;/sup&gt;"},"properties":{"noteIndex":0},"schema":"https://github.com/citation-style-language/schema/raw/master/csl-citation.json"}</w:instrText>
      </w:r>
      <w:r w:rsidRPr="007679BB">
        <w:rPr>
          <w:rFonts w:asciiTheme="minorHAnsi" w:hAnsiTheme="minorHAnsi" w:cstheme="minorHAnsi"/>
          <w:color w:val="auto"/>
          <w:highlight w:val="yellow"/>
        </w:rPr>
        <w:fldChar w:fldCharType="separate"/>
      </w:r>
      <w:r w:rsidR="0077280B" w:rsidRPr="007679BB">
        <w:rPr>
          <w:rFonts w:asciiTheme="minorHAnsi" w:hAnsiTheme="minorHAnsi" w:cstheme="minorHAnsi"/>
          <w:noProof/>
          <w:color w:val="auto"/>
          <w:highlight w:val="yellow"/>
          <w:vertAlign w:val="superscript"/>
        </w:rPr>
        <w:t>27,28</w:t>
      </w:r>
      <w:r w:rsidRPr="007679BB">
        <w:rPr>
          <w:rFonts w:asciiTheme="minorHAnsi" w:hAnsiTheme="minorHAnsi" w:cstheme="minorHAnsi"/>
          <w:color w:val="auto"/>
          <w:highlight w:val="yellow"/>
        </w:rPr>
        <w:fldChar w:fldCharType="end"/>
      </w:r>
      <w:r w:rsidRPr="007679BB">
        <w:rPr>
          <w:rFonts w:asciiTheme="minorHAnsi" w:hAnsiTheme="minorHAnsi" w:cstheme="minorHAnsi"/>
          <w:color w:val="auto"/>
          <w:highlight w:val="yellow"/>
        </w:rPr>
        <w:t xml:space="preserve">. </w:t>
      </w:r>
    </w:p>
    <w:p w14:paraId="66CB5F3C" w14:textId="77777777" w:rsidR="001D52E2" w:rsidRPr="007679BB" w:rsidRDefault="001D52E2" w:rsidP="0054535F">
      <w:pPr>
        <w:pStyle w:val="ListParagraph"/>
        <w:ind w:left="0" w:right="4"/>
        <w:rPr>
          <w:rFonts w:asciiTheme="minorHAnsi" w:hAnsiTheme="minorHAnsi" w:cstheme="minorHAnsi"/>
          <w:color w:val="000000" w:themeColor="text1"/>
          <w:highlight w:val="yellow"/>
        </w:rPr>
      </w:pPr>
    </w:p>
    <w:p w14:paraId="4DA314D3" w14:textId="30B428A6" w:rsidR="001D52E2" w:rsidRPr="007679BB" w:rsidRDefault="001D52E2" w:rsidP="0054535F">
      <w:pPr>
        <w:pStyle w:val="ListParagraph"/>
        <w:numPr>
          <w:ilvl w:val="2"/>
          <w:numId w:val="38"/>
        </w:numPr>
        <w:ind w:left="0" w:right="4" w:firstLine="0"/>
        <w:rPr>
          <w:rFonts w:asciiTheme="minorHAnsi" w:hAnsiTheme="minorHAnsi" w:cstheme="minorHAnsi"/>
          <w:color w:val="auto"/>
          <w:highlight w:val="yellow"/>
        </w:rPr>
      </w:pPr>
      <w:r w:rsidRPr="007679BB">
        <w:rPr>
          <w:rFonts w:asciiTheme="minorHAnsi" w:hAnsiTheme="minorHAnsi" w:cstheme="minorHAnsi"/>
          <w:color w:val="auto"/>
          <w:highlight w:val="yellow"/>
        </w:rPr>
        <w:t>Perform all experiments in triplicate, at static and dynamic conditions. Collect each sample, of each triplicate, in a separate microtube.</w:t>
      </w:r>
      <w:r w:rsidR="00092CF2" w:rsidRPr="007679BB">
        <w:rPr>
          <w:rFonts w:asciiTheme="minorHAnsi" w:hAnsiTheme="minorHAnsi" w:cstheme="minorHAnsi"/>
          <w:color w:val="auto"/>
          <w:highlight w:val="yellow"/>
        </w:rPr>
        <w:t xml:space="preserve"> </w:t>
      </w:r>
      <w:r w:rsidRPr="007679BB">
        <w:rPr>
          <w:rFonts w:asciiTheme="minorHAnsi" w:hAnsiTheme="minorHAnsi" w:cstheme="minorHAnsi"/>
          <w:color w:val="auto"/>
          <w:highlight w:val="yellow"/>
        </w:rPr>
        <w:t xml:space="preserve">Analyze the samples using HPLC/UV. </w:t>
      </w:r>
    </w:p>
    <w:p w14:paraId="284DCB95" w14:textId="08E6DD1B" w:rsidR="00932EC1" w:rsidRPr="007679BB" w:rsidRDefault="00932EC1" w:rsidP="0054535F">
      <w:pPr>
        <w:ind w:right="4"/>
        <w:contextualSpacing/>
        <w:rPr>
          <w:rFonts w:asciiTheme="minorHAnsi" w:hAnsiTheme="minorHAnsi" w:cstheme="minorHAnsi"/>
          <w:color w:val="auto"/>
          <w:highlight w:val="yellow"/>
        </w:rPr>
      </w:pPr>
    </w:p>
    <w:p w14:paraId="4B87E001" w14:textId="04B0A60D" w:rsidR="00932EC1" w:rsidRPr="007679BB" w:rsidRDefault="00932EC1" w:rsidP="0054535F">
      <w:pPr>
        <w:pStyle w:val="ListParagraph"/>
        <w:numPr>
          <w:ilvl w:val="0"/>
          <w:numId w:val="38"/>
        </w:numPr>
        <w:ind w:left="0" w:right="4" w:firstLine="0"/>
        <w:rPr>
          <w:rFonts w:asciiTheme="minorHAnsi" w:hAnsiTheme="minorHAnsi" w:cstheme="minorHAnsi"/>
          <w:color w:val="auto"/>
          <w:highlight w:val="yellow"/>
        </w:rPr>
      </w:pPr>
      <w:r w:rsidRPr="007679BB">
        <w:rPr>
          <w:rFonts w:asciiTheme="minorHAnsi" w:hAnsiTheme="minorHAnsi" w:cstheme="minorHAnsi"/>
          <w:b/>
          <w:color w:val="auto"/>
          <w:highlight w:val="yellow"/>
        </w:rPr>
        <w:t>Instrumentation and chromatographic conditions</w:t>
      </w:r>
    </w:p>
    <w:p w14:paraId="07DEFE64" w14:textId="77777777" w:rsidR="00CA1BC4" w:rsidRPr="007679BB" w:rsidRDefault="00CA1BC4" w:rsidP="0054535F">
      <w:pPr>
        <w:pStyle w:val="ListParagraph"/>
        <w:ind w:left="0" w:right="4"/>
        <w:rPr>
          <w:rFonts w:asciiTheme="minorHAnsi" w:hAnsiTheme="minorHAnsi" w:cstheme="minorHAnsi"/>
          <w:color w:val="auto"/>
          <w:highlight w:val="yellow"/>
        </w:rPr>
      </w:pPr>
    </w:p>
    <w:p w14:paraId="1CF32483" w14:textId="77777777" w:rsidR="00932EC1" w:rsidRPr="007679BB" w:rsidRDefault="00932EC1" w:rsidP="0054535F">
      <w:pPr>
        <w:pStyle w:val="ListParagraph"/>
        <w:numPr>
          <w:ilvl w:val="1"/>
          <w:numId w:val="38"/>
        </w:numPr>
        <w:ind w:left="0" w:right="4" w:firstLine="0"/>
        <w:rPr>
          <w:rFonts w:asciiTheme="minorHAnsi" w:hAnsiTheme="minorHAnsi" w:cstheme="minorHAnsi"/>
          <w:bCs/>
          <w:color w:val="auto"/>
          <w:highlight w:val="yellow"/>
        </w:rPr>
      </w:pPr>
      <w:r w:rsidRPr="007679BB">
        <w:rPr>
          <w:rFonts w:asciiTheme="minorHAnsi" w:hAnsiTheme="minorHAnsi" w:cstheme="minorHAnsi"/>
          <w:bCs/>
          <w:color w:val="auto"/>
          <w:highlight w:val="yellow"/>
        </w:rPr>
        <w:t>HPLC analysis</w:t>
      </w:r>
    </w:p>
    <w:p w14:paraId="36CC695E" w14:textId="77777777" w:rsidR="00932EC1" w:rsidRPr="007679BB" w:rsidRDefault="00932EC1" w:rsidP="0054535F">
      <w:pPr>
        <w:pStyle w:val="ListParagraph"/>
        <w:ind w:left="0" w:right="4"/>
        <w:rPr>
          <w:rFonts w:asciiTheme="minorHAnsi" w:hAnsiTheme="minorHAnsi" w:cstheme="minorHAnsi"/>
          <w:color w:val="auto"/>
          <w:highlight w:val="yellow"/>
        </w:rPr>
      </w:pPr>
    </w:p>
    <w:p w14:paraId="0C74D1BF" w14:textId="3B60587A" w:rsidR="00932EC1" w:rsidRPr="007679BB" w:rsidRDefault="008E4F90" w:rsidP="0054535F">
      <w:pPr>
        <w:pStyle w:val="ListParagraph"/>
        <w:numPr>
          <w:ilvl w:val="2"/>
          <w:numId w:val="38"/>
        </w:numPr>
        <w:ind w:left="0" w:right="4" w:firstLine="0"/>
        <w:rPr>
          <w:rFonts w:asciiTheme="minorHAnsi" w:hAnsiTheme="minorHAnsi" w:cstheme="minorHAnsi"/>
          <w:color w:val="auto"/>
          <w:highlight w:val="yellow"/>
        </w:rPr>
      </w:pPr>
      <w:r w:rsidRPr="007679BB">
        <w:rPr>
          <w:rFonts w:asciiTheme="minorHAnsi" w:hAnsiTheme="minorHAnsi" w:cstheme="minorHAnsi"/>
          <w:color w:val="auto"/>
          <w:highlight w:val="yellow"/>
        </w:rPr>
        <w:t xml:space="preserve"> </w:t>
      </w:r>
      <w:r w:rsidR="00A36009" w:rsidRPr="007679BB">
        <w:rPr>
          <w:rFonts w:asciiTheme="minorHAnsi" w:hAnsiTheme="minorHAnsi" w:cstheme="minorHAnsi"/>
          <w:color w:val="auto"/>
          <w:highlight w:val="yellow"/>
        </w:rPr>
        <w:t>Set all relevant parameters for the HPLC analysis a</w:t>
      </w:r>
      <w:r w:rsidR="00932EC1" w:rsidRPr="007679BB">
        <w:rPr>
          <w:rFonts w:asciiTheme="minorHAnsi" w:hAnsiTheme="minorHAnsi" w:cstheme="minorHAnsi"/>
          <w:color w:val="auto"/>
          <w:highlight w:val="yellow"/>
        </w:rPr>
        <w:t xml:space="preserve">ccording to </w:t>
      </w:r>
      <w:r w:rsidR="00932EC1" w:rsidRPr="007679BB">
        <w:rPr>
          <w:rFonts w:asciiTheme="minorHAnsi" w:hAnsiTheme="minorHAnsi" w:cstheme="minorHAnsi"/>
          <w:b/>
          <w:bCs/>
          <w:color w:val="auto"/>
          <w:highlight w:val="yellow"/>
        </w:rPr>
        <w:t>Table 1</w:t>
      </w:r>
      <w:r w:rsidR="00A36009" w:rsidRPr="007679BB">
        <w:rPr>
          <w:rFonts w:asciiTheme="minorHAnsi" w:hAnsiTheme="minorHAnsi" w:cstheme="minorHAnsi"/>
          <w:color w:val="auto"/>
          <w:highlight w:val="yellow"/>
        </w:rPr>
        <w:t>.</w:t>
      </w:r>
    </w:p>
    <w:p w14:paraId="46E50A71" w14:textId="77777777" w:rsidR="00A36009" w:rsidRPr="007679BB" w:rsidRDefault="00A36009" w:rsidP="0054535F">
      <w:pPr>
        <w:pStyle w:val="ListParagraph"/>
        <w:ind w:left="0" w:right="4"/>
        <w:rPr>
          <w:rFonts w:asciiTheme="minorHAnsi" w:hAnsiTheme="minorHAnsi" w:cstheme="minorHAnsi"/>
          <w:color w:val="auto"/>
          <w:highlight w:val="yellow"/>
        </w:rPr>
      </w:pPr>
    </w:p>
    <w:p w14:paraId="066FDB1A" w14:textId="06045441" w:rsidR="00932EC1" w:rsidRPr="007679BB" w:rsidRDefault="00932EC1" w:rsidP="0054535F">
      <w:pPr>
        <w:pStyle w:val="ListParagraph"/>
        <w:numPr>
          <w:ilvl w:val="2"/>
          <w:numId w:val="38"/>
        </w:numPr>
        <w:ind w:left="0" w:right="4" w:firstLine="0"/>
        <w:rPr>
          <w:rFonts w:asciiTheme="minorHAnsi" w:hAnsiTheme="minorHAnsi" w:cstheme="minorHAnsi"/>
          <w:color w:val="auto"/>
          <w:highlight w:val="yellow"/>
        </w:rPr>
      </w:pPr>
      <w:r w:rsidRPr="007679BB">
        <w:rPr>
          <w:rFonts w:asciiTheme="minorHAnsi" w:hAnsiTheme="minorHAnsi" w:cstheme="minorHAnsi"/>
          <w:color w:val="auto"/>
          <w:highlight w:val="yellow"/>
        </w:rPr>
        <w:t xml:space="preserve">Filter the mobile phase through a 0.45 </w:t>
      </w:r>
      <w:r w:rsidR="008173B3">
        <w:rPr>
          <w:rFonts w:asciiTheme="minorHAnsi" w:hAnsiTheme="minorHAnsi" w:cstheme="minorHAnsi"/>
          <w:color w:val="auto"/>
          <w:highlight w:val="yellow"/>
        </w:rPr>
        <w:t>µ</w:t>
      </w:r>
      <w:r w:rsidRPr="007679BB">
        <w:rPr>
          <w:rFonts w:asciiTheme="minorHAnsi" w:hAnsiTheme="minorHAnsi" w:cstheme="minorHAnsi"/>
          <w:color w:val="auto"/>
          <w:highlight w:val="yellow"/>
        </w:rPr>
        <w:t>m membrane filter under vacuum</w:t>
      </w:r>
      <w:r w:rsidR="008173B3">
        <w:rPr>
          <w:rFonts w:asciiTheme="minorHAnsi" w:hAnsiTheme="minorHAnsi" w:cstheme="minorHAnsi"/>
          <w:color w:val="auto"/>
          <w:highlight w:val="yellow"/>
        </w:rPr>
        <w:t>. F</w:t>
      </w:r>
      <w:r w:rsidRPr="007679BB">
        <w:rPr>
          <w:rFonts w:asciiTheme="minorHAnsi" w:hAnsiTheme="minorHAnsi" w:cstheme="minorHAnsi"/>
          <w:color w:val="auto"/>
          <w:highlight w:val="yellow"/>
        </w:rPr>
        <w:t xml:space="preserve">ilter the samples through a 0.22 </w:t>
      </w:r>
      <w:r w:rsidR="008173B3">
        <w:rPr>
          <w:rFonts w:asciiTheme="minorHAnsi" w:hAnsiTheme="minorHAnsi" w:cstheme="minorHAnsi"/>
          <w:color w:val="auto"/>
          <w:highlight w:val="yellow"/>
        </w:rPr>
        <w:t>µ</w:t>
      </w:r>
      <w:r w:rsidRPr="007679BB">
        <w:rPr>
          <w:rFonts w:asciiTheme="minorHAnsi" w:hAnsiTheme="minorHAnsi" w:cstheme="minorHAnsi"/>
          <w:color w:val="auto"/>
          <w:highlight w:val="yellow"/>
        </w:rPr>
        <w:t xml:space="preserve">m pore size PVDF </w:t>
      </w:r>
      <w:r w:rsidR="008173B3">
        <w:rPr>
          <w:rFonts w:asciiTheme="minorHAnsi" w:hAnsiTheme="minorHAnsi" w:cstheme="minorHAnsi"/>
          <w:color w:val="auto"/>
          <w:highlight w:val="yellow"/>
        </w:rPr>
        <w:t>s</w:t>
      </w:r>
      <w:r w:rsidRPr="007679BB">
        <w:rPr>
          <w:rFonts w:asciiTheme="minorHAnsi" w:hAnsiTheme="minorHAnsi" w:cstheme="minorHAnsi"/>
          <w:color w:val="auto"/>
          <w:highlight w:val="yellow"/>
        </w:rPr>
        <w:t>yringe filter (diameter 13 mm) and store them in a vial.</w:t>
      </w:r>
      <w:r w:rsidR="00CA59BF" w:rsidRPr="007679BB">
        <w:rPr>
          <w:rFonts w:asciiTheme="minorHAnsi" w:hAnsiTheme="minorHAnsi" w:cstheme="minorHAnsi"/>
          <w:color w:val="auto"/>
          <w:highlight w:val="yellow"/>
        </w:rPr>
        <w:t xml:space="preserve"> </w:t>
      </w:r>
      <w:r w:rsidRPr="007679BB">
        <w:rPr>
          <w:rFonts w:asciiTheme="minorHAnsi" w:hAnsiTheme="minorHAnsi" w:cstheme="minorHAnsi"/>
          <w:color w:val="auto"/>
          <w:highlight w:val="yellow"/>
        </w:rPr>
        <w:t>Start the measurement.</w:t>
      </w:r>
    </w:p>
    <w:p w14:paraId="65F648C2" w14:textId="77777777" w:rsidR="00932EC1" w:rsidRPr="001220A4" w:rsidRDefault="00932EC1" w:rsidP="0054535F">
      <w:pPr>
        <w:pStyle w:val="ListParagraph"/>
        <w:ind w:left="0" w:right="4"/>
        <w:rPr>
          <w:rFonts w:asciiTheme="minorHAnsi" w:hAnsiTheme="minorHAnsi" w:cstheme="minorHAnsi"/>
          <w:color w:val="auto"/>
        </w:rPr>
      </w:pPr>
    </w:p>
    <w:p w14:paraId="34522DCB" w14:textId="77777777" w:rsidR="00932EC1" w:rsidRPr="00182D70" w:rsidRDefault="00932EC1" w:rsidP="0054535F">
      <w:pPr>
        <w:pStyle w:val="ListParagraph"/>
        <w:numPr>
          <w:ilvl w:val="1"/>
          <w:numId w:val="38"/>
        </w:numPr>
        <w:ind w:left="0" w:right="4" w:firstLine="0"/>
        <w:rPr>
          <w:rFonts w:asciiTheme="minorHAnsi" w:hAnsiTheme="minorHAnsi" w:cstheme="minorHAnsi"/>
          <w:bCs/>
          <w:color w:val="auto"/>
        </w:rPr>
      </w:pPr>
      <w:r w:rsidRPr="00182D70">
        <w:rPr>
          <w:rFonts w:asciiTheme="minorHAnsi" w:hAnsiTheme="minorHAnsi" w:cstheme="minorHAnsi"/>
          <w:bCs/>
          <w:color w:val="auto"/>
        </w:rPr>
        <w:t>Stock solutions, calibration standards, and quality control (QC) samples</w:t>
      </w:r>
    </w:p>
    <w:p w14:paraId="3639F04C" w14:textId="77777777" w:rsidR="00932EC1" w:rsidRPr="001220A4" w:rsidRDefault="00932EC1" w:rsidP="0054535F">
      <w:pPr>
        <w:pStyle w:val="ListParagraph"/>
        <w:ind w:left="0" w:right="4"/>
        <w:rPr>
          <w:rFonts w:asciiTheme="minorHAnsi" w:hAnsiTheme="minorHAnsi" w:cstheme="minorHAnsi"/>
          <w:color w:val="auto"/>
        </w:rPr>
      </w:pPr>
    </w:p>
    <w:p w14:paraId="67C46E1F" w14:textId="06B38F73" w:rsidR="00932EC1" w:rsidRPr="001220A4" w:rsidRDefault="00932EC1"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 xml:space="preserve">Prepare 10 mM of APAP stock solutions in ammonium acetate buffer (100 mM, pH 6.8) and further dilute with DMEM </w:t>
      </w:r>
      <w:r w:rsidR="00F44550" w:rsidRPr="001220A4">
        <w:rPr>
          <w:rFonts w:asciiTheme="minorHAnsi" w:hAnsiTheme="minorHAnsi" w:cstheme="minorHAnsi"/>
          <w:color w:val="auto"/>
        </w:rPr>
        <w:t xml:space="preserve">S </w:t>
      </w:r>
      <w:r w:rsidRPr="001220A4">
        <w:rPr>
          <w:rFonts w:asciiTheme="minorHAnsi" w:hAnsiTheme="minorHAnsi" w:cstheme="minorHAnsi"/>
          <w:color w:val="auto"/>
        </w:rPr>
        <w:t>and Williams</w:t>
      </w:r>
      <w:r w:rsidR="00F44550" w:rsidRPr="001220A4">
        <w:rPr>
          <w:rFonts w:asciiTheme="minorHAnsi" w:hAnsiTheme="minorHAnsi" w:cstheme="minorHAnsi"/>
          <w:color w:val="auto"/>
        </w:rPr>
        <w:t xml:space="preserve"> E S</w:t>
      </w:r>
      <w:r w:rsidRPr="001220A4">
        <w:rPr>
          <w:rFonts w:asciiTheme="minorHAnsi" w:hAnsiTheme="minorHAnsi" w:cstheme="minorHAnsi"/>
          <w:color w:val="auto"/>
        </w:rPr>
        <w:t xml:space="preserve"> cell culture media diluted with ammonium acetate buffer (1:1, v/v) to achieve the working solutions ranging from 0.25 to 100.00 µM.</w:t>
      </w:r>
    </w:p>
    <w:p w14:paraId="63EA3E38" w14:textId="77777777" w:rsidR="00D75CB4" w:rsidRPr="001220A4" w:rsidRDefault="00D75CB4" w:rsidP="0054535F">
      <w:pPr>
        <w:pStyle w:val="ListParagraph"/>
        <w:ind w:left="0" w:right="4"/>
        <w:rPr>
          <w:rFonts w:asciiTheme="minorHAnsi" w:hAnsiTheme="minorHAnsi" w:cstheme="minorHAnsi"/>
          <w:color w:val="auto"/>
        </w:rPr>
      </w:pPr>
    </w:p>
    <w:p w14:paraId="75C18548" w14:textId="554E0768" w:rsidR="00932EC1" w:rsidRPr="001220A4" w:rsidRDefault="00932EC1"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 xml:space="preserve">Include a set of calibration samples in triplicate as well as quality control samples at four levels in triplicate. </w:t>
      </w:r>
      <w:r w:rsidR="008173B3">
        <w:rPr>
          <w:rFonts w:asciiTheme="minorHAnsi" w:hAnsiTheme="minorHAnsi" w:cstheme="minorHAnsi"/>
          <w:color w:val="auto"/>
        </w:rPr>
        <w:t>Prepare t</w:t>
      </w:r>
      <w:r w:rsidRPr="001220A4">
        <w:rPr>
          <w:rFonts w:asciiTheme="minorHAnsi" w:hAnsiTheme="minorHAnsi" w:cstheme="minorHAnsi"/>
          <w:color w:val="auto"/>
        </w:rPr>
        <w:t>hese standards by serial dilution.</w:t>
      </w:r>
    </w:p>
    <w:p w14:paraId="2F3B5A35" w14:textId="77777777" w:rsidR="000355C5" w:rsidRPr="001220A4" w:rsidRDefault="000355C5" w:rsidP="0054535F">
      <w:pPr>
        <w:pStyle w:val="ListParagraph"/>
        <w:ind w:left="0" w:right="4"/>
        <w:rPr>
          <w:rFonts w:asciiTheme="minorHAnsi" w:hAnsiTheme="minorHAnsi" w:cstheme="minorHAnsi"/>
          <w:color w:val="auto"/>
        </w:rPr>
      </w:pPr>
    </w:p>
    <w:p w14:paraId="4B4840A5" w14:textId="24DAF628" w:rsidR="00932EC1" w:rsidRPr="001220A4" w:rsidRDefault="00932EC1"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Create calibration curves of APAP peak areas versus APAP nominal standard concentrations.</w:t>
      </w:r>
      <w:r w:rsidR="00092CF2" w:rsidRPr="001220A4">
        <w:rPr>
          <w:rFonts w:asciiTheme="minorHAnsi" w:hAnsiTheme="minorHAnsi" w:cstheme="minorHAnsi"/>
          <w:color w:val="auto"/>
        </w:rPr>
        <w:t xml:space="preserve"> </w:t>
      </w:r>
      <w:r w:rsidRPr="001220A4">
        <w:rPr>
          <w:rFonts w:asciiTheme="minorHAnsi" w:hAnsiTheme="minorHAnsi" w:cstheme="minorHAnsi"/>
          <w:color w:val="auto"/>
        </w:rPr>
        <w:t>Determine the linear regression fit for each calibration curve.</w:t>
      </w:r>
      <w:r w:rsidR="00092CF2" w:rsidRPr="001220A4">
        <w:rPr>
          <w:rFonts w:asciiTheme="minorHAnsi" w:hAnsiTheme="minorHAnsi" w:cstheme="minorHAnsi"/>
          <w:color w:val="auto"/>
        </w:rPr>
        <w:t xml:space="preserve"> </w:t>
      </w:r>
      <w:r w:rsidRPr="001220A4">
        <w:rPr>
          <w:rFonts w:asciiTheme="minorHAnsi" w:hAnsiTheme="minorHAnsi" w:cstheme="minorHAnsi"/>
          <w:color w:val="auto"/>
        </w:rPr>
        <w:t>Evaluate the goodness-of-fit of various calibration models by visual inspection, correlation coefficient, intra- and inter-run accuracy and precision values.</w:t>
      </w:r>
    </w:p>
    <w:p w14:paraId="7584F892" w14:textId="77777777" w:rsidR="000355C5" w:rsidRPr="001220A4" w:rsidRDefault="000355C5" w:rsidP="0054535F">
      <w:pPr>
        <w:pStyle w:val="ListParagraph"/>
        <w:ind w:left="0" w:right="4"/>
        <w:rPr>
          <w:rFonts w:asciiTheme="minorHAnsi" w:hAnsiTheme="minorHAnsi" w:cstheme="minorHAnsi"/>
          <w:color w:val="auto"/>
        </w:rPr>
      </w:pPr>
    </w:p>
    <w:p w14:paraId="6FE0F31B" w14:textId="28AB0C27" w:rsidR="000355C5" w:rsidRPr="001220A4" w:rsidRDefault="00932EC1"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Inject blank samples of DMEM</w:t>
      </w:r>
      <w:r w:rsidR="00F44550" w:rsidRPr="001220A4">
        <w:rPr>
          <w:rFonts w:asciiTheme="minorHAnsi" w:hAnsiTheme="minorHAnsi" w:cstheme="minorHAnsi"/>
          <w:color w:val="auto"/>
        </w:rPr>
        <w:t xml:space="preserve"> S</w:t>
      </w:r>
      <w:r w:rsidRPr="001220A4">
        <w:rPr>
          <w:rFonts w:asciiTheme="minorHAnsi" w:hAnsiTheme="minorHAnsi" w:cstheme="minorHAnsi"/>
          <w:color w:val="auto"/>
        </w:rPr>
        <w:t xml:space="preserve"> and Williams</w:t>
      </w:r>
      <w:r w:rsidR="00F44550" w:rsidRPr="001220A4">
        <w:rPr>
          <w:rFonts w:asciiTheme="minorHAnsi" w:hAnsiTheme="minorHAnsi" w:cstheme="minorHAnsi"/>
          <w:color w:val="auto"/>
        </w:rPr>
        <w:t xml:space="preserve"> E S</w:t>
      </w:r>
      <w:r w:rsidRPr="001220A4">
        <w:rPr>
          <w:rFonts w:asciiTheme="minorHAnsi" w:hAnsiTheme="minorHAnsi" w:cstheme="minorHAnsi"/>
          <w:color w:val="auto"/>
        </w:rPr>
        <w:t xml:space="preserve"> media diluted in ammonium acetate buffer (1:1, v/v) in sextuplicate.</w:t>
      </w:r>
      <w:r w:rsidR="00092CF2" w:rsidRPr="001220A4">
        <w:rPr>
          <w:rFonts w:asciiTheme="minorHAnsi" w:hAnsiTheme="minorHAnsi" w:cstheme="minorHAnsi"/>
          <w:color w:val="auto"/>
        </w:rPr>
        <w:t xml:space="preserve"> </w:t>
      </w:r>
      <w:r w:rsidRPr="001220A4">
        <w:rPr>
          <w:rFonts w:asciiTheme="minorHAnsi" w:hAnsiTheme="minorHAnsi" w:cstheme="minorHAnsi"/>
          <w:color w:val="auto"/>
        </w:rPr>
        <w:t>Prepare triplicates of quality control samples in DMEM</w:t>
      </w:r>
      <w:r w:rsidR="00F44550" w:rsidRPr="001220A4">
        <w:rPr>
          <w:rFonts w:asciiTheme="minorHAnsi" w:hAnsiTheme="minorHAnsi" w:cstheme="minorHAnsi"/>
          <w:color w:val="auto"/>
        </w:rPr>
        <w:t xml:space="preserve"> S</w:t>
      </w:r>
      <w:r w:rsidRPr="001220A4">
        <w:rPr>
          <w:rFonts w:asciiTheme="minorHAnsi" w:hAnsiTheme="minorHAnsi" w:cstheme="minorHAnsi"/>
          <w:color w:val="auto"/>
        </w:rPr>
        <w:t xml:space="preserve"> and Williams</w:t>
      </w:r>
      <w:r w:rsidR="00F44550" w:rsidRPr="001220A4">
        <w:rPr>
          <w:rFonts w:asciiTheme="minorHAnsi" w:hAnsiTheme="minorHAnsi" w:cstheme="minorHAnsi"/>
          <w:color w:val="auto"/>
        </w:rPr>
        <w:t xml:space="preserve"> E S</w:t>
      </w:r>
      <w:r w:rsidRPr="001220A4">
        <w:rPr>
          <w:rFonts w:asciiTheme="minorHAnsi" w:hAnsiTheme="minorHAnsi" w:cstheme="minorHAnsi"/>
          <w:color w:val="auto"/>
        </w:rPr>
        <w:t xml:space="preserve"> media diluted with ammonium acetate buffer (1:1, v/v) for the APAP concentrations of 0.50 (LOQ), 4.50, 45.00 and 90.00 </w:t>
      </w:r>
      <w:r w:rsidR="008173B3">
        <w:rPr>
          <w:rFonts w:asciiTheme="minorHAnsi" w:hAnsiTheme="minorHAnsi" w:cstheme="minorHAnsi"/>
          <w:color w:val="auto"/>
        </w:rPr>
        <w:t>µ</w:t>
      </w:r>
      <w:r w:rsidRPr="001220A4">
        <w:rPr>
          <w:rFonts w:asciiTheme="minorHAnsi" w:hAnsiTheme="minorHAnsi" w:cstheme="minorHAnsi"/>
          <w:color w:val="auto"/>
        </w:rPr>
        <w:t>M.</w:t>
      </w:r>
    </w:p>
    <w:p w14:paraId="02721D2A" w14:textId="77777777" w:rsidR="000355C5" w:rsidRPr="001220A4" w:rsidRDefault="000355C5" w:rsidP="0054535F">
      <w:pPr>
        <w:pStyle w:val="ListParagraph"/>
        <w:ind w:left="0" w:right="4"/>
        <w:rPr>
          <w:rFonts w:asciiTheme="minorHAnsi" w:hAnsiTheme="minorHAnsi" w:cstheme="minorHAnsi"/>
          <w:color w:val="auto"/>
        </w:rPr>
      </w:pPr>
    </w:p>
    <w:p w14:paraId="52F83BBE" w14:textId="03A8B749" w:rsidR="00932EC1" w:rsidRPr="001220A4" w:rsidRDefault="00932EC1"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 xml:space="preserve">Ensure that the quality </w:t>
      </w:r>
      <w:r w:rsidR="00F44550" w:rsidRPr="001220A4">
        <w:rPr>
          <w:rFonts w:asciiTheme="minorHAnsi" w:hAnsiTheme="minorHAnsi" w:cstheme="minorHAnsi"/>
          <w:color w:val="auto"/>
        </w:rPr>
        <w:t>control samples</w:t>
      </w:r>
      <w:r w:rsidRPr="001220A4">
        <w:rPr>
          <w:rFonts w:asciiTheme="minorHAnsi" w:hAnsiTheme="minorHAnsi" w:cstheme="minorHAnsi"/>
          <w:color w:val="auto"/>
        </w:rPr>
        <w:t xml:space="preserve"> are prepared from a new stock solution, different from that used to generate a standard curve.</w:t>
      </w:r>
      <w:r w:rsidR="00092CF2" w:rsidRPr="001220A4">
        <w:rPr>
          <w:rFonts w:asciiTheme="minorHAnsi" w:hAnsiTheme="minorHAnsi" w:cstheme="minorHAnsi"/>
          <w:color w:val="auto"/>
        </w:rPr>
        <w:t xml:space="preserve"> </w:t>
      </w:r>
      <w:r w:rsidRPr="001220A4">
        <w:rPr>
          <w:rFonts w:asciiTheme="minorHAnsi" w:hAnsiTheme="minorHAnsi" w:cstheme="minorHAnsi"/>
          <w:color w:val="auto"/>
        </w:rPr>
        <w:t>Use quality control samples to investigate intra- and inter-run variations.</w:t>
      </w:r>
    </w:p>
    <w:p w14:paraId="2CA0E56D" w14:textId="77777777" w:rsidR="00932EC1" w:rsidRPr="001220A4" w:rsidRDefault="00932EC1" w:rsidP="0054535F">
      <w:pPr>
        <w:pStyle w:val="ListParagraph"/>
        <w:ind w:left="0" w:right="4"/>
        <w:rPr>
          <w:rFonts w:asciiTheme="minorHAnsi" w:hAnsiTheme="minorHAnsi" w:cstheme="minorHAnsi"/>
          <w:color w:val="auto"/>
        </w:rPr>
      </w:pPr>
    </w:p>
    <w:p w14:paraId="338E4397" w14:textId="3F9F35A0" w:rsidR="00932EC1" w:rsidRPr="00182D70" w:rsidRDefault="00932EC1" w:rsidP="0054535F">
      <w:pPr>
        <w:pStyle w:val="ListParagraph"/>
        <w:numPr>
          <w:ilvl w:val="1"/>
          <w:numId w:val="38"/>
        </w:numPr>
        <w:ind w:left="0" w:right="4" w:firstLine="0"/>
        <w:rPr>
          <w:rFonts w:asciiTheme="minorHAnsi" w:hAnsiTheme="minorHAnsi" w:cstheme="minorHAnsi"/>
          <w:bCs/>
          <w:color w:val="auto"/>
        </w:rPr>
      </w:pPr>
      <w:r w:rsidRPr="00182D70">
        <w:rPr>
          <w:rFonts w:asciiTheme="minorHAnsi" w:hAnsiTheme="minorHAnsi" w:cstheme="minorHAnsi"/>
          <w:bCs/>
          <w:color w:val="auto"/>
        </w:rPr>
        <w:t xml:space="preserve">Validation </w:t>
      </w:r>
      <w:r w:rsidR="008173B3">
        <w:rPr>
          <w:rFonts w:asciiTheme="minorHAnsi" w:hAnsiTheme="minorHAnsi" w:cstheme="minorHAnsi"/>
          <w:bCs/>
          <w:color w:val="auto"/>
        </w:rPr>
        <w:t>p</w:t>
      </w:r>
      <w:r w:rsidRPr="00182D70">
        <w:rPr>
          <w:rFonts w:asciiTheme="minorHAnsi" w:hAnsiTheme="minorHAnsi" w:cstheme="minorHAnsi"/>
          <w:bCs/>
          <w:color w:val="auto"/>
        </w:rPr>
        <w:t>rocedures</w:t>
      </w:r>
    </w:p>
    <w:p w14:paraId="73C3CC26" w14:textId="77777777" w:rsidR="00932EC1" w:rsidRPr="001220A4" w:rsidRDefault="00932EC1" w:rsidP="0054535F">
      <w:pPr>
        <w:pStyle w:val="ListParagraph"/>
        <w:ind w:left="0" w:right="4"/>
        <w:rPr>
          <w:rFonts w:asciiTheme="minorHAnsi" w:hAnsiTheme="minorHAnsi" w:cstheme="minorHAnsi"/>
          <w:b/>
          <w:color w:val="auto"/>
        </w:rPr>
      </w:pPr>
    </w:p>
    <w:p w14:paraId="59D7FFB9" w14:textId="63B99D9C" w:rsidR="00932EC1" w:rsidRPr="001220A4" w:rsidRDefault="00932EC1"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Perform the bioanalytical method validation following the previously reported procedures</w:t>
      </w:r>
      <w:r w:rsidRPr="001220A4">
        <w:rPr>
          <w:rFonts w:asciiTheme="minorHAnsi" w:hAnsiTheme="minorHAnsi" w:cstheme="minorHAnsi"/>
          <w:color w:val="auto"/>
        </w:rPr>
        <w:fldChar w:fldCharType="begin" w:fldLock="1"/>
      </w:r>
      <w:r w:rsidR="00DE664D" w:rsidRPr="001220A4">
        <w:rPr>
          <w:rFonts w:asciiTheme="minorHAnsi" w:hAnsiTheme="minorHAnsi" w:cstheme="minorHAnsi"/>
          <w:color w:val="auto"/>
        </w:rPr>
        <w:instrText>ADDIN CSL_CITATION {"citationItems":[{"id":"ITEM-1","itemData":{"DOI":"http://www.labcompliance.de/documents/FDA/FDA-Others/Laboratory/f-507-bioanalytical-4252fnl.pdf","ISBN":"3017961508","ISSN":"2229-4708","PMID":"18929516","abstract":"This guidance provides assistance to sponsors of investigational new drug applications (INDs), new drug applications (NDAs), abbreviated new drug applications (ANDAs), and supplements in developing bioanalytical method validation information used in human clinical pharmacology, bioavailability (BA), and bioequivalence (BE) studies requiring pharmacokinetic (PK) evaluation. This guidance also applies to bioanalytical methods used for non-human pharmacology/toxicology studies and preclinical studies.","author":[{"dropping-particle":"","family":"FDA","given":"Food and Drug Administration","non-dropping-particle":"","parse-names":false,"suffix":""},{"dropping-particle":"","family":"Food and Drug Administration","given":"","non-dropping-particle":"","parse-names":false,"suffix":""}],"container-title":"U.S. Department of Health and Human Services","id":"ITEM-1","issued":{"date-parts":[["2013"]]},"title":"Guidance for Industry: Bioanalytical method validation.","type":"book"},"uris":["http://www.mendeley.com/documents/?uuid=c82bea47-d797-3038-bc08-56a5e6e3b41b"]},{"id":"ITEM-2","itemData":{"DOI":"10.1023/A:1007669411738","ISBN":"0724-8741","ISSN":"0724-8741","PMID":"11303967","abstract":"This report is a synthesis of (1) the earlier conference on Analytical Methods Validation−Bioavailability, Bioequiva- lence and Pharmacokinetic Studies (Conference held in Ar- lington, VA, December 3–5, 1990 and the report published in Pharmaceutical Research, 9: 588-592, 1992) and (2) the work- shop on “Bioanalytical Methods Validation—ARevisit with a Decade of Progress,” (Workshop held in Arlington, VA, January 12–14, 2000), sponsored by the American Associa- tion of Pharmaceutical Scientists and the U. S. Food and Drug Administration. The bioanalytical method validation work- shop of January 12–14, 2000 was directed towards small mol- ecules. A separate workshop was held in March 1–3, 2000 to discuss validation principles for macromolecules. The pur- pose of this report is to represent the progress in analytical methodologies over the last decade and assessment of the major agreements and issues discussed with regard to small molecules at both the conference and the workshop. The re- port is also intended to provide guiding principles for valida- tion of bioanalytical methods employed in support of bio- availability, bioequivalence, and pharmacokinetic studies in man and in animals.","author":[{"dropping-particle":"","family":"Shah","given":"V P","non-dropping-particle":"","parse-names":false,"suffix":""},{"dropping-particle":"","family":"Midha","given":"K K","non-dropping-particle":"","parse-names":false,"suffix":""},{"dropping-particle":"","family":"Findlay","given":"J W","non-dropping-particle":"","parse-names":false,"suffix":""},{"dropping-particle":"","family":"Hill","given":"H M","non-dropping-particle":"","parse-names":false,"suffix":""},{"dropping-particle":"","family":"Hulse","given":"J D","non-dropping-particle":"","parse-names":false,"suffix":""},{"dropping-particle":"","family":"McGilveray","given":"I J","non-dropping-particle":"","parse-names":false,"suffix":""},{"dropping-particle":"","family":"McKay","given":"G","non-dropping-particle":"","parse-names":false,"suffix":""},{"dropping-particle":"","family":"Miller","given":"K J","non-dropping-particle":"","parse-names":false,"suffix":""},{"dropping-particle":"","family":"Patnaik","given":"R N","non-dropping-particle":"","parse-names":false,"suffix":""},{"dropping-particle":"","family":"Powell","given":"M L","non-dropping-particle":"","parse-names":false,"suffix":""},{"dropping-particle":"","family":"Tonelli","given":"A","non-dropping-particle":"","parse-names":false,"suffix":""},{"dropping-particle":"","family":"Viswanathan","given":"C T","non-dropping-particle":"","parse-names":false,"suffix":""},{"dropping-particle":"","family":"Yacobi","given":"A","non-dropping-particle":"","parse-names":false,"suffix":""}],"container-title":"Pharmaceutical research","id":"ITEM-2","issue":"12","issued":{"date-parts":[["2000"]]},"page":"1551-1557","title":"Bioanalytical method validation-a revisit with a decade of progress.","type":"article-journal","volume":"17"},"uris":["http://www.mendeley.com/documents/?uuid=e91cdf39-a70d-3f7b-9f06-10c4404eccef"]}],"mendeley":{"formattedCitation":"&lt;sup&gt;29, 30&lt;/sup&gt;","plainTextFormattedCitation":"29, 30","previouslyFormattedCitation":"&lt;sup&gt;29, 30&lt;/sup&gt;"},"properties":{"noteIndex":0},"schema":"https://github.com/citation-style-language/schema/raw/master/csl-citation.json"}</w:instrText>
      </w:r>
      <w:r w:rsidRPr="001220A4">
        <w:rPr>
          <w:rFonts w:asciiTheme="minorHAnsi" w:hAnsiTheme="minorHAnsi" w:cstheme="minorHAnsi"/>
          <w:color w:val="auto"/>
        </w:rPr>
        <w:fldChar w:fldCharType="separate"/>
      </w:r>
      <w:r w:rsidR="0077280B" w:rsidRPr="001220A4">
        <w:rPr>
          <w:rFonts w:asciiTheme="minorHAnsi" w:hAnsiTheme="minorHAnsi" w:cstheme="minorHAnsi"/>
          <w:noProof/>
          <w:color w:val="auto"/>
          <w:vertAlign w:val="superscript"/>
        </w:rPr>
        <w:t>29,30</w:t>
      </w:r>
      <w:r w:rsidRPr="001220A4">
        <w:rPr>
          <w:rFonts w:asciiTheme="minorHAnsi" w:hAnsiTheme="minorHAnsi" w:cstheme="minorHAnsi"/>
          <w:color w:val="auto"/>
        </w:rPr>
        <w:fldChar w:fldCharType="end"/>
      </w:r>
      <w:r w:rsidRPr="001220A4">
        <w:rPr>
          <w:rFonts w:asciiTheme="minorHAnsi" w:hAnsiTheme="minorHAnsi" w:cstheme="minorHAnsi"/>
          <w:color w:val="auto"/>
        </w:rPr>
        <w:t>.</w:t>
      </w:r>
      <w:r w:rsidR="00092CF2" w:rsidRPr="001220A4">
        <w:rPr>
          <w:rFonts w:asciiTheme="minorHAnsi" w:hAnsiTheme="minorHAnsi" w:cstheme="minorHAnsi"/>
          <w:color w:val="auto"/>
        </w:rPr>
        <w:t xml:space="preserve"> </w:t>
      </w:r>
      <w:r w:rsidRPr="001220A4">
        <w:rPr>
          <w:rFonts w:asciiTheme="minorHAnsi" w:hAnsiTheme="minorHAnsi" w:cstheme="minorHAnsi"/>
          <w:color w:val="auto"/>
        </w:rPr>
        <w:t>Carry out the chromatographic runs on five or six separate occasions, considering Williams</w:t>
      </w:r>
      <w:r w:rsidR="00F44550" w:rsidRPr="001220A4">
        <w:rPr>
          <w:rFonts w:asciiTheme="minorHAnsi" w:hAnsiTheme="minorHAnsi" w:cstheme="minorHAnsi"/>
          <w:color w:val="auto"/>
        </w:rPr>
        <w:t xml:space="preserve"> E S</w:t>
      </w:r>
      <w:r w:rsidRPr="001220A4">
        <w:rPr>
          <w:rFonts w:asciiTheme="minorHAnsi" w:hAnsiTheme="minorHAnsi" w:cstheme="minorHAnsi"/>
          <w:color w:val="auto"/>
        </w:rPr>
        <w:t xml:space="preserve"> and DMEM</w:t>
      </w:r>
      <w:r w:rsidR="00F44550" w:rsidRPr="001220A4">
        <w:rPr>
          <w:rFonts w:asciiTheme="minorHAnsi" w:hAnsiTheme="minorHAnsi" w:cstheme="minorHAnsi"/>
          <w:color w:val="auto"/>
        </w:rPr>
        <w:t xml:space="preserve"> S</w:t>
      </w:r>
      <w:r w:rsidRPr="001220A4">
        <w:rPr>
          <w:rFonts w:asciiTheme="minorHAnsi" w:hAnsiTheme="minorHAnsi" w:cstheme="minorHAnsi"/>
          <w:color w:val="auto"/>
        </w:rPr>
        <w:t xml:space="preserve"> cell culture media, respectively.</w:t>
      </w:r>
    </w:p>
    <w:p w14:paraId="04A9292B" w14:textId="77777777" w:rsidR="000355C5" w:rsidRPr="001220A4" w:rsidRDefault="000355C5" w:rsidP="0054535F">
      <w:pPr>
        <w:pStyle w:val="ListParagraph"/>
        <w:ind w:left="0" w:right="4"/>
        <w:rPr>
          <w:rFonts w:asciiTheme="minorHAnsi" w:hAnsiTheme="minorHAnsi" w:cstheme="minorHAnsi"/>
          <w:color w:val="auto"/>
        </w:rPr>
      </w:pPr>
    </w:p>
    <w:p w14:paraId="231077B8" w14:textId="59D4FDD7" w:rsidR="00932EC1" w:rsidRPr="001220A4" w:rsidRDefault="00932EC1"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 xml:space="preserve">Ensure that calibration </w:t>
      </w:r>
      <w:r w:rsidR="008173B3">
        <w:rPr>
          <w:rFonts w:asciiTheme="minorHAnsi" w:hAnsiTheme="minorHAnsi" w:cstheme="minorHAnsi"/>
          <w:color w:val="auto"/>
        </w:rPr>
        <w:t>points</w:t>
      </w:r>
      <w:r w:rsidRPr="001220A4">
        <w:rPr>
          <w:rFonts w:asciiTheme="minorHAnsi" w:hAnsiTheme="minorHAnsi" w:cstheme="minorHAnsi"/>
          <w:color w:val="auto"/>
        </w:rPr>
        <w:t xml:space="preserve"> ranging from 0.25 to 100.00 µM of APAP, in DMEM</w:t>
      </w:r>
      <w:r w:rsidR="00F44550" w:rsidRPr="001220A4">
        <w:rPr>
          <w:rFonts w:asciiTheme="minorHAnsi" w:hAnsiTheme="minorHAnsi" w:cstheme="minorHAnsi"/>
          <w:color w:val="auto"/>
        </w:rPr>
        <w:t xml:space="preserve"> S</w:t>
      </w:r>
      <w:r w:rsidRPr="001220A4">
        <w:rPr>
          <w:rFonts w:asciiTheme="minorHAnsi" w:hAnsiTheme="minorHAnsi" w:cstheme="minorHAnsi"/>
          <w:color w:val="auto"/>
        </w:rPr>
        <w:t xml:space="preserve"> or </w:t>
      </w:r>
      <w:r w:rsidRPr="001220A4">
        <w:rPr>
          <w:rFonts w:asciiTheme="minorHAnsi" w:hAnsiTheme="minorHAnsi" w:cstheme="minorHAnsi"/>
          <w:color w:val="auto"/>
        </w:rPr>
        <w:lastRenderedPageBreak/>
        <w:t>Williams</w:t>
      </w:r>
      <w:r w:rsidR="00F44550" w:rsidRPr="001220A4">
        <w:rPr>
          <w:rFonts w:asciiTheme="minorHAnsi" w:hAnsiTheme="minorHAnsi" w:cstheme="minorHAnsi"/>
          <w:color w:val="auto"/>
        </w:rPr>
        <w:t xml:space="preserve"> E S</w:t>
      </w:r>
      <w:r w:rsidRPr="001220A4">
        <w:rPr>
          <w:rFonts w:asciiTheme="minorHAnsi" w:hAnsiTheme="minorHAnsi" w:cstheme="minorHAnsi"/>
          <w:color w:val="auto"/>
        </w:rPr>
        <w:t xml:space="preserve"> cell culture media diluted in ammonium acetate buffer (1:1, v/v), are plotted based on the peak-areas of APAP (axis y) against the respective nominal concentrations (axis x).</w:t>
      </w:r>
      <w:r w:rsidR="00A36009" w:rsidRPr="001220A4">
        <w:rPr>
          <w:rFonts w:asciiTheme="minorHAnsi" w:hAnsiTheme="minorHAnsi" w:cstheme="minorHAnsi"/>
          <w:color w:val="auto"/>
        </w:rPr>
        <w:t xml:space="preserve"> </w:t>
      </w:r>
      <w:r w:rsidRPr="001220A4">
        <w:rPr>
          <w:rFonts w:asciiTheme="minorHAnsi" w:hAnsiTheme="minorHAnsi" w:cstheme="minorHAnsi"/>
          <w:color w:val="auto"/>
        </w:rPr>
        <w:t>Compare the slopes of these standard calibration curves with slopes of calibration curve prepared in ammonium acetate buffer.</w:t>
      </w:r>
      <w:r w:rsidR="00092CF2" w:rsidRPr="001220A4">
        <w:rPr>
          <w:rFonts w:asciiTheme="minorHAnsi" w:hAnsiTheme="minorHAnsi" w:cstheme="minorHAnsi"/>
          <w:color w:val="auto"/>
        </w:rPr>
        <w:t xml:space="preserve"> </w:t>
      </w:r>
      <w:r w:rsidRPr="001220A4">
        <w:rPr>
          <w:rFonts w:asciiTheme="minorHAnsi" w:hAnsiTheme="minorHAnsi" w:cstheme="minorHAnsi"/>
          <w:color w:val="auto"/>
        </w:rPr>
        <w:t xml:space="preserve">Make sure </w:t>
      </w:r>
      <w:r w:rsidR="008173B3">
        <w:rPr>
          <w:rFonts w:asciiTheme="minorHAnsi" w:hAnsiTheme="minorHAnsi" w:cstheme="minorHAnsi"/>
          <w:color w:val="auto"/>
        </w:rPr>
        <w:t xml:space="preserve">that </w:t>
      </w:r>
      <w:r w:rsidRPr="001220A4">
        <w:rPr>
          <w:rFonts w:asciiTheme="minorHAnsi" w:hAnsiTheme="minorHAnsi" w:cstheme="minorHAnsi"/>
          <w:color w:val="auto"/>
        </w:rPr>
        <w:t>all calibration curves have a correlation value of at least 0.998.</w:t>
      </w:r>
    </w:p>
    <w:p w14:paraId="1258D865" w14:textId="77777777" w:rsidR="00092CF2" w:rsidRPr="001220A4" w:rsidRDefault="00092CF2" w:rsidP="0054535F">
      <w:pPr>
        <w:pStyle w:val="ListParagraph"/>
        <w:ind w:left="0" w:right="4"/>
        <w:rPr>
          <w:rFonts w:asciiTheme="minorHAnsi" w:hAnsiTheme="minorHAnsi" w:cstheme="minorHAnsi"/>
          <w:color w:val="auto"/>
        </w:rPr>
      </w:pPr>
    </w:p>
    <w:p w14:paraId="6F2E52B2" w14:textId="63E23216" w:rsidR="00932EC1" w:rsidRPr="001220A4" w:rsidRDefault="00932EC1"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 xml:space="preserve">Determine the precision and accuracy (intra and inter-run) for the analyte in </w:t>
      </w:r>
      <w:r w:rsidR="00012280" w:rsidRPr="001220A4">
        <w:rPr>
          <w:rFonts w:asciiTheme="minorHAnsi" w:hAnsiTheme="minorHAnsi" w:cstheme="minorHAnsi"/>
          <w:color w:val="auto"/>
        </w:rPr>
        <w:t xml:space="preserve">the </w:t>
      </w:r>
      <w:r w:rsidRPr="001220A4">
        <w:rPr>
          <w:rFonts w:asciiTheme="minorHAnsi" w:hAnsiTheme="minorHAnsi" w:cstheme="minorHAnsi"/>
          <w:color w:val="auto"/>
        </w:rPr>
        <w:t>surrogate matrix using replicates at four different levels LLOQ, low, middle</w:t>
      </w:r>
      <w:r w:rsidR="00012280" w:rsidRPr="001220A4">
        <w:rPr>
          <w:rFonts w:asciiTheme="minorHAnsi" w:hAnsiTheme="minorHAnsi" w:cstheme="minorHAnsi"/>
          <w:color w:val="auto"/>
        </w:rPr>
        <w:t>,</w:t>
      </w:r>
      <w:r w:rsidRPr="001220A4">
        <w:rPr>
          <w:rFonts w:asciiTheme="minorHAnsi" w:hAnsiTheme="minorHAnsi" w:cstheme="minorHAnsi"/>
          <w:color w:val="auto"/>
        </w:rPr>
        <w:t xml:space="preserve"> and high-quality control on five or six different days.</w:t>
      </w:r>
      <w:r w:rsidR="00EA1B43" w:rsidRPr="001220A4">
        <w:rPr>
          <w:rFonts w:asciiTheme="minorHAnsi" w:hAnsiTheme="minorHAnsi" w:cstheme="minorHAnsi"/>
          <w:color w:val="auto"/>
        </w:rPr>
        <w:t xml:space="preserve"> </w:t>
      </w:r>
      <w:r w:rsidRPr="001220A4">
        <w:rPr>
          <w:rFonts w:asciiTheme="minorHAnsi" w:hAnsiTheme="minorHAnsi" w:cstheme="minorHAnsi"/>
          <w:color w:val="auto"/>
        </w:rPr>
        <w:t>Perform intra-run precision and accuracy measurements on the same day in DMEM</w:t>
      </w:r>
      <w:r w:rsidR="00F44550" w:rsidRPr="001220A4">
        <w:rPr>
          <w:rFonts w:asciiTheme="minorHAnsi" w:hAnsiTheme="minorHAnsi" w:cstheme="minorHAnsi"/>
          <w:color w:val="auto"/>
        </w:rPr>
        <w:t xml:space="preserve"> S</w:t>
      </w:r>
      <w:r w:rsidRPr="001220A4">
        <w:rPr>
          <w:rFonts w:asciiTheme="minorHAnsi" w:hAnsiTheme="minorHAnsi" w:cstheme="minorHAnsi"/>
          <w:color w:val="auto"/>
        </w:rPr>
        <w:t xml:space="preserve"> or Williams</w:t>
      </w:r>
      <w:r w:rsidR="00F44550" w:rsidRPr="001220A4">
        <w:rPr>
          <w:rFonts w:asciiTheme="minorHAnsi" w:hAnsiTheme="minorHAnsi" w:cstheme="minorHAnsi"/>
          <w:color w:val="auto"/>
        </w:rPr>
        <w:t xml:space="preserve"> E S</w:t>
      </w:r>
      <w:r w:rsidRPr="001220A4">
        <w:rPr>
          <w:rFonts w:asciiTheme="minorHAnsi" w:hAnsiTheme="minorHAnsi" w:cstheme="minorHAnsi"/>
          <w:color w:val="auto"/>
        </w:rPr>
        <w:t xml:space="preserve"> cell culture media diluted in ammonium acetate buffer (1:1, v/v) containing 0.50, 4.50, 45.00 and 90.00 µM APAP concentrations (n= 3).</w:t>
      </w:r>
    </w:p>
    <w:p w14:paraId="3BA09644" w14:textId="77777777" w:rsidR="000355C5" w:rsidRPr="001220A4" w:rsidRDefault="000355C5" w:rsidP="0054535F">
      <w:pPr>
        <w:pStyle w:val="ListParagraph"/>
        <w:ind w:left="0" w:right="4"/>
        <w:rPr>
          <w:rFonts w:asciiTheme="minorHAnsi" w:hAnsiTheme="minorHAnsi" w:cstheme="minorHAnsi"/>
          <w:color w:val="auto"/>
        </w:rPr>
      </w:pPr>
    </w:p>
    <w:p w14:paraId="05DA4D7D" w14:textId="6D5BA49F" w:rsidR="00932EC1" w:rsidRPr="001220A4" w:rsidRDefault="00932EC1"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Evaluate each set of quality control samples containing the APAP concentrations from recently obtained calibration curves.</w:t>
      </w:r>
      <w:r w:rsidR="00EA1B43" w:rsidRPr="001220A4">
        <w:rPr>
          <w:rFonts w:asciiTheme="minorHAnsi" w:hAnsiTheme="minorHAnsi" w:cstheme="minorHAnsi"/>
          <w:color w:val="auto"/>
        </w:rPr>
        <w:t xml:space="preserve"> </w:t>
      </w:r>
      <w:r w:rsidRPr="001220A4">
        <w:rPr>
          <w:rFonts w:asciiTheme="minorHAnsi" w:hAnsiTheme="minorHAnsi" w:cstheme="minorHAnsi"/>
          <w:color w:val="auto"/>
        </w:rPr>
        <w:t>Test the selectivity of the assays by the degree of separation of the compound of interest and possible other chromatographic peaks caused by interfering components.</w:t>
      </w:r>
    </w:p>
    <w:p w14:paraId="22DB6843" w14:textId="77777777" w:rsidR="00932EC1" w:rsidRPr="001220A4" w:rsidRDefault="00932EC1" w:rsidP="0054535F">
      <w:pPr>
        <w:pStyle w:val="ListParagraph"/>
        <w:ind w:left="0" w:right="4"/>
        <w:rPr>
          <w:rFonts w:asciiTheme="minorHAnsi" w:hAnsiTheme="minorHAnsi" w:cstheme="minorHAnsi"/>
          <w:color w:val="auto"/>
        </w:rPr>
      </w:pPr>
    </w:p>
    <w:p w14:paraId="563BA07D" w14:textId="5E473765" w:rsidR="00932EC1" w:rsidRPr="00182D70" w:rsidRDefault="00932EC1" w:rsidP="0054535F">
      <w:pPr>
        <w:pStyle w:val="ListParagraph"/>
        <w:numPr>
          <w:ilvl w:val="1"/>
          <w:numId w:val="38"/>
        </w:numPr>
        <w:ind w:left="0" w:right="4" w:firstLine="0"/>
        <w:rPr>
          <w:rFonts w:asciiTheme="minorHAnsi" w:hAnsiTheme="minorHAnsi" w:cstheme="minorHAnsi"/>
          <w:bCs/>
          <w:color w:val="auto"/>
        </w:rPr>
      </w:pPr>
      <w:r w:rsidRPr="00182D70">
        <w:rPr>
          <w:rFonts w:asciiTheme="minorHAnsi" w:hAnsiTheme="minorHAnsi" w:cstheme="minorHAnsi"/>
          <w:bCs/>
          <w:color w:val="auto"/>
        </w:rPr>
        <w:t xml:space="preserve">Lower </w:t>
      </w:r>
      <w:r w:rsidR="008173B3">
        <w:rPr>
          <w:rFonts w:asciiTheme="minorHAnsi" w:hAnsiTheme="minorHAnsi" w:cstheme="minorHAnsi"/>
          <w:bCs/>
          <w:color w:val="auto"/>
        </w:rPr>
        <w:t>l</w:t>
      </w:r>
      <w:r w:rsidRPr="00182D70">
        <w:rPr>
          <w:rFonts w:asciiTheme="minorHAnsi" w:hAnsiTheme="minorHAnsi" w:cstheme="minorHAnsi"/>
          <w:bCs/>
          <w:color w:val="auto"/>
        </w:rPr>
        <w:t>imit of quantification (LLOQ) and limit of detection (LOD)</w:t>
      </w:r>
    </w:p>
    <w:p w14:paraId="4888C68F" w14:textId="77777777" w:rsidR="00932EC1" w:rsidRPr="001220A4" w:rsidRDefault="00932EC1" w:rsidP="0054535F">
      <w:pPr>
        <w:pStyle w:val="ListParagraph"/>
        <w:ind w:left="0" w:right="4"/>
        <w:rPr>
          <w:rFonts w:asciiTheme="minorHAnsi" w:hAnsiTheme="minorHAnsi" w:cstheme="minorHAnsi"/>
          <w:color w:val="auto"/>
        </w:rPr>
      </w:pPr>
    </w:p>
    <w:p w14:paraId="6C0F24B0" w14:textId="3A585930" w:rsidR="00932EC1" w:rsidRPr="001220A4" w:rsidRDefault="00932EC1"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Determine the lower limit of quantification (LLOQ) based on the standard deviation of the response and the slope approach.</w:t>
      </w:r>
      <w:r w:rsidR="00092CF2" w:rsidRPr="001220A4">
        <w:rPr>
          <w:rFonts w:asciiTheme="minorHAnsi" w:hAnsiTheme="minorHAnsi" w:cstheme="minorHAnsi"/>
          <w:color w:val="auto"/>
        </w:rPr>
        <w:t xml:space="preserve"> </w:t>
      </w:r>
      <w:r w:rsidRPr="001220A4">
        <w:rPr>
          <w:rFonts w:asciiTheme="minorHAnsi" w:hAnsiTheme="minorHAnsi" w:cstheme="minorHAnsi"/>
          <w:color w:val="auto"/>
        </w:rPr>
        <w:t xml:space="preserve">Calculate using </w:t>
      </w:r>
      <w:r w:rsidR="008173B3">
        <w:rPr>
          <w:rFonts w:asciiTheme="minorHAnsi" w:hAnsiTheme="minorHAnsi" w:cstheme="minorHAnsi"/>
          <w:color w:val="auto"/>
        </w:rPr>
        <w:t xml:space="preserve">the </w:t>
      </w:r>
      <w:r w:rsidRPr="001220A4">
        <w:rPr>
          <w:rFonts w:asciiTheme="minorHAnsi" w:hAnsiTheme="minorHAnsi" w:cstheme="minorHAnsi"/>
          <w:color w:val="auto"/>
        </w:rPr>
        <w:t>formula 10α/S, where α is the standard deviation of y-intercept and S is the slope of straight line obtained by plotting calibration curves</w:t>
      </w:r>
      <w:r w:rsidRPr="001220A4">
        <w:rPr>
          <w:rFonts w:asciiTheme="minorHAnsi" w:hAnsiTheme="minorHAnsi" w:cstheme="minorHAnsi"/>
          <w:color w:val="auto"/>
          <w:vertAlign w:val="superscript"/>
        </w:rPr>
        <w:t>29,30</w:t>
      </w:r>
      <w:r w:rsidR="00092CF2" w:rsidRPr="001220A4">
        <w:rPr>
          <w:rFonts w:asciiTheme="minorHAnsi" w:hAnsiTheme="minorHAnsi" w:cstheme="minorHAnsi"/>
          <w:color w:val="auto"/>
        </w:rPr>
        <w:t xml:space="preserve">. </w:t>
      </w:r>
      <w:r w:rsidRPr="001220A4">
        <w:rPr>
          <w:rFonts w:asciiTheme="minorHAnsi" w:hAnsiTheme="minorHAnsi" w:cstheme="minorHAnsi"/>
          <w:color w:val="auto"/>
        </w:rPr>
        <w:t>Estimate the limit of detection (LOD) taking into consideration 3.3 times the standard deviation of the blank, divided by the slope of the calibration curve</w:t>
      </w:r>
      <w:r w:rsidR="00182D70" w:rsidRPr="001220A4">
        <w:rPr>
          <w:rFonts w:asciiTheme="minorHAnsi" w:hAnsiTheme="minorHAnsi" w:cstheme="minorHAnsi"/>
          <w:color w:val="auto"/>
          <w:vertAlign w:val="superscript"/>
        </w:rPr>
        <w:t>29,30</w:t>
      </w:r>
      <w:r w:rsidRPr="001220A4">
        <w:rPr>
          <w:rFonts w:asciiTheme="minorHAnsi" w:hAnsiTheme="minorHAnsi" w:cstheme="minorHAnsi"/>
          <w:color w:val="auto"/>
        </w:rPr>
        <w:t>.</w:t>
      </w:r>
    </w:p>
    <w:p w14:paraId="297A74DF" w14:textId="77777777" w:rsidR="00932EC1" w:rsidRPr="001220A4" w:rsidRDefault="00932EC1" w:rsidP="0054535F">
      <w:pPr>
        <w:pStyle w:val="ListParagraph"/>
        <w:ind w:left="0" w:right="4"/>
        <w:rPr>
          <w:rFonts w:asciiTheme="minorHAnsi" w:hAnsiTheme="minorHAnsi" w:cstheme="minorHAnsi"/>
          <w:color w:val="auto"/>
        </w:rPr>
      </w:pPr>
    </w:p>
    <w:p w14:paraId="427E12BC" w14:textId="2159A4F4" w:rsidR="00733AE7" w:rsidRPr="00182D70" w:rsidRDefault="00733AE7" w:rsidP="0054535F">
      <w:pPr>
        <w:pStyle w:val="ListParagraph"/>
        <w:numPr>
          <w:ilvl w:val="0"/>
          <w:numId w:val="38"/>
        </w:numPr>
        <w:ind w:left="0" w:right="4" w:firstLine="0"/>
        <w:rPr>
          <w:rFonts w:asciiTheme="minorHAnsi" w:hAnsiTheme="minorHAnsi" w:cstheme="minorHAnsi"/>
          <w:b/>
          <w:color w:val="auto"/>
        </w:rPr>
      </w:pPr>
      <w:r w:rsidRPr="00182D70">
        <w:rPr>
          <w:rFonts w:asciiTheme="minorHAnsi" w:hAnsiTheme="minorHAnsi" w:cstheme="minorHAnsi"/>
          <w:b/>
          <w:color w:val="auto"/>
        </w:rPr>
        <w:t>Tissue equivalents viability</w:t>
      </w:r>
      <w:r w:rsidR="00DD4EEE" w:rsidRPr="00182D70">
        <w:rPr>
          <w:rFonts w:asciiTheme="minorHAnsi" w:hAnsiTheme="minorHAnsi" w:cstheme="minorHAnsi"/>
          <w:b/>
          <w:color w:val="auto"/>
        </w:rPr>
        <w:t>/functionality</w:t>
      </w:r>
    </w:p>
    <w:p w14:paraId="79A19A3F" w14:textId="77777777" w:rsidR="00733AE7" w:rsidRPr="001220A4" w:rsidRDefault="00733AE7" w:rsidP="0054535F">
      <w:pPr>
        <w:ind w:right="4"/>
        <w:contextualSpacing/>
        <w:rPr>
          <w:rFonts w:asciiTheme="minorHAnsi" w:hAnsiTheme="minorHAnsi" w:cstheme="minorHAnsi"/>
          <w:b/>
          <w:color w:val="auto"/>
        </w:rPr>
      </w:pPr>
    </w:p>
    <w:p w14:paraId="4689496B" w14:textId="703DA623" w:rsidR="0040013E" w:rsidRPr="007679BB" w:rsidRDefault="00733AE7" w:rsidP="0054535F">
      <w:pPr>
        <w:pStyle w:val="ListParagraph"/>
        <w:numPr>
          <w:ilvl w:val="1"/>
          <w:numId w:val="38"/>
        </w:numPr>
        <w:ind w:left="0" w:right="4" w:firstLine="0"/>
        <w:rPr>
          <w:rFonts w:asciiTheme="minorHAnsi" w:hAnsiTheme="minorHAnsi" w:cstheme="minorHAnsi"/>
          <w:bCs/>
          <w:color w:val="auto"/>
          <w:highlight w:val="yellow"/>
        </w:rPr>
      </w:pPr>
      <w:r w:rsidRPr="007679BB">
        <w:rPr>
          <w:rFonts w:asciiTheme="minorHAnsi" w:hAnsiTheme="minorHAnsi" w:cstheme="minorHAnsi"/>
          <w:bCs/>
          <w:color w:val="auto"/>
          <w:highlight w:val="yellow"/>
        </w:rPr>
        <w:t xml:space="preserve">MTT </w:t>
      </w:r>
    </w:p>
    <w:p w14:paraId="081B72FF" w14:textId="77777777" w:rsidR="0040013E" w:rsidRPr="007679BB" w:rsidRDefault="0040013E" w:rsidP="0054535F">
      <w:pPr>
        <w:pStyle w:val="ListParagraph"/>
        <w:ind w:left="0" w:right="4"/>
        <w:rPr>
          <w:rFonts w:asciiTheme="minorHAnsi" w:hAnsiTheme="minorHAnsi" w:cstheme="minorHAnsi"/>
          <w:b/>
          <w:color w:val="auto"/>
          <w:highlight w:val="yellow"/>
        </w:rPr>
      </w:pPr>
    </w:p>
    <w:p w14:paraId="1BD25CA0" w14:textId="05F31DB9" w:rsidR="0040013E" w:rsidRPr="007679BB" w:rsidRDefault="0040013E" w:rsidP="0054535F">
      <w:pPr>
        <w:pStyle w:val="ListParagraph"/>
        <w:numPr>
          <w:ilvl w:val="2"/>
          <w:numId w:val="38"/>
        </w:numPr>
        <w:ind w:left="0" w:right="4" w:firstLine="0"/>
        <w:rPr>
          <w:rFonts w:asciiTheme="minorHAnsi" w:hAnsiTheme="minorHAnsi" w:cstheme="minorHAnsi"/>
          <w:color w:val="auto"/>
          <w:highlight w:val="yellow"/>
        </w:rPr>
      </w:pPr>
      <w:r w:rsidRPr="007679BB">
        <w:rPr>
          <w:rFonts w:asciiTheme="minorHAnsi" w:hAnsiTheme="minorHAnsi" w:cstheme="minorHAnsi"/>
          <w:color w:val="auto"/>
          <w:highlight w:val="yellow"/>
        </w:rPr>
        <w:t xml:space="preserve">Perform </w:t>
      </w:r>
      <w:r w:rsidR="008173B3">
        <w:rPr>
          <w:rFonts w:asciiTheme="minorHAnsi" w:hAnsiTheme="minorHAnsi" w:cstheme="minorHAnsi"/>
          <w:color w:val="auto"/>
          <w:highlight w:val="yellow"/>
        </w:rPr>
        <w:t xml:space="preserve">an </w:t>
      </w:r>
      <w:r w:rsidRPr="007679BB">
        <w:rPr>
          <w:rFonts w:asciiTheme="minorHAnsi" w:hAnsiTheme="minorHAnsi" w:cstheme="minorHAnsi"/>
          <w:color w:val="auto"/>
          <w:highlight w:val="yellow"/>
        </w:rPr>
        <w:t>MTT assay to assess organoid</w:t>
      </w:r>
      <w:r w:rsidR="008173B3">
        <w:rPr>
          <w:rFonts w:asciiTheme="minorHAnsi" w:hAnsiTheme="minorHAnsi" w:cstheme="minorHAnsi"/>
          <w:color w:val="auto"/>
          <w:highlight w:val="yellow"/>
        </w:rPr>
        <w:t xml:space="preserve"> </w:t>
      </w:r>
      <w:r w:rsidRPr="007679BB">
        <w:rPr>
          <w:rFonts w:asciiTheme="minorHAnsi" w:hAnsiTheme="minorHAnsi" w:cstheme="minorHAnsi"/>
          <w:color w:val="auto"/>
          <w:highlight w:val="yellow"/>
        </w:rPr>
        <w:t xml:space="preserve">viability in </w:t>
      </w:r>
      <w:r w:rsidR="00CA59BF" w:rsidRPr="007679BB">
        <w:rPr>
          <w:rFonts w:asciiTheme="minorHAnsi" w:hAnsiTheme="minorHAnsi" w:cstheme="minorHAnsi"/>
          <w:color w:val="auto"/>
          <w:highlight w:val="yellow"/>
        </w:rPr>
        <w:t>all time</w:t>
      </w:r>
      <w:r w:rsidRPr="007679BB">
        <w:rPr>
          <w:rFonts w:asciiTheme="minorHAnsi" w:hAnsiTheme="minorHAnsi" w:cstheme="minorHAnsi"/>
          <w:color w:val="auto"/>
          <w:highlight w:val="yellow"/>
        </w:rPr>
        <w:t xml:space="preserve"> points of the MPS assay. As the </w:t>
      </w:r>
      <w:r w:rsidRPr="007679BB">
        <w:rPr>
          <w:rFonts w:asciiTheme="minorHAnsi" w:hAnsiTheme="minorHAnsi" w:cstheme="minorHAnsi"/>
          <w:noProof/>
          <w:color w:val="auto"/>
          <w:highlight w:val="yellow"/>
        </w:rPr>
        <w:t>negative</w:t>
      </w:r>
      <w:r w:rsidRPr="007679BB">
        <w:rPr>
          <w:rFonts w:asciiTheme="minorHAnsi" w:hAnsiTheme="minorHAnsi" w:cstheme="minorHAnsi"/>
          <w:color w:val="auto"/>
          <w:highlight w:val="yellow"/>
        </w:rPr>
        <w:t xml:space="preserve"> control</w:t>
      </w:r>
      <w:r w:rsidR="008173B3">
        <w:rPr>
          <w:rFonts w:asciiTheme="minorHAnsi" w:hAnsiTheme="minorHAnsi" w:cstheme="minorHAnsi"/>
          <w:color w:val="auto"/>
          <w:highlight w:val="yellow"/>
        </w:rPr>
        <w:t>,</w:t>
      </w:r>
      <w:r w:rsidRPr="007679BB">
        <w:rPr>
          <w:rFonts w:asciiTheme="minorHAnsi" w:hAnsiTheme="minorHAnsi" w:cstheme="minorHAnsi"/>
          <w:color w:val="auto"/>
          <w:highlight w:val="yellow"/>
        </w:rPr>
        <w:t xml:space="preserve"> </w:t>
      </w:r>
      <w:r w:rsidRPr="007679BB">
        <w:rPr>
          <w:rFonts w:asciiTheme="minorHAnsi" w:hAnsiTheme="minorHAnsi" w:cstheme="minorHAnsi"/>
          <w:noProof/>
          <w:color w:val="auto"/>
          <w:highlight w:val="yellow"/>
        </w:rPr>
        <w:t>use</w:t>
      </w:r>
      <w:r w:rsidRPr="007679BB">
        <w:rPr>
          <w:rFonts w:asciiTheme="minorHAnsi" w:hAnsiTheme="minorHAnsi" w:cstheme="minorHAnsi"/>
          <w:color w:val="auto"/>
          <w:highlight w:val="yellow"/>
        </w:rPr>
        <w:t xml:space="preserve"> cell media plus vehicle</w:t>
      </w:r>
      <w:r w:rsidR="008173B3">
        <w:rPr>
          <w:rFonts w:asciiTheme="minorHAnsi" w:hAnsiTheme="minorHAnsi" w:cstheme="minorHAnsi"/>
          <w:color w:val="auto"/>
          <w:highlight w:val="yellow"/>
        </w:rPr>
        <w:t>. A</w:t>
      </w:r>
      <w:r w:rsidRPr="007679BB">
        <w:rPr>
          <w:rFonts w:asciiTheme="minorHAnsi" w:hAnsiTheme="minorHAnsi" w:cstheme="minorHAnsi"/>
          <w:color w:val="auto"/>
          <w:highlight w:val="yellow"/>
        </w:rPr>
        <w:t xml:space="preserve">s </w:t>
      </w:r>
      <w:r w:rsidR="008173B3">
        <w:rPr>
          <w:rFonts w:asciiTheme="minorHAnsi" w:hAnsiTheme="minorHAnsi" w:cstheme="minorHAnsi"/>
          <w:color w:val="auto"/>
          <w:highlight w:val="yellow"/>
        </w:rPr>
        <w:t xml:space="preserve">the </w:t>
      </w:r>
      <w:r w:rsidRPr="007679BB">
        <w:rPr>
          <w:rFonts w:asciiTheme="minorHAnsi" w:hAnsiTheme="minorHAnsi" w:cstheme="minorHAnsi"/>
          <w:color w:val="auto"/>
          <w:highlight w:val="yellow"/>
        </w:rPr>
        <w:t>positive control</w:t>
      </w:r>
      <w:r w:rsidR="008173B3">
        <w:rPr>
          <w:rFonts w:asciiTheme="minorHAnsi" w:hAnsiTheme="minorHAnsi" w:cstheme="minorHAnsi"/>
          <w:color w:val="auto"/>
          <w:highlight w:val="yellow"/>
        </w:rPr>
        <w:t>,</w:t>
      </w:r>
      <w:r w:rsidRPr="007679BB">
        <w:rPr>
          <w:rFonts w:asciiTheme="minorHAnsi" w:hAnsiTheme="minorHAnsi" w:cstheme="minorHAnsi"/>
          <w:color w:val="auto"/>
          <w:highlight w:val="yellow"/>
        </w:rPr>
        <w:t xml:space="preserve"> treat the organoids with 100 mM APAP and 1% NaOH diluted in cell medium. </w:t>
      </w:r>
    </w:p>
    <w:p w14:paraId="703815ED" w14:textId="77777777" w:rsidR="0040013E" w:rsidRPr="007679BB" w:rsidRDefault="0040013E" w:rsidP="0054535F">
      <w:pPr>
        <w:pStyle w:val="ListParagraph"/>
        <w:ind w:left="0" w:right="4"/>
        <w:rPr>
          <w:rFonts w:asciiTheme="minorHAnsi" w:hAnsiTheme="minorHAnsi" w:cstheme="minorHAnsi"/>
          <w:color w:val="auto"/>
          <w:highlight w:val="yellow"/>
        </w:rPr>
      </w:pPr>
    </w:p>
    <w:p w14:paraId="32AE20F5" w14:textId="2E69F088" w:rsidR="0040013E" w:rsidRPr="007679BB" w:rsidRDefault="0040013E" w:rsidP="0054535F">
      <w:pPr>
        <w:pStyle w:val="ListParagraph"/>
        <w:numPr>
          <w:ilvl w:val="2"/>
          <w:numId w:val="38"/>
        </w:numPr>
        <w:ind w:left="0" w:right="4" w:firstLine="0"/>
        <w:rPr>
          <w:rFonts w:asciiTheme="minorHAnsi" w:hAnsiTheme="minorHAnsi" w:cstheme="minorHAnsi"/>
          <w:color w:val="auto"/>
          <w:highlight w:val="yellow"/>
        </w:rPr>
      </w:pPr>
      <w:r w:rsidRPr="007679BB">
        <w:rPr>
          <w:rFonts w:asciiTheme="minorHAnsi" w:hAnsiTheme="minorHAnsi" w:cstheme="minorHAnsi"/>
          <w:color w:val="auto"/>
          <w:highlight w:val="yellow"/>
        </w:rPr>
        <w:t xml:space="preserve">Transfer the 20 </w:t>
      </w:r>
      <w:r w:rsidR="00103C1D" w:rsidRPr="007679BB">
        <w:rPr>
          <w:rFonts w:asciiTheme="minorHAnsi" w:hAnsiTheme="minorHAnsi" w:cstheme="minorHAnsi"/>
          <w:color w:val="auto"/>
          <w:highlight w:val="yellow"/>
        </w:rPr>
        <w:t>spheroids of</w:t>
      </w:r>
      <w:r w:rsidRPr="007679BB">
        <w:rPr>
          <w:rFonts w:asciiTheme="minorHAnsi" w:hAnsiTheme="minorHAnsi" w:cstheme="minorHAnsi"/>
          <w:color w:val="auto"/>
          <w:highlight w:val="yellow"/>
        </w:rPr>
        <w:t xml:space="preserve"> each replicate for individual wells in a 96 well plate, and the cell culture inserts, containing the intestine equivalents, to 24 well cell plates, placing one intestine equivalent per well. Wash the tissue equivalents three times with 1x DPBS. </w:t>
      </w:r>
    </w:p>
    <w:p w14:paraId="5D331438" w14:textId="77777777" w:rsidR="0040013E" w:rsidRPr="007679BB" w:rsidRDefault="0040013E" w:rsidP="0054535F">
      <w:pPr>
        <w:pStyle w:val="ListParagraph"/>
        <w:ind w:left="0" w:right="4"/>
        <w:rPr>
          <w:rFonts w:asciiTheme="minorHAnsi" w:hAnsiTheme="minorHAnsi" w:cstheme="minorHAnsi"/>
          <w:color w:val="auto"/>
          <w:highlight w:val="yellow"/>
        </w:rPr>
      </w:pPr>
    </w:p>
    <w:p w14:paraId="0B9B918C" w14:textId="7832341A" w:rsidR="0040013E" w:rsidRPr="007679BB" w:rsidRDefault="0040013E" w:rsidP="0054535F">
      <w:pPr>
        <w:pStyle w:val="ListParagraph"/>
        <w:numPr>
          <w:ilvl w:val="2"/>
          <w:numId w:val="38"/>
        </w:numPr>
        <w:ind w:left="0" w:right="4" w:firstLine="0"/>
        <w:rPr>
          <w:rFonts w:asciiTheme="minorHAnsi" w:hAnsiTheme="minorHAnsi" w:cstheme="minorHAnsi"/>
          <w:color w:val="auto"/>
          <w:highlight w:val="yellow"/>
        </w:rPr>
      </w:pPr>
      <w:r w:rsidRPr="007679BB">
        <w:rPr>
          <w:rFonts w:asciiTheme="minorHAnsi" w:hAnsiTheme="minorHAnsi" w:cstheme="minorHAnsi"/>
          <w:color w:val="auto"/>
          <w:highlight w:val="yellow"/>
        </w:rPr>
        <w:t>Add 300 µL of a 1 mg</w:t>
      </w:r>
      <w:r w:rsidR="00182D70" w:rsidRPr="007679BB">
        <w:rPr>
          <w:rFonts w:asciiTheme="minorHAnsi" w:hAnsiTheme="minorHAnsi" w:cstheme="minorHAnsi"/>
          <w:color w:val="auto"/>
          <w:highlight w:val="yellow"/>
        </w:rPr>
        <w:t>/mL</w:t>
      </w:r>
      <w:r w:rsidRPr="007679BB">
        <w:rPr>
          <w:rFonts w:asciiTheme="minorHAnsi" w:hAnsiTheme="minorHAnsi" w:cstheme="minorHAnsi"/>
          <w:color w:val="auto"/>
          <w:highlight w:val="yellow"/>
        </w:rPr>
        <w:t xml:space="preserve"> MTT solution, diluted in the respective cell medium, per well. Incubate the plates for 3 </w:t>
      </w:r>
      <w:r w:rsidR="008173B3">
        <w:rPr>
          <w:rFonts w:asciiTheme="minorHAnsi" w:hAnsiTheme="minorHAnsi" w:cstheme="minorHAnsi"/>
          <w:color w:val="auto"/>
          <w:highlight w:val="yellow"/>
        </w:rPr>
        <w:t>h</w:t>
      </w:r>
      <w:r w:rsidRPr="007679BB">
        <w:rPr>
          <w:rFonts w:asciiTheme="minorHAnsi" w:hAnsiTheme="minorHAnsi" w:cstheme="minorHAnsi"/>
          <w:color w:val="auto"/>
          <w:highlight w:val="yellow"/>
        </w:rPr>
        <w:t xml:space="preserve"> </w:t>
      </w:r>
      <w:r w:rsidR="008173B3">
        <w:rPr>
          <w:rFonts w:asciiTheme="minorHAnsi" w:hAnsiTheme="minorHAnsi" w:cstheme="minorHAnsi"/>
          <w:color w:val="auto"/>
          <w:highlight w:val="yellow"/>
        </w:rPr>
        <w:t>at</w:t>
      </w:r>
      <w:r w:rsidRPr="007679BB">
        <w:rPr>
          <w:rFonts w:asciiTheme="minorHAnsi" w:hAnsiTheme="minorHAnsi" w:cstheme="minorHAnsi"/>
          <w:color w:val="auto"/>
          <w:highlight w:val="yellow"/>
        </w:rPr>
        <w:t xml:space="preserve"> standard cell culture conditions. </w:t>
      </w:r>
    </w:p>
    <w:p w14:paraId="6A2B5C3B" w14:textId="77777777" w:rsidR="0040013E" w:rsidRPr="007679BB" w:rsidRDefault="0040013E" w:rsidP="0054535F">
      <w:pPr>
        <w:pStyle w:val="ListParagraph"/>
        <w:ind w:left="0" w:right="4"/>
        <w:rPr>
          <w:rFonts w:asciiTheme="minorHAnsi" w:hAnsiTheme="minorHAnsi" w:cstheme="minorHAnsi"/>
          <w:color w:val="auto"/>
          <w:highlight w:val="yellow"/>
        </w:rPr>
      </w:pPr>
    </w:p>
    <w:p w14:paraId="1C7E425D" w14:textId="7F0ADCB9" w:rsidR="0040013E" w:rsidRPr="007679BB" w:rsidRDefault="0040013E" w:rsidP="0054535F">
      <w:pPr>
        <w:pStyle w:val="ListParagraph"/>
        <w:numPr>
          <w:ilvl w:val="2"/>
          <w:numId w:val="38"/>
        </w:numPr>
        <w:ind w:left="0" w:right="4" w:firstLine="0"/>
        <w:rPr>
          <w:rFonts w:asciiTheme="minorHAnsi" w:hAnsiTheme="minorHAnsi" w:cstheme="minorHAnsi"/>
          <w:color w:val="auto"/>
          <w:highlight w:val="yellow"/>
        </w:rPr>
      </w:pPr>
      <w:r w:rsidRPr="007679BB">
        <w:rPr>
          <w:rFonts w:asciiTheme="minorHAnsi" w:hAnsiTheme="minorHAnsi" w:cstheme="minorHAnsi"/>
          <w:color w:val="auto"/>
          <w:highlight w:val="yellow"/>
        </w:rPr>
        <w:t xml:space="preserve">Remove </w:t>
      </w:r>
      <w:r w:rsidR="008173B3">
        <w:rPr>
          <w:rFonts w:asciiTheme="minorHAnsi" w:hAnsiTheme="minorHAnsi" w:cstheme="minorHAnsi"/>
          <w:color w:val="auto"/>
          <w:highlight w:val="yellow"/>
        </w:rPr>
        <w:t xml:space="preserve">the </w:t>
      </w:r>
      <w:r w:rsidRPr="007679BB">
        <w:rPr>
          <w:rFonts w:asciiTheme="minorHAnsi" w:hAnsiTheme="minorHAnsi" w:cstheme="minorHAnsi"/>
          <w:color w:val="auto"/>
          <w:highlight w:val="yellow"/>
        </w:rPr>
        <w:t>MTT solution from each well carefully by pipetting</w:t>
      </w:r>
      <w:r w:rsidRPr="007679BB">
        <w:rPr>
          <w:rFonts w:asciiTheme="minorHAnsi" w:hAnsiTheme="minorHAnsi" w:cstheme="minorHAnsi"/>
          <w:color w:val="365F91" w:themeColor="accent1" w:themeShade="BF"/>
          <w:highlight w:val="yellow"/>
        </w:rPr>
        <w:t xml:space="preserve">. </w:t>
      </w:r>
      <w:r w:rsidRPr="007679BB">
        <w:rPr>
          <w:rFonts w:asciiTheme="minorHAnsi" w:hAnsiTheme="minorHAnsi" w:cstheme="minorHAnsi"/>
          <w:color w:val="auto"/>
          <w:highlight w:val="yellow"/>
        </w:rPr>
        <w:t xml:space="preserve">Extract MTT formazan from the </w:t>
      </w:r>
      <w:r w:rsidRPr="007679BB">
        <w:rPr>
          <w:rFonts w:asciiTheme="minorHAnsi" w:hAnsiTheme="minorHAnsi" w:cstheme="minorHAnsi"/>
          <w:noProof/>
          <w:color w:val="auto"/>
          <w:highlight w:val="yellow"/>
        </w:rPr>
        <w:t>intestine</w:t>
      </w:r>
      <w:r w:rsidRPr="007679BB">
        <w:rPr>
          <w:rFonts w:asciiTheme="minorHAnsi" w:hAnsiTheme="minorHAnsi" w:cstheme="minorHAnsi"/>
          <w:color w:val="auto"/>
          <w:highlight w:val="yellow"/>
        </w:rPr>
        <w:t xml:space="preserve"> and liver equivalents using 200 µL of isopropanol per well overnight at 4 °C. </w:t>
      </w:r>
    </w:p>
    <w:p w14:paraId="37502DB7" w14:textId="77777777" w:rsidR="008173B3" w:rsidRDefault="008173B3" w:rsidP="0054535F">
      <w:pPr>
        <w:ind w:right="4"/>
        <w:contextualSpacing/>
        <w:rPr>
          <w:rFonts w:asciiTheme="minorHAnsi" w:hAnsiTheme="minorHAnsi" w:cstheme="minorHAnsi"/>
          <w:color w:val="auto"/>
          <w:highlight w:val="yellow"/>
        </w:rPr>
      </w:pPr>
    </w:p>
    <w:p w14:paraId="32C4B816" w14:textId="286B4C05" w:rsidR="0040013E" w:rsidRPr="007679BB" w:rsidRDefault="0040013E" w:rsidP="0054535F">
      <w:pPr>
        <w:ind w:right="4"/>
        <w:contextualSpacing/>
        <w:rPr>
          <w:rFonts w:asciiTheme="minorHAnsi" w:hAnsiTheme="minorHAnsi" w:cstheme="minorHAnsi"/>
          <w:color w:val="auto"/>
          <w:highlight w:val="yellow"/>
        </w:rPr>
      </w:pPr>
      <w:r w:rsidRPr="007679BB">
        <w:rPr>
          <w:rFonts w:asciiTheme="minorHAnsi" w:hAnsiTheme="minorHAnsi" w:cstheme="minorHAnsi"/>
          <w:color w:val="auto"/>
          <w:highlight w:val="yellow"/>
        </w:rPr>
        <w:t>NOTE: Seal the lid to prevent evaporation.</w:t>
      </w:r>
    </w:p>
    <w:p w14:paraId="3FD6F6B7" w14:textId="77777777" w:rsidR="0040013E" w:rsidRPr="007679BB" w:rsidRDefault="0040013E" w:rsidP="0054535F">
      <w:pPr>
        <w:pStyle w:val="ListParagraph"/>
        <w:ind w:left="0" w:right="4"/>
        <w:rPr>
          <w:rFonts w:asciiTheme="minorHAnsi" w:hAnsiTheme="minorHAnsi" w:cstheme="minorHAnsi"/>
          <w:color w:val="auto"/>
          <w:highlight w:val="yellow"/>
        </w:rPr>
      </w:pPr>
    </w:p>
    <w:p w14:paraId="34C39256" w14:textId="77777777" w:rsidR="0040013E" w:rsidRPr="007679BB" w:rsidRDefault="0040013E" w:rsidP="0054535F">
      <w:pPr>
        <w:pStyle w:val="ListParagraph"/>
        <w:numPr>
          <w:ilvl w:val="2"/>
          <w:numId w:val="38"/>
        </w:numPr>
        <w:ind w:left="0" w:right="4" w:firstLine="0"/>
        <w:rPr>
          <w:rFonts w:asciiTheme="minorHAnsi" w:hAnsiTheme="minorHAnsi" w:cstheme="minorHAnsi"/>
          <w:color w:val="auto"/>
          <w:highlight w:val="yellow"/>
        </w:rPr>
      </w:pPr>
      <w:r w:rsidRPr="007679BB">
        <w:rPr>
          <w:rFonts w:asciiTheme="minorHAnsi" w:hAnsiTheme="minorHAnsi" w:cstheme="minorHAnsi"/>
          <w:color w:val="auto"/>
          <w:highlight w:val="yellow"/>
        </w:rPr>
        <w:t>Transfer 200 µL of each supernatant to the respective pre-identified well in a 96 well micro test plate</w:t>
      </w:r>
      <w:r w:rsidRPr="007679BB">
        <w:rPr>
          <w:rFonts w:asciiTheme="minorHAnsi" w:hAnsiTheme="minorHAnsi" w:cstheme="minorHAnsi"/>
          <w:color w:val="365F91" w:themeColor="accent1" w:themeShade="BF"/>
          <w:highlight w:val="yellow"/>
        </w:rPr>
        <w:t xml:space="preserve">. </w:t>
      </w:r>
      <w:r w:rsidRPr="007679BB">
        <w:rPr>
          <w:rFonts w:asciiTheme="minorHAnsi" w:hAnsiTheme="minorHAnsi" w:cstheme="minorHAnsi"/>
          <w:color w:val="auto"/>
          <w:highlight w:val="yellow"/>
        </w:rPr>
        <w:t>Use isopropanol as the blank.</w:t>
      </w:r>
    </w:p>
    <w:p w14:paraId="4DD1CE80" w14:textId="77777777" w:rsidR="0040013E" w:rsidRPr="007679BB" w:rsidRDefault="0040013E" w:rsidP="0054535F">
      <w:pPr>
        <w:pStyle w:val="ListParagraph"/>
        <w:ind w:left="0" w:right="4"/>
        <w:rPr>
          <w:rFonts w:asciiTheme="minorHAnsi" w:hAnsiTheme="minorHAnsi" w:cstheme="minorHAnsi"/>
          <w:color w:val="auto"/>
          <w:highlight w:val="yellow"/>
        </w:rPr>
      </w:pPr>
    </w:p>
    <w:p w14:paraId="04EBD580" w14:textId="67D5C1E6" w:rsidR="0040013E" w:rsidRPr="007679BB" w:rsidRDefault="0040013E" w:rsidP="0054535F">
      <w:pPr>
        <w:pStyle w:val="ListParagraph"/>
        <w:numPr>
          <w:ilvl w:val="2"/>
          <w:numId w:val="38"/>
        </w:numPr>
        <w:ind w:left="0" w:right="4" w:firstLine="0"/>
        <w:rPr>
          <w:rFonts w:asciiTheme="minorHAnsi" w:hAnsiTheme="minorHAnsi" w:cstheme="minorHAnsi"/>
          <w:color w:val="auto"/>
          <w:highlight w:val="yellow"/>
        </w:rPr>
      </w:pPr>
      <w:r w:rsidRPr="007679BB">
        <w:rPr>
          <w:rFonts w:asciiTheme="minorHAnsi" w:hAnsiTheme="minorHAnsi" w:cstheme="minorHAnsi"/>
          <w:color w:val="auto"/>
          <w:highlight w:val="yellow"/>
        </w:rPr>
        <w:t>Read the formazan absorbance in a plate reader at 570 nm. Calculate the relative ability of the cells to reduce MTT (%) using the average optical density of each time point, compared to the negative control, considered as 100% cell viability.</w:t>
      </w:r>
    </w:p>
    <w:p w14:paraId="34E7DCC9" w14:textId="77777777" w:rsidR="00DC3CDC" w:rsidRPr="007679BB" w:rsidRDefault="00DC3CDC" w:rsidP="0054535F">
      <w:pPr>
        <w:pStyle w:val="ListParagraph"/>
        <w:ind w:left="0"/>
        <w:rPr>
          <w:rFonts w:asciiTheme="minorHAnsi" w:hAnsiTheme="minorHAnsi" w:cstheme="minorHAnsi"/>
          <w:color w:val="auto"/>
          <w:highlight w:val="yellow"/>
        </w:rPr>
      </w:pPr>
    </w:p>
    <w:p w14:paraId="1C815363" w14:textId="2C879B24" w:rsidR="001C5045" w:rsidRPr="007679BB" w:rsidRDefault="00733AE7" w:rsidP="0054535F">
      <w:pPr>
        <w:pStyle w:val="ListParagraph"/>
        <w:numPr>
          <w:ilvl w:val="1"/>
          <w:numId w:val="38"/>
        </w:numPr>
        <w:ind w:left="0" w:right="4" w:firstLine="0"/>
        <w:rPr>
          <w:rFonts w:asciiTheme="minorHAnsi" w:hAnsiTheme="minorHAnsi" w:cstheme="minorHAnsi"/>
          <w:bCs/>
          <w:color w:val="auto"/>
          <w:highlight w:val="yellow"/>
        </w:rPr>
      </w:pPr>
      <w:r w:rsidRPr="007679BB">
        <w:rPr>
          <w:rFonts w:asciiTheme="minorHAnsi" w:hAnsiTheme="minorHAnsi" w:cstheme="minorHAnsi"/>
          <w:bCs/>
          <w:color w:val="auto"/>
          <w:highlight w:val="yellow"/>
        </w:rPr>
        <w:t>Cytochemistry</w:t>
      </w:r>
      <w:r w:rsidR="001C5045" w:rsidRPr="007679BB">
        <w:rPr>
          <w:rFonts w:asciiTheme="minorHAnsi" w:hAnsiTheme="minorHAnsi" w:cstheme="minorHAnsi"/>
          <w:bCs/>
          <w:color w:val="auto"/>
          <w:highlight w:val="yellow"/>
        </w:rPr>
        <w:t>/Histology</w:t>
      </w:r>
    </w:p>
    <w:p w14:paraId="3C153D00" w14:textId="2868CAD1" w:rsidR="00733AE7" w:rsidRPr="007679BB" w:rsidRDefault="00733AE7" w:rsidP="0054535F">
      <w:pPr>
        <w:pStyle w:val="ListParagraph"/>
        <w:ind w:left="0" w:right="4"/>
        <w:rPr>
          <w:rFonts w:asciiTheme="minorHAnsi" w:hAnsiTheme="minorHAnsi" w:cstheme="minorHAnsi"/>
          <w:b/>
          <w:color w:val="auto"/>
          <w:highlight w:val="yellow"/>
        </w:rPr>
      </w:pPr>
    </w:p>
    <w:p w14:paraId="7CD8CE59" w14:textId="42368745" w:rsidR="00733AE7" w:rsidRPr="007679BB" w:rsidRDefault="00733AE7" w:rsidP="0054535F">
      <w:pPr>
        <w:pStyle w:val="ListParagraph"/>
        <w:numPr>
          <w:ilvl w:val="2"/>
          <w:numId w:val="38"/>
        </w:numPr>
        <w:ind w:left="0" w:right="4" w:firstLine="0"/>
        <w:rPr>
          <w:rFonts w:asciiTheme="minorHAnsi" w:hAnsiTheme="minorHAnsi" w:cstheme="minorHAnsi"/>
          <w:b/>
          <w:color w:val="auto"/>
          <w:highlight w:val="yellow"/>
        </w:rPr>
      </w:pPr>
      <w:r w:rsidRPr="007679BB">
        <w:rPr>
          <w:rFonts w:asciiTheme="minorHAnsi" w:hAnsiTheme="minorHAnsi" w:cstheme="minorHAnsi"/>
          <w:color w:val="auto"/>
          <w:highlight w:val="yellow"/>
        </w:rPr>
        <w:t>Fix the intestine and liver equivalents, for 25 min at room temperature, using 4%</w:t>
      </w:r>
      <w:r w:rsidR="00182D70" w:rsidRPr="007679BB">
        <w:rPr>
          <w:rFonts w:asciiTheme="minorHAnsi" w:hAnsiTheme="minorHAnsi" w:cstheme="minorHAnsi"/>
          <w:color w:val="auto"/>
          <w:highlight w:val="yellow"/>
        </w:rPr>
        <w:t xml:space="preserve"> </w:t>
      </w:r>
      <w:r w:rsidRPr="007679BB">
        <w:rPr>
          <w:rFonts w:asciiTheme="minorHAnsi" w:hAnsiTheme="minorHAnsi" w:cstheme="minorHAnsi"/>
          <w:color w:val="auto"/>
          <w:highlight w:val="yellow"/>
        </w:rPr>
        <w:t xml:space="preserve">(w/v) paraformaldehyde in 0.1 </w:t>
      </w:r>
      <w:r w:rsidR="00182D70" w:rsidRPr="007679BB">
        <w:rPr>
          <w:rFonts w:asciiTheme="minorHAnsi" w:hAnsiTheme="minorHAnsi" w:cstheme="minorHAnsi"/>
          <w:color w:val="auto"/>
          <w:highlight w:val="yellow"/>
        </w:rPr>
        <w:t>M</w:t>
      </w:r>
      <w:r w:rsidRPr="007679BB">
        <w:rPr>
          <w:rFonts w:asciiTheme="minorHAnsi" w:hAnsiTheme="minorHAnsi" w:cstheme="minorHAnsi"/>
          <w:color w:val="auto"/>
          <w:highlight w:val="yellow"/>
        </w:rPr>
        <w:t xml:space="preserve"> phosphate-saline buffer, pH 7.4</w:t>
      </w:r>
      <w:r w:rsidR="00A36009" w:rsidRPr="007679BB">
        <w:rPr>
          <w:rFonts w:asciiTheme="minorHAnsi" w:hAnsiTheme="minorHAnsi" w:cstheme="minorHAnsi"/>
          <w:color w:val="auto"/>
          <w:highlight w:val="yellow"/>
        </w:rPr>
        <w:t>.</w:t>
      </w:r>
      <w:r w:rsidR="002B467C" w:rsidRPr="007679BB">
        <w:rPr>
          <w:rFonts w:asciiTheme="minorHAnsi" w:hAnsiTheme="minorHAnsi" w:cstheme="minorHAnsi"/>
          <w:color w:val="auto"/>
          <w:highlight w:val="yellow"/>
        </w:rPr>
        <w:t xml:space="preserve"> </w:t>
      </w:r>
      <w:r w:rsidR="0069403D" w:rsidRPr="007679BB">
        <w:rPr>
          <w:rFonts w:asciiTheme="minorHAnsi" w:hAnsiTheme="minorHAnsi" w:cstheme="minorHAnsi"/>
          <w:color w:val="auto"/>
          <w:highlight w:val="yellow"/>
        </w:rPr>
        <w:t xml:space="preserve">Wash the organoids 5 times in PBS buffer for 10 minutes each time. </w:t>
      </w:r>
      <w:r w:rsidRPr="007679BB">
        <w:rPr>
          <w:rFonts w:asciiTheme="minorHAnsi" w:hAnsiTheme="minorHAnsi" w:cstheme="minorHAnsi"/>
          <w:color w:val="auto"/>
          <w:highlight w:val="yellow"/>
        </w:rPr>
        <w:t xml:space="preserve">Stain the intestinal and the liver equivalents with </w:t>
      </w:r>
      <w:proofErr w:type="spellStart"/>
      <w:r w:rsidRPr="007679BB">
        <w:rPr>
          <w:rFonts w:asciiTheme="minorHAnsi" w:hAnsiTheme="minorHAnsi" w:cstheme="minorHAnsi"/>
          <w:color w:val="auto"/>
          <w:highlight w:val="yellow"/>
        </w:rPr>
        <w:t>tetramethylrhodamine</w:t>
      </w:r>
      <w:proofErr w:type="spellEnd"/>
      <w:r w:rsidRPr="007679BB">
        <w:rPr>
          <w:rFonts w:asciiTheme="minorHAnsi" w:hAnsiTheme="minorHAnsi" w:cstheme="minorHAnsi"/>
          <w:color w:val="auto"/>
          <w:highlight w:val="yellow"/>
        </w:rPr>
        <w:t xml:space="preserve"> isothiocyanate-phalloidin or Alexa Fluor 647 phalloidin, 1:50 in PBS</w:t>
      </w:r>
      <w:r w:rsidRPr="007679BB">
        <w:rPr>
          <w:rFonts w:asciiTheme="minorHAnsi" w:hAnsiTheme="minorHAnsi" w:cstheme="minorHAnsi"/>
          <w:color w:val="auto"/>
          <w:highlight w:val="yellow"/>
        </w:rPr>
        <w:fldChar w:fldCharType="begin" w:fldLock="1"/>
      </w:r>
      <w:r w:rsidR="00DE664D" w:rsidRPr="007679BB">
        <w:rPr>
          <w:rFonts w:asciiTheme="minorHAnsi" w:hAnsiTheme="minorHAnsi" w:cstheme="minorHAnsi"/>
          <w:color w:val="auto"/>
          <w:highlight w:val="yellow"/>
        </w:rPr>
        <w:instrText>ADDIN CSL_CITATION {"citationItems":[{"id":"ITEM-1","itemData":{"DOI":"10.1161/CIRCRESAHA.108.179754","ISBN":"1524-4571 (Electronic)\\r0009-7330 (Linking)","ISSN":"00097330","PMID":"18757826","abstract":"The aim of this study was to investigate whether Shp2 (Src homology region 2, phosphatase 2) controls focal adhesion kinase (FAK) activity and its trophic actions in cardiomyocytes. We show that low phosphorylation levels of FAK in nonstretched neonatal rat ventricular myocytes (NRVMs) coincided with a relatively high basal association of FAK with Shp2 and Shp2 phosphatase activity. Cyclic stretch (15% above initial length) enhanced FAK phosphorylation at Tyr397 and reduced FAK/Shp2 association and phosphatase activity in anti-Shp2 precipitates. Recombinant Shp2 C-terminal protein tyrosine phosphatase domain (Shp2-PTP) interacted with nonphosphorylated recombinant FAK and dephosphorylated FAK immunoprecipitated from NRVMs. Depletion of Shp2 by specific small interfering RNA increased the phosphorylation of FAK Tyr397, Src Tyr418, AKT Ser473, TSC2 Thr1462, and S6 kinase Thr389 and induced hypertrophy of nonstretched NRVMs. Inhibition of FAK/Src activity by PP2 {4-amino-5-(4-chlorophenyl)-7-(t-butyl)pyrazolo[3,4-d]pyrimidine} abolished the phosphorylation of AKT, TSC2, and S6 kinase, as well as the hypertrophy of NRVMs induced by Shp2 depletion. Inhibition of mTOR (mammalian target of rapamycin) with rapamycin blunted the hypertrophy in NRVMs depleted of Shp2. NRVMs treated with PP2 or depleted of FAK by specific small interfering RNA were defective in FAK, Src, extracellular signal-regulated kinase, AKT, TSC2, and S6 kinase phosphorylation, as well as in the hypertrophic response to prolonged stretch. The stretch-induced hypertrophy of NRVMs was also prevented by rapamycin. These findings demonstrate that basal Shp2 tyrosine phosphatase activity controls the size of cardiomyocytes by downregulating a pathway that involves FAK/Src and mTOR signaling pathways.","author":[{"dropping-particle":"","family":"Marin","given":"Talita M.","non-dropping-particle":"","parse-names":false,"suffix":""},{"dropping-particle":"","family":"Clemente","given":"Carolina F.M.Z.","non-dropping-particle":"","parse-names":false,"suffix":""},{"dropping-particle":"","family":"Santos","given":"Aline M.","non-dropping-particle":"","parse-names":false,"suffix":""},{"dropping-particle":"","family":"Picardi","given":"Paty K.","non-dropping-particle":"","parse-names":false,"suffix":""},{"dropping-particle":"","family":"Pascoal","given":"Vinícius D.B.","non-dropping-particle":"","parse-names":false,"suffix":""},{"dropping-particle":"","family":"Lopes-Cendes","given":"Iscia","non-dropping-particle":"","parse-names":false,"suffix":""},{"dropping-particle":"","family":"Saad","given":"Mário J.A.","non-dropping-particle":"","parse-names":false,"suffix":""},{"dropping-particle":"","family":"Franchini","given":"Kleber G.","non-dropping-particle":"","parse-names":false,"suffix":""}],"container-title":"Circulation Research","id":"ITEM-1","issue":"8","issued":{"date-parts":[["2008"]]},"page":"813-824","title":"Shp2 negatively regulates growth in cardiomyocytes by controlling focal adhesion kinase/src and mTOR pathways","type":"article-journal","volume":"103"},"uris":["http://www.mendeley.com/documents/?uuid=a5cea06e-a15a-3179-90d9-039f2e163a1a"]}],"mendeley":{"formattedCitation":"&lt;sup&gt;31&lt;/sup&gt;","plainTextFormattedCitation":"31","previouslyFormattedCitation":"&lt;sup&gt;31&lt;/sup&gt;"},"properties":{"noteIndex":0},"schema":"https://github.com/citation-style-language/schema/raw/master/csl-citation.json"}</w:instrText>
      </w:r>
      <w:r w:rsidRPr="007679BB">
        <w:rPr>
          <w:rFonts w:asciiTheme="minorHAnsi" w:hAnsiTheme="minorHAnsi" w:cstheme="minorHAnsi"/>
          <w:color w:val="auto"/>
          <w:highlight w:val="yellow"/>
        </w:rPr>
        <w:fldChar w:fldCharType="separate"/>
      </w:r>
      <w:r w:rsidR="0077280B" w:rsidRPr="007679BB">
        <w:rPr>
          <w:rFonts w:asciiTheme="minorHAnsi" w:hAnsiTheme="minorHAnsi" w:cstheme="minorHAnsi"/>
          <w:noProof/>
          <w:color w:val="auto"/>
          <w:highlight w:val="yellow"/>
          <w:vertAlign w:val="superscript"/>
        </w:rPr>
        <w:t>31</w:t>
      </w:r>
      <w:r w:rsidRPr="007679BB">
        <w:rPr>
          <w:rFonts w:asciiTheme="minorHAnsi" w:hAnsiTheme="minorHAnsi" w:cstheme="minorHAnsi"/>
          <w:color w:val="auto"/>
          <w:highlight w:val="yellow"/>
        </w:rPr>
        <w:fldChar w:fldCharType="end"/>
      </w:r>
      <w:r w:rsidR="0069403D" w:rsidRPr="007679BB">
        <w:rPr>
          <w:rFonts w:asciiTheme="minorHAnsi" w:hAnsiTheme="minorHAnsi" w:cstheme="minorHAnsi"/>
          <w:color w:val="auto"/>
          <w:highlight w:val="yellow"/>
        </w:rPr>
        <w:t>.</w:t>
      </w:r>
    </w:p>
    <w:p w14:paraId="5611F9E4" w14:textId="77777777" w:rsidR="0069403D" w:rsidRPr="007679BB" w:rsidRDefault="0069403D" w:rsidP="0054535F">
      <w:pPr>
        <w:pStyle w:val="ListParagraph"/>
        <w:ind w:left="0" w:right="4"/>
        <w:rPr>
          <w:rFonts w:asciiTheme="minorHAnsi" w:hAnsiTheme="minorHAnsi" w:cstheme="minorHAnsi"/>
          <w:b/>
          <w:color w:val="4F81BD" w:themeColor="accent1"/>
          <w:highlight w:val="yellow"/>
        </w:rPr>
      </w:pPr>
    </w:p>
    <w:p w14:paraId="3FEA871F" w14:textId="5BEE67D0" w:rsidR="0069403D" w:rsidRPr="007679BB" w:rsidRDefault="0069403D" w:rsidP="0054535F">
      <w:pPr>
        <w:pStyle w:val="ListParagraph"/>
        <w:numPr>
          <w:ilvl w:val="2"/>
          <w:numId w:val="38"/>
        </w:numPr>
        <w:ind w:left="0" w:right="4" w:firstLine="0"/>
        <w:rPr>
          <w:rFonts w:asciiTheme="minorHAnsi" w:hAnsiTheme="minorHAnsi" w:cstheme="minorHAnsi"/>
          <w:color w:val="auto"/>
          <w:highlight w:val="yellow"/>
        </w:rPr>
      </w:pPr>
      <w:r w:rsidRPr="007679BB">
        <w:rPr>
          <w:rFonts w:asciiTheme="minorHAnsi" w:hAnsiTheme="minorHAnsi" w:cstheme="minorHAnsi"/>
          <w:color w:val="auto"/>
          <w:highlight w:val="yellow"/>
        </w:rPr>
        <w:t xml:space="preserve">Transfer them to OCT freezing medium for a few minutes to acclimate at RT before </w:t>
      </w:r>
      <w:r w:rsidRPr="007679BB">
        <w:rPr>
          <w:rFonts w:asciiTheme="minorHAnsi" w:hAnsiTheme="minorHAnsi" w:cstheme="minorHAnsi"/>
          <w:noProof/>
          <w:color w:val="auto"/>
          <w:highlight w:val="yellow"/>
        </w:rPr>
        <w:t>transfer</w:t>
      </w:r>
      <w:r w:rsidR="002B467C" w:rsidRPr="007679BB">
        <w:rPr>
          <w:rFonts w:asciiTheme="minorHAnsi" w:hAnsiTheme="minorHAnsi" w:cstheme="minorHAnsi"/>
          <w:noProof/>
          <w:color w:val="auto"/>
          <w:highlight w:val="yellow"/>
        </w:rPr>
        <w:t>ring</w:t>
      </w:r>
      <w:r w:rsidRPr="007679BB">
        <w:rPr>
          <w:rFonts w:asciiTheme="minorHAnsi" w:hAnsiTheme="minorHAnsi" w:cstheme="minorHAnsi"/>
          <w:color w:val="auto"/>
          <w:highlight w:val="yellow"/>
        </w:rPr>
        <w:t xml:space="preserve"> them to liquid nitrogen until the complete freezing.</w:t>
      </w:r>
      <w:r w:rsidR="002B467C" w:rsidRPr="007679BB">
        <w:rPr>
          <w:rFonts w:asciiTheme="minorHAnsi" w:hAnsiTheme="minorHAnsi" w:cstheme="minorHAnsi"/>
          <w:color w:val="auto"/>
          <w:highlight w:val="yellow"/>
        </w:rPr>
        <w:t xml:space="preserve"> </w:t>
      </w:r>
      <w:r w:rsidRPr="007679BB">
        <w:rPr>
          <w:rFonts w:asciiTheme="minorHAnsi" w:hAnsiTheme="minorHAnsi" w:cstheme="minorHAnsi"/>
          <w:color w:val="auto"/>
          <w:highlight w:val="yellow"/>
        </w:rPr>
        <w:t xml:space="preserve">Perform liver spheroids cryosections about 10-12 </w:t>
      </w:r>
      <w:r w:rsidR="008173B3">
        <w:rPr>
          <w:rFonts w:asciiTheme="minorHAnsi" w:hAnsiTheme="minorHAnsi" w:cstheme="minorHAnsi"/>
          <w:color w:val="auto"/>
          <w:highlight w:val="yellow"/>
        </w:rPr>
        <w:t>µ</w:t>
      </w:r>
      <w:r w:rsidRPr="007679BB">
        <w:rPr>
          <w:rFonts w:asciiTheme="minorHAnsi" w:hAnsiTheme="minorHAnsi" w:cstheme="minorHAnsi"/>
          <w:color w:val="auto"/>
          <w:highlight w:val="yellow"/>
        </w:rPr>
        <w:t>m</w:t>
      </w:r>
      <w:r w:rsidR="008173B3">
        <w:rPr>
          <w:rFonts w:asciiTheme="minorHAnsi" w:hAnsiTheme="minorHAnsi" w:cstheme="minorHAnsi"/>
          <w:color w:val="auto"/>
          <w:highlight w:val="yellow"/>
        </w:rPr>
        <w:t xml:space="preserve"> </w:t>
      </w:r>
      <w:r w:rsidRPr="007679BB">
        <w:rPr>
          <w:rFonts w:asciiTheme="minorHAnsi" w:hAnsiTheme="minorHAnsi" w:cstheme="minorHAnsi"/>
          <w:color w:val="auto"/>
          <w:highlight w:val="yellow"/>
        </w:rPr>
        <w:t>thick, using a cryostat.</w:t>
      </w:r>
    </w:p>
    <w:p w14:paraId="7614AE9C" w14:textId="77777777" w:rsidR="00733AE7" w:rsidRPr="007679BB" w:rsidRDefault="00733AE7" w:rsidP="0054535F">
      <w:pPr>
        <w:pStyle w:val="ListParagraph"/>
        <w:ind w:left="0" w:right="4"/>
        <w:rPr>
          <w:rFonts w:asciiTheme="minorHAnsi" w:hAnsiTheme="minorHAnsi" w:cstheme="minorHAnsi"/>
          <w:color w:val="auto"/>
          <w:highlight w:val="yellow"/>
        </w:rPr>
      </w:pPr>
    </w:p>
    <w:p w14:paraId="008A7828" w14:textId="3416D98A" w:rsidR="00733AE7" w:rsidRPr="007679BB" w:rsidRDefault="00733AE7" w:rsidP="0054535F">
      <w:pPr>
        <w:pStyle w:val="ListParagraph"/>
        <w:numPr>
          <w:ilvl w:val="2"/>
          <w:numId w:val="38"/>
        </w:numPr>
        <w:ind w:left="0" w:right="4" w:firstLine="0"/>
        <w:rPr>
          <w:rFonts w:asciiTheme="minorHAnsi" w:hAnsiTheme="minorHAnsi" w:cstheme="minorHAnsi"/>
          <w:color w:val="auto"/>
          <w:highlight w:val="yellow"/>
        </w:rPr>
      </w:pPr>
      <w:r w:rsidRPr="007679BB">
        <w:rPr>
          <w:rFonts w:asciiTheme="minorHAnsi" w:hAnsiTheme="minorHAnsi" w:cstheme="minorHAnsi"/>
          <w:color w:val="auto"/>
          <w:highlight w:val="yellow"/>
        </w:rPr>
        <w:t>Mount the tissues sections in mou</w:t>
      </w:r>
      <w:r w:rsidR="002B467C" w:rsidRPr="007679BB">
        <w:rPr>
          <w:rFonts w:asciiTheme="minorHAnsi" w:hAnsiTheme="minorHAnsi" w:cstheme="minorHAnsi"/>
          <w:color w:val="auto"/>
          <w:highlight w:val="yellow"/>
        </w:rPr>
        <w:t>n</w:t>
      </w:r>
      <w:r w:rsidRPr="007679BB">
        <w:rPr>
          <w:rFonts w:asciiTheme="minorHAnsi" w:hAnsiTheme="minorHAnsi" w:cstheme="minorHAnsi"/>
          <w:color w:val="auto"/>
          <w:highlight w:val="yellow"/>
        </w:rPr>
        <w:t>ting medium with DAPI.</w:t>
      </w:r>
      <w:r w:rsidR="00A36009" w:rsidRPr="007679BB">
        <w:rPr>
          <w:rFonts w:asciiTheme="minorHAnsi" w:hAnsiTheme="minorHAnsi" w:cstheme="minorHAnsi"/>
          <w:color w:val="auto"/>
          <w:highlight w:val="yellow"/>
        </w:rPr>
        <w:t xml:space="preserve"> </w:t>
      </w:r>
      <w:r w:rsidRPr="007679BB">
        <w:rPr>
          <w:rFonts w:asciiTheme="minorHAnsi" w:hAnsiTheme="minorHAnsi" w:cstheme="minorHAnsi"/>
          <w:color w:val="auto"/>
          <w:highlight w:val="yellow"/>
        </w:rPr>
        <w:t>Examine them by confocal fluorescence microscopy.</w:t>
      </w:r>
    </w:p>
    <w:p w14:paraId="454C7B74" w14:textId="77777777" w:rsidR="00E72A2B" w:rsidRPr="001220A4" w:rsidRDefault="00E72A2B" w:rsidP="0054535F">
      <w:pPr>
        <w:pStyle w:val="ListParagraph"/>
        <w:ind w:left="0" w:right="4"/>
        <w:rPr>
          <w:rFonts w:asciiTheme="minorHAnsi" w:hAnsiTheme="minorHAnsi" w:cstheme="minorHAnsi"/>
          <w:color w:val="auto"/>
        </w:rPr>
      </w:pPr>
    </w:p>
    <w:p w14:paraId="01428471" w14:textId="55445A21" w:rsidR="005F38FF" w:rsidRPr="001220A4" w:rsidRDefault="00550058"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Freeze the organoids after fixation</w:t>
      </w:r>
      <w:r w:rsidR="0069403D" w:rsidRPr="001220A4">
        <w:rPr>
          <w:rFonts w:asciiTheme="minorHAnsi" w:hAnsiTheme="minorHAnsi" w:cstheme="minorHAnsi"/>
          <w:color w:val="auto"/>
        </w:rPr>
        <w:t xml:space="preserve"> </w:t>
      </w:r>
      <w:r w:rsidRPr="001220A4">
        <w:rPr>
          <w:rFonts w:asciiTheme="minorHAnsi" w:hAnsiTheme="minorHAnsi" w:cstheme="minorHAnsi"/>
          <w:color w:val="auto"/>
        </w:rPr>
        <w:t>t</w:t>
      </w:r>
      <w:r w:rsidR="0069403D" w:rsidRPr="001220A4">
        <w:rPr>
          <w:rFonts w:asciiTheme="minorHAnsi" w:hAnsiTheme="minorHAnsi" w:cstheme="minorHAnsi"/>
          <w:color w:val="auto"/>
        </w:rPr>
        <w:t xml:space="preserve">o </w:t>
      </w:r>
      <w:r w:rsidRPr="001220A4">
        <w:rPr>
          <w:rFonts w:asciiTheme="minorHAnsi" w:hAnsiTheme="minorHAnsi" w:cstheme="minorHAnsi"/>
          <w:color w:val="auto"/>
        </w:rPr>
        <w:t>perform</w:t>
      </w:r>
      <w:r w:rsidR="005222C1" w:rsidRPr="001220A4">
        <w:rPr>
          <w:rFonts w:asciiTheme="minorHAnsi" w:hAnsiTheme="minorHAnsi" w:cstheme="minorHAnsi"/>
          <w:color w:val="auto"/>
        </w:rPr>
        <w:t xml:space="preserve"> </w:t>
      </w:r>
      <w:r w:rsidR="008173B3" w:rsidRPr="001220A4">
        <w:rPr>
          <w:rFonts w:asciiTheme="minorHAnsi" w:hAnsiTheme="minorHAnsi" w:cstheme="minorHAnsi"/>
          <w:color w:val="auto"/>
        </w:rPr>
        <w:t xml:space="preserve">hematoxylin &amp; eosin </w:t>
      </w:r>
      <w:r w:rsidRPr="001220A4">
        <w:rPr>
          <w:rFonts w:asciiTheme="minorHAnsi" w:hAnsiTheme="minorHAnsi" w:cstheme="minorHAnsi"/>
          <w:color w:val="auto"/>
        </w:rPr>
        <w:t>stain</w:t>
      </w:r>
      <w:r w:rsidR="008173B3">
        <w:rPr>
          <w:rFonts w:asciiTheme="minorHAnsi" w:hAnsiTheme="minorHAnsi" w:cstheme="minorHAnsi"/>
          <w:color w:val="auto"/>
        </w:rPr>
        <w:t>ing</w:t>
      </w:r>
      <w:r w:rsidR="005222C1" w:rsidRPr="001220A4">
        <w:rPr>
          <w:rFonts w:asciiTheme="minorHAnsi" w:hAnsiTheme="minorHAnsi" w:cstheme="minorHAnsi"/>
          <w:color w:val="auto"/>
        </w:rPr>
        <w:t xml:space="preserve"> according to the established protocols</w:t>
      </w:r>
      <w:r w:rsidR="0069403D" w:rsidRPr="001220A4">
        <w:rPr>
          <w:rFonts w:asciiTheme="minorHAnsi" w:hAnsiTheme="minorHAnsi" w:cstheme="minorHAnsi"/>
          <w:color w:val="auto"/>
        </w:rPr>
        <w:t xml:space="preserve">. </w:t>
      </w:r>
      <w:r w:rsidR="005222C1" w:rsidRPr="001220A4">
        <w:rPr>
          <w:rFonts w:asciiTheme="minorHAnsi" w:hAnsiTheme="minorHAnsi" w:cstheme="minorHAnsi"/>
          <w:color w:val="auto"/>
        </w:rPr>
        <w:t xml:space="preserve">Mount the slides with </w:t>
      </w:r>
      <w:r w:rsidR="001260CE" w:rsidRPr="001220A4">
        <w:rPr>
          <w:rFonts w:asciiTheme="minorHAnsi" w:hAnsiTheme="minorHAnsi" w:cstheme="minorHAnsi"/>
          <w:color w:val="auto"/>
        </w:rPr>
        <w:t>mounting medium</w:t>
      </w:r>
      <w:r w:rsidR="00EA1B43" w:rsidRPr="001220A4">
        <w:rPr>
          <w:rFonts w:asciiTheme="minorHAnsi" w:hAnsiTheme="minorHAnsi" w:cstheme="minorHAnsi"/>
          <w:color w:val="auto"/>
        </w:rPr>
        <w:t xml:space="preserve"> after</w:t>
      </w:r>
      <w:r w:rsidRPr="001220A4">
        <w:rPr>
          <w:rFonts w:asciiTheme="minorHAnsi" w:hAnsiTheme="minorHAnsi" w:cstheme="minorHAnsi"/>
          <w:color w:val="auto"/>
        </w:rPr>
        <w:t xml:space="preserve"> slic</w:t>
      </w:r>
      <w:r w:rsidR="008173B3">
        <w:rPr>
          <w:rFonts w:asciiTheme="minorHAnsi" w:hAnsiTheme="minorHAnsi" w:cstheme="minorHAnsi"/>
          <w:color w:val="auto"/>
        </w:rPr>
        <w:t>ing</w:t>
      </w:r>
      <w:r w:rsidRPr="001220A4">
        <w:rPr>
          <w:rFonts w:asciiTheme="minorHAnsi" w:hAnsiTheme="minorHAnsi" w:cstheme="minorHAnsi"/>
          <w:color w:val="auto"/>
        </w:rPr>
        <w:t xml:space="preserve"> the tissue as described above</w:t>
      </w:r>
      <w:r w:rsidR="001C5045" w:rsidRPr="001220A4">
        <w:rPr>
          <w:rFonts w:asciiTheme="minorHAnsi" w:hAnsiTheme="minorHAnsi" w:cstheme="minorHAnsi"/>
          <w:color w:val="auto"/>
        </w:rPr>
        <w:t xml:space="preserve"> and t</w:t>
      </w:r>
      <w:r w:rsidR="005F38FF" w:rsidRPr="001220A4">
        <w:rPr>
          <w:rFonts w:asciiTheme="minorHAnsi" w:hAnsiTheme="minorHAnsi" w:cstheme="minorHAnsi"/>
          <w:color w:val="auto"/>
        </w:rPr>
        <w:t>ake histological images using an optical microscope.</w:t>
      </w:r>
    </w:p>
    <w:p w14:paraId="1D4D88D2" w14:textId="77777777" w:rsidR="001D52E2" w:rsidRPr="001220A4" w:rsidRDefault="001D52E2" w:rsidP="0054535F">
      <w:pPr>
        <w:pStyle w:val="ListParagraph"/>
        <w:ind w:left="0" w:right="4"/>
        <w:rPr>
          <w:rFonts w:asciiTheme="minorHAnsi" w:hAnsiTheme="minorHAnsi" w:cstheme="minorHAnsi"/>
          <w:color w:val="auto"/>
        </w:rPr>
      </w:pPr>
    </w:p>
    <w:p w14:paraId="1241516A" w14:textId="239CCC8C" w:rsidR="00426718" w:rsidRPr="00182D70" w:rsidRDefault="00426718" w:rsidP="0054535F">
      <w:pPr>
        <w:pStyle w:val="ListParagraph"/>
        <w:numPr>
          <w:ilvl w:val="1"/>
          <w:numId w:val="38"/>
        </w:numPr>
        <w:ind w:left="0" w:right="4" w:firstLine="0"/>
        <w:rPr>
          <w:rFonts w:asciiTheme="minorHAnsi" w:hAnsiTheme="minorHAnsi" w:cstheme="minorHAnsi"/>
          <w:bCs/>
          <w:color w:val="auto"/>
        </w:rPr>
      </w:pPr>
      <w:r w:rsidRPr="00182D70">
        <w:rPr>
          <w:rFonts w:asciiTheme="minorHAnsi" w:hAnsiTheme="minorHAnsi" w:cstheme="minorHAnsi"/>
          <w:bCs/>
          <w:color w:val="auto"/>
        </w:rPr>
        <w:t xml:space="preserve">High </w:t>
      </w:r>
      <w:r w:rsidR="00182D70" w:rsidRPr="00182D70">
        <w:rPr>
          <w:rFonts w:asciiTheme="minorHAnsi" w:hAnsiTheme="minorHAnsi" w:cstheme="minorHAnsi"/>
          <w:bCs/>
          <w:color w:val="auto"/>
        </w:rPr>
        <w:t>content analysis</w:t>
      </w:r>
    </w:p>
    <w:p w14:paraId="6EDD1DBB" w14:textId="77777777" w:rsidR="00426718" w:rsidRPr="001220A4" w:rsidRDefault="00426718" w:rsidP="0054535F">
      <w:pPr>
        <w:pStyle w:val="ListParagraph"/>
        <w:ind w:left="0" w:right="4"/>
        <w:rPr>
          <w:rFonts w:asciiTheme="minorHAnsi" w:hAnsiTheme="minorHAnsi" w:cstheme="minorHAnsi"/>
          <w:color w:val="auto"/>
        </w:rPr>
      </w:pPr>
    </w:p>
    <w:p w14:paraId="33CA810D" w14:textId="42462503" w:rsidR="00426718" w:rsidRPr="001220A4" w:rsidRDefault="00426718" w:rsidP="0054535F">
      <w:pPr>
        <w:ind w:right="4"/>
        <w:contextualSpacing/>
        <w:rPr>
          <w:rFonts w:asciiTheme="minorHAnsi" w:hAnsiTheme="minorHAnsi" w:cstheme="minorHAnsi"/>
          <w:iCs/>
          <w:color w:val="auto"/>
        </w:rPr>
      </w:pPr>
      <w:r w:rsidRPr="007679BB">
        <w:rPr>
          <w:rFonts w:asciiTheme="minorHAnsi" w:hAnsiTheme="minorHAnsi" w:cstheme="minorHAnsi"/>
          <w:iCs/>
          <w:color w:val="auto"/>
          <w:highlight w:val="yellow"/>
        </w:rPr>
        <w:t>6.</w:t>
      </w:r>
      <w:r w:rsidR="00227E71" w:rsidRPr="007679BB">
        <w:rPr>
          <w:rFonts w:asciiTheme="minorHAnsi" w:hAnsiTheme="minorHAnsi" w:cstheme="minorHAnsi"/>
          <w:iCs/>
          <w:color w:val="auto"/>
          <w:highlight w:val="yellow"/>
        </w:rPr>
        <w:t>3</w:t>
      </w:r>
      <w:r w:rsidRPr="007679BB">
        <w:rPr>
          <w:rFonts w:asciiTheme="minorHAnsi" w:hAnsiTheme="minorHAnsi" w:cstheme="minorHAnsi"/>
          <w:iCs/>
          <w:color w:val="auto"/>
          <w:highlight w:val="yellow"/>
        </w:rPr>
        <w:t>.1. Mitochondrial and nuclear staining of the cells</w:t>
      </w:r>
    </w:p>
    <w:p w14:paraId="7AC59BC6" w14:textId="77777777" w:rsidR="00426718" w:rsidRPr="001220A4" w:rsidRDefault="00426718" w:rsidP="0054535F">
      <w:pPr>
        <w:pStyle w:val="ListParagraph"/>
        <w:ind w:left="0" w:right="4"/>
        <w:rPr>
          <w:rFonts w:asciiTheme="minorHAnsi" w:hAnsiTheme="minorHAnsi" w:cstheme="minorHAnsi"/>
          <w:color w:val="auto"/>
        </w:rPr>
      </w:pPr>
    </w:p>
    <w:p w14:paraId="4B5E25D8" w14:textId="3E964496" w:rsidR="00426718" w:rsidRPr="001220A4" w:rsidRDefault="00426718"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6.</w:t>
      </w:r>
      <w:r w:rsidR="00227E71" w:rsidRPr="001220A4">
        <w:rPr>
          <w:rFonts w:asciiTheme="minorHAnsi" w:hAnsiTheme="minorHAnsi" w:cstheme="minorHAnsi"/>
          <w:color w:val="auto"/>
        </w:rPr>
        <w:t>3</w:t>
      </w:r>
      <w:r w:rsidRPr="001220A4">
        <w:rPr>
          <w:rFonts w:asciiTheme="minorHAnsi" w:hAnsiTheme="minorHAnsi" w:cstheme="minorHAnsi"/>
          <w:color w:val="auto"/>
        </w:rPr>
        <w:t xml:space="preserve">.1.1. </w:t>
      </w:r>
      <w:r w:rsidR="009F005F" w:rsidRPr="001220A4">
        <w:rPr>
          <w:rFonts w:asciiTheme="minorHAnsi" w:hAnsiTheme="minorHAnsi" w:cstheme="minorHAnsi"/>
          <w:color w:val="auto"/>
        </w:rPr>
        <w:t>Reconstitute the lyophilized powder in DMSO t</w:t>
      </w:r>
      <w:r w:rsidRPr="001220A4">
        <w:rPr>
          <w:rFonts w:asciiTheme="minorHAnsi" w:hAnsiTheme="minorHAnsi" w:cstheme="minorHAnsi"/>
          <w:color w:val="auto"/>
        </w:rPr>
        <w:t xml:space="preserve">o make a 1 mM </w:t>
      </w:r>
      <w:r w:rsidR="008173B3">
        <w:rPr>
          <w:rFonts w:asciiTheme="minorHAnsi" w:hAnsiTheme="minorHAnsi" w:cstheme="minorHAnsi"/>
          <w:color w:val="auto"/>
        </w:rPr>
        <w:t xml:space="preserve">mitochondrial staining </w:t>
      </w:r>
      <w:r w:rsidRPr="001220A4">
        <w:rPr>
          <w:rFonts w:asciiTheme="minorHAnsi" w:hAnsiTheme="minorHAnsi" w:cstheme="minorHAnsi"/>
          <w:color w:val="auto"/>
        </w:rPr>
        <w:t>stock solution</w:t>
      </w:r>
      <w:r w:rsidR="008173B3" w:rsidRPr="008173B3">
        <w:rPr>
          <w:rFonts w:asciiTheme="minorHAnsi" w:hAnsiTheme="minorHAnsi" w:cstheme="minorHAnsi"/>
          <w:color w:val="auto"/>
        </w:rPr>
        <w:t xml:space="preserve"> </w:t>
      </w:r>
      <w:r w:rsidR="008173B3">
        <w:rPr>
          <w:rFonts w:asciiTheme="minorHAnsi" w:hAnsiTheme="minorHAnsi" w:cstheme="minorHAnsi"/>
          <w:color w:val="auto"/>
        </w:rPr>
        <w:t xml:space="preserve">(e.g., </w:t>
      </w:r>
      <w:proofErr w:type="spellStart"/>
      <w:r w:rsidR="008173B3" w:rsidRPr="001220A4">
        <w:rPr>
          <w:rFonts w:asciiTheme="minorHAnsi" w:hAnsiTheme="minorHAnsi" w:cstheme="minorHAnsi"/>
          <w:color w:val="auto"/>
        </w:rPr>
        <w:t>MitoTracker</w:t>
      </w:r>
      <w:proofErr w:type="spellEnd"/>
      <w:r w:rsidR="008173B3" w:rsidRPr="001220A4">
        <w:rPr>
          <w:rFonts w:asciiTheme="minorHAnsi" w:hAnsiTheme="minorHAnsi" w:cstheme="minorHAnsi"/>
          <w:color w:val="auto"/>
        </w:rPr>
        <w:t xml:space="preserve"> Deep Red FM</w:t>
      </w:r>
      <w:r w:rsidR="008173B3">
        <w:rPr>
          <w:rFonts w:asciiTheme="minorHAnsi" w:hAnsiTheme="minorHAnsi" w:cstheme="minorHAnsi"/>
          <w:color w:val="auto"/>
        </w:rPr>
        <w:t>)</w:t>
      </w:r>
      <w:r w:rsidRPr="001220A4">
        <w:rPr>
          <w:rFonts w:asciiTheme="minorHAnsi" w:hAnsiTheme="minorHAnsi" w:cstheme="minorHAnsi"/>
          <w:color w:val="auto"/>
        </w:rPr>
        <w:t>. Store aliquoted stock solution at -20</w:t>
      </w:r>
      <w:r w:rsidR="00182D70">
        <w:rPr>
          <w:rFonts w:asciiTheme="minorHAnsi" w:hAnsiTheme="minorHAnsi" w:cstheme="minorHAnsi"/>
          <w:color w:val="auto"/>
        </w:rPr>
        <w:t xml:space="preserve"> °</w:t>
      </w:r>
      <w:r w:rsidRPr="001220A4">
        <w:rPr>
          <w:rFonts w:asciiTheme="minorHAnsi" w:hAnsiTheme="minorHAnsi" w:cstheme="minorHAnsi"/>
          <w:color w:val="auto"/>
        </w:rPr>
        <w:t>C protected from light.</w:t>
      </w:r>
      <w:r w:rsidR="008E4F90">
        <w:rPr>
          <w:rFonts w:asciiTheme="minorHAnsi" w:hAnsiTheme="minorHAnsi" w:cstheme="minorHAnsi"/>
          <w:color w:val="auto"/>
        </w:rPr>
        <w:t xml:space="preserve"> </w:t>
      </w:r>
      <w:r w:rsidR="009F005F" w:rsidRPr="001220A4">
        <w:rPr>
          <w:rFonts w:asciiTheme="minorHAnsi" w:hAnsiTheme="minorHAnsi" w:cstheme="minorHAnsi"/>
          <w:color w:val="auto"/>
        </w:rPr>
        <w:t>D</w:t>
      </w:r>
      <w:r w:rsidRPr="001220A4">
        <w:rPr>
          <w:rFonts w:asciiTheme="minorHAnsi" w:hAnsiTheme="minorHAnsi" w:cstheme="minorHAnsi"/>
          <w:color w:val="auto"/>
        </w:rPr>
        <w:t xml:space="preserve">ilute the 1 mM </w:t>
      </w:r>
      <w:r w:rsidR="008173B3">
        <w:rPr>
          <w:rFonts w:asciiTheme="minorHAnsi" w:hAnsiTheme="minorHAnsi" w:cstheme="minorHAnsi"/>
          <w:color w:val="auto"/>
        </w:rPr>
        <w:t xml:space="preserve">mitochondrial staining </w:t>
      </w:r>
      <w:r w:rsidRPr="001220A4">
        <w:rPr>
          <w:rFonts w:asciiTheme="minorHAnsi" w:hAnsiTheme="minorHAnsi" w:cstheme="minorHAnsi"/>
          <w:color w:val="auto"/>
        </w:rPr>
        <w:t>stock solution to the final concentration</w:t>
      </w:r>
      <w:r w:rsidR="009F005F" w:rsidRPr="001220A4">
        <w:rPr>
          <w:rFonts w:asciiTheme="minorHAnsi" w:hAnsiTheme="minorHAnsi" w:cstheme="minorHAnsi"/>
          <w:color w:val="auto"/>
        </w:rPr>
        <w:t xml:space="preserve"> (200</w:t>
      </w:r>
      <w:r w:rsidR="00182D70">
        <w:rPr>
          <w:rFonts w:asciiTheme="minorHAnsi" w:hAnsiTheme="minorHAnsi" w:cstheme="minorHAnsi"/>
          <w:color w:val="auto"/>
        </w:rPr>
        <w:t xml:space="preserve"> </w:t>
      </w:r>
      <w:proofErr w:type="spellStart"/>
      <w:r w:rsidR="009F005F" w:rsidRPr="001220A4">
        <w:rPr>
          <w:rFonts w:asciiTheme="minorHAnsi" w:hAnsiTheme="minorHAnsi" w:cstheme="minorHAnsi"/>
          <w:color w:val="auto"/>
        </w:rPr>
        <w:t>nM</w:t>
      </w:r>
      <w:proofErr w:type="spellEnd"/>
      <w:r w:rsidR="009F005F" w:rsidRPr="001220A4">
        <w:rPr>
          <w:rFonts w:asciiTheme="minorHAnsi" w:hAnsiTheme="minorHAnsi" w:cstheme="minorHAnsi"/>
          <w:color w:val="auto"/>
        </w:rPr>
        <w:t>)</w:t>
      </w:r>
      <w:r w:rsidRPr="001220A4">
        <w:rPr>
          <w:rFonts w:asciiTheme="minorHAnsi" w:hAnsiTheme="minorHAnsi" w:cstheme="minorHAnsi"/>
          <w:color w:val="auto"/>
        </w:rPr>
        <w:t xml:space="preserve"> in prewarmed (37</w:t>
      </w:r>
      <w:r w:rsidR="00182D70">
        <w:rPr>
          <w:rFonts w:asciiTheme="minorHAnsi" w:hAnsiTheme="minorHAnsi" w:cstheme="minorHAnsi"/>
          <w:color w:val="auto"/>
        </w:rPr>
        <w:t xml:space="preserve"> °</w:t>
      </w:r>
      <w:r w:rsidRPr="001220A4">
        <w:rPr>
          <w:rFonts w:asciiTheme="minorHAnsi" w:hAnsiTheme="minorHAnsi" w:cstheme="minorHAnsi"/>
          <w:color w:val="auto"/>
        </w:rPr>
        <w:t xml:space="preserve">C) tissue culture medium without serum. </w:t>
      </w:r>
    </w:p>
    <w:p w14:paraId="75DEB525" w14:textId="77777777" w:rsidR="00426718" w:rsidRPr="001220A4" w:rsidRDefault="00426718" w:rsidP="0054535F">
      <w:pPr>
        <w:pStyle w:val="ListParagraph"/>
        <w:ind w:left="0" w:right="4"/>
        <w:rPr>
          <w:rFonts w:asciiTheme="minorHAnsi" w:hAnsiTheme="minorHAnsi" w:cstheme="minorHAnsi"/>
          <w:color w:val="auto"/>
        </w:rPr>
      </w:pPr>
    </w:p>
    <w:p w14:paraId="7BD838EF" w14:textId="25005B5C" w:rsidR="00426718" w:rsidRPr="008173B3" w:rsidRDefault="00426718" w:rsidP="0054535F">
      <w:pPr>
        <w:pStyle w:val="ListParagraph"/>
        <w:ind w:left="0" w:right="4"/>
        <w:rPr>
          <w:rFonts w:asciiTheme="minorHAnsi" w:hAnsiTheme="minorHAnsi" w:cstheme="minorHAnsi"/>
          <w:color w:val="auto"/>
          <w:highlight w:val="yellow"/>
        </w:rPr>
      </w:pPr>
      <w:r w:rsidRPr="007679BB">
        <w:rPr>
          <w:rFonts w:asciiTheme="minorHAnsi" w:hAnsiTheme="minorHAnsi" w:cstheme="minorHAnsi"/>
          <w:color w:val="auto"/>
          <w:highlight w:val="yellow"/>
        </w:rPr>
        <w:t>6.</w:t>
      </w:r>
      <w:r w:rsidR="00227E71" w:rsidRPr="007679BB">
        <w:rPr>
          <w:rFonts w:asciiTheme="minorHAnsi" w:hAnsiTheme="minorHAnsi" w:cstheme="minorHAnsi"/>
          <w:color w:val="auto"/>
          <w:highlight w:val="yellow"/>
        </w:rPr>
        <w:t>3</w:t>
      </w:r>
      <w:r w:rsidRPr="007679BB">
        <w:rPr>
          <w:rFonts w:asciiTheme="minorHAnsi" w:hAnsiTheme="minorHAnsi" w:cstheme="minorHAnsi"/>
          <w:color w:val="auto"/>
          <w:highlight w:val="yellow"/>
        </w:rPr>
        <w:t>.1.</w:t>
      </w:r>
      <w:r w:rsidR="00466475" w:rsidRPr="007679BB">
        <w:rPr>
          <w:rFonts w:asciiTheme="minorHAnsi" w:hAnsiTheme="minorHAnsi" w:cstheme="minorHAnsi"/>
          <w:color w:val="auto"/>
          <w:highlight w:val="yellow"/>
        </w:rPr>
        <w:t>2</w:t>
      </w:r>
      <w:r w:rsidRPr="007679BB">
        <w:rPr>
          <w:rFonts w:asciiTheme="minorHAnsi" w:hAnsiTheme="minorHAnsi" w:cstheme="minorHAnsi"/>
          <w:color w:val="auto"/>
          <w:highlight w:val="yellow"/>
        </w:rPr>
        <w:t xml:space="preserve">. Remove </w:t>
      </w:r>
      <w:r w:rsidR="008173B3">
        <w:rPr>
          <w:rFonts w:asciiTheme="minorHAnsi" w:hAnsiTheme="minorHAnsi" w:cstheme="minorHAnsi"/>
          <w:color w:val="auto"/>
          <w:highlight w:val="yellow"/>
        </w:rPr>
        <w:t xml:space="preserve">the </w:t>
      </w:r>
      <w:r w:rsidRPr="008173B3">
        <w:rPr>
          <w:rFonts w:asciiTheme="minorHAnsi" w:hAnsiTheme="minorHAnsi" w:cstheme="minorHAnsi"/>
          <w:color w:val="auto"/>
          <w:highlight w:val="yellow"/>
        </w:rPr>
        <w:t xml:space="preserve">cell culture media. Add the </w:t>
      </w:r>
      <w:r w:rsidR="008173B3" w:rsidRPr="008173B3">
        <w:rPr>
          <w:rFonts w:asciiTheme="minorHAnsi" w:hAnsiTheme="minorHAnsi" w:cstheme="minorHAnsi"/>
          <w:color w:val="auto"/>
          <w:highlight w:val="yellow"/>
        </w:rPr>
        <w:t xml:space="preserve">mitochondrial </w:t>
      </w:r>
      <w:r w:rsidRPr="008173B3">
        <w:rPr>
          <w:rFonts w:asciiTheme="minorHAnsi" w:hAnsiTheme="minorHAnsi" w:cstheme="minorHAnsi"/>
          <w:color w:val="auto"/>
          <w:highlight w:val="yellow"/>
        </w:rPr>
        <w:t>staining solution to completely cover the sample and incubate cells for 15-45 min at 37</w:t>
      </w:r>
      <w:r w:rsidR="008173B3" w:rsidRPr="008173B3">
        <w:rPr>
          <w:rFonts w:asciiTheme="minorHAnsi" w:hAnsiTheme="minorHAnsi" w:cstheme="minorHAnsi"/>
          <w:color w:val="auto"/>
          <w:highlight w:val="yellow"/>
        </w:rPr>
        <w:t xml:space="preserve"> °</w:t>
      </w:r>
      <w:r w:rsidRPr="008173B3">
        <w:rPr>
          <w:rFonts w:asciiTheme="minorHAnsi" w:hAnsiTheme="minorHAnsi" w:cstheme="minorHAnsi"/>
          <w:color w:val="auto"/>
          <w:highlight w:val="yellow"/>
        </w:rPr>
        <w:t>C in a humidified atmosphere with 5% CO</w:t>
      </w:r>
      <w:r w:rsidRPr="008173B3">
        <w:rPr>
          <w:rFonts w:asciiTheme="minorHAnsi" w:hAnsiTheme="minorHAnsi" w:cstheme="minorHAnsi"/>
          <w:color w:val="auto"/>
          <w:highlight w:val="yellow"/>
          <w:vertAlign w:val="subscript"/>
        </w:rPr>
        <w:t>2</w:t>
      </w:r>
      <w:r w:rsidRPr="008173B3">
        <w:rPr>
          <w:rFonts w:asciiTheme="minorHAnsi" w:hAnsiTheme="minorHAnsi" w:cstheme="minorHAnsi"/>
          <w:color w:val="auto"/>
          <w:highlight w:val="yellow"/>
        </w:rPr>
        <w:t xml:space="preserve">. </w:t>
      </w:r>
    </w:p>
    <w:p w14:paraId="310D29A1" w14:textId="77777777" w:rsidR="00426718" w:rsidRPr="007679BB" w:rsidRDefault="00426718" w:rsidP="0054535F">
      <w:pPr>
        <w:pStyle w:val="ListParagraph"/>
        <w:ind w:left="0" w:right="4"/>
        <w:rPr>
          <w:rFonts w:asciiTheme="minorHAnsi" w:hAnsiTheme="minorHAnsi" w:cstheme="minorHAnsi"/>
          <w:color w:val="auto"/>
          <w:highlight w:val="yellow"/>
        </w:rPr>
      </w:pPr>
    </w:p>
    <w:p w14:paraId="6102C241" w14:textId="104FFE5B" w:rsidR="00426718" w:rsidRPr="007679BB" w:rsidRDefault="00426718" w:rsidP="0054535F">
      <w:pPr>
        <w:pStyle w:val="ListParagraph"/>
        <w:ind w:left="0" w:right="4"/>
        <w:rPr>
          <w:rFonts w:asciiTheme="minorHAnsi" w:hAnsiTheme="minorHAnsi" w:cstheme="minorHAnsi"/>
          <w:color w:val="auto"/>
          <w:highlight w:val="yellow"/>
        </w:rPr>
      </w:pPr>
      <w:r w:rsidRPr="007679BB">
        <w:rPr>
          <w:rFonts w:asciiTheme="minorHAnsi" w:hAnsiTheme="minorHAnsi" w:cstheme="minorHAnsi"/>
          <w:color w:val="auto"/>
          <w:highlight w:val="yellow"/>
        </w:rPr>
        <w:t>6.</w:t>
      </w:r>
      <w:r w:rsidR="00227E71" w:rsidRPr="007679BB">
        <w:rPr>
          <w:rFonts w:asciiTheme="minorHAnsi" w:hAnsiTheme="minorHAnsi" w:cstheme="minorHAnsi"/>
          <w:color w:val="auto"/>
          <w:highlight w:val="yellow"/>
        </w:rPr>
        <w:t>3</w:t>
      </w:r>
      <w:r w:rsidRPr="007679BB">
        <w:rPr>
          <w:rFonts w:asciiTheme="minorHAnsi" w:hAnsiTheme="minorHAnsi" w:cstheme="minorHAnsi"/>
          <w:color w:val="auto"/>
          <w:highlight w:val="yellow"/>
        </w:rPr>
        <w:t>.1.</w:t>
      </w:r>
      <w:r w:rsidR="00466475" w:rsidRPr="007679BB">
        <w:rPr>
          <w:rFonts w:asciiTheme="minorHAnsi" w:hAnsiTheme="minorHAnsi" w:cstheme="minorHAnsi"/>
          <w:color w:val="auto"/>
          <w:highlight w:val="yellow"/>
        </w:rPr>
        <w:t>3</w:t>
      </w:r>
      <w:r w:rsidRPr="007679BB">
        <w:rPr>
          <w:rFonts w:asciiTheme="minorHAnsi" w:hAnsiTheme="minorHAnsi" w:cstheme="minorHAnsi"/>
          <w:color w:val="auto"/>
          <w:highlight w:val="yellow"/>
        </w:rPr>
        <w:t xml:space="preserve">. </w:t>
      </w:r>
      <w:r w:rsidRPr="008173B3">
        <w:rPr>
          <w:rFonts w:asciiTheme="minorHAnsi" w:hAnsiTheme="minorHAnsi" w:cstheme="minorHAnsi"/>
          <w:color w:val="auto"/>
          <w:highlight w:val="yellow"/>
        </w:rPr>
        <w:t xml:space="preserve">Carefully remove the </w:t>
      </w:r>
      <w:r w:rsidR="008173B3" w:rsidRPr="008173B3">
        <w:rPr>
          <w:rFonts w:asciiTheme="minorHAnsi" w:hAnsiTheme="minorHAnsi" w:cstheme="minorHAnsi"/>
          <w:color w:val="auto"/>
          <w:highlight w:val="yellow"/>
        </w:rPr>
        <w:t xml:space="preserve">mitochondrial staining </w:t>
      </w:r>
      <w:r w:rsidRPr="008173B3">
        <w:rPr>
          <w:rFonts w:asciiTheme="minorHAnsi" w:hAnsiTheme="minorHAnsi" w:cstheme="minorHAnsi"/>
          <w:color w:val="auto"/>
          <w:highlight w:val="yellow"/>
        </w:rPr>
        <w:t xml:space="preserve">working </w:t>
      </w:r>
      <w:r w:rsidRPr="007679BB">
        <w:rPr>
          <w:rFonts w:asciiTheme="minorHAnsi" w:hAnsiTheme="minorHAnsi" w:cstheme="minorHAnsi"/>
          <w:color w:val="auto"/>
          <w:highlight w:val="yellow"/>
        </w:rPr>
        <w:t>solution and replace it with 2-4% paraformaldehyde fixative in PBS for 15 minutes at room temperature.</w:t>
      </w:r>
      <w:r w:rsidR="008E4F90" w:rsidRPr="007679BB">
        <w:rPr>
          <w:rFonts w:asciiTheme="minorHAnsi" w:hAnsiTheme="minorHAnsi" w:cstheme="minorHAnsi"/>
          <w:color w:val="auto"/>
          <w:highlight w:val="yellow"/>
        </w:rPr>
        <w:t xml:space="preserve"> </w:t>
      </w:r>
    </w:p>
    <w:p w14:paraId="41E31D5E" w14:textId="77777777" w:rsidR="00426718" w:rsidRPr="007679BB" w:rsidRDefault="00426718" w:rsidP="0054535F">
      <w:pPr>
        <w:pStyle w:val="ListParagraph"/>
        <w:ind w:left="0" w:right="4"/>
        <w:rPr>
          <w:rFonts w:asciiTheme="minorHAnsi" w:hAnsiTheme="minorHAnsi" w:cstheme="minorHAnsi"/>
          <w:color w:val="auto"/>
          <w:highlight w:val="yellow"/>
        </w:rPr>
      </w:pPr>
    </w:p>
    <w:p w14:paraId="40EA6C40" w14:textId="59DE0232" w:rsidR="00426718" w:rsidRPr="001220A4" w:rsidRDefault="00426718" w:rsidP="0054535F">
      <w:pPr>
        <w:pStyle w:val="ListParagraph"/>
        <w:ind w:left="0" w:right="4"/>
        <w:rPr>
          <w:rFonts w:asciiTheme="minorHAnsi" w:hAnsiTheme="minorHAnsi" w:cstheme="minorHAnsi"/>
          <w:color w:val="auto"/>
        </w:rPr>
      </w:pPr>
      <w:r w:rsidRPr="007679BB">
        <w:rPr>
          <w:rFonts w:asciiTheme="minorHAnsi" w:hAnsiTheme="minorHAnsi" w:cstheme="minorHAnsi"/>
          <w:color w:val="auto"/>
          <w:highlight w:val="yellow"/>
        </w:rPr>
        <w:t>6.</w:t>
      </w:r>
      <w:r w:rsidR="00227E71" w:rsidRPr="007679BB">
        <w:rPr>
          <w:rFonts w:asciiTheme="minorHAnsi" w:hAnsiTheme="minorHAnsi" w:cstheme="minorHAnsi"/>
          <w:color w:val="auto"/>
          <w:highlight w:val="yellow"/>
        </w:rPr>
        <w:t>3</w:t>
      </w:r>
      <w:r w:rsidRPr="007679BB">
        <w:rPr>
          <w:rFonts w:asciiTheme="minorHAnsi" w:hAnsiTheme="minorHAnsi" w:cstheme="minorHAnsi"/>
          <w:color w:val="auto"/>
          <w:highlight w:val="yellow"/>
        </w:rPr>
        <w:t>.1.</w:t>
      </w:r>
      <w:r w:rsidR="00466475" w:rsidRPr="007679BB">
        <w:rPr>
          <w:rFonts w:asciiTheme="minorHAnsi" w:hAnsiTheme="minorHAnsi" w:cstheme="minorHAnsi"/>
          <w:color w:val="auto"/>
          <w:highlight w:val="yellow"/>
        </w:rPr>
        <w:t>4</w:t>
      </w:r>
      <w:r w:rsidRPr="007679BB">
        <w:rPr>
          <w:rFonts w:asciiTheme="minorHAnsi" w:hAnsiTheme="minorHAnsi" w:cstheme="minorHAnsi"/>
          <w:color w:val="auto"/>
          <w:highlight w:val="yellow"/>
        </w:rPr>
        <w:t>. Rinse the fixed cells gently with PBS for 5 minutes. Repeat the washing process twice.</w:t>
      </w:r>
    </w:p>
    <w:p w14:paraId="7C47A990" w14:textId="77777777" w:rsidR="00426718" w:rsidRPr="001220A4" w:rsidRDefault="00426718" w:rsidP="0054535F">
      <w:pPr>
        <w:pStyle w:val="ListParagraph"/>
        <w:ind w:left="0" w:right="4"/>
        <w:rPr>
          <w:rFonts w:asciiTheme="minorHAnsi" w:hAnsiTheme="minorHAnsi" w:cstheme="minorHAnsi"/>
          <w:color w:val="auto"/>
        </w:rPr>
      </w:pPr>
    </w:p>
    <w:p w14:paraId="29E71D4D" w14:textId="37E8042F" w:rsidR="00466475" w:rsidRDefault="00426718"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lastRenderedPageBreak/>
        <w:t>6.</w:t>
      </w:r>
      <w:r w:rsidR="00227E71" w:rsidRPr="001220A4">
        <w:rPr>
          <w:rFonts w:asciiTheme="minorHAnsi" w:hAnsiTheme="minorHAnsi" w:cstheme="minorHAnsi"/>
          <w:color w:val="auto"/>
        </w:rPr>
        <w:t>3</w:t>
      </w:r>
      <w:r w:rsidRPr="001220A4">
        <w:rPr>
          <w:rFonts w:asciiTheme="minorHAnsi" w:hAnsiTheme="minorHAnsi" w:cstheme="minorHAnsi"/>
          <w:color w:val="auto"/>
        </w:rPr>
        <w:t>.1.</w:t>
      </w:r>
      <w:r w:rsidR="00466475" w:rsidRPr="001220A4">
        <w:rPr>
          <w:rFonts w:asciiTheme="minorHAnsi" w:hAnsiTheme="minorHAnsi" w:cstheme="minorHAnsi"/>
          <w:color w:val="auto"/>
        </w:rPr>
        <w:t>5</w:t>
      </w:r>
      <w:r w:rsidRPr="001220A4">
        <w:rPr>
          <w:rFonts w:asciiTheme="minorHAnsi" w:hAnsiTheme="minorHAnsi" w:cstheme="minorHAnsi"/>
          <w:color w:val="auto"/>
        </w:rPr>
        <w:t>. Prepare a 10 mg</w:t>
      </w:r>
      <w:r w:rsidR="00182D70">
        <w:rPr>
          <w:rFonts w:asciiTheme="minorHAnsi" w:hAnsiTheme="minorHAnsi" w:cstheme="minorHAnsi"/>
          <w:color w:val="auto"/>
        </w:rPr>
        <w:t>/mL</w:t>
      </w:r>
      <w:r w:rsidRPr="001220A4">
        <w:rPr>
          <w:rFonts w:asciiTheme="minorHAnsi" w:hAnsiTheme="minorHAnsi" w:cstheme="minorHAnsi"/>
          <w:color w:val="auto"/>
        </w:rPr>
        <w:t xml:space="preserve"> (16.23 M) nucleic acid staining stock solution by dissolving 100 mg </w:t>
      </w:r>
      <w:r w:rsidR="008173B3">
        <w:rPr>
          <w:rFonts w:asciiTheme="minorHAnsi" w:hAnsiTheme="minorHAnsi" w:cstheme="minorHAnsi"/>
          <w:color w:val="auto"/>
        </w:rPr>
        <w:t xml:space="preserve">of </w:t>
      </w:r>
      <w:r w:rsidRPr="001220A4">
        <w:rPr>
          <w:rFonts w:asciiTheme="minorHAnsi" w:hAnsiTheme="minorHAnsi" w:cstheme="minorHAnsi"/>
          <w:color w:val="auto"/>
        </w:rPr>
        <w:t xml:space="preserve">Hoechst 33342 dye in 10 </w:t>
      </w:r>
      <w:r w:rsidR="00182D70">
        <w:rPr>
          <w:rFonts w:asciiTheme="minorHAnsi" w:hAnsiTheme="minorHAnsi" w:cstheme="minorHAnsi"/>
          <w:color w:val="auto"/>
        </w:rPr>
        <w:t>mL of</w:t>
      </w:r>
      <w:r w:rsidRPr="001220A4">
        <w:rPr>
          <w:rFonts w:asciiTheme="minorHAnsi" w:hAnsiTheme="minorHAnsi" w:cstheme="minorHAnsi"/>
          <w:color w:val="auto"/>
        </w:rPr>
        <w:t xml:space="preserve"> ultrapure water. </w:t>
      </w:r>
    </w:p>
    <w:p w14:paraId="69E3AD44" w14:textId="77777777" w:rsidR="00182D70" w:rsidRPr="001220A4" w:rsidRDefault="00182D70" w:rsidP="0054535F">
      <w:pPr>
        <w:pStyle w:val="ListParagraph"/>
        <w:ind w:left="0" w:right="4"/>
        <w:rPr>
          <w:rFonts w:asciiTheme="minorHAnsi" w:hAnsiTheme="minorHAnsi" w:cstheme="minorHAnsi"/>
          <w:color w:val="auto"/>
        </w:rPr>
      </w:pPr>
    </w:p>
    <w:p w14:paraId="6441031B" w14:textId="7BD1E25B" w:rsidR="00426718" w:rsidRPr="001220A4" w:rsidRDefault="00466475"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 xml:space="preserve">NOTE: </w:t>
      </w:r>
      <w:r w:rsidR="00426718" w:rsidRPr="001220A4">
        <w:rPr>
          <w:rFonts w:asciiTheme="minorHAnsi" w:hAnsiTheme="minorHAnsi" w:cstheme="minorHAnsi"/>
          <w:color w:val="auto"/>
        </w:rPr>
        <w:t>The stock solution should be aliquoted and stored protected from light at -20</w:t>
      </w:r>
      <w:r w:rsidR="00182D70">
        <w:rPr>
          <w:rFonts w:asciiTheme="minorHAnsi" w:hAnsiTheme="minorHAnsi" w:cstheme="minorHAnsi"/>
          <w:color w:val="auto"/>
        </w:rPr>
        <w:t xml:space="preserve"> °</w:t>
      </w:r>
      <w:r w:rsidR="00426718" w:rsidRPr="001220A4">
        <w:rPr>
          <w:rFonts w:asciiTheme="minorHAnsi" w:hAnsiTheme="minorHAnsi" w:cstheme="minorHAnsi"/>
          <w:color w:val="auto"/>
        </w:rPr>
        <w:t xml:space="preserve">C. </w:t>
      </w:r>
    </w:p>
    <w:p w14:paraId="2D20FE26" w14:textId="77777777" w:rsidR="00426718" w:rsidRPr="001220A4" w:rsidRDefault="00426718"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 xml:space="preserve"> </w:t>
      </w:r>
    </w:p>
    <w:p w14:paraId="65C2BB63" w14:textId="43E0BBA3" w:rsidR="00426718" w:rsidRPr="001220A4" w:rsidRDefault="00426718"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6.</w:t>
      </w:r>
      <w:r w:rsidR="0058458C" w:rsidRPr="001220A4">
        <w:rPr>
          <w:rFonts w:asciiTheme="minorHAnsi" w:hAnsiTheme="minorHAnsi" w:cstheme="minorHAnsi"/>
          <w:color w:val="auto"/>
        </w:rPr>
        <w:t>3</w:t>
      </w:r>
      <w:r w:rsidRPr="001220A4">
        <w:rPr>
          <w:rFonts w:asciiTheme="minorHAnsi" w:hAnsiTheme="minorHAnsi" w:cstheme="minorHAnsi"/>
          <w:color w:val="auto"/>
        </w:rPr>
        <w:t>.1.</w:t>
      </w:r>
      <w:r w:rsidR="00466475" w:rsidRPr="001220A4">
        <w:rPr>
          <w:rFonts w:asciiTheme="minorHAnsi" w:hAnsiTheme="minorHAnsi" w:cstheme="minorHAnsi"/>
          <w:color w:val="auto"/>
        </w:rPr>
        <w:t>6</w:t>
      </w:r>
      <w:r w:rsidRPr="001220A4">
        <w:rPr>
          <w:rFonts w:asciiTheme="minorHAnsi" w:hAnsiTheme="minorHAnsi" w:cstheme="minorHAnsi"/>
          <w:color w:val="auto"/>
        </w:rPr>
        <w:t>. Prepare a 0.2-2.0 µg</w:t>
      </w:r>
      <w:r w:rsidR="00182D70">
        <w:rPr>
          <w:rFonts w:asciiTheme="minorHAnsi" w:hAnsiTheme="minorHAnsi" w:cstheme="minorHAnsi"/>
          <w:color w:val="auto"/>
        </w:rPr>
        <w:t>/mL</w:t>
      </w:r>
      <w:r w:rsidRPr="001220A4">
        <w:rPr>
          <w:rFonts w:asciiTheme="minorHAnsi" w:hAnsiTheme="minorHAnsi" w:cstheme="minorHAnsi"/>
          <w:color w:val="auto"/>
        </w:rPr>
        <w:t xml:space="preserve"> </w:t>
      </w:r>
      <w:r w:rsidR="003431D5" w:rsidRPr="001220A4">
        <w:rPr>
          <w:rFonts w:asciiTheme="minorHAnsi" w:hAnsiTheme="minorHAnsi" w:cstheme="minorHAnsi"/>
          <w:color w:val="auto"/>
        </w:rPr>
        <w:t xml:space="preserve">nucleic acid staining </w:t>
      </w:r>
      <w:r w:rsidR="003431D5">
        <w:rPr>
          <w:rFonts w:asciiTheme="minorHAnsi" w:hAnsiTheme="minorHAnsi" w:cstheme="minorHAnsi"/>
          <w:color w:val="auto"/>
        </w:rPr>
        <w:t xml:space="preserve">working </w:t>
      </w:r>
      <w:r w:rsidRPr="001220A4">
        <w:rPr>
          <w:rFonts w:asciiTheme="minorHAnsi" w:hAnsiTheme="minorHAnsi" w:cstheme="minorHAnsi"/>
          <w:color w:val="auto"/>
        </w:rPr>
        <w:t xml:space="preserve">solution in PBS and incubate the fixated cells with </w:t>
      </w:r>
      <w:r w:rsidR="003431D5" w:rsidRPr="001220A4">
        <w:rPr>
          <w:rFonts w:asciiTheme="minorHAnsi" w:hAnsiTheme="minorHAnsi" w:cstheme="minorHAnsi"/>
          <w:color w:val="auto"/>
        </w:rPr>
        <w:t xml:space="preserve">nucleic acid staining </w:t>
      </w:r>
      <w:r w:rsidRPr="001220A4">
        <w:rPr>
          <w:rFonts w:asciiTheme="minorHAnsi" w:hAnsiTheme="minorHAnsi" w:cstheme="minorHAnsi"/>
          <w:color w:val="auto"/>
        </w:rPr>
        <w:t xml:space="preserve">working solution for 10 minutes at room temperature. </w:t>
      </w:r>
    </w:p>
    <w:p w14:paraId="7A9BBF05" w14:textId="77777777" w:rsidR="00426718" w:rsidRPr="001220A4" w:rsidRDefault="00426718" w:rsidP="0054535F">
      <w:pPr>
        <w:pStyle w:val="ListParagraph"/>
        <w:ind w:left="0" w:right="4"/>
        <w:rPr>
          <w:rFonts w:asciiTheme="minorHAnsi" w:hAnsiTheme="minorHAnsi" w:cstheme="minorHAnsi"/>
          <w:color w:val="auto"/>
        </w:rPr>
      </w:pPr>
    </w:p>
    <w:p w14:paraId="43FC1EE6" w14:textId="19081120" w:rsidR="00426718" w:rsidRPr="003431D5" w:rsidRDefault="00426718" w:rsidP="0054535F">
      <w:pPr>
        <w:pStyle w:val="ListParagraph"/>
        <w:ind w:left="0" w:right="4"/>
        <w:rPr>
          <w:rFonts w:asciiTheme="minorHAnsi" w:hAnsiTheme="minorHAnsi" w:cstheme="minorHAnsi"/>
          <w:color w:val="auto"/>
          <w:highlight w:val="yellow"/>
        </w:rPr>
      </w:pPr>
      <w:r w:rsidRPr="003431D5">
        <w:rPr>
          <w:rFonts w:asciiTheme="minorHAnsi" w:hAnsiTheme="minorHAnsi" w:cstheme="minorHAnsi"/>
          <w:color w:val="auto"/>
          <w:highlight w:val="yellow"/>
        </w:rPr>
        <w:t>6.</w:t>
      </w:r>
      <w:r w:rsidR="0058458C" w:rsidRPr="003431D5">
        <w:rPr>
          <w:rFonts w:asciiTheme="minorHAnsi" w:hAnsiTheme="minorHAnsi" w:cstheme="minorHAnsi"/>
          <w:color w:val="auto"/>
          <w:highlight w:val="yellow"/>
        </w:rPr>
        <w:t>3</w:t>
      </w:r>
      <w:r w:rsidRPr="003431D5">
        <w:rPr>
          <w:rFonts w:asciiTheme="minorHAnsi" w:hAnsiTheme="minorHAnsi" w:cstheme="minorHAnsi"/>
          <w:color w:val="auto"/>
          <w:highlight w:val="yellow"/>
        </w:rPr>
        <w:t>.1</w:t>
      </w:r>
      <w:r w:rsidR="00466475" w:rsidRPr="003431D5">
        <w:rPr>
          <w:rFonts w:asciiTheme="minorHAnsi" w:hAnsiTheme="minorHAnsi" w:cstheme="minorHAnsi"/>
          <w:color w:val="auto"/>
          <w:highlight w:val="yellow"/>
        </w:rPr>
        <w:t>.7</w:t>
      </w:r>
      <w:r w:rsidRPr="003431D5">
        <w:rPr>
          <w:rFonts w:asciiTheme="minorHAnsi" w:hAnsiTheme="minorHAnsi" w:cstheme="minorHAnsi"/>
          <w:color w:val="auto"/>
          <w:highlight w:val="yellow"/>
        </w:rPr>
        <w:t xml:space="preserve">. </w:t>
      </w:r>
      <w:r w:rsidR="00577694" w:rsidRPr="003431D5">
        <w:rPr>
          <w:rFonts w:asciiTheme="minorHAnsi" w:hAnsiTheme="minorHAnsi" w:cstheme="minorHAnsi"/>
          <w:color w:val="auto"/>
          <w:highlight w:val="yellow"/>
        </w:rPr>
        <w:t>R</w:t>
      </w:r>
      <w:r w:rsidRPr="003431D5">
        <w:rPr>
          <w:rFonts w:asciiTheme="minorHAnsi" w:hAnsiTheme="minorHAnsi" w:cstheme="minorHAnsi"/>
          <w:color w:val="auto"/>
          <w:highlight w:val="yellow"/>
        </w:rPr>
        <w:t xml:space="preserve">emove the </w:t>
      </w:r>
      <w:r w:rsidR="003431D5" w:rsidRPr="003431D5">
        <w:rPr>
          <w:rFonts w:asciiTheme="minorHAnsi" w:hAnsiTheme="minorHAnsi" w:cstheme="minorHAnsi"/>
          <w:color w:val="auto"/>
          <w:highlight w:val="yellow"/>
        </w:rPr>
        <w:t xml:space="preserve">nucleic acid staining </w:t>
      </w:r>
      <w:r w:rsidRPr="003431D5">
        <w:rPr>
          <w:rFonts w:asciiTheme="minorHAnsi" w:hAnsiTheme="minorHAnsi" w:cstheme="minorHAnsi"/>
          <w:color w:val="auto"/>
          <w:highlight w:val="yellow"/>
        </w:rPr>
        <w:t>working solution and rinse the cells gently with PBS for 5 minutes</w:t>
      </w:r>
      <w:r w:rsidR="009F005F" w:rsidRPr="003431D5">
        <w:rPr>
          <w:rFonts w:asciiTheme="minorHAnsi" w:hAnsiTheme="minorHAnsi" w:cstheme="minorHAnsi"/>
          <w:color w:val="auto"/>
          <w:highlight w:val="yellow"/>
        </w:rPr>
        <w:t xml:space="preserve"> three times</w:t>
      </w:r>
      <w:r w:rsidRPr="003431D5">
        <w:rPr>
          <w:rFonts w:asciiTheme="minorHAnsi" w:hAnsiTheme="minorHAnsi" w:cstheme="minorHAnsi"/>
          <w:color w:val="auto"/>
          <w:highlight w:val="yellow"/>
        </w:rPr>
        <w:t>. Cells should be kept in PBS at 4</w:t>
      </w:r>
      <w:r w:rsidR="00182D70" w:rsidRPr="003431D5">
        <w:rPr>
          <w:rFonts w:asciiTheme="minorHAnsi" w:hAnsiTheme="minorHAnsi" w:cstheme="minorHAnsi"/>
          <w:color w:val="auto"/>
          <w:highlight w:val="yellow"/>
        </w:rPr>
        <w:t xml:space="preserve"> °</w:t>
      </w:r>
      <w:r w:rsidRPr="003431D5">
        <w:rPr>
          <w:rFonts w:asciiTheme="minorHAnsi" w:hAnsiTheme="minorHAnsi" w:cstheme="minorHAnsi"/>
          <w:color w:val="auto"/>
          <w:highlight w:val="yellow"/>
        </w:rPr>
        <w:t>C, protected from light</w:t>
      </w:r>
      <w:r w:rsidR="009F005F" w:rsidRPr="003431D5">
        <w:rPr>
          <w:rFonts w:asciiTheme="minorHAnsi" w:hAnsiTheme="minorHAnsi" w:cstheme="minorHAnsi"/>
          <w:color w:val="auto"/>
          <w:highlight w:val="yellow"/>
        </w:rPr>
        <w:t>.</w:t>
      </w:r>
    </w:p>
    <w:p w14:paraId="3A3A2F9A" w14:textId="77777777" w:rsidR="00426718" w:rsidRPr="003431D5" w:rsidRDefault="00426718" w:rsidP="0054535F">
      <w:pPr>
        <w:pStyle w:val="ListParagraph"/>
        <w:ind w:left="0" w:right="4"/>
        <w:rPr>
          <w:rFonts w:asciiTheme="minorHAnsi" w:hAnsiTheme="minorHAnsi" w:cstheme="minorHAnsi"/>
          <w:color w:val="auto"/>
          <w:highlight w:val="yellow"/>
        </w:rPr>
      </w:pPr>
    </w:p>
    <w:p w14:paraId="6540FCD0" w14:textId="07D6CBB2" w:rsidR="00426718" w:rsidRPr="003431D5" w:rsidRDefault="00426718" w:rsidP="0054535F">
      <w:pPr>
        <w:pStyle w:val="ListParagraph"/>
        <w:ind w:left="0" w:right="4"/>
        <w:rPr>
          <w:rFonts w:asciiTheme="minorHAnsi" w:hAnsiTheme="minorHAnsi" w:cstheme="minorHAnsi"/>
          <w:iCs/>
          <w:color w:val="auto"/>
          <w:highlight w:val="yellow"/>
        </w:rPr>
      </w:pPr>
      <w:r w:rsidRPr="003431D5">
        <w:rPr>
          <w:rFonts w:asciiTheme="minorHAnsi" w:hAnsiTheme="minorHAnsi" w:cstheme="minorHAnsi"/>
          <w:iCs/>
          <w:color w:val="auto"/>
          <w:highlight w:val="yellow"/>
        </w:rPr>
        <w:t>6.</w:t>
      </w:r>
      <w:r w:rsidR="0058458C" w:rsidRPr="003431D5">
        <w:rPr>
          <w:rFonts w:asciiTheme="minorHAnsi" w:hAnsiTheme="minorHAnsi" w:cstheme="minorHAnsi"/>
          <w:iCs/>
          <w:color w:val="auto"/>
          <w:highlight w:val="yellow"/>
        </w:rPr>
        <w:t>3</w:t>
      </w:r>
      <w:r w:rsidRPr="003431D5">
        <w:rPr>
          <w:rFonts w:asciiTheme="minorHAnsi" w:hAnsiTheme="minorHAnsi" w:cstheme="minorHAnsi"/>
          <w:iCs/>
          <w:color w:val="auto"/>
          <w:highlight w:val="yellow"/>
        </w:rPr>
        <w:t>.2.</w:t>
      </w:r>
      <w:r w:rsidR="008E4F90" w:rsidRPr="003431D5">
        <w:rPr>
          <w:rFonts w:asciiTheme="minorHAnsi" w:hAnsiTheme="minorHAnsi" w:cstheme="minorHAnsi"/>
          <w:iCs/>
          <w:color w:val="auto"/>
          <w:highlight w:val="yellow"/>
        </w:rPr>
        <w:t xml:space="preserve"> </w:t>
      </w:r>
      <w:r w:rsidR="003431D5" w:rsidRPr="003431D5">
        <w:rPr>
          <w:rFonts w:asciiTheme="minorHAnsi" w:hAnsiTheme="minorHAnsi" w:cstheme="minorHAnsi"/>
          <w:iCs/>
          <w:color w:val="auto"/>
          <w:highlight w:val="yellow"/>
        </w:rPr>
        <w:t xml:space="preserve">Mitochondrial and nuclear staining </w:t>
      </w:r>
      <w:r w:rsidRPr="003431D5">
        <w:rPr>
          <w:rFonts w:asciiTheme="minorHAnsi" w:hAnsiTheme="minorHAnsi" w:cstheme="minorHAnsi"/>
          <w:iCs/>
          <w:color w:val="auto"/>
          <w:highlight w:val="yellow"/>
        </w:rPr>
        <w:t>analysis</w:t>
      </w:r>
      <w:r w:rsidR="00182D70" w:rsidRPr="003431D5">
        <w:rPr>
          <w:rFonts w:asciiTheme="minorHAnsi" w:hAnsiTheme="minorHAnsi" w:cstheme="minorHAnsi"/>
          <w:iCs/>
          <w:color w:val="auto"/>
          <w:highlight w:val="yellow"/>
        </w:rPr>
        <w:t xml:space="preserve"> </w:t>
      </w:r>
    </w:p>
    <w:p w14:paraId="092F978D" w14:textId="77777777" w:rsidR="00426718" w:rsidRPr="003431D5" w:rsidRDefault="00426718" w:rsidP="0054535F">
      <w:pPr>
        <w:pStyle w:val="ListParagraph"/>
        <w:ind w:left="0" w:right="4"/>
        <w:rPr>
          <w:rFonts w:asciiTheme="minorHAnsi" w:hAnsiTheme="minorHAnsi" w:cstheme="minorHAnsi"/>
          <w:color w:val="auto"/>
          <w:highlight w:val="yellow"/>
        </w:rPr>
      </w:pPr>
    </w:p>
    <w:p w14:paraId="680A3B3D" w14:textId="0149D3BF" w:rsidR="00426718" w:rsidRPr="001220A4" w:rsidRDefault="00426718" w:rsidP="0054535F">
      <w:pPr>
        <w:pStyle w:val="ListParagraph"/>
        <w:ind w:left="0" w:right="4"/>
        <w:rPr>
          <w:rFonts w:asciiTheme="minorHAnsi" w:hAnsiTheme="minorHAnsi" w:cstheme="minorHAnsi"/>
          <w:color w:val="auto"/>
        </w:rPr>
      </w:pPr>
      <w:r w:rsidRPr="003431D5">
        <w:rPr>
          <w:rFonts w:asciiTheme="minorHAnsi" w:hAnsiTheme="minorHAnsi" w:cstheme="minorHAnsi"/>
          <w:color w:val="auto"/>
          <w:highlight w:val="yellow"/>
        </w:rPr>
        <w:t>6.</w:t>
      </w:r>
      <w:r w:rsidR="0058458C" w:rsidRPr="003431D5">
        <w:rPr>
          <w:rFonts w:asciiTheme="minorHAnsi" w:hAnsiTheme="minorHAnsi" w:cstheme="minorHAnsi"/>
          <w:color w:val="auto"/>
          <w:highlight w:val="yellow"/>
        </w:rPr>
        <w:t>3</w:t>
      </w:r>
      <w:r w:rsidRPr="003431D5">
        <w:rPr>
          <w:rFonts w:asciiTheme="minorHAnsi" w:hAnsiTheme="minorHAnsi" w:cstheme="minorHAnsi"/>
          <w:color w:val="auto"/>
          <w:highlight w:val="yellow"/>
        </w:rPr>
        <w:t xml:space="preserve">.2.1. Analyze cells using a fluorescence microscope with filter sets appropriate for </w:t>
      </w:r>
      <w:r w:rsidR="003431D5" w:rsidRPr="003431D5">
        <w:rPr>
          <w:rFonts w:asciiTheme="minorHAnsi" w:hAnsiTheme="minorHAnsi" w:cstheme="minorHAnsi"/>
          <w:color w:val="auto"/>
          <w:highlight w:val="yellow"/>
        </w:rPr>
        <w:t xml:space="preserve">the nucleic acid stain </w:t>
      </w:r>
      <w:r w:rsidRPr="003431D5">
        <w:rPr>
          <w:rFonts w:asciiTheme="minorHAnsi" w:hAnsiTheme="minorHAnsi" w:cstheme="minorHAnsi"/>
          <w:color w:val="auto"/>
          <w:highlight w:val="yellow"/>
        </w:rPr>
        <w:t>(</w:t>
      </w:r>
      <w:proofErr w:type="spellStart"/>
      <w:r w:rsidRPr="003431D5">
        <w:rPr>
          <w:rFonts w:asciiTheme="minorHAnsi" w:hAnsiTheme="minorHAnsi" w:cstheme="minorHAnsi"/>
          <w:color w:val="auto"/>
          <w:highlight w:val="yellow"/>
        </w:rPr>
        <w:t>λEx</w:t>
      </w:r>
      <w:proofErr w:type="spellEnd"/>
      <w:r w:rsidRPr="003431D5">
        <w:rPr>
          <w:rFonts w:asciiTheme="minorHAnsi" w:hAnsiTheme="minorHAnsi" w:cstheme="minorHAnsi"/>
          <w:color w:val="auto"/>
          <w:highlight w:val="yellow"/>
        </w:rPr>
        <w:t xml:space="preserve">/ </w:t>
      </w:r>
      <w:proofErr w:type="spellStart"/>
      <w:r w:rsidRPr="003431D5">
        <w:rPr>
          <w:rFonts w:asciiTheme="minorHAnsi" w:hAnsiTheme="minorHAnsi" w:cstheme="minorHAnsi"/>
          <w:color w:val="auto"/>
          <w:highlight w:val="yellow"/>
        </w:rPr>
        <w:t>λEm</w:t>
      </w:r>
      <w:proofErr w:type="spellEnd"/>
      <w:r w:rsidRPr="003431D5">
        <w:rPr>
          <w:rFonts w:asciiTheme="minorHAnsi" w:hAnsiTheme="minorHAnsi" w:cstheme="minorHAnsi"/>
          <w:color w:val="auto"/>
          <w:highlight w:val="yellow"/>
        </w:rPr>
        <w:t xml:space="preserve">: 361/497 nm) and </w:t>
      </w:r>
      <w:r w:rsidR="003431D5" w:rsidRPr="003431D5">
        <w:rPr>
          <w:rFonts w:asciiTheme="minorHAnsi" w:hAnsiTheme="minorHAnsi" w:cstheme="minorHAnsi"/>
          <w:color w:val="auto"/>
          <w:highlight w:val="yellow"/>
        </w:rPr>
        <w:t xml:space="preserve">the mitochondrial stain </w:t>
      </w:r>
      <w:r w:rsidRPr="003431D5">
        <w:rPr>
          <w:rFonts w:asciiTheme="minorHAnsi" w:hAnsiTheme="minorHAnsi" w:cstheme="minorHAnsi"/>
          <w:color w:val="auto"/>
          <w:highlight w:val="yellow"/>
        </w:rPr>
        <w:t>(</w:t>
      </w:r>
      <w:proofErr w:type="spellStart"/>
      <w:r w:rsidRPr="003431D5">
        <w:rPr>
          <w:rFonts w:asciiTheme="minorHAnsi" w:hAnsiTheme="minorHAnsi" w:cstheme="minorHAnsi"/>
          <w:color w:val="auto"/>
          <w:highlight w:val="yellow"/>
        </w:rPr>
        <w:t>λEx</w:t>
      </w:r>
      <w:proofErr w:type="spellEnd"/>
      <w:r w:rsidRPr="003431D5">
        <w:rPr>
          <w:rFonts w:asciiTheme="minorHAnsi" w:hAnsiTheme="minorHAnsi" w:cstheme="minorHAnsi"/>
          <w:color w:val="auto"/>
          <w:highlight w:val="yellow"/>
        </w:rPr>
        <w:t xml:space="preserve">/ </w:t>
      </w:r>
      <w:proofErr w:type="spellStart"/>
      <w:r w:rsidRPr="003431D5">
        <w:rPr>
          <w:rFonts w:asciiTheme="minorHAnsi" w:hAnsiTheme="minorHAnsi" w:cstheme="minorHAnsi"/>
          <w:color w:val="auto"/>
          <w:highlight w:val="yellow"/>
        </w:rPr>
        <w:t>λEm</w:t>
      </w:r>
      <w:proofErr w:type="spellEnd"/>
      <w:r w:rsidRPr="003431D5">
        <w:rPr>
          <w:rFonts w:asciiTheme="minorHAnsi" w:hAnsiTheme="minorHAnsi" w:cstheme="minorHAnsi"/>
          <w:color w:val="auto"/>
          <w:highlight w:val="yellow"/>
        </w:rPr>
        <w:t>: 644/665 nm).</w:t>
      </w:r>
      <w:r w:rsidR="00227E71" w:rsidRPr="003431D5">
        <w:rPr>
          <w:rFonts w:asciiTheme="minorHAnsi" w:hAnsiTheme="minorHAnsi" w:cstheme="minorHAnsi"/>
          <w:color w:val="auto"/>
          <w:highlight w:val="yellow"/>
        </w:rPr>
        <w:t xml:space="preserve"> </w:t>
      </w:r>
      <w:r w:rsidRPr="003431D5">
        <w:rPr>
          <w:rFonts w:asciiTheme="minorHAnsi" w:hAnsiTheme="minorHAnsi" w:cstheme="minorHAnsi"/>
          <w:color w:val="auto"/>
          <w:highlight w:val="yellow"/>
        </w:rPr>
        <w:t xml:space="preserve">Find cells by </w:t>
      </w:r>
      <w:r w:rsidR="003431D5" w:rsidRPr="003431D5">
        <w:rPr>
          <w:rFonts w:asciiTheme="minorHAnsi" w:hAnsiTheme="minorHAnsi" w:cstheme="minorHAnsi"/>
          <w:color w:val="auto"/>
          <w:highlight w:val="yellow"/>
        </w:rPr>
        <w:t xml:space="preserve">nucleic acid </w:t>
      </w:r>
      <w:r w:rsidRPr="003431D5">
        <w:rPr>
          <w:rFonts w:asciiTheme="minorHAnsi" w:hAnsiTheme="minorHAnsi" w:cstheme="minorHAnsi"/>
          <w:color w:val="auto"/>
          <w:highlight w:val="yellow"/>
        </w:rPr>
        <w:t xml:space="preserve">positive staining and quantify cell number. Quantify </w:t>
      </w:r>
      <w:r w:rsidR="003431D5" w:rsidRPr="003431D5">
        <w:rPr>
          <w:rFonts w:asciiTheme="minorHAnsi" w:hAnsiTheme="minorHAnsi" w:cstheme="minorHAnsi"/>
          <w:color w:val="auto"/>
          <w:highlight w:val="yellow"/>
        </w:rPr>
        <w:t xml:space="preserve">mitochondrial stain </w:t>
      </w:r>
      <w:r w:rsidRPr="003431D5">
        <w:rPr>
          <w:rFonts w:asciiTheme="minorHAnsi" w:hAnsiTheme="minorHAnsi" w:cstheme="minorHAnsi"/>
          <w:color w:val="auto"/>
          <w:highlight w:val="yellow"/>
        </w:rPr>
        <w:t>fluorescence intensity in mitochondria.</w:t>
      </w:r>
    </w:p>
    <w:p w14:paraId="4DECFA22" w14:textId="77777777" w:rsidR="00EC51DB" w:rsidRPr="001220A4" w:rsidRDefault="00EC51DB" w:rsidP="0054535F">
      <w:pPr>
        <w:pStyle w:val="ListParagraph"/>
        <w:ind w:left="0" w:right="4"/>
        <w:rPr>
          <w:rFonts w:asciiTheme="minorHAnsi" w:hAnsiTheme="minorHAnsi" w:cstheme="minorHAnsi"/>
          <w:b/>
          <w:color w:val="auto"/>
        </w:rPr>
      </w:pPr>
    </w:p>
    <w:p w14:paraId="740CECB9" w14:textId="64F0FD4E" w:rsidR="00EC51DB" w:rsidRPr="00182D70" w:rsidRDefault="00EC51DB" w:rsidP="0054535F">
      <w:pPr>
        <w:pStyle w:val="ListParagraph"/>
        <w:numPr>
          <w:ilvl w:val="1"/>
          <w:numId w:val="38"/>
        </w:numPr>
        <w:ind w:left="0" w:right="4" w:firstLine="0"/>
        <w:rPr>
          <w:rFonts w:asciiTheme="minorHAnsi" w:hAnsiTheme="minorHAnsi" w:cstheme="minorHAnsi"/>
          <w:bCs/>
          <w:color w:val="auto"/>
        </w:rPr>
      </w:pPr>
      <w:r w:rsidRPr="00182D70">
        <w:rPr>
          <w:rFonts w:asciiTheme="minorHAnsi" w:hAnsiTheme="minorHAnsi" w:cstheme="minorHAnsi"/>
          <w:bCs/>
          <w:color w:val="auto"/>
        </w:rPr>
        <w:t xml:space="preserve"> </w:t>
      </w:r>
      <w:r w:rsidR="00431198" w:rsidRPr="00182D70">
        <w:rPr>
          <w:rFonts w:asciiTheme="minorHAnsi" w:hAnsiTheme="minorHAnsi" w:cstheme="minorHAnsi"/>
          <w:bCs/>
          <w:color w:val="auto"/>
        </w:rPr>
        <w:t>Morphometric measurements (spheroids calculations)</w:t>
      </w:r>
      <w:r w:rsidRPr="00182D70">
        <w:rPr>
          <w:rFonts w:asciiTheme="minorHAnsi" w:hAnsiTheme="minorHAnsi" w:cstheme="minorHAnsi"/>
          <w:bCs/>
          <w:color w:val="auto"/>
        </w:rPr>
        <w:t xml:space="preserve"> in ImageJ</w:t>
      </w:r>
    </w:p>
    <w:p w14:paraId="7D404399" w14:textId="77777777" w:rsidR="00EC51DB" w:rsidRPr="001220A4" w:rsidRDefault="00EC51DB" w:rsidP="0054535F">
      <w:pPr>
        <w:pStyle w:val="ListParagraph"/>
        <w:ind w:left="0" w:right="4"/>
        <w:rPr>
          <w:rFonts w:asciiTheme="minorHAnsi" w:hAnsiTheme="minorHAnsi" w:cstheme="minorHAnsi"/>
          <w:b/>
          <w:color w:val="auto"/>
        </w:rPr>
      </w:pPr>
    </w:p>
    <w:p w14:paraId="4137C976" w14:textId="5FAFC4B0" w:rsidR="00EC51DB" w:rsidRPr="001220A4" w:rsidRDefault="00EC51DB"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Export High Content Analysis (HCA) images as *.flex files from the Columbus software.</w:t>
      </w:r>
      <w:r w:rsidR="00227E71" w:rsidRPr="001220A4">
        <w:rPr>
          <w:rFonts w:asciiTheme="minorHAnsi" w:hAnsiTheme="minorHAnsi" w:cstheme="minorHAnsi"/>
          <w:color w:val="auto"/>
        </w:rPr>
        <w:t xml:space="preserve"> </w:t>
      </w:r>
      <w:r w:rsidRPr="001220A4">
        <w:rPr>
          <w:rFonts w:asciiTheme="minorHAnsi" w:hAnsiTheme="minorHAnsi" w:cstheme="minorHAnsi"/>
          <w:color w:val="auto"/>
        </w:rPr>
        <w:t>Import .flex files as a grayscale in ImageJ using Bio-Formats plugin</w:t>
      </w:r>
      <w:r w:rsidRPr="001220A4">
        <w:rPr>
          <w:rFonts w:asciiTheme="minorHAnsi" w:hAnsiTheme="minorHAnsi" w:cstheme="minorHAnsi"/>
          <w:color w:val="auto"/>
        </w:rPr>
        <w:fldChar w:fldCharType="begin" w:fldLock="1"/>
      </w:r>
      <w:r w:rsidR="00DE664D" w:rsidRPr="001220A4">
        <w:rPr>
          <w:rFonts w:asciiTheme="minorHAnsi" w:hAnsiTheme="minorHAnsi" w:cstheme="minorHAnsi"/>
          <w:color w:val="auto"/>
        </w:rPr>
        <w:instrText>ADDIN CSL_CITATION {"citationItems":[{"id":"ITEM-1","itemData":{"DOI":"10.1083/jcb.201004104","ISSN":"00219525","abstract":"Data sharing is important in the biological sciences to prevent duplication of effort, to promote scientific integrity, and to facilitate and disseminate scientific discovery. Sharing requires centralized repositories, and submission to and utility of these resources require common data formats. This is particularly challenging for multidimensional microscopy image data, which are acquired from a variety of platforms with a myriad of proprietary file formats (PFFs). In this paper, we describe an open standard format that we have developed for microscopy image data. We call on the community to use open image data standards and to insist that all imaging platforms support these file formats. This will build the foundation for an open image data repository.","author":[{"dropping-particle":"","family":"Linkert","given":"Melissa","non-dropping-particle":"","parse-names":false,"suffix":""},{"dropping-particle":"","family":"Rueden","given":"Curtis T.","non-dropping-particle":"","parse-names":false,"suffix":""},{"dropping-particle":"","family":"Allan","given":"Chris","non-dropping-particle":"","parse-names":false,"suffix":""},{"dropping-particle":"","family":"Burel","given":"Jean Marie","non-dropping-particle":"","parse-names":false,"suffix":""},{"dropping-particle":"","family":"Moore","given":"Will","non-dropping-particle":"","parse-names":false,"suffix":""},{"dropping-particle":"","family":"Patterson","given":"Andrew","non-dropping-particle":"","parse-names":false,"suffix":""},{"dropping-particle":"","family":"Loranger","given":"Brian","non-dropping-particle":"","parse-names":false,"suffix":""},{"dropping-particle":"","family":"Moore","given":"Josh","non-dropping-particle":"","parse-names":false,"suffix":""},{"dropping-particle":"","family":"Neves","given":"Carlos","non-dropping-particle":"","parse-names":false,"suffix":""},{"dropping-particle":"","family":"MacDonald","given":"Donald","non-dropping-particle":"","parse-names":false,"suffix":""},{"dropping-particle":"","family":"Tarkowska","given":"Aleksandra","non-dropping-particle":"","parse-names":false,"suffix":""},{"dropping-particle":"","family":"Sticco","given":"Caitlin","non-dropping-particle":"","parse-names":false,"suffix":""},{"dropping-particle":"","family":"Hill","given":"Emma","non-dropping-particle":"","parse-names":false,"suffix":""},{"dropping-particle":"","family":"Rossner","given":"Mike","non-dropping-particle":"","parse-names":false,"suffix":""},{"dropping-particle":"","family":"Eliceiri","given":"Kevin W.","non-dropping-particle":"","parse-names":false,"suffix":""},{"dropping-particle":"","family":"Swedlow","given":"Jason R.","non-dropping-particle":"","parse-names":false,"suffix":""}],"container-title":"Journal of Cell Biology","id":"ITEM-1","issue":"5","issued":{"date-parts":[["2010"]]},"page":"777-782","title":"Metadata matters: Access to image data in the real world","type":"article-journal","volume":"189"},"uris":["http://www.mendeley.com/documents/?uuid=85898556-3290-3dc2-9303-5c73638debbe"]}],"mendeley":{"formattedCitation":"&lt;sup&gt;32&lt;/sup&gt;","plainTextFormattedCitation":"32","previouslyFormattedCitation":"&lt;sup&gt;32&lt;/sup&gt;"},"properties":{"noteIndex":0},"schema":"https://github.com/citation-style-language/schema/raw/master/csl-citation.json"}</w:instrText>
      </w:r>
      <w:r w:rsidRPr="001220A4">
        <w:rPr>
          <w:rFonts w:asciiTheme="minorHAnsi" w:hAnsiTheme="minorHAnsi" w:cstheme="minorHAnsi"/>
          <w:color w:val="auto"/>
        </w:rPr>
        <w:fldChar w:fldCharType="separate"/>
      </w:r>
      <w:r w:rsidR="0077280B" w:rsidRPr="001220A4">
        <w:rPr>
          <w:rFonts w:asciiTheme="minorHAnsi" w:hAnsiTheme="minorHAnsi" w:cstheme="minorHAnsi"/>
          <w:noProof/>
          <w:color w:val="auto"/>
          <w:vertAlign w:val="superscript"/>
        </w:rPr>
        <w:t>32</w:t>
      </w:r>
      <w:r w:rsidRPr="001220A4">
        <w:rPr>
          <w:rFonts w:asciiTheme="minorHAnsi" w:hAnsiTheme="minorHAnsi" w:cstheme="minorHAnsi"/>
          <w:color w:val="auto"/>
        </w:rPr>
        <w:fldChar w:fldCharType="end"/>
      </w:r>
      <w:r w:rsidR="00182D70">
        <w:rPr>
          <w:rFonts w:asciiTheme="minorHAnsi" w:hAnsiTheme="minorHAnsi" w:cstheme="minorHAnsi"/>
          <w:color w:val="auto"/>
        </w:rPr>
        <w:t>:</w:t>
      </w:r>
      <w:r w:rsidRPr="001220A4">
        <w:rPr>
          <w:rFonts w:asciiTheme="minorHAnsi" w:hAnsiTheme="minorHAnsi" w:cstheme="minorHAnsi"/>
          <w:color w:val="auto"/>
        </w:rPr>
        <w:t xml:space="preserve"> </w:t>
      </w:r>
      <w:r w:rsidRPr="00182D70">
        <w:rPr>
          <w:rFonts w:asciiTheme="minorHAnsi" w:hAnsiTheme="minorHAnsi" w:cstheme="minorHAnsi"/>
          <w:b/>
          <w:bCs/>
          <w:color w:val="auto"/>
        </w:rPr>
        <w:t>File &gt; Import &gt; Bio-Formats</w:t>
      </w:r>
      <w:r w:rsidRPr="001220A4">
        <w:rPr>
          <w:rFonts w:asciiTheme="minorHAnsi" w:hAnsiTheme="minorHAnsi" w:cstheme="minorHAnsi"/>
          <w:color w:val="auto"/>
        </w:rPr>
        <w:t>.</w:t>
      </w:r>
    </w:p>
    <w:p w14:paraId="4BE5CF8C" w14:textId="77777777" w:rsidR="00503EE3" w:rsidRPr="001220A4" w:rsidRDefault="00503EE3" w:rsidP="0054535F">
      <w:pPr>
        <w:pStyle w:val="ListParagraph"/>
        <w:ind w:left="0" w:right="4"/>
        <w:rPr>
          <w:rFonts w:asciiTheme="minorHAnsi" w:hAnsiTheme="minorHAnsi" w:cstheme="minorHAnsi"/>
          <w:color w:val="auto"/>
        </w:rPr>
      </w:pPr>
    </w:p>
    <w:p w14:paraId="14388099" w14:textId="6DB64632" w:rsidR="00EC51DB" w:rsidRDefault="00EC51DB"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In</w:t>
      </w:r>
      <w:r w:rsidR="003431D5">
        <w:rPr>
          <w:rFonts w:asciiTheme="minorHAnsi" w:hAnsiTheme="minorHAnsi" w:cstheme="minorHAnsi"/>
          <w:color w:val="auto"/>
        </w:rPr>
        <w:t xml:space="preserve"> the</w:t>
      </w:r>
      <w:r w:rsidRPr="001220A4">
        <w:rPr>
          <w:rFonts w:asciiTheme="minorHAnsi" w:hAnsiTheme="minorHAnsi" w:cstheme="minorHAnsi"/>
          <w:color w:val="auto"/>
        </w:rPr>
        <w:t xml:space="preserve"> </w:t>
      </w:r>
      <w:r w:rsidRPr="00182D70">
        <w:rPr>
          <w:rFonts w:asciiTheme="minorHAnsi" w:hAnsiTheme="minorHAnsi" w:cstheme="minorHAnsi"/>
          <w:b/>
          <w:bCs/>
          <w:color w:val="auto"/>
        </w:rPr>
        <w:t>Import Options</w:t>
      </w:r>
      <w:r w:rsidRPr="001220A4">
        <w:rPr>
          <w:rFonts w:asciiTheme="minorHAnsi" w:hAnsiTheme="minorHAnsi" w:cstheme="minorHAnsi"/>
          <w:color w:val="auto"/>
        </w:rPr>
        <w:t xml:space="preserve"> window, select </w:t>
      </w:r>
      <w:proofErr w:type="spellStart"/>
      <w:r w:rsidRPr="00182D70">
        <w:rPr>
          <w:rFonts w:asciiTheme="minorHAnsi" w:hAnsiTheme="minorHAnsi" w:cstheme="minorHAnsi"/>
          <w:b/>
          <w:bCs/>
          <w:color w:val="auto"/>
        </w:rPr>
        <w:t>Hyperstack</w:t>
      </w:r>
      <w:proofErr w:type="spellEnd"/>
      <w:r w:rsidRPr="001220A4">
        <w:rPr>
          <w:rFonts w:asciiTheme="minorHAnsi" w:hAnsiTheme="minorHAnsi" w:cstheme="minorHAnsi"/>
          <w:color w:val="auto"/>
        </w:rPr>
        <w:t xml:space="preserve"> viewing and enable </w:t>
      </w:r>
      <w:r w:rsidRPr="00182D70">
        <w:rPr>
          <w:rFonts w:asciiTheme="minorHAnsi" w:hAnsiTheme="minorHAnsi" w:cstheme="minorHAnsi"/>
          <w:b/>
          <w:bCs/>
          <w:color w:val="auto"/>
        </w:rPr>
        <w:t>Split channels</w:t>
      </w:r>
      <w:r w:rsidRPr="001220A4">
        <w:rPr>
          <w:rFonts w:asciiTheme="minorHAnsi" w:hAnsiTheme="minorHAnsi" w:cstheme="minorHAnsi"/>
          <w:color w:val="auto"/>
        </w:rPr>
        <w:t xml:space="preserve"> under Split into separate windows. This option will allow the access of all files in a </w:t>
      </w:r>
      <w:proofErr w:type="gramStart"/>
      <w:r w:rsidRPr="001220A4">
        <w:rPr>
          <w:rFonts w:asciiTheme="minorHAnsi" w:hAnsiTheme="minorHAnsi" w:cstheme="minorHAnsi"/>
          <w:color w:val="auto"/>
        </w:rPr>
        <w:t>particular channel</w:t>
      </w:r>
      <w:proofErr w:type="gramEnd"/>
      <w:r w:rsidRPr="001220A4">
        <w:rPr>
          <w:rFonts w:asciiTheme="minorHAnsi" w:hAnsiTheme="minorHAnsi" w:cstheme="minorHAnsi"/>
          <w:color w:val="auto"/>
        </w:rPr>
        <w:t xml:space="preserve"> (e.g.</w:t>
      </w:r>
      <w:r w:rsidR="00182D70">
        <w:rPr>
          <w:rFonts w:asciiTheme="minorHAnsi" w:hAnsiTheme="minorHAnsi" w:cstheme="minorHAnsi"/>
          <w:color w:val="auto"/>
        </w:rPr>
        <w:t>,</w:t>
      </w:r>
      <w:r w:rsidRPr="001220A4">
        <w:rPr>
          <w:rFonts w:asciiTheme="minorHAnsi" w:hAnsiTheme="minorHAnsi" w:cstheme="minorHAnsi"/>
          <w:color w:val="auto"/>
        </w:rPr>
        <w:t xml:space="preserve"> DAPI, </w:t>
      </w:r>
      <w:r w:rsidRPr="001220A4">
        <w:rPr>
          <w:rFonts w:asciiTheme="minorHAnsi" w:hAnsiTheme="minorHAnsi" w:cstheme="minorHAnsi"/>
          <w:noProof/>
          <w:color w:val="auto"/>
        </w:rPr>
        <w:t>mitotracker</w:t>
      </w:r>
      <w:r w:rsidRPr="001220A4">
        <w:rPr>
          <w:rFonts w:asciiTheme="minorHAnsi" w:hAnsiTheme="minorHAnsi" w:cstheme="minorHAnsi"/>
          <w:color w:val="auto"/>
        </w:rPr>
        <w:t xml:space="preserve">, etc.). Do not select </w:t>
      </w:r>
      <w:r w:rsidRPr="00182D70">
        <w:rPr>
          <w:rFonts w:asciiTheme="minorHAnsi" w:hAnsiTheme="minorHAnsi" w:cstheme="minorHAnsi"/>
          <w:b/>
          <w:bCs/>
          <w:color w:val="auto"/>
        </w:rPr>
        <w:t>Use virtual stack</w:t>
      </w:r>
      <w:r w:rsidRPr="001220A4">
        <w:rPr>
          <w:rFonts w:asciiTheme="minorHAnsi" w:hAnsiTheme="minorHAnsi" w:cstheme="minorHAnsi"/>
          <w:color w:val="auto"/>
        </w:rPr>
        <w:t xml:space="preserve"> under Memory management. </w:t>
      </w:r>
    </w:p>
    <w:p w14:paraId="4E028E84" w14:textId="77777777" w:rsidR="00182D70" w:rsidRPr="001220A4" w:rsidRDefault="00182D70" w:rsidP="0054535F">
      <w:pPr>
        <w:pStyle w:val="ListParagraph"/>
        <w:ind w:left="0" w:right="4"/>
        <w:rPr>
          <w:rFonts w:asciiTheme="minorHAnsi" w:hAnsiTheme="minorHAnsi" w:cstheme="minorHAnsi"/>
          <w:color w:val="auto"/>
        </w:rPr>
      </w:pPr>
    </w:p>
    <w:p w14:paraId="56AA210F" w14:textId="71679252" w:rsidR="00EC51DB" w:rsidRPr="001220A4" w:rsidRDefault="00EC51DB"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 xml:space="preserve">NOTE: It is preferable to use DAPI channel as “dust” in images </w:t>
      </w:r>
      <w:r w:rsidR="003431D5">
        <w:rPr>
          <w:rFonts w:asciiTheme="minorHAnsi" w:hAnsiTheme="minorHAnsi" w:cstheme="minorHAnsi"/>
          <w:color w:val="auto"/>
        </w:rPr>
        <w:t>as</w:t>
      </w:r>
      <w:r w:rsidRPr="001220A4">
        <w:rPr>
          <w:rFonts w:asciiTheme="minorHAnsi" w:hAnsiTheme="minorHAnsi" w:cstheme="minorHAnsi"/>
          <w:color w:val="auto"/>
        </w:rPr>
        <w:t xml:space="preserve"> culture medium </w:t>
      </w:r>
      <w:r w:rsidR="003431D5">
        <w:rPr>
          <w:rFonts w:asciiTheme="minorHAnsi" w:hAnsiTheme="minorHAnsi" w:cstheme="minorHAnsi"/>
          <w:color w:val="auto"/>
        </w:rPr>
        <w:t>is</w:t>
      </w:r>
      <w:r w:rsidRPr="001220A4">
        <w:rPr>
          <w:rFonts w:asciiTheme="minorHAnsi" w:hAnsiTheme="minorHAnsi" w:cstheme="minorHAnsi"/>
          <w:color w:val="auto"/>
        </w:rPr>
        <w:t xml:space="preserve"> reduced in UV wavelength (e.g.</w:t>
      </w:r>
      <w:r w:rsidR="003431D5">
        <w:rPr>
          <w:rFonts w:asciiTheme="minorHAnsi" w:hAnsiTheme="minorHAnsi" w:cstheme="minorHAnsi"/>
          <w:color w:val="auto"/>
        </w:rPr>
        <w:t>,</w:t>
      </w:r>
      <w:r w:rsidRPr="001220A4">
        <w:rPr>
          <w:rFonts w:asciiTheme="minorHAnsi" w:hAnsiTheme="minorHAnsi" w:cstheme="minorHAnsi"/>
          <w:color w:val="auto"/>
        </w:rPr>
        <w:t xml:space="preserve"> 405 nm).</w:t>
      </w:r>
    </w:p>
    <w:p w14:paraId="2EB42E38" w14:textId="77777777" w:rsidR="00503EE3" w:rsidRPr="001220A4" w:rsidRDefault="00503EE3" w:rsidP="0054535F">
      <w:pPr>
        <w:pStyle w:val="ListParagraph"/>
        <w:ind w:left="0" w:right="4"/>
        <w:rPr>
          <w:rFonts w:asciiTheme="minorHAnsi" w:hAnsiTheme="minorHAnsi" w:cstheme="minorHAnsi"/>
          <w:color w:val="auto"/>
        </w:rPr>
      </w:pPr>
    </w:p>
    <w:p w14:paraId="710194A6" w14:textId="554A29E6" w:rsidR="00EC51DB" w:rsidRPr="001220A4" w:rsidRDefault="00EC51DB"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Adjust pixel size (</w:t>
      </w:r>
      <w:r w:rsidRPr="00182D70">
        <w:rPr>
          <w:rFonts w:asciiTheme="minorHAnsi" w:hAnsiTheme="minorHAnsi" w:cstheme="minorHAnsi"/>
          <w:b/>
          <w:bCs/>
          <w:color w:val="auto"/>
        </w:rPr>
        <w:t>Analyze &gt; Set Scale</w:t>
      </w:r>
      <w:r w:rsidRPr="001220A4">
        <w:rPr>
          <w:rFonts w:asciiTheme="minorHAnsi" w:hAnsiTheme="minorHAnsi" w:cstheme="minorHAnsi"/>
          <w:color w:val="auto"/>
        </w:rPr>
        <w:t>)</w:t>
      </w:r>
      <w:r w:rsidRPr="001220A4">
        <w:rPr>
          <w:rFonts w:asciiTheme="minorHAnsi" w:hAnsiTheme="minorHAnsi" w:cstheme="minorHAnsi"/>
        </w:rPr>
        <w:t xml:space="preserve"> if it was not </w:t>
      </w:r>
      <w:r w:rsidRPr="001220A4">
        <w:rPr>
          <w:rFonts w:asciiTheme="minorHAnsi" w:hAnsiTheme="minorHAnsi" w:cstheme="minorHAnsi"/>
          <w:color w:val="auto"/>
        </w:rPr>
        <w:t xml:space="preserve">loaded </w:t>
      </w:r>
      <w:r w:rsidRPr="001220A4">
        <w:rPr>
          <w:rFonts w:asciiTheme="minorHAnsi" w:hAnsiTheme="minorHAnsi" w:cstheme="minorHAnsi"/>
          <w:noProof/>
          <w:color w:val="auto"/>
        </w:rPr>
        <w:t>according</w:t>
      </w:r>
      <w:r w:rsidR="00181092">
        <w:rPr>
          <w:rFonts w:asciiTheme="minorHAnsi" w:hAnsiTheme="minorHAnsi" w:cstheme="minorHAnsi"/>
          <w:noProof/>
          <w:color w:val="auto"/>
        </w:rPr>
        <w:t xml:space="preserve"> to </w:t>
      </w:r>
      <w:r w:rsidRPr="001220A4">
        <w:rPr>
          <w:rFonts w:asciiTheme="minorHAnsi" w:hAnsiTheme="minorHAnsi" w:cstheme="minorHAnsi"/>
          <w:color w:val="auto"/>
        </w:rPr>
        <w:t xml:space="preserve">embedded values in the </w:t>
      </w:r>
      <w:r w:rsidRPr="001220A4">
        <w:rPr>
          <w:rFonts w:asciiTheme="minorHAnsi" w:hAnsiTheme="minorHAnsi" w:cstheme="minorHAnsi"/>
          <w:noProof/>
          <w:color w:val="auto"/>
        </w:rPr>
        <w:t>.flex</w:t>
      </w:r>
      <w:r w:rsidRPr="001220A4">
        <w:rPr>
          <w:rFonts w:asciiTheme="minorHAnsi" w:hAnsiTheme="minorHAnsi" w:cstheme="minorHAnsi"/>
          <w:color w:val="auto"/>
        </w:rPr>
        <w:t xml:space="preserve"> file.</w:t>
      </w:r>
      <w:r w:rsidR="00CC74D3" w:rsidRPr="001220A4">
        <w:rPr>
          <w:rFonts w:asciiTheme="minorHAnsi" w:hAnsiTheme="minorHAnsi" w:cstheme="minorHAnsi"/>
          <w:color w:val="auto"/>
        </w:rPr>
        <w:t xml:space="preserve"> </w:t>
      </w:r>
      <w:r w:rsidRPr="001220A4">
        <w:rPr>
          <w:rFonts w:asciiTheme="minorHAnsi" w:hAnsiTheme="minorHAnsi" w:cstheme="minorHAnsi"/>
          <w:color w:val="auto"/>
        </w:rPr>
        <w:t xml:space="preserve">Apply a </w:t>
      </w:r>
      <w:r w:rsidRPr="003431D5">
        <w:rPr>
          <w:rFonts w:asciiTheme="minorHAnsi" w:hAnsiTheme="minorHAnsi" w:cstheme="minorHAnsi"/>
          <w:b/>
          <w:bCs/>
          <w:color w:val="auto"/>
        </w:rPr>
        <w:t>Gaussian Blur</w:t>
      </w:r>
      <w:r w:rsidRPr="001220A4">
        <w:rPr>
          <w:rFonts w:asciiTheme="minorHAnsi" w:hAnsiTheme="minorHAnsi" w:cstheme="minorHAnsi"/>
          <w:color w:val="auto"/>
        </w:rPr>
        <w:t xml:space="preserve"> filter to remove the excess of noise and avoid irregularities in shape contour. </w:t>
      </w:r>
      <w:r w:rsidRPr="00182D70">
        <w:rPr>
          <w:rFonts w:asciiTheme="minorHAnsi" w:hAnsiTheme="minorHAnsi" w:cstheme="minorHAnsi"/>
          <w:b/>
          <w:bCs/>
          <w:color w:val="auto"/>
        </w:rPr>
        <w:t>Process &gt; Filters &gt; Gaussian Blur</w:t>
      </w:r>
      <w:r w:rsidRPr="001220A4">
        <w:rPr>
          <w:rFonts w:asciiTheme="minorHAnsi" w:hAnsiTheme="minorHAnsi" w:cstheme="minorHAnsi"/>
          <w:color w:val="auto"/>
        </w:rPr>
        <w:t xml:space="preserve">. A high value of Sigma (radius) between 2.0 and 3.0 is ideal for most cases. If the stack has several images, apply to all of them (select </w:t>
      </w:r>
      <w:r w:rsidRPr="00182D70">
        <w:rPr>
          <w:rFonts w:asciiTheme="minorHAnsi" w:hAnsiTheme="minorHAnsi" w:cstheme="minorHAnsi"/>
          <w:b/>
          <w:bCs/>
          <w:color w:val="auto"/>
        </w:rPr>
        <w:t>Yes</w:t>
      </w:r>
      <w:r w:rsidRPr="001220A4">
        <w:rPr>
          <w:rFonts w:asciiTheme="minorHAnsi" w:hAnsiTheme="minorHAnsi" w:cstheme="minorHAnsi"/>
          <w:color w:val="auto"/>
        </w:rPr>
        <w:t xml:space="preserve"> in </w:t>
      </w:r>
      <w:r w:rsidRPr="003431D5">
        <w:rPr>
          <w:rFonts w:asciiTheme="minorHAnsi" w:hAnsiTheme="minorHAnsi" w:cstheme="minorHAnsi"/>
          <w:b/>
          <w:bCs/>
          <w:color w:val="auto"/>
        </w:rPr>
        <w:t>Process Stack</w:t>
      </w:r>
      <w:r w:rsidRPr="001220A4">
        <w:rPr>
          <w:rFonts w:asciiTheme="minorHAnsi" w:hAnsiTheme="minorHAnsi" w:cstheme="minorHAnsi"/>
          <w:color w:val="auto"/>
        </w:rPr>
        <w:t xml:space="preserve"> window).</w:t>
      </w:r>
    </w:p>
    <w:p w14:paraId="61FF4ABC" w14:textId="77777777" w:rsidR="00503EE3" w:rsidRPr="001220A4" w:rsidRDefault="00503EE3" w:rsidP="0054535F">
      <w:pPr>
        <w:pStyle w:val="ListParagraph"/>
        <w:ind w:left="0" w:right="4"/>
        <w:rPr>
          <w:rFonts w:asciiTheme="minorHAnsi" w:hAnsiTheme="minorHAnsi" w:cstheme="minorHAnsi"/>
          <w:color w:val="auto"/>
        </w:rPr>
      </w:pPr>
    </w:p>
    <w:p w14:paraId="64B098E4" w14:textId="6CE8EB73" w:rsidR="00EC51DB" w:rsidRPr="001220A4" w:rsidRDefault="00EC51DB"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 xml:space="preserve">Generate a binary image to separate background and organoids (objects) using a threshold. Click </w:t>
      </w:r>
      <w:r w:rsidRPr="007679BB">
        <w:rPr>
          <w:rFonts w:asciiTheme="minorHAnsi" w:hAnsiTheme="minorHAnsi" w:cstheme="minorHAnsi"/>
          <w:b/>
          <w:bCs/>
          <w:color w:val="auto"/>
        </w:rPr>
        <w:t>Image &gt; Adjust &gt; Threshold</w:t>
      </w:r>
      <w:r w:rsidRPr="001220A4">
        <w:rPr>
          <w:rFonts w:asciiTheme="minorHAnsi" w:hAnsiTheme="minorHAnsi" w:cstheme="minorHAnsi"/>
          <w:color w:val="auto"/>
        </w:rPr>
        <w:t xml:space="preserve">. Use the red mask to adjust the values according to the intensity of the image, to fit the organoid shape, keeping the morphology intact. Disable </w:t>
      </w:r>
      <w:r w:rsidRPr="007679BB">
        <w:rPr>
          <w:rFonts w:asciiTheme="minorHAnsi" w:hAnsiTheme="minorHAnsi" w:cstheme="minorHAnsi"/>
          <w:b/>
          <w:bCs/>
          <w:color w:val="auto"/>
        </w:rPr>
        <w:t>Dark background</w:t>
      </w:r>
      <w:r w:rsidRPr="001220A4">
        <w:rPr>
          <w:rFonts w:asciiTheme="minorHAnsi" w:hAnsiTheme="minorHAnsi" w:cstheme="minorHAnsi"/>
          <w:color w:val="auto"/>
        </w:rPr>
        <w:t xml:space="preserve"> if the image has a white background. Click </w:t>
      </w:r>
      <w:r w:rsidRPr="007679BB">
        <w:rPr>
          <w:rFonts w:asciiTheme="minorHAnsi" w:hAnsiTheme="minorHAnsi" w:cstheme="minorHAnsi"/>
          <w:b/>
          <w:bCs/>
          <w:color w:val="auto"/>
        </w:rPr>
        <w:t>Apply</w:t>
      </w:r>
      <w:r w:rsidRPr="001220A4">
        <w:rPr>
          <w:rFonts w:asciiTheme="minorHAnsi" w:hAnsiTheme="minorHAnsi" w:cstheme="minorHAnsi"/>
          <w:color w:val="auto"/>
        </w:rPr>
        <w:t>.</w:t>
      </w:r>
    </w:p>
    <w:p w14:paraId="2BEC209A" w14:textId="77777777" w:rsidR="00503EE3" w:rsidRPr="001220A4" w:rsidRDefault="00503EE3" w:rsidP="0054535F">
      <w:pPr>
        <w:pStyle w:val="ListParagraph"/>
        <w:ind w:left="0" w:right="4"/>
        <w:rPr>
          <w:rFonts w:asciiTheme="minorHAnsi" w:hAnsiTheme="minorHAnsi" w:cstheme="minorHAnsi"/>
          <w:color w:val="auto"/>
        </w:rPr>
      </w:pPr>
    </w:p>
    <w:p w14:paraId="65E654F1" w14:textId="4AE087C7" w:rsidR="00EC51DB" w:rsidRPr="001220A4" w:rsidRDefault="00EC51DB"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 xml:space="preserve">In the </w:t>
      </w:r>
      <w:r w:rsidRPr="007679BB">
        <w:rPr>
          <w:rFonts w:asciiTheme="minorHAnsi" w:hAnsiTheme="minorHAnsi" w:cstheme="minorHAnsi"/>
          <w:b/>
          <w:bCs/>
          <w:color w:val="auto"/>
        </w:rPr>
        <w:t>Convert Stack to Binary</w:t>
      </w:r>
      <w:r w:rsidRPr="001220A4">
        <w:rPr>
          <w:rFonts w:asciiTheme="minorHAnsi" w:hAnsiTheme="minorHAnsi" w:cstheme="minorHAnsi"/>
          <w:color w:val="auto"/>
        </w:rPr>
        <w:t xml:space="preserve"> window, choose the </w:t>
      </w:r>
      <w:r w:rsidR="00F85599">
        <w:rPr>
          <w:rFonts w:asciiTheme="minorHAnsi" w:hAnsiTheme="minorHAnsi" w:cstheme="minorHAnsi"/>
          <w:b/>
          <w:bCs/>
          <w:color w:val="auto"/>
        </w:rPr>
        <w:t>T</w:t>
      </w:r>
      <w:r w:rsidRPr="00F85599">
        <w:rPr>
          <w:rFonts w:asciiTheme="minorHAnsi" w:hAnsiTheme="minorHAnsi" w:cstheme="minorHAnsi"/>
          <w:b/>
          <w:bCs/>
          <w:color w:val="auto"/>
        </w:rPr>
        <w:t>hreshold</w:t>
      </w:r>
      <w:r w:rsidRPr="001220A4">
        <w:rPr>
          <w:rFonts w:asciiTheme="minorHAnsi" w:hAnsiTheme="minorHAnsi" w:cstheme="minorHAnsi"/>
          <w:color w:val="auto"/>
        </w:rPr>
        <w:t xml:space="preserve"> method. Usually, </w:t>
      </w:r>
      <w:r w:rsidRPr="007679BB">
        <w:rPr>
          <w:rFonts w:asciiTheme="minorHAnsi" w:hAnsiTheme="minorHAnsi" w:cstheme="minorHAnsi"/>
          <w:b/>
          <w:bCs/>
          <w:color w:val="auto"/>
        </w:rPr>
        <w:t>Default</w:t>
      </w:r>
      <w:r w:rsidRPr="001220A4">
        <w:rPr>
          <w:rFonts w:asciiTheme="minorHAnsi" w:hAnsiTheme="minorHAnsi" w:cstheme="minorHAnsi"/>
          <w:color w:val="auto"/>
        </w:rPr>
        <w:t xml:space="preserve"> or </w:t>
      </w:r>
      <w:r w:rsidRPr="007679BB">
        <w:rPr>
          <w:rFonts w:asciiTheme="minorHAnsi" w:hAnsiTheme="minorHAnsi" w:cstheme="minorHAnsi"/>
          <w:b/>
          <w:bCs/>
          <w:color w:val="auto"/>
        </w:rPr>
        <w:t>Triangle</w:t>
      </w:r>
      <w:r w:rsidRPr="001220A4">
        <w:rPr>
          <w:rFonts w:asciiTheme="minorHAnsi" w:hAnsiTheme="minorHAnsi" w:cstheme="minorHAnsi"/>
          <w:color w:val="auto"/>
        </w:rPr>
        <w:t xml:space="preserve"> are preferred in this kind of image processing. Keep </w:t>
      </w:r>
      <w:r w:rsidR="00F85599">
        <w:rPr>
          <w:rFonts w:asciiTheme="minorHAnsi" w:hAnsiTheme="minorHAnsi" w:cstheme="minorHAnsi"/>
          <w:color w:val="auto"/>
        </w:rPr>
        <w:t xml:space="preserve">the </w:t>
      </w:r>
      <w:r w:rsidRPr="00F85599">
        <w:rPr>
          <w:rFonts w:asciiTheme="minorHAnsi" w:hAnsiTheme="minorHAnsi" w:cstheme="minorHAnsi"/>
          <w:b/>
          <w:bCs/>
          <w:color w:val="auto"/>
        </w:rPr>
        <w:t>Background</w:t>
      </w:r>
      <w:r w:rsidRPr="001220A4">
        <w:rPr>
          <w:rFonts w:asciiTheme="minorHAnsi" w:hAnsiTheme="minorHAnsi" w:cstheme="minorHAnsi"/>
          <w:color w:val="auto"/>
        </w:rPr>
        <w:t xml:space="preserve"> as </w:t>
      </w:r>
      <w:r w:rsidRPr="007679BB">
        <w:rPr>
          <w:rFonts w:asciiTheme="minorHAnsi" w:hAnsiTheme="minorHAnsi" w:cstheme="minorHAnsi"/>
          <w:b/>
          <w:bCs/>
          <w:color w:val="auto"/>
        </w:rPr>
        <w:t>Dark</w:t>
      </w:r>
      <w:r w:rsidRPr="001220A4">
        <w:rPr>
          <w:rFonts w:asciiTheme="minorHAnsi" w:hAnsiTheme="minorHAnsi" w:cstheme="minorHAnsi"/>
          <w:color w:val="auto"/>
        </w:rPr>
        <w:t xml:space="preserve">. Select </w:t>
      </w:r>
      <w:r w:rsidRPr="007679BB">
        <w:rPr>
          <w:rFonts w:asciiTheme="minorHAnsi" w:hAnsiTheme="minorHAnsi" w:cstheme="minorHAnsi"/>
          <w:b/>
          <w:bCs/>
          <w:color w:val="auto"/>
        </w:rPr>
        <w:lastRenderedPageBreak/>
        <w:t>Calculate threshold for each image</w:t>
      </w:r>
      <w:r w:rsidRPr="001220A4">
        <w:rPr>
          <w:rFonts w:asciiTheme="minorHAnsi" w:hAnsiTheme="minorHAnsi" w:cstheme="minorHAnsi"/>
          <w:color w:val="auto"/>
        </w:rPr>
        <w:t xml:space="preserve"> if there are several images in the stack. </w:t>
      </w:r>
    </w:p>
    <w:p w14:paraId="386E397F" w14:textId="77777777" w:rsidR="00503EE3" w:rsidRPr="001220A4" w:rsidRDefault="00503EE3" w:rsidP="0054535F">
      <w:pPr>
        <w:pStyle w:val="ListParagraph"/>
        <w:ind w:left="0" w:right="4"/>
        <w:rPr>
          <w:rFonts w:asciiTheme="minorHAnsi" w:hAnsiTheme="minorHAnsi" w:cstheme="minorHAnsi"/>
          <w:color w:val="auto"/>
        </w:rPr>
      </w:pPr>
    </w:p>
    <w:p w14:paraId="505593E4" w14:textId="4A97973E" w:rsidR="00EC51DB" w:rsidRPr="001220A4" w:rsidRDefault="00EC51DB"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 xml:space="preserve">Select </w:t>
      </w:r>
      <w:r w:rsidRPr="007679BB">
        <w:rPr>
          <w:rFonts w:asciiTheme="minorHAnsi" w:hAnsiTheme="minorHAnsi" w:cstheme="minorHAnsi"/>
          <w:b/>
          <w:bCs/>
          <w:color w:val="auto"/>
        </w:rPr>
        <w:t>Process &gt; Binary &gt; Fill holes</w:t>
      </w:r>
      <w:r w:rsidRPr="001220A4">
        <w:rPr>
          <w:rFonts w:asciiTheme="minorHAnsi" w:hAnsiTheme="minorHAnsi" w:cstheme="minorHAnsi"/>
          <w:color w:val="auto"/>
        </w:rPr>
        <w:t xml:space="preserve">. Optionally, remove holes from the background. In </w:t>
      </w:r>
      <w:r w:rsidRPr="007679BB">
        <w:rPr>
          <w:rFonts w:asciiTheme="minorHAnsi" w:hAnsiTheme="minorHAnsi" w:cstheme="minorHAnsi"/>
          <w:b/>
          <w:bCs/>
          <w:color w:val="auto"/>
        </w:rPr>
        <w:t>Process &gt; Binary &gt; Option</w:t>
      </w:r>
      <w:r w:rsidRPr="001220A4">
        <w:rPr>
          <w:rFonts w:asciiTheme="minorHAnsi" w:hAnsiTheme="minorHAnsi" w:cstheme="minorHAnsi"/>
          <w:color w:val="auto"/>
        </w:rPr>
        <w:t xml:space="preserve">s, select </w:t>
      </w:r>
      <w:r w:rsidRPr="007679BB">
        <w:rPr>
          <w:rFonts w:asciiTheme="minorHAnsi" w:hAnsiTheme="minorHAnsi" w:cstheme="minorHAnsi"/>
          <w:b/>
          <w:bCs/>
          <w:color w:val="auto"/>
        </w:rPr>
        <w:t>Black background</w:t>
      </w:r>
      <w:r w:rsidRPr="001220A4">
        <w:rPr>
          <w:rFonts w:asciiTheme="minorHAnsi" w:hAnsiTheme="minorHAnsi" w:cstheme="minorHAnsi"/>
          <w:color w:val="auto"/>
        </w:rPr>
        <w:t xml:space="preserve"> and execute </w:t>
      </w:r>
      <w:r w:rsidRPr="007679BB">
        <w:rPr>
          <w:rFonts w:asciiTheme="minorHAnsi" w:hAnsiTheme="minorHAnsi" w:cstheme="minorHAnsi"/>
          <w:b/>
          <w:bCs/>
          <w:color w:val="auto"/>
        </w:rPr>
        <w:t>Fill Holes</w:t>
      </w:r>
      <w:r w:rsidRPr="001220A4">
        <w:rPr>
          <w:rFonts w:asciiTheme="minorHAnsi" w:hAnsiTheme="minorHAnsi" w:cstheme="minorHAnsi"/>
          <w:color w:val="auto"/>
        </w:rPr>
        <w:t xml:space="preserve"> again. Disable </w:t>
      </w:r>
      <w:r w:rsidRPr="007679BB">
        <w:rPr>
          <w:rFonts w:asciiTheme="minorHAnsi" w:hAnsiTheme="minorHAnsi" w:cstheme="minorHAnsi"/>
          <w:b/>
          <w:bCs/>
          <w:color w:val="auto"/>
        </w:rPr>
        <w:t>Black</w:t>
      </w:r>
      <w:r w:rsidRPr="001220A4">
        <w:rPr>
          <w:rFonts w:asciiTheme="minorHAnsi" w:hAnsiTheme="minorHAnsi" w:cstheme="minorHAnsi"/>
          <w:color w:val="auto"/>
        </w:rPr>
        <w:t xml:space="preserve"> background option before proceeding to the next step.</w:t>
      </w:r>
    </w:p>
    <w:p w14:paraId="5BEAEB63" w14:textId="77777777" w:rsidR="00503EE3" w:rsidRPr="001220A4" w:rsidRDefault="00503EE3" w:rsidP="0054535F">
      <w:pPr>
        <w:pStyle w:val="ListParagraph"/>
        <w:ind w:left="0" w:right="4"/>
        <w:rPr>
          <w:rFonts w:asciiTheme="minorHAnsi" w:hAnsiTheme="minorHAnsi" w:cstheme="minorHAnsi"/>
          <w:color w:val="auto"/>
        </w:rPr>
      </w:pPr>
    </w:p>
    <w:p w14:paraId="649884A2" w14:textId="40C1F404" w:rsidR="00EC51DB" w:rsidRPr="001220A4" w:rsidRDefault="00EC51DB"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Separate objects. For organoids</w:t>
      </w:r>
      <w:r w:rsidR="00F85599">
        <w:rPr>
          <w:rFonts w:asciiTheme="minorHAnsi" w:hAnsiTheme="minorHAnsi" w:cstheme="minorHAnsi"/>
          <w:color w:val="auto"/>
        </w:rPr>
        <w:t>,</w:t>
      </w:r>
      <w:r w:rsidRPr="001220A4">
        <w:rPr>
          <w:rFonts w:asciiTheme="minorHAnsi" w:hAnsiTheme="minorHAnsi" w:cstheme="minorHAnsi"/>
          <w:color w:val="auto"/>
        </w:rPr>
        <w:t xml:space="preserve"> the watershed method is a good choice. Click </w:t>
      </w:r>
      <w:r w:rsidRPr="007679BB">
        <w:rPr>
          <w:rFonts w:asciiTheme="minorHAnsi" w:hAnsiTheme="minorHAnsi" w:cstheme="minorHAnsi"/>
          <w:b/>
          <w:bCs/>
          <w:color w:val="auto"/>
        </w:rPr>
        <w:t>Process &gt; Binary &gt; Watershed</w:t>
      </w:r>
      <w:r w:rsidRPr="001220A4">
        <w:rPr>
          <w:rFonts w:asciiTheme="minorHAnsi" w:hAnsiTheme="minorHAnsi" w:cstheme="minorHAnsi"/>
          <w:color w:val="auto"/>
        </w:rPr>
        <w:t>.</w:t>
      </w:r>
      <w:r w:rsidR="00227E71" w:rsidRPr="001220A4">
        <w:rPr>
          <w:rFonts w:asciiTheme="minorHAnsi" w:hAnsiTheme="minorHAnsi" w:cstheme="minorHAnsi"/>
          <w:color w:val="auto"/>
        </w:rPr>
        <w:t xml:space="preserve"> </w:t>
      </w:r>
      <w:r w:rsidRPr="001220A4">
        <w:rPr>
          <w:rFonts w:asciiTheme="minorHAnsi" w:hAnsiTheme="minorHAnsi" w:cstheme="minorHAnsi"/>
          <w:color w:val="auto"/>
        </w:rPr>
        <w:t xml:space="preserve">Execute the </w:t>
      </w:r>
      <w:r w:rsidRPr="001220A4">
        <w:rPr>
          <w:rFonts w:asciiTheme="minorHAnsi" w:hAnsiTheme="minorHAnsi" w:cstheme="minorHAnsi"/>
          <w:noProof/>
          <w:color w:val="auto"/>
        </w:rPr>
        <w:t>shape</w:t>
      </w:r>
      <w:r w:rsidRPr="001220A4">
        <w:rPr>
          <w:rFonts w:asciiTheme="minorHAnsi" w:hAnsiTheme="minorHAnsi" w:cstheme="minorHAnsi"/>
          <w:color w:val="auto"/>
        </w:rPr>
        <w:t xml:space="preserve"> analysis.</w:t>
      </w:r>
    </w:p>
    <w:p w14:paraId="53EE3FBB" w14:textId="77777777" w:rsidR="00503EE3" w:rsidRPr="001220A4" w:rsidRDefault="00503EE3" w:rsidP="0054535F">
      <w:pPr>
        <w:pStyle w:val="ListParagraph"/>
        <w:ind w:left="0" w:right="4"/>
        <w:rPr>
          <w:rFonts w:asciiTheme="minorHAnsi" w:hAnsiTheme="minorHAnsi" w:cstheme="minorHAnsi"/>
          <w:color w:val="auto"/>
        </w:rPr>
      </w:pPr>
    </w:p>
    <w:p w14:paraId="4A2536DC" w14:textId="3287280B" w:rsidR="00EC51DB" w:rsidRPr="001220A4" w:rsidRDefault="00EC51DB" w:rsidP="0054535F">
      <w:pPr>
        <w:pStyle w:val="ListParagraph"/>
        <w:numPr>
          <w:ilvl w:val="3"/>
          <w:numId w:val="38"/>
        </w:numPr>
        <w:ind w:left="0" w:right="4" w:firstLine="0"/>
        <w:rPr>
          <w:rFonts w:asciiTheme="minorHAnsi" w:hAnsiTheme="minorHAnsi" w:cstheme="minorHAnsi"/>
          <w:color w:val="auto"/>
        </w:rPr>
      </w:pPr>
      <w:r w:rsidRPr="001220A4">
        <w:rPr>
          <w:rFonts w:asciiTheme="minorHAnsi" w:hAnsiTheme="minorHAnsi" w:cstheme="minorHAnsi"/>
          <w:color w:val="auto"/>
        </w:rPr>
        <w:t xml:space="preserve">Select </w:t>
      </w:r>
      <w:r w:rsidRPr="007679BB">
        <w:rPr>
          <w:rFonts w:asciiTheme="minorHAnsi" w:hAnsiTheme="minorHAnsi" w:cstheme="minorHAnsi"/>
          <w:b/>
          <w:bCs/>
          <w:color w:val="auto"/>
        </w:rPr>
        <w:t>Analyze &gt; Set Measurements</w:t>
      </w:r>
      <w:r w:rsidRPr="001220A4">
        <w:rPr>
          <w:rFonts w:asciiTheme="minorHAnsi" w:hAnsiTheme="minorHAnsi" w:cstheme="minorHAnsi"/>
          <w:color w:val="auto"/>
        </w:rPr>
        <w:t xml:space="preserve">. Several options are available (details in https://imagej.nih.gov/ij/docs/guide/146-30.html). For organoids, select </w:t>
      </w:r>
      <w:r w:rsidRPr="007679BB">
        <w:rPr>
          <w:rFonts w:asciiTheme="minorHAnsi" w:hAnsiTheme="minorHAnsi" w:cstheme="minorHAnsi"/>
          <w:b/>
          <w:bCs/>
          <w:color w:val="auto"/>
        </w:rPr>
        <w:t>Area</w:t>
      </w:r>
      <w:r w:rsidRPr="001220A4">
        <w:rPr>
          <w:rFonts w:asciiTheme="minorHAnsi" w:hAnsiTheme="minorHAnsi" w:cstheme="minorHAnsi"/>
          <w:color w:val="auto"/>
        </w:rPr>
        <w:t xml:space="preserve">, </w:t>
      </w:r>
      <w:r w:rsidRPr="007679BB">
        <w:rPr>
          <w:rFonts w:asciiTheme="minorHAnsi" w:hAnsiTheme="minorHAnsi" w:cstheme="minorHAnsi"/>
          <w:b/>
          <w:bCs/>
          <w:color w:val="auto"/>
        </w:rPr>
        <w:t>Mean gray</w:t>
      </w:r>
      <w:r w:rsidRPr="001220A4">
        <w:rPr>
          <w:rFonts w:asciiTheme="minorHAnsi" w:hAnsiTheme="minorHAnsi" w:cstheme="minorHAnsi"/>
          <w:color w:val="auto"/>
        </w:rPr>
        <w:t xml:space="preserve"> </w:t>
      </w:r>
      <w:r w:rsidRPr="007679BB">
        <w:rPr>
          <w:rFonts w:asciiTheme="minorHAnsi" w:hAnsiTheme="minorHAnsi" w:cstheme="minorHAnsi"/>
          <w:b/>
          <w:bCs/>
          <w:color w:val="auto"/>
        </w:rPr>
        <w:t>value</w:t>
      </w:r>
      <w:r w:rsidRPr="001220A4">
        <w:rPr>
          <w:rFonts w:asciiTheme="minorHAnsi" w:hAnsiTheme="minorHAnsi" w:cstheme="minorHAnsi"/>
          <w:color w:val="auto"/>
        </w:rPr>
        <w:t xml:space="preserve">, </w:t>
      </w:r>
      <w:r w:rsidRPr="007679BB">
        <w:rPr>
          <w:rFonts w:asciiTheme="minorHAnsi" w:hAnsiTheme="minorHAnsi" w:cstheme="minorHAnsi"/>
          <w:b/>
          <w:bCs/>
          <w:color w:val="auto"/>
        </w:rPr>
        <w:t>Min &amp; max gray value</w:t>
      </w:r>
      <w:r w:rsidRPr="001220A4">
        <w:rPr>
          <w:rFonts w:asciiTheme="minorHAnsi" w:hAnsiTheme="minorHAnsi" w:cstheme="minorHAnsi"/>
          <w:color w:val="auto"/>
        </w:rPr>
        <w:t xml:space="preserve"> and </w:t>
      </w:r>
      <w:r w:rsidRPr="007679BB">
        <w:rPr>
          <w:rFonts w:asciiTheme="minorHAnsi" w:hAnsiTheme="minorHAnsi" w:cstheme="minorHAnsi"/>
          <w:b/>
          <w:bCs/>
          <w:color w:val="auto"/>
        </w:rPr>
        <w:t>Shape descriptors</w:t>
      </w:r>
      <w:r w:rsidRPr="001220A4">
        <w:rPr>
          <w:rFonts w:asciiTheme="minorHAnsi" w:hAnsiTheme="minorHAnsi" w:cstheme="minorHAnsi"/>
          <w:color w:val="auto"/>
        </w:rPr>
        <w:t xml:space="preserve">. Optionally, select </w:t>
      </w:r>
      <w:r w:rsidRPr="007679BB">
        <w:rPr>
          <w:rFonts w:asciiTheme="minorHAnsi" w:hAnsiTheme="minorHAnsi" w:cstheme="minorHAnsi"/>
          <w:b/>
          <w:bCs/>
          <w:color w:val="auto"/>
        </w:rPr>
        <w:t>Display label</w:t>
      </w:r>
      <w:r w:rsidRPr="001220A4">
        <w:rPr>
          <w:rFonts w:asciiTheme="minorHAnsi" w:hAnsiTheme="minorHAnsi" w:cstheme="minorHAnsi"/>
          <w:color w:val="auto"/>
        </w:rPr>
        <w:t xml:space="preserve"> to identify objects in the image and </w:t>
      </w:r>
      <w:r w:rsidRPr="007679BB">
        <w:rPr>
          <w:rFonts w:asciiTheme="minorHAnsi" w:hAnsiTheme="minorHAnsi" w:cstheme="minorHAnsi"/>
          <w:b/>
          <w:bCs/>
          <w:color w:val="auto"/>
        </w:rPr>
        <w:t>Scientific notation</w:t>
      </w:r>
      <w:r w:rsidRPr="001220A4">
        <w:rPr>
          <w:rFonts w:asciiTheme="minorHAnsi" w:hAnsiTheme="minorHAnsi" w:cstheme="minorHAnsi"/>
          <w:color w:val="auto"/>
        </w:rPr>
        <w:t xml:space="preserve">. Click </w:t>
      </w:r>
      <w:r w:rsidRPr="007679BB">
        <w:rPr>
          <w:rFonts w:asciiTheme="minorHAnsi" w:hAnsiTheme="minorHAnsi" w:cstheme="minorHAnsi"/>
          <w:b/>
          <w:bCs/>
          <w:color w:val="auto"/>
        </w:rPr>
        <w:t>OK</w:t>
      </w:r>
      <w:r w:rsidRPr="001220A4">
        <w:rPr>
          <w:rFonts w:asciiTheme="minorHAnsi" w:hAnsiTheme="minorHAnsi" w:cstheme="minorHAnsi"/>
          <w:color w:val="auto"/>
        </w:rPr>
        <w:t>.</w:t>
      </w:r>
    </w:p>
    <w:p w14:paraId="01A25142" w14:textId="77777777" w:rsidR="00503EE3" w:rsidRPr="001220A4" w:rsidRDefault="00503EE3" w:rsidP="0054535F">
      <w:pPr>
        <w:pStyle w:val="ListParagraph"/>
        <w:ind w:left="0" w:right="4"/>
        <w:rPr>
          <w:rFonts w:asciiTheme="minorHAnsi" w:hAnsiTheme="minorHAnsi" w:cstheme="minorHAnsi"/>
          <w:color w:val="auto"/>
        </w:rPr>
      </w:pPr>
    </w:p>
    <w:p w14:paraId="10B66101" w14:textId="35D0EBD0" w:rsidR="00EC51DB" w:rsidRPr="001220A4" w:rsidRDefault="00EC51DB" w:rsidP="0054535F">
      <w:pPr>
        <w:pStyle w:val="ListParagraph"/>
        <w:numPr>
          <w:ilvl w:val="3"/>
          <w:numId w:val="38"/>
        </w:numPr>
        <w:ind w:left="0" w:right="4" w:firstLine="0"/>
        <w:rPr>
          <w:rFonts w:asciiTheme="minorHAnsi" w:hAnsiTheme="minorHAnsi" w:cstheme="minorHAnsi"/>
          <w:color w:val="auto"/>
        </w:rPr>
      </w:pPr>
      <w:r w:rsidRPr="001220A4">
        <w:rPr>
          <w:rFonts w:asciiTheme="minorHAnsi" w:hAnsiTheme="minorHAnsi" w:cstheme="minorHAnsi"/>
          <w:color w:val="auto"/>
        </w:rPr>
        <w:t xml:space="preserve">Select </w:t>
      </w:r>
      <w:r w:rsidRPr="007679BB">
        <w:rPr>
          <w:rFonts w:asciiTheme="minorHAnsi" w:hAnsiTheme="minorHAnsi" w:cstheme="minorHAnsi"/>
          <w:b/>
          <w:bCs/>
          <w:color w:val="auto"/>
        </w:rPr>
        <w:t>Analysis &gt; Analyze Particles</w:t>
      </w:r>
      <w:r w:rsidRPr="001220A4">
        <w:rPr>
          <w:rFonts w:asciiTheme="minorHAnsi" w:hAnsiTheme="minorHAnsi" w:cstheme="minorHAnsi"/>
          <w:color w:val="auto"/>
        </w:rPr>
        <w:t xml:space="preserve">. Choose the </w:t>
      </w:r>
      <w:r w:rsidRPr="007679BB">
        <w:rPr>
          <w:rFonts w:asciiTheme="minorHAnsi" w:hAnsiTheme="minorHAnsi" w:cstheme="minorHAnsi"/>
          <w:b/>
          <w:bCs/>
          <w:color w:val="auto"/>
        </w:rPr>
        <w:t>Size</w:t>
      </w:r>
      <w:r w:rsidRPr="001220A4">
        <w:rPr>
          <w:rFonts w:asciiTheme="minorHAnsi" w:hAnsiTheme="minorHAnsi" w:cstheme="minorHAnsi"/>
          <w:color w:val="auto"/>
        </w:rPr>
        <w:t xml:space="preserve"> and </w:t>
      </w:r>
      <w:r w:rsidRPr="007679BB">
        <w:rPr>
          <w:rFonts w:asciiTheme="minorHAnsi" w:hAnsiTheme="minorHAnsi" w:cstheme="minorHAnsi"/>
          <w:b/>
          <w:bCs/>
          <w:color w:val="auto"/>
        </w:rPr>
        <w:t>Circularity</w:t>
      </w:r>
      <w:r w:rsidRPr="001220A4">
        <w:rPr>
          <w:rFonts w:asciiTheme="minorHAnsi" w:hAnsiTheme="minorHAnsi" w:cstheme="minorHAnsi"/>
          <w:color w:val="auto"/>
        </w:rPr>
        <w:t xml:space="preserve"> limits. Keep 0-infinity and 0.00-1.00, respectively to measure all objects in the image. In </w:t>
      </w:r>
      <w:r w:rsidRPr="007679BB">
        <w:rPr>
          <w:rFonts w:asciiTheme="minorHAnsi" w:hAnsiTheme="minorHAnsi" w:cstheme="minorHAnsi"/>
          <w:b/>
          <w:bCs/>
          <w:color w:val="auto"/>
        </w:rPr>
        <w:t>Show</w:t>
      </w:r>
      <w:r w:rsidRPr="001220A4">
        <w:rPr>
          <w:rFonts w:asciiTheme="minorHAnsi" w:hAnsiTheme="minorHAnsi" w:cstheme="minorHAnsi"/>
          <w:color w:val="auto"/>
        </w:rPr>
        <w:t xml:space="preserve">, choose </w:t>
      </w:r>
      <w:r w:rsidRPr="007679BB">
        <w:rPr>
          <w:rFonts w:asciiTheme="minorHAnsi" w:hAnsiTheme="minorHAnsi" w:cstheme="minorHAnsi"/>
          <w:b/>
          <w:bCs/>
          <w:color w:val="auto"/>
        </w:rPr>
        <w:t>Outlines</w:t>
      </w:r>
      <w:r w:rsidRPr="001220A4">
        <w:rPr>
          <w:rFonts w:asciiTheme="minorHAnsi" w:hAnsiTheme="minorHAnsi" w:cstheme="minorHAnsi"/>
          <w:color w:val="auto"/>
        </w:rPr>
        <w:t xml:space="preserve"> so the objects will be identified. Enable </w:t>
      </w:r>
      <w:r w:rsidRPr="007679BB">
        <w:rPr>
          <w:rFonts w:asciiTheme="minorHAnsi" w:hAnsiTheme="minorHAnsi" w:cstheme="minorHAnsi"/>
          <w:b/>
          <w:bCs/>
          <w:color w:val="auto"/>
        </w:rPr>
        <w:t>Display results</w:t>
      </w:r>
      <w:r w:rsidRPr="001220A4">
        <w:rPr>
          <w:rFonts w:asciiTheme="minorHAnsi" w:hAnsiTheme="minorHAnsi" w:cstheme="minorHAnsi"/>
          <w:color w:val="auto"/>
        </w:rPr>
        <w:t xml:space="preserve"> to output results; </w:t>
      </w:r>
      <w:r w:rsidRPr="007679BB">
        <w:rPr>
          <w:rFonts w:asciiTheme="minorHAnsi" w:hAnsiTheme="minorHAnsi" w:cstheme="minorHAnsi"/>
          <w:b/>
          <w:bCs/>
          <w:color w:val="auto"/>
        </w:rPr>
        <w:t>Exclude on edges</w:t>
      </w:r>
      <w:r w:rsidRPr="001220A4">
        <w:rPr>
          <w:rFonts w:asciiTheme="minorHAnsi" w:hAnsiTheme="minorHAnsi" w:cstheme="minorHAnsi"/>
          <w:color w:val="auto"/>
        </w:rPr>
        <w:t xml:space="preserve"> to exclude objects touching borders; </w:t>
      </w:r>
      <w:r w:rsidRPr="007679BB">
        <w:rPr>
          <w:rFonts w:asciiTheme="minorHAnsi" w:hAnsiTheme="minorHAnsi" w:cstheme="minorHAnsi"/>
          <w:b/>
          <w:bCs/>
          <w:color w:val="auto"/>
        </w:rPr>
        <w:t>Include holes</w:t>
      </w:r>
      <w:r w:rsidRPr="001220A4">
        <w:rPr>
          <w:rFonts w:asciiTheme="minorHAnsi" w:hAnsiTheme="minorHAnsi" w:cstheme="minorHAnsi"/>
          <w:color w:val="auto"/>
        </w:rPr>
        <w:t xml:space="preserve"> so eventual interior holes in the objects are considered as part of the main shape.</w:t>
      </w:r>
    </w:p>
    <w:p w14:paraId="19A7F9DA" w14:textId="77777777" w:rsidR="00503EE3" w:rsidRPr="001220A4" w:rsidRDefault="00503EE3" w:rsidP="0054535F">
      <w:pPr>
        <w:pStyle w:val="ListParagraph"/>
        <w:ind w:left="0" w:right="4"/>
        <w:rPr>
          <w:rFonts w:asciiTheme="minorHAnsi" w:hAnsiTheme="minorHAnsi" w:cstheme="minorHAnsi"/>
          <w:color w:val="auto"/>
        </w:rPr>
      </w:pPr>
    </w:p>
    <w:p w14:paraId="7AE2C784" w14:textId="55E570E0" w:rsidR="00EC51DB" w:rsidRPr="001220A4" w:rsidRDefault="00EC51DB"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 xml:space="preserve">Repeat </w:t>
      </w:r>
      <w:r w:rsidRPr="007679BB">
        <w:rPr>
          <w:rFonts w:asciiTheme="minorHAnsi" w:hAnsiTheme="minorHAnsi" w:cstheme="minorHAnsi"/>
          <w:b/>
          <w:bCs/>
          <w:color w:val="auto"/>
        </w:rPr>
        <w:t>Shape Analysis</w:t>
      </w:r>
      <w:r w:rsidRPr="001220A4">
        <w:rPr>
          <w:rFonts w:asciiTheme="minorHAnsi" w:hAnsiTheme="minorHAnsi" w:cstheme="minorHAnsi"/>
          <w:color w:val="auto"/>
        </w:rPr>
        <w:t xml:space="preserve"> for every image stack and the results will be appended in a single table.</w:t>
      </w:r>
      <w:r w:rsidR="00227E71" w:rsidRPr="001220A4">
        <w:rPr>
          <w:rFonts w:asciiTheme="minorHAnsi" w:hAnsiTheme="minorHAnsi" w:cstheme="minorHAnsi"/>
          <w:color w:val="auto"/>
        </w:rPr>
        <w:t xml:space="preserve"> </w:t>
      </w:r>
      <w:r w:rsidRPr="001220A4">
        <w:rPr>
          <w:rFonts w:asciiTheme="minorHAnsi" w:hAnsiTheme="minorHAnsi" w:cstheme="minorHAnsi"/>
          <w:color w:val="auto"/>
        </w:rPr>
        <w:t xml:space="preserve">Export results table in </w:t>
      </w:r>
      <w:r w:rsidRPr="007679BB">
        <w:rPr>
          <w:rFonts w:asciiTheme="minorHAnsi" w:hAnsiTheme="minorHAnsi" w:cstheme="minorHAnsi"/>
          <w:b/>
          <w:bCs/>
          <w:color w:val="auto"/>
        </w:rPr>
        <w:t>File &gt; Save As…</w:t>
      </w:r>
      <w:r w:rsidRPr="001220A4">
        <w:rPr>
          <w:rFonts w:asciiTheme="minorHAnsi" w:hAnsiTheme="minorHAnsi" w:cstheme="minorHAnsi"/>
          <w:color w:val="auto"/>
        </w:rPr>
        <w:t xml:space="preserve"> as Comma Separated Values (.csv) file. </w:t>
      </w:r>
    </w:p>
    <w:p w14:paraId="6995982E" w14:textId="2DA02735" w:rsidR="006D749F" w:rsidRPr="001220A4" w:rsidRDefault="006D749F" w:rsidP="0054535F">
      <w:pPr>
        <w:pStyle w:val="ListParagraph"/>
        <w:ind w:left="0" w:right="4"/>
        <w:rPr>
          <w:rFonts w:asciiTheme="minorHAnsi" w:hAnsiTheme="minorHAnsi" w:cstheme="minorHAnsi"/>
          <w:b/>
          <w:color w:val="auto"/>
        </w:rPr>
      </w:pPr>
    </w:p>
    <w:p w14:paraId="1385B4A5" w14:textId="77777777" w:rsidR="00733AE7" w:rsidRPr="007679BB" w:rsidRDefault="00733AE7" w:rsidP="0054535F">
      <w:pPr>
        <w:pStyle w:val="ListParagraph"/>
        <w:numPr>
          <w:ilvl w:val="1"/>
          <w:numId w:val="38"/>
        </w:numPr>
        <w:ind w:left="0" w:right="4" w:firstLine="0"/>
        <w:rPr>
          <w:rFonts w:asciiTheme="minorHAnsi" w:hAnsiTheme="minorHAnsi" w:cstheme="minorHAnsi"/>
          <w:bCs/>
          <w:color w:val="auto"/>
        </w:rPr>
      </w:pPr>
      <w:r w:rsidRPr="007679BB">
        <w:rPr>
          <w:rFonts w:asciiTheme="minorHAnsi" w:hAnsiTheme="minorHAnsi" w:cstheme="minorHAnsi"/>
          <w:bCs/>
          <w:color w:val="auto"/>
        </w:rPr>
        <w:t>Real-Time PCR</w:t>
      </w:r>
    </w:p>
    <w:p w14:paraId="0B6FD53E" w14:textId="77777777" w:rsidR="00733AE7" w:rsidRPr="001220A4" w:rsidRDefault="00733AE7" w:rsidP="0054535F">
      <w:pPr>
        <w:pStyle w:val="ListParagraph"/>
        <w:ind w:left="0" w:right="4"/>
        <w:rPr>
          <w:rFonts w:asciiTheme="minorHAnsi" w:hAnsiTheme="minorHAnsi" w:cstheme="minorHAnsi"/>
          <w:b/>
          <w:color w:val="auto"/>
        </w:rPr>
      </w:pPr>
    </w:p>
    <w:p w14:paraId="5C5460F2" w14:textId="36E655EA" w:rsidR="00733AE7" w:rsidRPr="001220A4" w:rsidRDefault="00733AE7" w:rsidP="0054535F">
      <w:pPr>
        <w:pStyle w:val="ListParagraph"/>
        <w:numPr>
          <w:ilvl w:val="2"/>
          <w:numId w:val="38"/>
        </w:numPr>
        <w:ind w:left="0" w:right="4" w:firstLine="0"/>
        <w:rPr>
          <w:rFonts w:asciiTheme="minorHAnsi" w:hAnsiTheme="minorHAnsi" w:cstheme="minorHAnsi"/>
          <w:b/>
          <w:color w:val="auto"/>
        </w:rPr>
      </w:pPr>
      <w:r w:rsidRPr="001220A4">
        <w:rPr>
          <w:rFonts w:asciiTheme="minorHAnsi" w:hAnsiTheme="minorHAnsi" w:cstheme="minorHAnsi"/>
          <w:color w:val="auto"/>
        </w:rPr>
        <w:t xml:space="preserve">Extract RNA from tissue equivalents using a monophasic solution of phenol and guanidine isothiocyanate, following manufacturer’s instructions. </w:t>
      </w:r>
    </w:p>
    <w:p w14:paraId="2C181150" w14:textId="77777777" w:rsidR="00733AE7" w:rsidRPr="001220A4" w:rsidRDefault="00733AE7" w:rsidP="0054535F">
      <w:pPr>
        <w:pStyle w:val="ListParagraph"/>
        <w:ind w:left="0" w:right="4"/>
        <w:rPr>
          <w:rFonts w:asciiTheme="minorHAnsi" w:hAnsiTheme="minorHAnsi" w:cstheme="minorHAnsi"/>
          <w:b/>
          <w:color w:val="auto"/>
        </w:rPr>
      </w:pPr>
    </w:p>
    <w:p w14:paraId="325CE508" w14:textId="41554166" w:rsidR="00733AE7" w:rsidRPr="001220A4" w:rsidRDefault="00733AE7" w:rsidP="0054535F">
      <w:pPr>
        <w:pStyle w:val="ListParagraph"/>
        <w:numPr>
          <w:ilvl w:val="2"/>
          <w:numId w:val="38"/>
        </w:numPr>
        <w:ind w:left="0" w:right="4" w:firstLine="0"/>
        <w:rPr>
          <w:rFonts w:asciiTheme="minorHAnsi" w:hAnsiTheme="minorHAnsi" w:cstheme="minorHAnsi"/>
          <w:b/>
          <w:color w:val="auto"/>
        </w:rPr>
      </w:pPr>
      <w:r w:rsidRPr="001220A4">
        <w:rPr>
          <w:rFonts w:asciiTheme="minorHAnsi" w:hAnsiTheme="minorHAnsi" w:cstheme="minorHAnsi"/>
          <w:color w:val="auto"/>
        </w:rPr>
        <w:t xml:space="preserve">Perform the cDNA synthesis by reverse transcription of 1 – 2 </w:t>
      </w:r>
      <w:r w:rsidR="008173B3">
        <w:rPr>
          <w:rFonts w:asciiTheme="minorHAnsi" w:hAnsiTheme="minorHAnsi" w:cstheme="minorHAnsi"/>
          <w:color w:val="auto"/>
        </w:rPr>
        <w:t>µ</w:t>
      </w:r>
      <w:r w:rsidRPr="001220A4">
        <w:rPr>
          <w:rFonts w:asciiTheme="minorHAnsi" w:hAnsiTheme="minorHAnsi" w:cstheme="minorHAnsi"/>
          <w:color w:val="auto"/>
        </w:rPr>
        <w:t xml:space="preserve">g </w:t>
      </w:r>
      <w:r w:rsidR="007679BB">
        <w:rPr>
          <w:rFonts w:asciiTheme="minorHAnsi" w:hAnsiTheme="minorHAnsi" w:cstheme="minorHAnsi"/>
          <w:color w:val="auto"/>
        </w:rPr>
        <w:t xml:space="preserve">of </w:t>
      </w:r>
      <w:r w:rsidRPr="001220A4">
        <w:rPr>
          <w:rFonts w:asciiTheme="minorHAnsi" w:hAnsiTheme="minorHAnsi" w:cstheme="minorHAnsi"/>
          <w:color w:val="auto"/>
        </w:rPr>
        <w:t>total RNA.</w:t>
      </w:r>
    </w:p>
    <w:p w14:paraId="30CB3BE0" w14:textId="77777777" w:rsidR="00733AE7" w:rsidRPr="001220A4" w:rsidRDefault="00733AE7" w:rsidP="0054535F">
      <w:pPr>
        <w:pStyle w:val="ListParagraph"/>
        <w:ind w:left="0" w:right="4"/>
        <w:rPr>
          <w:rFonts w:asciiTheme="minorHAnsi" w:hAnsiTheme="minorHAnsi" w:cstheme="minorHAnsi"/>
          <w:b/>
          <w:color w:val="auto"/>
        </w:rPr>
      </w:pPr>
    </w:p>
    <w:p w14:paraId="185BD344" w14:textId="544C2D16" w:rsidR="00733AE7" w:rsidRPr="007679BB" w:rsidRDefault="00733AE7" w:rsidP="0054535F">
      <w:pPr>
        <w:pStyle w:val="ListParagraph"/>
        <w:numPr>
          <w:ilvl w:val="2"/>
          <w:numId w:val="38"/>
        </w:numPr>
        <w:ind w:left="0" w:right="4" w:firstLine="0"/>
        <w:rPr>
          <w:rFonts w:asciiTheme="minorHAnsi" w:hAnsiTheme="minorHAnsi" w:cstheme="minorHAnsi"/>
          <w:b/>
          <w:color w:val="auto"/>
        </w:rPr>
      </w:pPr>
      <w:r w:rsidRPr="001220A4">
        <w:rPr>
          <w:rFonts w:asciiTheme="minorHAnsi" w:hAnsiTheme="minorHAnsi" w:cstheme="minorHAnsi"/>
          <w:color w:val="auto"/>
        </w:rPr>
        <w:t>Amplify all targets using gene-specific primers (</w:t>
      </w:r>
      <w:r w:rsidRPr="007679BB">
        <w:rPr>
          <w:rFonts w:asciiTheme="minorHAnsi" w:hAnsiTheme="minorHAnsi" w:cstheme="minorHAnsi"/>
          <w:b/>
          <w:bCs/>
          <w:color w:val="auto"/>
        </w:rPr>
        <w:t>Table 5</w:t>
      </w:r>
      <w:r w:rsidRPr="001220A4">
        <w:rPr>
          <w:rFonts w:asciiTheme="minorHAnsi" w:hAnsiTheme="minorHAnsi" w:cstheme="minorHAnsi"/>
          <w:color w:val="auto"/>
        </w:rPr>
        <w:t>) to perform real time quantitative PCR.</w:t>
      </w:r>
      <w:r w:rsidR="008E4F90">
        <w:rPr>
          <w:rFonts w:asciiTheme="minorHAnsi" w:hAnsiTheme="minorHAnsi" w:cstheme="minorHAnsi"/>
          <w:color w:val="auto"/>
        </w:rPr>
        <w:t xml:space="preserve"> </w:t>
      </w:r>
      <w:r w:rsidRPr="007679BB">
        <w:rPr>
          <w:rFonts w:asciiTheme="minorHAnsi" w:hAnsiTheme="minorHAnsi" w:cstheme="minorHAnsi"/>
          <w:color w:val="auto"/>
        </w:rPr>
        <w:t xml:space="preserve">Each </w:t>
      </w:r>
      <w:proofErr w:type="spellStart"/>
      <w:r w:rsidRPr="007679BB">
        <w:rPr>
          <w:rFonts w:asciiTheme="minorHAnsi" w:hAnsiTheme="minorHAnsi" w:cstheme="minorHAnsi"/>
          <w:color w:val="auto"/>
        </w:rPr>
        <w:t>qRT</w:t>
      </w:r>
      <w:proofErr w:type="spellEnd"/>
      <w:r w:rsidRPr="007679BB">
        <w:rPr>
          <w:rFonts w:asciiTheme="minorHAnsi" w:hAnsiTheme="minorHAnsi" w:cstheme="minorHAnsi"/>
          <w:color w:val="auto"/>
        </w:rPr>
        <w:t xml:space="preserve">-PCR contains 30 ng of reverse-transcribed RNA and 100 </w:t>
      </w:r>
      <w:proofErr w:type="spellStart"/>
      <w:r w:rsidRPr="007679BB">
        <w:rPr>
          <w:rFonts w:asciiTheme="minorHAnsi" w:hAnsiTheme="minorHAnsi" w:cstheme="minorHAnsi"/>
          <w:color w:val="auto"/>
        </w:rPr>
        <w:t>nM</w:t>
      </w:r>
      <w:proofErr w:type="spellEnd"/>
      <w:r w:rsidRPr="007679BB">
        <w:rPr>
          <w:rFonts w:asciiTheme="minorHAnsi" w:hAnsiTheme="minorHAnsi" w:cstheme="minorHAnsi"/>
          <w:color w:val="auto"/>
        </w:rPr>
        <w:t xml:space="preserve"> of each primer.</w:t>
      </w:r>
    </w:p>
    <w:p w14:paraId="15C48869" w14:textId="77777777" w:rsidR="00733AE7" w:rsidRPr="001220A4" w:rsidRDefault="00733AE7" w:rsidP="0054535F">
      <w:pPr>
        <w:ind w:right="4"/>
        <w:contextualSpacing/>
        <w:rPr>
          <w:rFonts w:asciiTheme="minorHAnsi" w:hAnsiTheme="minorHAnsi" w:cstheme="minorHAnsi"/>
          <w:b/>
          <w:color w:val="auto"/>
        </w:rPr>
      </w:pPr>
    </w:p>
    <w:p w14:paraId="2FB1DA2B" w14:textId="0468EF1F" w:rsidR="00733AE7" w:rsidRPr="001220A4" w:rsidRDefault="00733AE7"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Follow PCR conditions: 50</w:t>
      </w:r>
      <w:r w:rsidR="00F85599">
        <w:rPr>
          <w:rFonts w:asciiTheme="minorHAnsi" w:hAnsiTheme="minorHAnsi" w:cstheme="minorHAnsi"/>
          <w:color w:val="auto"/>
        </w:rPr>
        <w:t xml:space="preserve"> </w:t>
      </w:r>
      <w:r w:rsidRPr="001220A4">
        <w:rPr>
          <w:rFonts w:asciiTheme="minorHAnsi" w:hAnsiTheme="minorHAnsi" w:cstheme="minorHAnsi"/>
          <w:color w:val="auto"/>
        </w:rPr>
        <w:t>°C for 3 minutes (1 cycle); 95</w:t>
      </w:r>
      <w:r w:rsidR="00F85599">
        <w:rPr>
          <w:rFonts w:asciiTheme="minorHAnsi" w:hAnsiTheme="minorHAnsi" w:cstheme="minorHAnsi"/>
          <w:color w:val="auto"/>
        </w:rPr>
        <w:t xml:space="preserve"> </w:t>
      </w:r>
      <w:r w:rsidRPr="001220A4">
        <w:rPr>
          <w:rFonts w:asciiTheme="minorHAnsi" w:hAnsiTheme="minorHAnsi" w:cstheme="minorHAnsi"/>
          <w:color w:val="auto"/>
        </w:rPr>
        <w:t>°C for 5 minutes (1 cycle); 95</w:t>
      </w:r>
      <w:r w:rsidR="00F85599">
        <w:rPr>
          <w:rFonts w:asciiTheme="minorHAnsi" w:hAnsiTheme="minorHAnsi" w:cstheme="minorHAnsi"/>
          <w:color w:val="auto"/>
        </w:rPr>
        <w:t xml:space="preserve"> </w:t>
      </w:r>
      <w:r w:rsidRPr="001220A4">
        <w:rPr>
          <w:rFonts w:asciiTheme="minorHAnsi" w:hAnsiTheme="minorHAnsi" w:cstheme="minorHAnsi"/>
          <w:color w:val="auto"/>
        </w:rPr>
        <w:t>°C for 30 seconds, 59</w:t>
      </w:r>
      <w:r w:rsidR="00F85599">
        <w:rPr>
          <w:rFonts w:asciiTheme="minorHAnsi" w:hAnsiTheme="minorHAnsi" w:cstheme="minorHAnsi"/>
          <w:color w:val="auto"/>
        </w:rPr>
        <w:t xml:space="preserve"> </w:t>
      </w:r>
      <w:r w:rsidRPr="001220A4">
        <w:rPr>
          <w:rFonts w:asciiTheme="minorHAnsi" w:hAnsiTheme="minorHAnsi" w:cstheme="minorHAnsi"/>
          <w:color w:val="auto"/>
        </w:rPr>
        <w:t>°C for 45 seconds and 72</w:t>
      </w:r>
      <w:r w:rsidR="00F85599">
        <w:rPr>
          <w:rFonts w:asciiTheme="minorHAnsi" w:hAnsiTheme="minorHAnsi" w:cstheme="minorHAnsi"/>
          <w:color w:val="auto"/>
        </w:rPr>
        <w:t xml:space="preserve"> </w:t>
      </w:r>
      <w:r w:rsidRPr="001220A4">
        <w:rPr>
          <w:rFonts w:asciiTheme="minorHAnsi" w:hAnsiTheme="minorHAnsi" w:cstheme="minorHAnsi"/>
          <w:color w:val="auto"/>
        </w:rPr>
        <w:t xml:space="preserve">°C for 45 seconds (35 - 40 cycles). </w:t>
      </w:r>
    </w:p>
    <w:p w14:paraId="6162EB19" w14:textId="0A0F8E14" w:rsidR="00FB0773" w:rsidRPr="001220A4" w:rsidRDefault="00FB0773" w:rsidP="0054535F">
      <w:pPr>
        <w:ind w:right="4"/>
        <w:contextualSpacing/>
        <w:rPr>
          <w:rFonts w:asciiTheme="minorHAnsi" w:hAnsiTheme="minorHAnsi" w:cstheme="minorHAnsi"/>
          <w:color w:val="auto"/>
        </w:rPr>
      </w:pPr>
    </w:p>
    <w:p w14:paraId="0EEF3286" w14:textId="034BE17B" w:rsidR="00646C34" w:rsidRPr="007679BB" w:rsidRDefault="00646C34" w:rsidP="0054535F">
      <w:pPr>
        <w:pStyle w:val="ListParagraph"/>
        <w:numPr>
          <w:ilvl w:val="1"/>
          <w:numId w:val="38"/>
        </w:numPr>
        <w:ind w:left="0" w:right="4" w:firstLine="0"/>
        <w:rPr>
          <w:rFonts w:asciiTheme="minorHAnsi" w:hAnsiTheme="minorHAnsi" w:cstheme="minorHAnsi"/>
          <w:bCs/>
          <w:color w:val="auto"/>
        </w:rPr>
      </w:pPr>
      <w:r w:rsidRPr="007679BB">
        <w:rPr>
          <w:rFonts w:asciiTheme="minorHAnsi" w:hAnsiTheme="minorHAnsi" w:cstheme="minorHAnsi"/>
          <w:bCs/>
          <w:color w:val="auto"/>
        </w:rPr>
        <w:t xml:space="preserve"> </w:t>
      </w:r>
      <w:r w:rsidR="00E23ECF" w:rsidRPr="007679BB">
        <w:rPr>
          <w:rFonts w:asciiTheme="minorHAnsi" w:hAnsiTheme="minorHAnsi" w:cstheme="minorHAnsi"/>
          <w:bCs/>
          <w:color w:val="auto"/>
        </w:rPr>
        <w:t>CYP</w:t>
      </w:r>
      <w:r w:rsidRPr="007679BB">
        <w:rPr>
          <w:rFonts w:asciiTheme="minorHAnsi" w:hAnsiTheme="minorHAnsi" w:cstheme="minorHAnsi"/>
          <w:bCs/>
          <w:color w:val="auto"/>
        </w:rPr>
        <w:t xml:space="preserve"> </w:t>
      </w:r>
      <w:r w:rsidR="007679BB">
        <w:rPr>
          <w:rFonts w:asciiTheme="minorHAnsi" w:hAnsiTheme="minorHAnsi" w:cstheme="minorHAnsi"/>
          <w:bCs/>
          <w:color w:val="auto"/>
        </w:rPr>
        <w:t>a</w:t>
      </w:r>
      <w:r w:rsidRPr="007679BB">
        <w:rPr>
          <w:rFonts w:asciiTheme="minorHAnsi" w:hAnsiTheme="minorHAnsi" w:cstheme="minorHAnsi"/>
          <w:bCs/>
          <w:color w:val="auto"/>
        </w:rPr>
        <w:t xml:space="preserve">ssay </w:t>
      </w:r>
    </w:p>
    <w:p w14:paraId="142F47B7" w14:textId="79D89403" w:rsidR="00DD4EEE" w:rsidRPr="001220A4" w:rsidRDefault="00DD4EEE" w:rsidP="0054535F">
      <w:pPr>
        <w:pStyle w:val="ListParagraph"/>
        <w:ind w:left="0" w:right="4"/>
        <w:rPr>
          <w:rFonts w:asciiTheme="minorHAnsi" w:hAnsiTheme="minorHAnsi" w:cstheme="minorHAnsi"/>
          <w:b/>
          <w:color w:val="auto"/>
        </w:rPr>
      </w:pPr>
    </w:p>
    <w:p w14:paraId="6D991C93" w14:textId="5EB0D6BB" w:rsidR="00646C34" w:rsidRDefault="00DD4EEE"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 xml:space="preserve"> </w:t>
      </w:r>
      <w:r w:rsidR="00646C34" w:rsidRPr="001220A4">
        <w:rPr>
          <w:rFonts w:asciiTheme="minorHAnsi" w:hAnsiTheme="minorHAnsi" w:cstheme="minorHAnsi"/>
          <w:color w:val="auto"/>
        </w:rPr>
        <w:t xml:space="preserve">Follow section 2.2 for liver 2-OC assembly. The experimental groups are No-cell control, APAP 2 </w:t>
      </w:r>
      <w:r w:rsidR="008173B3">
        <w:rPr>
          <w:rFonts w:asciiTheme="minorHAnsi" w:hAnsiTheme="minorHAnsi" w:cstheme="minorHAnsi"/>
          <w:color w:val="auto"/>
        </w:rPr>
        <w:t>µ</w:t>
      </w:r>
      <w:r w:rsidR="00646C34" w:rsidRPr="001220A4">
        <w:rPr>
          <w:rFonts w:asciiTheme="minorHAnsi" w:hAnsiTheme="minorHAnsi" w:cstheme="minorHAnsi"/>
          <w:color w:val="auto"/>
        </w:rPr>
        <w:t>M treatments for 12</w:t>
      </w:r>
      <w:r w:rsidR="007679BB">
        <w:rPr>
          <w:rFonts w:asciiTheme="minorHAnsi" w:hAnsiTheme="minorHAnsi" w:cstheme="minorHAnsi"/>
          <w:color w:val="auto"/>
        </w:rPr>
        <w:t xml:space="preserve"> </w:t>
      </w:r>
      <w:r w:rsidR="00646C34" w:rsidRPr="001220A4">
        <w:rPr>
          <w:rFonts w:asciiTheme="minorHAnsi" w:hAnsiTheme="minorHAnsi" w:cstheme="minorHAnsi"/>
          <w:color w:val="auto"/>
        </w:rPr>
        <w:t>h, 24</w:t>
      </w:r>
      <w:r w:rsidR="007679BB">
        <w:rPr>
          <w:rFonts w:asciiTheme="minorHAnsi" w:hAnsiTheme="minorHAnsi" w:cstheme="minorHAnsi"/>
          <w:color w:val="auto"/>
        </w:rPr>
        <w:t xml:space="preserve"> </w:t>
      </w:r>
      <w:r w:rsidR="00646C34" w:rsidRPr="001220A4">
        <w:rPr>
          <w:rFonts w:asciiTheme="minorHAnsi" w:hAnsiTheme="minorHAnsi" w:cstheme="minorHAnsi"/>
          <w:color w:val="auto"/>
        </w:rPr>
        <w:t>h</w:t>
      </w:r>
      <w:r w:rsidR="002B467C" w:rsidRPr="001220A4">
        <w:rPr>
          <w:rFonts w:asciiTheme="minorHAnsi" w:hAnsiTheme="minorHAnsi" w:cstheme="minorHAnsi"/>
          <w:color w:val="auto"/>
        </w:rPr>
        <w:t>,</w:t>
      </w:r>
      <w:r w:rsidR="00646C34" w:rsidRPr="001220A4">
        <w:rPr>
          <w:rFonts w:asciiTheme="minorHAnsi" w:hAnsiTheme="minorHAnsi" w:cstheme="minorHAnsi"/>
          <w:color w:val="auto"/>
        </w:rPr>
        <w:t xml:space="preserve"> and vehicle control.</w:t>
      </w:r>
      <w:r w:rsidR="00227E71" w:rsidRPr="001220A4">
        <w:rPr>
          <w:rFonts w:asciiTheme="minorHAnsi" w:hAnsiTheme="minorHAnsi" w:cstheme="minorHAnsi"/>
          <w:color w:val="auto"/>
        </w:rPr>
        <w:t xml:space="preserve"> </w:t>
      </w:r>
      <w:r w:rsidR="00646C34" w:rsidRPr="001220A4">
        <w:rPr>
          <w:rFonts w:asciiTheme="minorHAnsi" w:hAnsiTheme="minorHAnsi" w:cstheme="minorHAnsi"/>
          <w:color w:val="auto"/>
        </w:rPr>
        <w:t>Follow sections 3.3 and 4.2 for APAP 2 µM preparation and treatment.</w:t>
      </w:r>
    </w:p>
    <w:p w14:paraId="536E612A" w14:textId="77777777" w:rsidR="007679BB" w:rsidRPr="001220A4" w:rsidRDefault="007679BB" w:rsidP="0054535F">
      <w:pPr>
        <w:pStyle w:val="ListParagraph"/>
        <w:ind w:left="0" w:right="4"/>
        <w:rPr>
          <w:rFonts w:asciiTheme="minorHAnsi" w:hAnsiTheme="minorHAnsi" w:cstheme="minorHAnsi"/>
          <w:color w:val="auto"/>
        </w:rPr>
      </w:pPr>
    </w:p>
    <w:p w14:paraId="25EA2299" w14:textId="02C2F735" w:rsidR="00646C34" w:rsidRPr="001220A4" w:rsidRDefault="00646C34"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 xml:space="preserve">NOTE: To ensure that all the samples will be ready at the same time for </w:t>
      </w:r>
      <w:r w:rsidR="00E23ECF" w:rsidRPr="001220A4">
        <w:rPr>
          <w:rFonts w:asciiTheme="minorHAnsi" w:hAnsiTheme="minorHAnsi" w:cstheme="minorHAnsi"/>
          <w:color w:val="auto"/>
        </w:rPr>
        <w:t>CYP</w:t>
      </w:r>
      <w:r w:rsidRPr="001220A4">
        <w:rPr>
          <w:rFonts w:asciiTheme="minorHAnsi" w:hAnsiTheme="minorHAnsi" w:cstheme="minorHAnsi"/>
          <w:color w:val="auto"/>
        </w:rPr>
        <w:t xml:space="preserve"> assay, start the 12</w:t>
      </w:r>
      <w:r w:rsidR="002847C7">
        <w:rPr>
          <w:rFonts w:asciiTheme="minorHAnsi" w:hAnsiTheme="minorHAnsi" w:cstheme="minorHAnsi"/>
          <w:color w:val="auto"/>
        </w:rPr>
        <w:t xml:space="preserve"> </w:t>
      </w:r>
      <w:r w:rsidRPr="001220A4">
        <w:rPr>
          <w:rFonts w:asciiTheme="minorHAnsi" w:hAnsiTheme="minorHAnsi" w:cstheme="minorHAnsi"/>
          <w:color w:val="auto"/>
        </w:rPr>
        <w:t xml:space="preserve">h treatment 12 hours after starting </w:t>
      </w:r>
      <w:r w:rsidR="002847C7">
        <w:rPr>
          <w:rFonts w:asciiTheme="minorHAnsi" w:hAnsiTheme="minorHAnsi" w:cstheme="minorHAnsi"/>
          <w:color w:val="auto"/>
        </w:rPr>
        <w:t xml:space="preserve">the </w:t>
      </w:r>
      <w:r w:rsidRPr="001220A4">
        <w:rPr>
          <w:rFonts w:asciiTheme="minorHAnsi" w:hAnsiTheme="minorHAnsi" w:cstheme="minorHAnsi"/>
          <w:color w:val="auto"/>
        </w:rPr>
        <w:t>24</w:t>
      </w:r>
      <w:r w:rsidR="002847C7">
        <w:rPr>
          <w:rFonts w:asciiTheme="minorHAnsi" w:hAnsiTheme="minorHAnsi" w:cstheme="minorHAnsi"/>
          <w:color w:val="auto"/>
        </w:rPr>
        <w:t xml:space="preserve"> </w:t>
      </w:r>
      <w:r w:rsidRPr="001220A4">
        <w:rPr>
          <w:rFonts w:asciiTheme="minorHAnsi" w:hAnsiTheme="minorHAnsi" w:cstheme="minorHAnsi"/>
          <w:color w:val="auto"/>
        </w:rPr>
        <w:t xml:space="preserve">h treatment. Treat </w:t>
      </w:r>
      <w:r w:rsidR="002847C7">
        <w:rPr>
          <w:rFonts w:asciiTheme="minorHAnsi" w:hAnsiTheme="minorHAnsi" w:cstheme="minorHAnsi"/>
          <w:color w:val="auto"/>
        </w:rPr>
        <w:t xml:space="preserve">the </w:t>
      </w:r>
      <w:r w:rsidRPr="001220A4">
        <w:rPr>
          <w:rFonts w:asciiTheme="minorHAnsi" w:hAnsiTheme="minorHAnsi" w:cstheme="minorHAnsi"/>
          <w:color w:val="auto"/>
        </w:rPr>
        <w:t xml:space="preserve">no-cell control of </w:t>
      </w:r>
      <w:r w:rsidR="00E23ECF" w:rsidRPr="001220A4">
        <w:rPr>
          <w:rFonts w:asciiTheme="minorHAnsi" w:hAnsiTheme="minorHAnsi" w:cstheme="minorHAnsi"/>
          <w:color w:val="auto"/>
        </w:rPr>
        <w:t>CYP</w:t>
      </w:r>
      <w:r w:rsidRPr="001220A4">
        <w:rPr>
          <w:rFonts w:asciiTheme="minorHAnsi" w:hAnsiTheme="minorHAnsi" w:cstheme="minorHAnsi"/>
          <w:color w:val="auto"/>
        </w:rPr>
        <w:t xml:space="preserve"> activity </w:t>
      </w:r>
      <w:r w:rsidRPr="001220A4">
        <w:rPr>
          <w:rFonts w:asciiTheme="minorHAnsi" w:hAnsiTheme="minorHAnsi" w:cstheme="minorHAnsi"/>
          <w:color w:val="auto"/>
        </w:rPr>
        <w:lastRenderedPageBreak/>
        <w:t>with 0</w:t>
      </w:r>
      <w:r w:rsidR="002847C7">
        <w:rPr>
          <w:rFonts w:asciiTheme="minorHAnsi" w:hAnsiTheme="minorHAnsi" w:cstheme="minorHAnsi"/>
          <w:color w:val="auto"/>
        </w:rPr>
        <w:t>.</w:t>
      </w:r>
      <w:r w:rsidRPr="001220A4">
        <w:rPr>
          <w:rFonts w:asciiTheme="minorHAnsi" w:hAnsiTheme="minorHAnsi" w:cstheme="minorHAnsi"/>
          <w:color w:val="auto"/>
        </w:rPr>
        <w:t xml:space="preserve">5% ethanol solution, as well as </w:t>
      </w:r>
      <w:r w:rsidR="002847C7">
        <w:rPr>
          <w:rFonts w:asciiTheme="minorHAnsi" w:hAnsiTheme="minorHAnsi" w:cstheme="minorHAnsi"/>
          <w:color w:val="auto"/>
        </w:rPr>
        <w:t xml:space="preserve">the </w:t>
      </w:r>
      <w:r w:rsidRPr="001220A4">
        <w:rPr>
          <w:rFonts w:asciiTheme="minorHAnsi" w:hAnsiTheme="minorHAnsi" w:cstheme="minorHAnsi"/>
          <w:color w:val="auto"/>
        </w:rPr>
        <w:t>vehicle control.</w:t>
      </w:r>
    </w:p>
    <w:p w14:paraId="223E1057" w14:textId="77777777" w:rsidR="00646C34" w:rsidRPr="001220A4" w:rsidRDefault="00646C34" w:rsidP="0054535F">
      <w:pPr>
        <w:pStyle w:val="ListParagraph"/>
        <w:ind w:left="0" w:right="4"/>
        <w:rPr>
          <w:rFonts w:asciiTheme="minorHAnsi" w:hAnsiTheme="minorHAnsi" w:cstheme="minorHAnsi"/>
          <w:color w:val="auto"/>
        </w:rPr>
      </w:pPr>
    </w:p>
    <w:p w14:paraId="42059B65" w14:textId="44CA03A3" w:rsidR="00646C34" w:rsidRPr="001220A4" w:rsidRDefault="00646C34"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6.</w:t>
      </w:r>
      <w:r w:rsidR="0058458C" w:rsidRPr="001220A4">
        <w:rPr>
          <w:rFonts w:asciiTheme="minorHAnsi" w:hAnsiTheme="minorHAnsi" w:cstheme="minorHAnsi"/>
          <w:color w:val="auto"/>
        </w:rPr>
        <w:t>6</w:t>
      </w:r>
      <w:r w:rsidRPr="001220A4">
        <w:rPr>
          <w:rFonts w:asciiTheme="minorHAnsi" w:hAnsiTheme="minorHAnsi" w:cstheme="minorHAnsi"/>
          <w:color w:val="auto"/>
        </w:rPr>
        <w:t>.</w:t>
      </w:r>
      <w:r w:rsidR="0058458C" w:rsidRPr="001220A4">
        <w:rPr>
          <w:rFonts w:asciiTheme="minorHAnsi" w:hAnsiTheme="minorHAnsi" w:cstheme="minorHAnsi"/>
          <w:color w:val="auto"/>
        </w:rPr>
        <w:t>2</w:t>
      </w:r>
      <w:r w:rsidRPr="001220A4">
        <w:rPr>
          <w:rFonts w:asciiTheme="minorHAnsi" w:hAnsiTheme="minorHAnsi" w:cstheme="minorHAnsi"/>
          <w:color w:val="auto"/>
        </w:rPr>
        <w:t>. Thaw 3 mM luminogenic substrate stock solution at room temperature and make a 1:1000 dilution in William’s E</w:t>
      </w:r>
      <w:r w:rsidR="00F44550" w:rsidRPr="001220A4">
        <w:rPr>
          <w:rFonts w:asciiTheme="minorHAnsi" w:hAnsiTheme="minorHAnsi" w:cstheme="minorHAnsi"/>
          <w:color w:val="auto"/>
        </w:rPr>
        <w:t xml:space="preserve"> S</w:t>
      </w:r>
      <w:r w:rsidRPr="001220A4">
        <w:rPr>
          <w:rFonts w:asciiTheme="minorHAnsi" w:hAnsiTheme="minorHAnsi" w:cstheme="minorHAnsi"/>
          <w:color w:val="auto"/>
        </w:rPr>
        <w:t>. Protect from light.</w:t>
      </w:r>
    </w:p>
    <w:p w14:paraId="6C273799" w14:textId="77777777" w:rsidR="00646C34" w:rsidRPr="001220A4" w:rsidRDefault="00646C34" w:rsidP="0054535F">
      <w:pPr>
        <w:pStyle w:val="ListParagraph"/>
        <w:ind w:left="0" w:right="4"/>
        <w:rPr>
          <w:rFonts w:asciiTheme="minorHAnsi" w:hAnsiTheme="minorHAnsi" w:cstheme="minorHAnsi"/>
          <w:color w:val="auto"/>
        </w:rPr>
      </w:pPr>
    </w:p>
    <w:p w14:paraId="378CD47B" w14:textId="0876A7E3" w:rsidR="00646C34" w:rsidRPr="001220A4" w:rsidRDefault="00646C34"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6.</w:t>
      </w:r>
      <w:r w:rsidR="0058458C" w:rsidRPr="001220A4">
        <w:rPr>
          <w:rFonts w:asciiTheme="minorHAnsi" w:hAnsiTheme="minorHAnsi" w:cstheme="minorHAnsi"/>
          <w:color w:val="auto"/>
        </w:rPr>
        <w:t>6</w:t>
      </w:r>
      <w:r w:rsidRPr="001220A4">
        <w:rPr>
          <w:rFonts w:asciiTheme="minorHAnsi" w:hAnsiTheme="minorHAnsi" w:cstheme="minorHAnsi"/>
          <w:color w:val="auto"/>
        </w:rPr>
        <w:t>.</w:t>
      </w:r>
      <w:r w:rsidR="0058458C" w:rsidRPr="001220A4">
        <w:rPr>
          <w:rFonts w:asciiTheme="minorHAnsi" w:hAnsiTheme="minorHAnsi" w:cstheme="minorHAnsi"/>
          <w:color w:val="auto"/>
        </w:rPr>
        <w:t>3</w:t>
      </w:r>
      <w:r w:rsidRPr="001220A4">
        <w:rPr>
          <w:rFonts w:asciiTheme="minorHAnsi" w:hAnsiTheme="minorHAnsi" w:cstheme="minorHAnsi"/>
          <w:color w:val="auto"/>
        </w:rPr>
        <w:t xml:space="preserve">. Collect spheroids and transfer each experimental group to a well of a 96-well plate. Remove the medium, wash twice with 100 </w:t>
      </w:r>
      <w:r w:rsidR="008173B3">
        <w:rPr>
          <w:rFonts w:asciiTheme="minorHAnsi" w:hAnsiTheme="minorHAnsi" w:cstheme="minorHAnsi"/>
          <w:color w:val="auto"/>
        </w:rPr>
        <w:t>µ</w:t>
      </w:r>
      <w:r w:rsidRPr="001220A4">
        <w:rPr>
          <w:rFonts w:asciiTheme="minorHAnsi" w:hAnsiTheme="minorHAnsi" w:cstheme="minorHAnsi"/>
          <w:color w:val="auto"/>
        </w:rPr>
        <w:t xml:space="preserve">L </w:t>
      </w:r>
      <w:r w:rsidR="002847C7">
        <w:rPr>
          <w:rFonts w:asciiTheme="minorHAnsi" w:hAnsiTheme="minorHAnsi" w:cstheme="minorHAnsi"/>
          <w:color w:val="auto"/>
        </w:rPr>
        <w:t xml:space="preserve">of </w:t>
      </w:r>
      <w:r w:rsidRPr="001220A4">
        <w:rPr>
          <w:rFonts w:asciiTheme="minorHAnsi" w:hAnsiTheme="minorHAnsi" w:cstheme="minorHAnsi"/>
          <w:color w:val="auto"/>
        </w:rPr>
        <w:t xml:space="preserve">1x DPBS and add 80 </w:t>
      </w:r>
      <w:r w:rsidR="008173B3">
        <w:rPr>
          <w:rFonts w:asciiTheme="minorHAnsi" w:hAnsiTheme="minorHAnsi" w:cstheme="minorHAnsi"/>
          <w:color w:val="auto"/>
        </w:rPr>
        <w:t>µ</w:t>
      </w:r>
      <w:r w:rsidRPr="001220A4">
        <w:rPr>
          <w:rFonts w:asciiTheme="minorHAnsi" w:hAnsiTheme="minorHAnsi" w:cstheme="minorHAnsi"/>
          <w:color w:val="auto"/>
        </w:rPr>
        <w:t xml:space="preserve">L of 3 </w:t>
      </w:r>
      <w:r w:rsidR="008173B3">
        <w:rPr>
          <w:rFonts w:asciiTheme="minorHAnsi" w:hAnsiTheme="minorHAnsi" w:cstheme="minorHAnsi"/>
          <w:color w:val="auto"/>
        </w:rPr>
        <w:t>µ</w:t>
      </w:r>
      <w:r w:rsidRPr="001220A4">
        <w:rPr>
          <w:rFonts w:asciiTheme="minorHAnsi" w:hAnsiTheme="minorHAnsi" w:cstheme="minorHAnsi"/>
          <w:color w:val="auto"/>
        </w:rPr>
        <w:t xml:space="preserve">M substrate solution per well. Keep </w:t>
      </w:r>
      <w:r w:rsidR="002847C7">
        <w:rPr>
          <w:rFonts w:asciiTheme="minorHAnsi" w:hAnsiTheme="minorHAnsi" w:cstheme="minorHAnsi"/>
          <w:color w:val="auto"/>
        </w:rPr>
        <w:t xml:space="preserve">the </w:t>
      </w:r>
      <w:r w:rsidRPr="001220A4">
        <w:rPr>
          <w:rFonts w:asciiTheme="minorHAnsi" w:hAnsiTheme="minorHAnsi" w:cstheme="minorHAnsi"/>
          <w:color w:val="auto"/>
        </w:rPr>
        <w:t>no-cell control in William’s E</w:t>
      </w:r>
      <w:r w:rsidR="00F44550" w:rsidRPr="001220A4">
        <w:rPr>
          <w:rFonts w:asciiTheme="minorHAnsi" w:hAnsiTheme="minorHAnsi" w:cstheme="minorHAnsi"/>
          <w:color w:val="auto"/>
        </w:rPr>
        <w:t xml:space="preserve"> S</w:t>
      </w:r>
      <w:r w:rsidRPr="001220A4">
        <w:rPr>
          <w:rFonts w:asciiTheme="minorHAnsi" w:hAnsiTheme="minorHAnsi" w:cstheme="minorHAnsi"/>
          <w:color w:val="auto"/>
        </w:rPr>
        <w:t xml:space="preserve"> medium. Save a well without spheroids or substrate solution for </w:t>
      </w:r>
      <w:r w:rsidR="002847C7">
        <w:rPr>
          <w:rFonts w:asciiTheme="minorHAnsi" w:hAnsiTheme="minorHAnsi" w:cstheme="minorHAnsi"/>
          <w:color w:val="auto"/>
        </w:rPr>
        <w:t xml:space="preserve">a </w:t>
      </w:r>
      <w:r w:rsidRPr="001220A4">
        <w:rPr>
          <w:rFonts w:asciiTheme="minorHAnsi" w:hAnsiTheme="minorHAnsi" w:cstheme="minorHAnsi"/>
          <w:color w:val="auto"/>
        </w:rPr>
        <w:t>background control. Incubate for 30-60 min at 37 °C with 5% CO</w:t>
      </w:r>
      <w:r w:rsidRPr="002847C7">
        <w:rPr>
          <w:rFonts w:asciiTheme="minorHAnsi" w:hAnsiTheme="minorHAnsi" w:cstheme="minorHAnsi"/>
          <w:color w:val="auto"/>
          <w:vertAlign w:val="subscript"/>
        </w:rPr>
        <w:t>2</w:t>
      </w:r>
      <w:r w:rsidRPr="001220A4">
        <w:rPr>
          <w:rFonts w:asciiTheme="minorHAnsi" w:hAnsiTheme="minorHAnsi" w:cstheme="minorHAnsi"/>
          <w:color w:val="auto"/>
        </w:rPr>
        <w:t xml:space="preserve">, protected from light. </w:t>
      </w:r>
    </w:p>
    <w:p w14:paraId="30C03BBD" w14:textId="77777777" w:rsidR="00646C34" w:rsidRPr="001220A4" w:rsidRDefault="00646C34" w:rsidP="0054535F">
      <w:pPr>
        <w:pStyle w:val="ListParagraph"/>
        <w:ind w:left="0" w:right="4"/>
        <w:rPr>
          <w:rFonts w:asciiTheme="minorHAnsi" w:hAnsiTheme="minorHAnsi" w:cstheme="minorHAnsi"/>
          <w:color w:val="auto"/>
        </w:rPr>
      </w:pPr>
    </w:p>
    <w:p w14:paraId="59C09F52" w14:textId="16BA1EE6" w:rsidR="00646C34" w:rsidRPr="001220A4" w:rsidRDefault="00646C34"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6.</w:t>
      </w:r>
      <w:r w:rsidR="0058458C" w:rsidRPr="001220A4">
        <w:rPr>
          <w:rFonts w:asciiTheme="minorHAnsi" w:hAnsiTheme="minorHAnsi" w:cstheme="minorHAnsi"/>
          <w:color w:val="auto"/>
        </w:rPr>
        <w:t>6</w:t>
      </w:r>
      <w:r w:rsidRPr="001220A4">
        <w:rPr>
          <w:rFonts w:asciiTheme="minorHAnsi" w:hAnsiTheme="minorHAnsi" w:cstheme="minorHAnsi"/>
          <w:color w:val="auto"/>
        </w:rPr>
        <w:t>.</w:t>
      </w:r>
      <w:r w:rsidR="0058458C" w:rsidRPr="001220A4">
        <w:rPr>
          <w:rFonts w:asciiTheme="minorHAnsi" w:hAnsiTheme="minorHAnsi" w:cstheme="minorHAnsi"/>
          <w:color w:val="auto"/>
        </w:rPr>
        <w:t>4</w:t>
      </w:r>
      <w:r w:rsidRPr="001220A4">
        <w:rPr>
          <w:rFonts w:asciiTheme="minorHAnsi" w:hAnsiTheme="minorHAnsi" w:cstheme="minorHAnsi"/>
          <w:color w:val="auto"/>
        </w:rPr>
        <w:t>. Equilibrate lyophilized Luciferin Detection Reagent (LDR) using the Reconstitution Buffer with esterase. Mix by swirling or inverting. Store the appropriated volume at room temperature until the next step.</w:t>
      </w:r>
    </w:p>
    <w:p w14:paraId="5EA377A8" w14:textId="77777777" w:rsidR="007679BB" w:rsidRDefault="007679BB" w:rsidP="0054535F">
      <w:pPr>
        <w:pStyle w:val="ListParagraph"/>
        <w:ind w:left="0" w:right="4"/>
        <w:rPr>
          <w:rFonts w:asciiTheme="minorHAnsi" w:hAnsiTheme="minorHAnsi" w:cstheme="minorHAnsi"/>
          <w:color w:val="auto"/>
        </w:rPr>
      </w:pPr>
    </w:p>
    <w:p w14:paraId="4DACE893" w14:textId="51593404" w:rsidR="00646C34" w:rsidRPr="001220A4" w:rsidRDefault="00646C34"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NOTE: Reconstituted LDR can be stored at room temperature for 24 hours or at 4</w:t>
      </w:r>
      <w:r w:rsidR="002847C7">
        <w:rPr>
          <w:rFonts w:asciiTheme="minorHAnsi" w:hAnsiTheme="minorHAnsi" w:cstheme="minorHAnsi"/>
          <w:color w:val="auto"/>
        </w:rPr>
        <w:t xml:space="preserve"> </w:t>
      </w:r>
      <w:r w:rsidRPr="001220A4">
        <w:rPr>
          <w:rFonts w:asciiTheme="minorHAnsi" w:hAnsiTheme="minorHAnsi" w:cstheme="minorHAnsi"/>
          <w:color w:val="auto"/>
        </w:rPr>
        <w:t>°C for 1 week without loss of activity. For long-term storage, store at –20</w:t>
      </w:r>
      <w:r w:rsidR="002847C7">
        <w:rPr>
          <w:rFonts w:asciiTheme="minorHAnsi" w:hAnsiTheme="minorHAnsi" w:cstheme="minorHAnsi"/>
          <w:color w:val="auto"/>
        </w:rPr>
        <w:t xml:space="preserve"> </w:t>
      </w:r>
      <w:r w:rsidRPr="001220A4">
        <w:rPr>
          <w:rFonts w:asciiTheme="minorHAnsi" w:hAnsiTheme="minorHAnsi" w:cstheme="minorHAnsi"/>
          <w:color w:val="auto"/>
        </w:rPr>
        <w:t xml:space="preserve">°C. </w:t>
      </w:r>
    </w:p>
    <w:p w14:paraId="7D633CCB" w14:textId="77777777" w:rsidR="00646C34" w:rsidRPr="001220A4" w:rsidRDefault="00646C34" w:rsidP="0054535F">
      <w:pPr>
        <w:pStyle w:val="ListParagraph"/>
        <w:ind w:left="0" w:right="4"/>
        <w:rPr>
          <w:rFonts w:asciiTheme="minorHAnsi" w:hAnsiTheme="minorHAnsi" w:cstheme="minorHAnsi"/>
          <w:color w:val="auto"/>
        </w:rPr>
      </w:pPr>
    </w:p>
    <w:p w14:paraId="63203F70" w14:textId="20B6FA86" w:rsidR="00646C34" w:rsidRPr="001220A4" w:rsidRDefault="00646C34"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6.</w:t>
      </w:r>
      <w:r w:rsidR="0058458C" w:rsidRPr="001220A4">
        <w:rPr>
          <w:rFonts w:asciiTheme="minorHAnsi" w:hAnsiTheme="minorHAnsi" w:cstheme="minorHAnsi"/>
          <w:color w:val="auto"/>
        </w:rPr>
        <w:t>6</w:t>
      </w:r>
      <w:r w:rsidRPr="001220A4">
        <w:rPr>
          <w:rFonts w:asciiTheme="minorHAnsi" w:hAnsiTheme="minorHAnsi" w:cstheme="minorHAnsi"/>
          <w:color w:val="auto"/>
        </w:rPr>
        <w:t>.</w:t>
      </w:r>
      <w:r w:rsidR="0058458C" w:rsidRPr="001220A4">
        <w:rPr>
          <w:rFonts w:asciiTheme="minorHAnsi" w:hAnsiTheme="minorHAnsi" w:cstheme="minorHAnsi"/>
          <w:color w:val="auto"/>
        </w:rPr>
        <w:t>5</w:t>
      </w:r>
      <w:r w:rsidRPr="001220A4">
        <w:rPr>
          <w:rFonts w:asciiTheme="minorHAnsi" w:hAnsiTheme="minorHAnsi" w:cstheme="minorHAnsi"/>
          <w:color w:val="auto"/>
        </w:rPr>
        <w:t xml:space="preserve">. </w:t>
      </w:r>
      <w:r w:rsidR="0058458C" w:rsidRPr="001220A4">
        <w:rPr>
          <w:rFonts w:asciiTheme="minorHAnsi" w:hAnsiTheme="minorHAnsi" w:cstheme="minorHAnsi"/>
          <w:color w:val="auto"/>
        </w:rPr>
        <w:t xml:space="preserve">Transfer 25 </w:t>
      </w:r>
      <w:r w:rsidR="008173B3">
        <w:rPr>
          <w:rFonts w:asciiTheme="minorHAnsi" w:hAnsiTheme="minorHAnsi" w:cstheme="minorHAnsi"/>
          <w:color w:val="auto"/>
        </w:rPr>
        <w:t>µ</w:t>
      </w:r>
      <w:r w:rsidR="0058458C" w:rsidRPr="001220A4">
        <w:rPr>
          <w:rFonts w:asciiTheme="minorHAnsi" w:hAnsiTheme="minorHAnsi" w:cstheme="minorHAnsi"/>
          <w:color w:val="auto"/>
        </w:rPr>
        <w:t xml:space="preserve">L of intact spheroids’ supernatant in three different wells of a </w:t>
      </w:r>
      <w:r w:rsidR="002847C7" w:rsidRPr="001220A4">
        <w:rPr>
          <w:rFonts w:asciiTheme="minorHAnsi" w:hAnsiTheme="minorHAnsi" w:cstheme="minorHAnsi"/>
          <w:color w:val="auto"/>
        </w:rPr>
        <w:t>white opaque 96-well microplate</w:t>
      </w:r>
      <w:r w:rsidR="0058458C" w:rsidRPr="001220A4">
        <w:rPr>
          <w:rFonts w:asciiTheme="minorHAnsi" w:hAnsiTheme="minorHAnsi" w:cstheme="minorHAnsi"/>
          <w:color w:val="auto"/>
        </w:rPr>
        <w:t>, a</w:t>
      </w:r>
      <w:r w:rsidRPr="001220A4">
        <w:rPr>
          <w:rFonts w:asciiTheme="minorHAnsi" w:hAnsiTheme="minorHAnsi" w:cstheme="minorHAnsi"/>
          <w:color w:val="auto"/>
        </w:rPr>
        <w:t>fter incubation</w:t>
      </w:r>
      <w:r w:rsidR="0058458C" w:rsidRPr="001220A4">
        <w:rPr>
          <w:rFonts w:asciiTheme="minorHAnsi" w:hAnsiTheme="minorHAnsi" w:cstheme="minorHAnsi"/>
          <w:color w:val="auto"/>
        </w:rPr>
        <w:t>.</w:t>
      </w:r>
      <w:r w:rsidRPr="001220A4">
        <w:rPr>
          <w:rFonts w:asciiTheme="minorHAnsi" w:hAnsiTheme="minorHAnsi" w:cstheme="minorHAnsi"/>
          <w:color w:val="auto"/>
        </w:rPr>
        <w:t xml:space="preserve"> Add 25 </w:t>
      </w:r>
      <w:r w:rsidR="008173B3">
        <w:rPr>
          <w:rFonts w:asciiTheme="minorHAnsi" w:hAnsiTheme="minorHAnsi" w:cstheme="minorHAnsi"/>
          <w:color w:val="auto"/>
        </w:rPr>
        <w:t>µ</w:t>
      </w:r>
      <w:r w:rsidRPr="001220A4">
        <w:rPr>
          <w:rFonts w:asciiTheme="minorHAnsi" w:hAnsiTheme="minorHAnsi" w:cstheme="minorHAnsi"/>
          <w:color w:val="auto"/>
        </w:rPr>
        <w:t xml:space="preserve">L of LDR per well and homogenize. </w:t>
      </w:r>
    </w:p>
    <w:p w14:paraId="672EAA17" w14:textId="77777777" w:rsidR="00646C34" w:rsidRPr="001220A4" w:rsidRDefault="00646C34" w:rsidP="0054535F">
      <w:pPr>
        <w:pStyle w:val="ListParagraph"/>
        <w:ind w:left="0" w:right="4"/>
        <w:rPr>
          <w:rFonts w:asciiTheme="minorHAnsi" w:hAnsiTheme="minorHAnsi" w:cstheme="minorHAnsi"/>
          <w:color w:val="auto"/>
        </w:rPr>
      </w:pPr>
    </w:p>
    <w:p w14:paraId="04401E9C" w14:textId="428C98F3" w:rsidR="00646C34" w:rsidRPr="001220A4" w:rsidRDefault="00646C34"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6.</w:t>
      </w:r>
      <w:r w:rsidR="0058458C" w:rsidRPr="001220A4">
        <w:rPr>
          <w:rFonts w:asciiTheme="minorHAnsi" w:hAnsiTheme="minorHAnsi" w:cstheme="minorHAnsi"/>
          <w:color w:val="auto"/>
        </w:rPr>
        <w:t>6</w:t>
      </w:r>
      <w:r w:rsidRPr="001220A4">
        <w:rPr>
          <w:rFonts w:asciiTheme="minorHAnsi" w:hAnsiTheme="minorHAnsi" w:cstheme="minorHAnsi"/>
          <w:color w:val="auto"/>
        </w:rPr>
        <w:t>.</w:t>
      </w:r>
      <w:r w:rsidR="0058458C" w:rsidRPr="001220A4">
        <w:rPr>
          <w:rFonts w:asciiTheme="minorHAnsi" w:hAnsiTheme="minorHAnsi" w:cstheme="minorHAnsi"/>
          <w:color w:val="auto"/>
        </w:rPr>
        <w:t>6</w:t>
      </w:r>
      <w:r w:rsidRPr="001220A4">
        <w:rPr>
          <w:rFonts w:asciiTheme="minorHAnsi" w:hAnsiTheme="minorHAnsi" w:cstheme="minorHAnsi"/>
          <w:color w:val="auto"/>
        </w:rPr>
        <w:t xml:space="preserve">. Incubate the </w:t>
      </w:r>
      <w:r w:rsidR="002847C7">
        <w:rPr>
          <w:rFonts w:asciiTheme="minorHAnsi" w:hAnsiTheme="minorHAnsi" w:cstheme="minorHAnsi"/>
          <w:color w:val="auto"/>
        </w:rPr>
        <w:t>w</w:t>
      </w:r>
      <w:r w:rsidRPr="001220A4">
        <w:rPr>
          <w:rFonts w:asciiTheme="minorHAnsi" w:hAnsiTheme="minorHAnsi" w:cstheme="minorHAnsi"/>
          <w:color w:val="auto"/>
        </w:rPr>
        <w:t>hite plate at room temperature for 20 minutes. Read the luminescence on a luminometer. Do not use a fluorometer.</w:t>
      </w:r>
    </w:p>
    <w:p w14:paraId="2AE2E984" w14:textId="77777777" w:rsidR="00646C34" w:rsidRPr="001220A4" w:rsidRDefault="00646C34" w:rsidP="0054535F">
      <w:pPr>
        <w:pStyle w:val="ListParagraph"/>
        <w:ind w:left="0" w:right="4"/>
        <w:rPr>
          <w:rFonts w:asciiTheme="minorHAnsi" w:hAnsiTheme="minorHAnsi" w:cstheme="minorHAnsi"/>
          <w:color w:val="auto"/>
        </w:rPr>
      </w:pPr>
    </w:p>
    <w:p w14:paraId="5E25322F" w14:textId="144DFB95" w:rsidR="00646C34" w:rsidRPr="001220A4" w:rsidRDefault="00646C34"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6.</w:t>
      </w:r>
      <w:r w:rsidR="0058458C" w:rsidRPr="001220A4">
        <w:rPr>
          <w:rFonts w:asciiTheme="minorHAnsi" w:hAnsiTheme="minorHAnsi" w:cstheme="minorHAnsi"/>
          <w:color w:val="auto"/>
        </w:rPr>
        <w:t>6</w:t>
      </w:r>
      <w:r w:rsidRPr="001220A4">
        <w:rPr>
          <w:rFonts w:asciiTheme="minorHAnsi" w:hAnsiTheme="minorHAnsi" w:cstheme="minorHAnsi"/>
          <w:color w:val="auto"/>
        </w:rPr>
        <w:t>.</w:t>
      </w:r>
      <w:r w:rsidR="0058458C" w:rsidRPr="001220A4">
        <w:rPr>
          <w:rFonts w:asciiTheme="minorHAnsi" w:hAnsiTheme="minorHAnsi" w:cstheme="minorHAnsi"/>
          <w:color w:val="auto"/>
        </w:rPr>
        <w:t>7</w:t>
      </w:r>
      <w:r w:rsidRPr="001220A4">
        <w:rPr>
          <w:rFonts w:asciiTheme="minorHAnsi" w:hAnsiTheme="minorHAnsi" w:cstheme="minorHAnsi"/>
          <w:color w:val="auto"/>
        </w:rPr>
        <w:t xml:space="preserve">. Calculate net signals by subtracting background luminescence values (no-cell control) from </w:t>
      </w:r>
      <w:r w:rsidR="002847C7">
        <w:rPr>
          <w:rFonts w:asciiTheme="minorHAnsi" w:hAnsiTheme="minorHAnsi" w:cstheme="minorHAnsi"/>
          <w:color w:val="auto"/>
        </w:rPr>
        <w:t xml:space="preserve">the </w:t>
      </w:r>
      <w:r w:rsidRPr="001220A4">
        <w:rPr>
          <w:rFonts w:asciiTheme="minorHAnsi" w:hAnsiTheme="minorHAnsi" w:cstheme="minorHAnsi"/>
          <w:color w:val="auto"/>
        </w:rPr>
        <w:t xml:space="preserve">test compound-treated and untreated (vehicle control) values. Calculate percent change of </w:t>
      </w:r>
      <w:r w:rsidR="00E23ECF" w:rsidRPr="001220A4">
        <w:rPr>
          <w:rFonts w:asciiTheme="minorHAnsi" w:hAnsiTheme="minorHAnsi" w:cstheme="minorHAnsi"/>
          <w:color w:val="auto"/>
        </w:rPr>
        <w:t>CYP</w:t>
      </w:r>
      <w:r w:rsidRPr="001220A4">
        <w:rPr>
          <w:rFonts w:asciiTheme="minorHAnsi" w:hAnsiTheme="minorHAnsi" w:cstheme="minorHAnsi"/>
          <w:color w:val="auto"/>
        </w:rPr>
        <w:t xml:space="preserve">3A4 activity by dividing </w:t>
      </w:r>
      <w:r w:rsidR="002847C7">
        <w:rPr>
          <w:rFonts w:asciiTheme="minorHAnsi" w:hAnsiTheme="minorHAnsi" w:cstheme="minorHAnsi"/>
          <w:color w:val="auto"/>
        </w:rPr>
        <w:t xml:space="preserve">the </w:t>
      </w:r>
      <w:r w:rsidRPr="001220A4">
        <w:rPr>
          <w:rFonts w:asciiTheme="minorHAnsi" w:hAnsiTheme="minorHAnsi" w:cstheme="minorHAnsi"/>
          <w:color w:val="auto"/>
        </w:rPr>
        <w:t xml:space="preserve">net treated values by </w:t>
      </w:r>
      <w:r w:rsidR="002847C7">
        <w:rPr>
          <w:rFonts w:asciiTheme="minorHAnsi" w:hAnsiTheme="minorHAnsi" w:cstheme="minorHAnsi"/>
          <w:color w:val="auto"/>
        </w:rPr>
        <w:t xml:space="preserve">the </w:t>
      </w:r>
      <w:r w:rsidRPr="001220A4">
        <w:rPr>
          <w:rFonts w:asciiTheme="minorHAnsi" w:hAnsiTheme="minorHAnsi" w:cstheme="minorHAnsi"/>
          <w:color w:val="auto"/>
        </w:rPr>
        <w:t>net untreated values and multiplying by 100.</w:t>
      </w:r>
    </w:p>
    <w:p w14:paraId="54032EFB" w14:textId="77777777" w:rsidR="00646C34" w:rsidRPr="001220A4" w:rsidRDefault="00646C34" w:rsidP="0054535F">
      <w:pPr>
        <w:pStyle w:val="ListParagraph"/>
        <w:ind w:left="0" w:right="4"/>
        <w:rPr>
          <w:rFonts w:asciiTheme="minorHAnsi" w:hAnsiTheme="minorHAnsi" w:cstheme="minorHAnsi"/>
          <w:color w:val="auto"/>
        </w:rPr>
      </w:pPr>
    </w:p>
    <w:p w14:paraId="192E4155" w14:textId="0BE22090" w:rsidR="00646C34" w:rsidRPr="007679BB" w:rsidRDefault="00646C34" w:rsidP="0054535F">
      <w:pPr>
        <w:pStyle w:val="ListParagraph"/>
        <w:numPr>
          <w:ilvl w:val="1"/>
          <w:numId w:val="38"/>
        </w:numPr>
        <w:ind w:left="0" w:right="4" w:firstLine="0"/>
        <w:rPr>
          <w:rFonts w:asciiTheme="minorHAnsi" w:hAnsiTheme="minorHAnsi" w:cstheme="minorHAnsi"/>
          <w:bCs/>
          <w:color w:val="auto"/>
        </w:rPr>
      </w:pPr>
      <w:r w:rsidRPr="001220A4">
        <w:rPr>
          <w:rFonts w:asciiTheme="minorHAnsi" w:hAnsiTheme="minorHAnsi" w:cstheme="minorHAnsi"/>
          <w:b/>
          <w:color w:val="auto"/>
        </w:rPr>
        <w:t xml:space="preserve"> </w:t>
      </w:r>
      <w:r w:rsidR="000A33B5" w:rsidRPr="007679BB">
        <w:rPr>
          <w:rFonts w:asciiTheme="minorHAnsi" w:hAnsiTheme="minorHAnsi" w:cstheme="minorHAnsi"/>
          <w:bCs/>
          <w:color w:val="auto"/>
        </w:rPr>
        <w:t>Western blotting</w:t>
      </w:r>
    </w:p>
    <w:p w14:paraId="1E8D0DCE" w14:textId="77777777" w:rsidR="00646C34" w:rsidRPr="001220A4" w:rsidRDefault="00646C34" w:rsidP="0054535F">
      <w:pPr>
        <w:pStyle w:val="ListParagraph"/>
        <w:ind w:left="0" w:right="4"/>
        <w:rPr>
          <w:rFonts w:asciiTheme="minorHAnsi" w:hAnsiTheme="minorHAnsi" w:cstheme="minorHAnsi"/>
          <w:color w:val="auto"/>
        </w:rPr>
      </w:pPr>
    </w:p>
    <w:p w14:paraId="24576CF5" w14:textId="57115CBB" w:rsidR="00646C34" w:rsidRPr="001220A4" w:rsidRDefault="00646C34" w:rsidP="0054535F">
      <w:pPr>
        <w:pStyle w:val="ListParagraph"/>
        <w:numPr>
          <w:ilvl w:val="2"/>
          <w:numId w:val="38"/>
        </w:numPr>
        <w:ind w:left="0" w:right="4" w:firstLine="0"/>
        <w:rPr>
          <w:rFonts w:asciiTheme="minorHAnsi" w:hAnsiTheme="minorHAnsi" w:cstheme="minorHAnsi"/>
          <w:color w:val="auto"/>
        </w:rPr>
      </w:pPr>
      <w:r w:rsidRPr="001220A4">
        <w:rPr>
          <w:rFonts w:asciiTheme="minorHAnsi" w:hAnsiTheme="minorHAnsi" w:cstheme="minorHAnsi"/>
          <w:color w:val="auto"/>
        </w:rPr>
        <w:t>Transfer the liver spheroids to an identified 1</w:t>
      </w:r>
      <w:r w:rsidR="002847C7">
        <w:rPr>
          <w:rFonts w:asciiTheme="minorHAnsi" w:hAnsiTheme="minorHAnsi" w:cstheme="minorHAnsi"/>
          <w:color w:val="auto"/>
        </w:rPr>
        <w:t>.</w:t>
      </w:r>
      <w:r w:rsidRPr="001220A4">
        <w:rPr>
          <w:rFonts w:asciiTheme="minorHAnsi" w:hAnsiTheme="minorHAnsi" w:cstheme="minorHAnsi"/>
          <w:color w:val="auto"/>
        </w:rPr>
        <w:t xml:space="preserve">5 mL microtube. Remove </w:t>
      </w:r>
      <w:r w:rsidR="002847C7">
        <w:rPr>
          <w:rFonts w:asciiTheme="minorHAnsi" w:hAnsiTheme="minorHAnsi" w:cstheme="minorHAnsi"/>
          <w:color w:val="auto"/>
        </w:rPr>
        <w:t xml:space="preserve">the </w:t>
      </w:r>
      <w:r w:rsidRPr="001220A4">
        <w:rPr>
          <w:rFonts w:asciiTheme="minorHAnsi" w:hAnsiTheme="minorHAnsi" w:cstheme="minorHAnsi"/>
          <w:color w:val="auto"/>
        </w:rPr>
        <w:t xml:space="preserve">medium and wash twice with 100 </w:t>
      </w:r>
      <w:r w:rsidR="008173B3">
        <w:rPr>
          <w:rFonts w:asciiTheme="minorHAnsi" w:hAnsiTheme="minorHAnsi" w:cstheme="minorHAnsi"/>
          <w:color w:val="auto"/>
        </w:rPr>
        <w:t>µ</w:t>
      </w:r>
      <w:r w:rsidRPr="001220A4">
        <w:rPr>
          <w:rFonts w:asciiTheme="minorHAnsi" w:hAnsiTheme="minorHAnsi" w:cstheme="minorHAnsi"/>
          <w:color w:val="auto"/>
        </w:rPr>
        <w:t xml:space="preserve">L </w:t>
      </w:r>
      <w:r w:rsidR="007679BB">
        <w:rPr>
          <w:rFonts w:asciiTheme="minorHAnsi" w:hAnsiTheme="minorHAnsi" w:cstheme="minorHAnsi"/>
          <w:color w:val="auto"/>
        </w:rPr>
        <w:t xml:space="preserve">of </w:t>
      </w:r>
      <w:r w:rsidRPr="001220A4">
        <w:rPr>
          <w:rFonts w:asciiTheme="minorHAnsi" w:hAnsiTheme="minorHAnsi" w:cstheme="minorHAnsi"/>
          <w:color w:val="auto"/>
        </w:rPr>
        <w:t xml:space="preserve">1x DPBS. </w:t>
      </w:r>
    </w:p>
    <w:p w14:paraId="48FBB3AB" w14:textId="77777777" w:rsidR="00646C34" w:rsidRPr="001220A4" w:rsidRDefault="00646C34" w:rsidP="0054535F">
      <w:pPr>
        <w:pStyle w:val="ListParagraph"/>
        <w:ind w:left="0" w:right="4"/>
        <w:rPr>
          <w:rFonts w:asciiTheme="minorHAnsi" w:hAnsiTheme="minorHAnsi" w:cstheme="minorHAnsi"/>
          <w:color w:val="auto"/>
        </w:rPr>
      </w:pPr>
    </w:p>
    <w:p w14:paraId="1CFFB7C4" w14:textId="5F0B5E9A" w:rsidR="00646C34" w:rsidRPr="001220A4" w:rsidRDefault="00646C34"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6.</w:t>
      </w:r>
      <w:r w:rsidR="002A7664" w:rsidRPr="001220A4">
        <w:rPr>
          <w:rFonts w:asciiTheme="minorHAnsi" w:hAnsiTheme="minorHAnsi" w:cstheme="minorHAnsi"/>
          <w:color w:val="auto"/>
        </w:rPr>
        <w:t>7</w:t>
      </w:r>
      <w:r w:rsidRPr="001220A4">
        <w:rPr>
          <w:rFonts w:asciiTheme="minorHAnsi" w:hAnsiTheme="minorHAnsi" w:cstheme="minorHAnsi"/>
          <w:color w:val="auto"/>
        </w:rPr>
        <w:t xml:space="preserve">.2. </w:t>
      </w:r>
      <w:r w:rsidR="0058458C" w:rsidRPr="001220A4">
        <w:rPr>
          <w:rFonts w:asciiTheme="minorHAnsi" w:hAnsiTheme="minorHAnsi" w:cstheme="minorHAnsi"/>
          <w:color w:val="auto"/>
        </w:rPr>
        <w:t xml:space="preserve">Lysate the liver spheroids in 100 </w:t>
      </w:r>
      <w:r w:rsidR="008173B3">
        <w:rPr>
          <w:rFonts w:asciiTheme="minorHAnsi" w:hAnsiTheme="minorHAnsi" w:cstheme="minorHAnsi"/>
          <w:color w:val="auto"/>
        </w:rPr>
        <w:t>µ</w:t>
      </w:r>
      <w:r w:rsidR="0058458C" w:rsidRPr="001220A4">
        <w:rPr>
          <w:rFonts w:asciiTheme="minorHAnsi" w:hAnsiTheme="minorHAnsi" w:cstheme="minorHAnsi"/>
          <w:color w:val="auto"/>
        </w:rPr>
        <w:t>L of cell lysis RIPA buffer</w:t>
      </w:r>
      <w:r w:rsidR="00FA4395" w:rsidRPr="001220A4">
        <w:rPr>
          <w:rFonts w:asciiTheme="minorHAnsi" w:hAnsiTheme="minorHAnsi" w:cstheme="minorHAnsi"/>
          <w:color w:val="auto"/>
        </w:rPr>
        <w:t xml:space="preserve"> at 4 </w:t>
      </w:r>
      <w:r w:rsidR="007679BB">
        <w:rPr>
          <w:rFonts w:asciiTheme="minorHAnsi" w:hAnsiTheme="minorHAnsi" w:cstheme="minorHAnsi"/>
          <w:color w:val="auto"/>
        </w:rPr>
        <w:t>°C</w:t>
      </w:r>
      <w:r w:rsidR="00FA4395" w:rsidRPr="001220A4">
        <w:rPr>
          <w:rFonts w:asciiTheme="minorHAnsi" w:hAnsiTheme="minorHAnsi" w:cstheme="minorHAnsi"/>
          <w:color w:val="auto"/>
        </w:rPr>
        <w:t xml:space="preserve"> for 20 min. </w:t>
      </w:r>
      <w:r w:rsidRPr="001220A4">
        <w:rPr>
          <w:rFonts w:asciiTheme="minorHAnsi" w:hAnsiTheme="minorHAnsi" w:cstheme="minorHAnsi"/>
          <w:color w:val="auto"/>
        </w:rPr>
        <w:t>Centrifuge for 15 min, 4</w:t>
      </w:r>
      <w:r w:rsidR="007679BB">
        <w:rPr>
          <w:rFonts w:asciiTheme="minorHAnsi" w:hAnsiTheme="minorHAnsi" w:cstheme="minorHAnsi"/>
          <w:color w:val="auto"/>
        </w:rPr>
        <w:t xml:space="preserve"> </w:t>
      </w:r>
      <w:r w:rsidRPr="001220A4">
        <w:rPr>
          <w:rFonts w:asciiTheme="minorHAnsi" w:hAnsiTheme="minorHAnsi" w:cstheme="minorHAnsi"/>
          <w:color w:val="auto"/>
        </w:rPr>
        <w:t>°C</w:t>
      </w:r>
      <w:r w:rsidR="002B467C" w:rsidRPr="001220A4">
        <w:rPr>
          <w:rFonts w:asciiTheme="minorHAnsi" w:hAnsiTheme="minorHAnsi" w:cstheme="minorHAnsi"/>
          <w:color w:val="auto"/>
        </w:rPr>
        <w:t>,</w:t>
      </w:r>
      <w:r w:rsidRPr="001220A4">
        <w:rPr>
          <w:rFonts w:asciiTheme="minorHAnsi" w:hAnsiTheme="minorHAnsi" w:cstheme="minorHAnsi"/>
          <w:color w:val="auto"/>
        </w:rPr>
        <w:t xml:space="preserve"> and 11000 rpm. Transfer the supernatant to another identified 1</w:t>
      </w:r>
      <w:r w:rsidR="007679BB">
        <w:rPr>
          <w:rFonts w:asciiTheme="minorHAnsi" w:hAnsiTheme="minorHAnsi" w:cstheme="minorHAnsi"/>
          <w:color w:val="auto"/>
        </w:rPr>
        <w:t>.</w:t>
      </w:r>
      <w:r w:rsidRPr="001220A4">
        <w:rPr>
          <w:rFonts w:asciiTheme="minorHAnsi" w:hAnsiTheme="minorHAnsi" w:cstheme="minorHAnsi"/>
          <w:color w:val="auto"/>
        </w:rPr>
        <w:t xml:space="preserve">5 mL microtube. </w:t>
      </w:r>
    </w:p>
    <w:p w14:paraId="1939A6EF" w14:textId="77777777" w:rsidR="00646C34" w:rsidRPr="001220A4" w:rsidRDefault="00646C34" w:rsidP="0054535F">
      <w:pPr>
        <w:pStyle w:val="ListParagraph"/>
        <w:ind w:left="0" w:right="4"/>
        <w:rPr>
          <w:rFonts w:asciiTheme="minorHAnsi" w:hAnsiTheme="minorHAnsi" w:cstheme="minorHAnsi"/>
          <w:color w:val="auto"/>
        </w:rPr>
      </w:pPr>
    </w:p>
    <w:p w14:paraId="10DC8456" w14:textId="72629B92" w:rsidR="00646C34" w:rsidRPr="001220A4" w:rsidRDefault="00646C34"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6.</w:t>
      </w:r>
      <w:r w:rsidR="002A7664" w:rsidRPr="001220A4">
        <w:rPr>
          <w:rFonts w:asciiTheme="minorHAnsi" w:hAnsiTheme="minorHAnsi" w:cstheme="minorHAnsi"/>
          <w:color w:val="auto"/>
        </w:rPr>
        <w:t>7</w:t>
      </w:r>
      <w:r w:rsidRPr="001220A4">
        <w:rPr>
          <w:rFonts w:asciiTheme="minorHAnsi" w:hAnsiTheme="minorHAnsi" w:cstheme="minorHAnsi"/>
          <w:color w:val="auto"/>
        </w:rPr>
        <w:t>.</w:t>
      </w:r>
      <w:r w:rsidR="002A7664" w:rsidRPr="001220A4">
        <w:rPr>
          <w:rFonts w:asciiTheme="minorHAnsi" w:hAnsiTheme="minorHAnsi" w:cstheme="minorHAnsi"/>
          <w:color w:val="auto"/>
        </w:rPr>
        <w:t>3</w:t>
      </w:r>
      <w:r w:rsidRPr="001220A4">
        <w:rPr>
          <w:rFonts w:asciiTheme="minorHAnsi" w:hAnsiTheme="minorHAnsi" w:cstheme="minorHAnsi"/>
          <w:color w:val="auto"/>
        </w:rPr>
        <w:t>. Quantify the amount of protein obtained through the Bradford method.</w:t>
      </w:r>
      <w:r w:rsidR="00FA4395" w:rsidRPr="001220A4">
        <w:rPr>
          <w:rFonts w:asciiTheme="minorHAnsi" w:hAnsiTheme="minorHAnsi" w:cstheme="minorHAnsi"/>
          <w:color w:val="auto"/>
        </w:rPr>
        <w:t xml:space="preserve"> </w:t>
      </w:r>
      <w:r w:rsidRPr="001220A4">
        <w:rPr>
          <w:rFonts w:asciiTheme="minorHAnsi" w:hAnsiTheme="minorHAnsi" w:cstheme="minorHAnsi"/>
          <w:color w:val="auto"/>
        </w:rPr>
        <w:t xml:space="preserve">Load between 10 and 50 </w:t>
      </w:r>
      <w:r w:rsidR="008173B3">
        <w:rPr>
          <w:rFonts w:asciiTheme="minorHAnsi" w:hAnsiTheme="minorHAnsi" w:cstheme="minorHAnsi"/>
          <w:color w:val="auto"/>
        </w:rPr>
        <w:t>µ</w:t>
      </w:r>
      <w:r w:rsidRPr="001220A4">
        <w:rPr>
          <w:rFonts w:asciiTheme="minorHAnsi" w:hAnsiTheme="minorHAnsi" w:cstheme="minorHAnsi"/>
          <w:color w:val="auto"/>
        </w:rPr>
        <w:t xml:space="preserve">g of protein from the quantified cell lysate per well of a gradient polyacrylamide gel 3-15% and perform an SDS-PAGE. </w:t>
      </w:r>
    </w:p>
    <w:p w14:paraId="76CD7F1A" w14:textId="77777777" w:rsidR="00646C34" w:rsidRPr="001220A4" w:rsidRDefault="00646C34" w:rsidP="0054535F">
      <w:pPr>
        <w:pStyle w:val="ListParagraph"/>
        <w:ind w:left="0" w:right="4"/>
        <w:rPr>
          <w:rFonts w:asciiTheme="minorHAnsi" w:hAnsiTheme="minorHAnsi" w:cstheme="minorHAnsi"/>
          <w:color w:val="auto"/>
        </w:rPr>
      </w:pPr>
    </w:p>
    <w:p w14:paraId="4491FA90" w14:textId="1DAA613F" w:rsidR="00646C34" w:rsidRPr="001220A4" w:rsidRDefault="00646C34"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6.</w:t>
      </w:r>
      <w:r w:rsidR="002A7664" w:rsidRPr="001220A4">
        <w:rPr>
          <w:rFonts w:asciiTheme="minorHAnsi" w:hAnsiTheme="minorHAnsi" w:cstheme="minorHAnsi"/>
          <w:color w:val="auto"/>
        </w:rPr>
        <w:t>7</w:t>
      </w:r>
      <w:r w:rsidRPr="001220A4">
        <w:rPr>
          <w:rFonts w:asciiTheme="minorHAnsi" w:hAnsiTheme="minorHAnsi" w:cstheme="minorHAnsi"/>
          <w:color w:val="auto"/>
        </w:rPr>
        <w:t>.</w:t>
      </w:r>
      <w:r w:rsidR="002A7664" w:rsidRPr="001220A4">
        <w:rPr>
          <w:rFonts w:asciiTheme="minorHAnsi" w:hAnsiTheme="minorHAnsi" w:cstheme="minorHAnsi"/>
          <w:color w:val="auto"/>
        </w:rPr>
        <w:t>4</w:t>
      </w:r>
      <w:r w:rsidRPr="001220A4">
        <w:rPr>
          <w:rFonts w:asciiTheme="minorHAnsi" w:hAnsiTheme="minorHAnsi" w:cstheme="minorHAnsi"/>
          <w:color w:val="auto"/>
        </w:rPr>
        <w:t xml:space="preserve">. Transfer the loaded protein from the gel to a 0.22 </w:t>
      </w:r>
      <w:r w:rsidR="008173B3">
        <w:rPr>
          <w:rFonts w:asciiTheme="minorHAnsi" w:hAnsiTheme="minorHAnsi" w:cstheme="minorHAnsi"/>
          <w:color w:val="auto"/>
        </w:rPr>
        <w:t>µ</w:t>
      </w:r>
      <w:r w:rsidRPr="001220A4">
        <w:rPr>
          <w:rFonts w:asciiTheme="minorHAnsi" w:hAnsiTheme="minorHAnsi" w:cstheme="minorHAnsi"/>
          <w:color w:val="auto"/>
        </w:rPr>
        <w:t xml:space="preserve">m PVDF membrane through the semi-dry system equipment. Use a transference solution of </w:t>
      </w:r>
      <w:r w:rsidR="002847C7" w:rsidRPr="001220A4">
        <w:rPr>
          <w:rFonts w:asciiTheme="minorHAnsi" w:hAnsiTheme="minorHAnsi" w:cstheme="minorHAnsi"/>
          <w:color w:val="auto"/>
        </w:rPr>
        <w:t xml:space="preserve">50 mM </w:t>
      </w:r>
      <w:r w:rsidRPr="001220A4">
        <w:rPr>
          <w:rFonts w:asciiTheme="minorHAnsi" w:hAnsiTheme="minorHAnsi" w:cstheme="minorHAnsi"/>
          <w:color w:val="auto"/>
        </w:rPr>
        <w:t xml:space="preserve">Tris-HCl and 192 mM </w:t>
      </w:r>
      <w:r w:rsidR="002847C7">
        <w:rPr>
          <w:rFonts w:asciiTheme="minorHAnsi" w:hAnsiTheme="minorHAnsi" w:cstheme="minorHAnsi"/>
          <w:color w:val="auto"/>
        </w:rPr>
        <w:t>g</w:t>
      </w:r>
      <w:r w:rsidRPr="001220A4">
        <w:rPr>
          <w:rFonts w:asciiTheme="minorHAnsi" w:hAnsiTheme="minorHAnsi" w:cstheme="minorHAnsi"/>
          <w:color w:val="auto"/>
        </w:rPr>
        <w:t xml:space="preserve">lycine. Set </w:t>
      </w:r>
      <w:r w:rsidRPr="001220A4">
        <w:rPr>
          <w:rFonts w:asciiTheme="minorHAnsi" w:hAnsiTheme="minorHAnsi" w:cstheme="minorHAnsi"/>
          <w:color w:val="auto"/>
        </w:rPr>
        <w:lastRenderedPageBreak/>
        <w:t>equipment parameters according to the number of gels to be transferred (1 to 2 at a time).</w:t>
      </w:r>
    </w:p>
    <w:p w14:paraId="2F46325E" w14:textId="77777777" w:rsidR="00646C34" w:rsidRPr="001220A4" w:rsidRDefault="00646C34" w:rsidP="0054535F">
      <w:pPr>
        <w:pStyle w:val="ListParagraph"/>
        <w:ind w:left="0" w:right="4"/>
        <w:rPr>
          <w:rFonts w:asciiTheme="minorHAnsi" w:hAnsiTheme="minorHAnsi" w:cstheme="minorHAnsi"/>
          <w:color w:val="auto"/>
        </w:rPr>
      </w:pPr>
    </w:p>
    <w:p w14:paraId="330701A3" w14:textId="33FCD7AB" w:rsidR="00646C34" w:rsidRPr="001220A4" w:rsidRDefault="00646C34"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6.</w:t>
      </w:r>
      <w:r w:rsidR="002A7664" w:rsidRPr="001220A4">
        <w:rPr>
          <w:rFonts w:asciiTheme="minorHAnsi" w:hAnsiTheme="minorHAnsi" w:cstheme="minorHAnsi"/>
          <w:color w:val="auto"/>
        </w:rPr>
        <w:t>7</w:t>
      </w:r>
      <w:r w:rsidRPr="001220A4">
        <w:rPr>
          <w:rFonts w:asciiTheme="minorHAnsi" w:hAnsiTheme="minorHAnsi" w:cstheme="minorHAnsi"/>
          <w:color w:val="auto"/>
        </w:rPr>
        <w:t>.</w:t>
      </w:r>
      <w:r w:rsidR="002A7664" w:rsidRPr="001220A4">
        <w:rPr>
          <w:rFonts w:asciiTheme="minorHAnsi" w:hAnsiTheme="minorHAnsi" w:cstheme="minorHAnsi"/>
          <w:color w:val="auto"/>
        </w:rPr>
        <w:t>5</w:t>
      </w:r>
      <w:r w:rsidRPr="001220A4">
        <w:rPr>
          <w:rFonts w:asciiTheme="minorHAnsi" w:hAnsiTheme="minorHAnsi" w:cstheme="minorHAnsi"/>
          <w:color w:val="auto"/>
        </w:rPr>
        <w:t>. Block nonspecific interactions on PVDF membrane with a 3-5% skim milk solution in TBS-T buffer: Tris-Buffered Saline (50 mM Tris pH 7</w:t>
      </w:r>
      <w:r w:rsidR="007679BB">
        <w:rPr>
          <w:rFonts w:asciiTheme="minorHAnsi" w:hAnsiTheme="minorHAnsi" w:cstheme="minorHAnsi"/>
          <w:color w:val="auto"/>
        </w:rPr>
        <w:t>.</w:t>
      </w:r>
      <w:r w:rsidRPr="001220A4">
        <w:rPr>
          <w:rFonts w:asciiTheme="minorHAnsi" w:hAnsiTheme="minorHAnsi" w:cstheme="minorHAnsi"/>
          <w:color w:val="auto"/>
        </w:rPr>
        <w:t>6, 150 mM sodium chloride) supplemented with 0</w:t>
      </w:r>
      <w:r w:rsidR="007679BB">
        <w:rPr>
          <w:rFonts w:asciiTheme="minorHAnsi" w:hAnsiTheme="minorHAnsi" w:cstheme="minorHAnsi"/>
          <w:color w:val="auto"/>
        </w:rPr>
        <w:t>.</w:t>
      </w:r>
      <w:r w:rsidRPr="001220A4">
        <w:rPr>
          <w:rFonts w:asciiTheme="minorHAnsi" w:hAnsiTheme="minorHAnsi" w:cstheme="minorHAnsi"/>
          <w:color w:val="auto"/>
        </w:rPr>
        <w:t xml:space="preserve">1% of Tween 20. Keep the membrane under gently constant shaking for 1 hour at room temperature. </w:t>
      </w:r>
    </w:p>
    <w:p w14:paraId="2ED69A9D" w14:textId="77777777" w:rsidR="00646C34" w:rsidRPr="001220A4" w:rsidRDefault="00646C34" w:rsidP="0054535F">
      <w:pPr>
        <w:pStyle w:val="ListParagraph"/>
        <w:ind w:left="0" w:right="4"/>
        <w:rPr>
          <w:rFonts w:asciiTheme="minorHAnsi" w:hAnsiTheme="minorHAnsi" w:cstheme="minorHAnsi"/>
          <w:color w:val="auto"/>
        </w:rPr>
      </w:pPr>
    </w:p>
    <w:p w14:paraId="79F64F0D" w14:textId="09A7F3A9" w:rsidR="00646C34" w:rsidRPr="001220A4" w:rsidRDefault="00646C34"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6.</w:t>
      </w:r>
      <w:r w:rsidR="002A7664" w:rsidRPr="001220A4">
        <w:rPr>
          <w:rFonts w:asciiTheme="minorHAnsi" w:hAnsiTheme="minorHAnsi" w:cstheme="minorHAnsi"/>
          <w:color w:val="auto"/>
        </w:rPr>
        <w:t>7</w:t>
      </w:r>
      <w:r w:rsidRPr="001220A4">
        <w:rPr>
          <w:rFonts w:asciiTheme="minorHAnsi" w:hAnsiTheme="minorHAnsi" w:cstheme="minorHAnsi"/>
          <w:color w:val="auto"/>
        </w:rPr>
        <w:t>.</w:t>
      </w:r>
      <w:r w:rsidR="002A7664" w:rsidRPr="001220A4">
        <w:rPr>
          <w:rFonts w:asciiTheme="minorHAnsi" w:hAnsiTheme="minorHAnsi" w:cstheme="minorHAnsi"/>
          <w:color w:val="auto"/>
        </w:rPr>
        <w:t>6</w:t>
      </w:r>
      <w:r w:rsidRPr="001220A4">
        <w:rPr>
          <w:rFonts w:asciiTheme="minorHAnsi" w:hAnsiTheme="minorHAnsi" w:cstheme="minorHAnsi"/>
          <w:color w:val="auto"/>
        </w:rPr>
        <w:t xml:space="preserve">. Wash with TBS-T under gently constant shaking for 3-5 min at room temperature. Repeat </w:t>
      </w:r>
      <w:r w:rsidR="002847C7">
        <w:rPr>
          <w:rFonts w:asciiTheme="minorHAnsi" w:hAnsiTheme="minorHAnsi" w:cstheme="minorHAnsi"/>
          <w:color w:val="auto"/>
        </w:rPr>
        <w:t xml:space="preserve">this </w:t>
      </w:r>
      <w:r w:rsidRPr="001220A4">
        <w:rPr>
          <w:rFonts w:asciiTheme="minorHAnsi" w:hAnsiTheme="minorHAnsi" w:cstheme="minorHAnsi"/>
          <w:color w:val="auto"/>
        </w:rPr>
        <w:t>washing step twice.</w:t>
      </w:r>
    </w:p>
    <w:p w14:paraId="794393A4" w14:textId="77777777" w:rsidR="00646C34" w:rsidRPr="001220A4" w:rsidRDefault="00646C34" w:rsidP="0054535F">
      <w:pPr>
        <w:pStyle w:val="ListParagraph"/>
        <w:ind w:left="0" w:right="4"/>
        <w:rPr>
          <w:rFonts w:asciiTheme="minorHAnsi" w:hAnsiTheme="minorHAnsi" w:cstheme="minorHAnsi"/>
          <w:color w:val="auto"/>
        </w:rPr>
      </w:pPr>
    </w:p>
    <w:p w14:paraId="65113393" w14:textId="47599F15" w:rsidR="007679BB" w:rsidRDefault="00646C34"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6.</w:t>
      </w:r>
      <w:r w:rsidR="002A7664" w:rsidRPr="001220A4">
        <w:rPr>
          <w:rFonts w:asciiTheme="minorHAnsi" w:hAnsiTheme="minorHAnsi" w:cstheme="minorHAnsi"/>
          <w:color w:val="auto"/>
        </w:rPr>
        <w:t>7</w:t>
      </w:r>
      <w:r w:rsidRPr="001220A4">
        <w:rPr>
          <w:rFonts w:asciiTheme="minorHAnsi" w:hAnsiTheme="minorHAnsi" w:cstheme="minorHAnsi"/>
          <w:color w:val="auto"/>
        </w:rPr>
        <w:t>.</w:t>
      </w:r>
      <w:r w:rsidR="002A7664" w:rsidRPr="001220A4">
        <w:rPr>
          <w:rFonts w:asciiTheme="minorHAnsi" w:hAnsiTheme="minorHAnsi" w:cstheme="minorHAnsi"/>
          <w:color w:val="auto"/>
        </w:rPr>
        <w:t>7</w:t>
      </w:r>
      <w:r w:rsidRPr="001220A4">
        <w:rPr>
          <w:rFonts w:asciiTheme="minorHAnsi" w:hAnsiTheme="minorHAnsi" w:cstheme="minorHAnsi"/>
          <w:color w:val="auto"/>
        </w:rPr>
        <w:t>. Dilute albumin and vinculin primary antibodies to 1:1000 and 1:2000 respectively on TBS-T. Incubate the membrane with primary antibodies overnight at 4</w:t>
      </w:r>
      <w:r w:rsidR="002847C7">
        <w:rPr>
          <w:rFonts w:asciiTheme="minorHAnsi" w:hAnsiTheme="minorHAnsi" w:cstheme="minorHAnsi"/>
          <w:color w:val="auto"/>
        </w:rPr>
        <w:t xml:space="preserve"> </w:t>
      </w:r>
      <w:r w:rsidRPr="001220A4">
        <w:rPr>
          <w:rFonts w:asciiTheme="minorHAnsi" w:hAnsiTheme="minorHAnsi" w:cstheme="minorHAnsi"/>
          <w:color w:val="auto"/>
        </w:rPr>
        <w:t>°C, under gently constant shaking.</w:t>
      </w:r>
    </w:p>
    <w:p w14:paraId="5F25842B" w14:textId="77777777" w:rsidR="007679BB" w:rsidRPr="001220A4" w:rsidRDefault="007679BB" w:rsidP="0054535F">
      <w:pPr>
        <w:pStyle w:val="ListParagraph"/>
        <w:ind w:left="0" w:right="4"/>
        <w:rPr>
          <w:rFonts w:asciiTheme="minorHAnsi" w:hAnsiTheme="minorHAnsi" w:cstheme="minorHAnsi"/>
          <w:color w:val="auto"/>
        </w:rPr>
      </w:pPr>
    </w:p>
    <w:p w14:paraId="4F2ABF94" w14:textId="77777777" w:rsidR="00646C34" w:rsidRPr="001220A4" w:rsidRDefault="00646C34"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 xml:space="preserve">NOTE: Always follow the manufacturer’s instructions to dilute antibodies. </w:t>
      </w:r>
    </w:p>
    <w:p w14:paraId="36047984" w14:textId="77777777" w:rsidR="00646C34" w:rsidRPr="001220A4" w:rsidRDefault="00646C34" w:rsidP="0054535F">
      <w:pPr>
        <w:pStyle w:val="ListParagraph"/>
        <w:ind w:left="0" w:right="4"/>
        <w:rPr>
          <w:rFonts w:asciiTheme="minorHAnsi" w:hAnsiTheme="minorHAnsi" w:cstheme="minorHAnsi"/>
          <w:color w:val="auto"/>
        </w:rPr>
      </w:pPr>
    </w:p>
    <w:p w14:paraId="50BB1EAC" w14:textId="7E652343" w:rsidR="00646C34" w:rsidRPr="001220A4" w:rsidRDefault="00646C34"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6.</w:t>
      </w:r>
      <w:r w:rsidR="002A7664" w:rsidRPr="001220A4">
        <w:rPr>
          <w:rFonts w:asciiTheme="minorHAnsi" w:hAnsiTheme="minorHAnsi" w:cstheme="minorHAnsi"/>
          <w:color w:val="auto"/>
        </w:rPr>
        <w:t>7</w:t>
      </w:r>
      <w:r w:rsidRPr="001220A4">
        <w:rPr>
          <w:rFonts w:asciiTheme="minorHAnsi" w:hAnsiTheme="minorHAnsi" w:cstheme="minorHAnsi"/>
          <w:color w:val="auto"/>
        </w:rPr>
        <w:t>.</w:t>
      </w:r>
      <w:r w:rsidR="002A7664" w:rsidRPr="001220A4">
        <w:rPr>
          <w:rFonts w:asciiTheme="minorHAnsi" w:hAnsiTheme="minorHAnsi" w:cstheme="minorHAnsi"/>
          <w:color w:val="auto"/>
        </w:rPr>
        <w:t>8</w:t>
      </w:r>
      <w:r w:rsidRPr="001220A4">
        <w:rPr>
          <w:rFonts w:asciiTheme="minorHAnsi" w:hAnsiTheme="minorHAnsi" w:cstheme="minorHAnsi"/>
          <w:color w:val="auto"/>
        </w:rPr>
        <w:t>. Remove the primary antibody and wash membrane</w:t>
      </w:r>
      <w:r w:rsidR="002A7664" w:rsidRPr="001220A4">
        <w:rPr>
          <w:rFonts w:asciiTheme="minorHAnsi" w:hAnsiTheme="minorHAnsi" w:cstheme="minorHAnsi"/>
          <w:color w:val="auto"/>
        </w:rPr>
        <w:t xml:space="preserve"> 3 times (</w:t>
      </w:r>
      <w:r w:rsidR="002847C7">
        <w:rPr>
          <w:rFonts w:asciiTheme="minorHAnsi" w:hAnsiTheme="minorHAnsi" w:cstheme="minorHAnsi"/>
          <w:color w:val="auto"/>
        </w:rPr>
        <w:t xml:space="preserve">step </w:t>
      </w:r>
      <w:r w:rsidR="002A7664" w:rsidRPr="001220A4">
        <w:rPr>
          <w:rFonts w:asciiTheme="minorHAnsi" w:hAnsiTheme="minorHAnsi" w:cstheme="minorHAnsi"/>
          <w:color w:val="auto"/>
        </w:rPr>
        <w:t>6.7.6)</w:t>
      </w:r>
      <w:r w:rsidRPr="001220A4">
        <w:rPr>
          <w:rFonts w:asciiTheme="minorHAnsi" w:hAnsiTheme="minorHAnsi" w:cstheme="minorHAnsi"/>
          <w:color w:val="auto"/>
        </w:rPr>
        <w:t xml:space="preserve">. Dilute ECL anti-mouse IgG secondary antibody to 1:5000 on TBS-T. Incubate </w:t>
      </w:r>
      <w:r w:rsidR="002847C7">
        <w:rPr>
          <w:rFonts w:asciiTheme="minorHAnsi" w:hAnsiTheme="minorHAnsi" w:cstheme="minorHAnsi"/>
          <w:color w:val="auto"/>
        </w:rPr>
        <w:t xml:space="preserve">the </w:t>
      </w:r>
      <w:r w:rsidRPr="001220A4">
        <w:rPr>
          <w:rFonts w:asciiTheme="minorHAnsi" w:hAnsiTheme="minorHAnsi" w:cstheme="minorHAnsi"/>
          <w:color w:val="auto"/>
        </w:rPr>
        <w:t>membrane with a secondary antibody under gently constant shaking for 2 hours at room temperature.</w:t>
      </w:r>
    </w:p>
    <w:p w14:paraId="2654CF3A" w14:textId="77777777" w:rsidR="000355C5" w:rsidRPr="001220A4" w:rsidRDefault="000355C5" w:rsidP="0054535F">
      <w:pPr>
        <w:pStyle w:val="ListParagraph"/>
        <w:ind w:left="0" w:right="4"/>
        <w:rPr>
          <w:rFonts w:asciiTheme="minorHAnsi" w:hAnsiTheme="minorHAnsi" w:cstheme="minorHAnsi"/>
          <w:color w:val="auto"/>
        </w:rPr>
      </w:pPr>
    </w:p>
    <w:p w14:paraId="19575CF8" w14:textId="7F7735CC" w:rsidR="00646C34" w:rsidRPr="001220A4" w:rsidRDefault="00646C34" w:rsidP="0054535F">
      <w:pPr>
        <w:pStyle w:val="ListParagraph"/>
        <w:ind w:left="0" w:right="4"/>
        <w:rPr>
          <w:rFonts w:asciiTheme="minorHAnsi" w:hAnsiTheme="minorHAnsi" w:cstheme="minorHAnsi"/>
          <w:color w:val="auto"/>
        </w:rPr>
      </w:pPr>
      <w:r w:rsidRPr="001220A4">
        <w:rPr>
          <w:rFonts w:asciiTheme="minorHAnsi" w:hAnsiTheme="minorHAnsi" w:cstheme="minorHAnsi"/>
          <w:color w:val="auto"/>
        </w:rPr>
        <w:t>6.</w:t>
      </w:r>
      <w:r w:rsidR="002A7664" w:rsidRPr="001220A4">
        <w:rPr>
          <w:rFonts w:asciiTheme="minorHAnsi" w:hAnsiTheme="minorHAnsi" w:cstheme="minorHAnsi"/>
          <w:color w:val="auto"/>
        </w:rPr>
        <w:t>7</w:t>
      </w:r>
      <w:r w:rsidRPr="001220A4">
        <w:rPr>
          <w:rFonts w:asciiTheme="minorHAnsi" w:hAnsiTheme="minorHAnsi" w:cstheme="minorHAnsi"/>
          <w:color w:val="auto"/>
        </w:rPr>
        <w:t>.</w:t>
      </w:r>
      <w:r w:rsidR="002A7664" w:rsidRPr="001220A4">
        <w:rPr>
          <w:rFonts w:asciiTheme="minorHAnsi" w:hAnsiTheme="minorHAnsi" w:cstheme="minorHAnsi"/>
          <w:color w:val="auto"/>
        </w:rPr>
        <w:t>9</w:t>
      </w:r>
      <w:r w:rsidRPr="001220A4">
        <w:rPr>
          <w:rFonts w:asciiTheme="minorHAnsi" w:hAnsiTheme="minorHAnsi" w:cstheme="minorHAnsi"/>
          <w:color w:val="auto"/>
        </w:rPr>
        <w:t xml:space="preserve">. Remove the secondary antibody and wash </w:t>
      </w:r>
      <w:r w:rsidR="002847C7">
        <w:rPr>
          <w:rFonts w:asciiTheme="minorHAnsi" w:hAnsiTheme="minorHAnsi" w:cstheme="minorHAnsi"/>
          <w:color w:val="auto"/>
        </w:rPr>
        <w:t xml:space="preserve">the </w:t>
      </w:r>
      <w:r w:rsidRPr="001220A4">
        <w:rPr>
          <w:rFonts w:asciiTheme="minorHAnsi" w:hAnsiTheme="minorHAnsi" w:cstheme="minorHAnsi"/>
          <w:color w:val="auto"/>
        </w:rPr>
        <w:t>membrane (</w:t>
      </w:r>
      <w:r w:rsidR="002847C7">
        <w:rPr>
          <w:rFonts w:asciiTheme="minorHAnsi" w:hAnsiTheme="minorHAnsi" w:cstheme="minorHAnsi"/>
          <w:color w:val="auto"/>
        </w:rPr>
        <w:t xml:space="preserve">step </w:t>
      </w:r>
      <w:r w:rsidRPr="001220A4">
        <w:rPr>
          <w:rFonts w:asciiTheme="minorHAnsi" w:hAnsiTheme="minorHAnsi" w:cstheme="minorHAnsi"/>
          <w:color w:val="auto"/>
        </w:rPr>
        <w:t>6.</w:t>
      </w:r>
      <w:r w:rsidR="002A7664" w:rsidRPr="001220A4">
        <w:rPr>
          <w:rFonts w:asciiTheme="minorHAnsi" w:hAnsiTheme="minorHAnsi" w:cstheme="minorHAnsi"/>
          <w:color w:val="auto"/>
        </w:rPr>
        <w:t>7</w:t>
      </w:r>
      <w:r w:rsidRPr="001220A4">
        <w:rPr>
          <w:rFonts w:asciiTheme="minorHAnsi" w:hAnsiTheme="minorHAnsi" w:cstheme="minorHAnsi"/>
          <w:color w:val="auto"/>
        </w:rPr>
        <w:t>.</w:t>
      </w:r>
      <w:r w:rsidR="002A7664" w:rsidRPr="001220A4">
        <w:rPr>
          <w:rFonts w:asciiTheme="minorHAnsi" w:hAnsiTheme="minorHAnsi" w:cstheme="minorHAnsi"/>
          <w:color w:val="auto"/>
        </w:rPr>
        <w:t>6</w:t>
      </w:r>
      <w:r w:rsidRPr="001220A4">
        <w:rPr>
          <w:rFonts w:asciiTheme="minorHAnsi" w:hAnsiTheme="minorHAnsi" w:cstheme="minorHAnsi"/>
          <w:color w:val="auto"/>
        </w:rPr>
        <w:t>).</w:t>
      </w:r>
      <w:r w:rsidR="002A7664" w:rsidRPr="001220A4">
        <w:rPr>
          <w:rFonts w:asciiTheme="minorHAnsi" w:hAnsiTheme="minorHAnsi" w:cstheme="minorHAnsi"/>
          <w:color w:val="auto"/>
        </w:rPr>
        <w:t xml:space="preserve"> </w:t>
      </w:r>
      <w:r w:rsidRPr="001220A4">
        <w:rPr>
          <w:rFonts w:asciiTheme="minorHAnsi" w:hAnsiTheme="minorHAnsi" w:cstheme="minorHAnsi"/>
          <w:color w:val="auto"/>
        </w:rPr>
        <w:t>Perform protein detection using ECL Western Blotting Substrate. Expose</w:t>
      </w:r>
      <w:r w:rsidR="002847C7">
        <w:rPr>
          <w:rFonts w:asciiTheme="minorHAnsi" w:hAnsiTheme="minorHAnsi" w:cstheme="minorHAnsi"/>
          <w:color w:val="auto"/>
        </w:rPr>
        <w:t xml:space="preserve"> </w:t>
      </w:r>
      <w:r w:rsidRPr="001220A4">
        <w:rPr>
          <w:rFonts w:asciiTheme="minorHAnsi" w:hAnsiTheme="minorHAnsi" w:cstheme="minorHAnsi"/>
          <w:color w:val="auto"/>
        </w:rPr>
        <w:t>the autoradiographic films for 30 s to 30 min.</w:t>
      </w:r>
      <w:r w:rsidR="002A7664" w:rsidRPr="001220A4">
        <w:rPr>
          <w:rFonts w:asciiTheme="minorHAnsi" w:hAnsiTheme="minorHAnsi" w:cstheme="minorHAnsi"/>
          <w:color w:val="auto"/>
        </w:rPr>
        <w:t xml:space="preserve"> </w:t>
      </w:r>
      <w:r w:rsidRPr="001220A4">
        <w:rPr>
          <w:rFonts w:asciiTheme="minorHAnsi" w:hAnsiTheme="minorHAnsi" w:cstheme="minorHAnsi"/>
          <w:color w:val="auto"/>
        </w:rPr>
        <w:t>Perform the immunoblotting detection in triplicate.</w:t>
      </w:r>
    </w:p>
    <w:p w14:paraId="60B99D68" w14:textId="243CD988" w:rsidR="00DC6629" w:rsidRPr="001220A4" w:rsidRDefault="00DC6629" w:rsidP="0054535F">
      <w:pPr>
        <w:pStyle w:val="ListParagraph"/>
        <w:ind w:left="0" w:right="4"/>
        <w:rPr>
          <w:rFonts w:asciiTheme="minorHAnsi" w:hAnsiTheme="minorHAnsi" w:cstheme="minorHAnsi"/>
          <w:color w:val="auto"/>
        </w:rPr>
      </w:pPr>
    </w:p>
    <w:p w14:paraId="5294CF7E" w14:textId="42D4CF06" w:rsidR="003C61A3" w:rsidRPr="001220A4" w:rsidRDefault="006305D7" w:rsidP="0054535F">
      <w:pPr>
        <w:pStyle w:val="NormalWeb"/>
        <w:spacing w:before="0" w:beforeAutospacing="0" w:after="0" w:afterAutospacing="0"/>
        <w:ind w:right="6"/>
        <w:contextualSpacing/>
        <w:rPr>
          <w:rFonts w:asciiTheme="minorHAnsi" w:hAnsiTheme="minorHAnsi" w:cstheme="minorHAnsi"/>
          <w:b/>
        </w:rPr>
      </w:pPr>
      <w:r w:rsidRPr="001220A4">
        <w:rPr>
          <w:rFonts w:asciiTheme="minorHAnsi" w:hAnsiTheme="minorHAnsi" w:cstheme="minorHAnsi"/>
          <w:b/>
        </w:rPr>
        <w:t>REPRESENTATIVE RESULTS</w:t>
      </w:r>
      <w:r w:rsidR="00EF1462" w:rsidRPr="001220A4">
        <w:rPr>
          <w:rFonts w:asciiTheme="minorHAnsi" w:hAnsiTheme="minorHAnsi" w:cstheme="minorHAnsi"/>
          <w:b/>
        </w:rPr>
        <w:t>:</w:t>
      </w:r>
    </w:p>
    <w:p w14:paraId="68F1FE4C" w14:textId="23859760" w:rsidR="00B21939" w:rsidRDefault="00B87AB5" w:rsidP="0054535F">
      <w:pPr>
        <w:pStyle w:val="NormalWeb"/>
        <w:spacing w:before="0" w:beforeAutospacing="0" w:after="0" w:afterAutospacing="0"/>
        <w:ind w:right="6"/>
        <w:contextualSpacing/>
        <w:rPr>
          <w:rFonts w:asciiTheme="minorHAnsi" w:hAnsiTheme="minorHAnsi" w:cstheme="minorHAnsi"/>
          <w:color w:val="auto"/>
        </w:rPr>
      </w:pPr>
      <w:r w:rsidRPr="001220A4">
        <w:rPr>
          <w:rFonts w:asciiTheme="minorHAnsi" w:hAnsiTheme="minorHAnsi" w:cstheme="minorHAnsi"/>
          <w:color w:val="auto"/>
        </w:rPr>
        <w:t xml:space="preserve">To perform the </w:t>
      </w:r>
      <w:r w:rsidR="006F32F5" w:rsidRPr="001220A4">
        <w:rPr>
          <w:rFonts w:asciiTheme="minorHAnsi" w:hAnsiTheme="minorHAnsi" w:cstheme="minorHAnsi"/>
          <w:color w:val="auto"/>
        </w:rPr>
        <w:t xml:space="preserve">PK </w:t>
      </w:r>
      <w:r w:rsidRPr="001220A4">
        <w:rPr>
          <w:rFonts w:asciiTheme="minorHAnsi" w:hAnsiTheme="minorHAnsi" w:cstheme="minorHAnsi"/>
          <w:color w:val="auto"/>
        </w:rPr>
        <w:t>APAP tests in the 2-OC MPS</w:t>
      </w:r>
      <w:r w:rsidR="00BB438D" w:rsidRPr="001220A4">
        <w:rPr>
          <w:rFonts w:asciiTheme="minorHAnsi" w:hAnsiTheme="minorHAnsi" w:cstheme="minorHAnsi"/>
          <w:color w:val="auto"/>
        </w:rPr>
        <w:t>,</w:t>
      </w:r>
      <w:r w:rsidRPr="001220A4">
        <w:rPr>
          <w:rFonts w:asciiTheme="minorHAnsi" w:hAnsiTheme="minorHAnsi" w:cstheme="minorHAnsi"/>
          <w:color w:val="auto"/>
        </w:rPr>
        <w:t xml:space="preserve"> the first step </w:t>
      </w:r>
      <w:r w:rsidR="00D1351B" w:rsidRPr="001220A4">
        <w:rPr>
          <w:rFonts w:asciiTheme="minorHAnsi" w:hAnsiTheme="minorHAnsi" w:cstheme="minorHAnsi"/>
          <w:color w:val="auto"/>
        </w:rPr>
        <w:t>is</w:t>
      </w:r>
      <w:r w:rsidRPr="001220A4">
        <w:rPr>
          <w:rFonts w:asciiTheme="minorHAnsi" w:hAnsiTheme="minorHAnsi" w:cstheme="minorHAnsi"/>
          <w:color w:val="auto"/>
        </w:rPr>
        <w:t xml:space="preserve"> </w:t>
      </w:r>
      <w:r w:rsidR="00B21939" w:rsidRPr="001220A4">
        <w:rPr>
          <w:rFonts w:asciiTheme="minorHAnsi" w:hAnsiTheme="minorHAnsi" w:cstheme="minorHAnsi"/>
          <w:color w:val="auto"/>
        </w:rPr>
        <w:t>to manufacture</w:t>
      </w:r>
      <w:r w:rsidRPr="001220A4">
        <w:rPr>
          <w:rFonts w:asciiTheme="minorHAnsi" w:hAnsiTheme="minorHAnsi" w:cstheme="minorHAnsi"/>
          <w:color w:val="auto"/>
        </w:rPr>
        <w:t xml:space="preserve"> the human intestine and liver equivalents</w:t>
      </w:r>
      <w:r w:rsidR="00695D5D" w:rsidRPr="001220A4">
        <w:rPr>
          <w:rFonts w:asciiTheme="minorHAnsi" w:hAnsiTheme="minorHAnsi" w:cstheme="minorHAnsi"/>
          <w:color w:val="auto"/>
        </w:rPr>
        <w:t xml:space="preserve"> (organoids)</w:t>
      </w:r>
      <w:r w:rsidRPr="001220A4">
        <w:rPr>
          <w:rFonts w:asciiTheme="minorHAnsi" w:hAnsiTheme="minorHAnsi" w:cstheme="minorHAnsi"/>
          <w:color w:val="auto"/>
        </w:rPr>
        <w:t>.</w:t>
      </w:r>
      <w:r w:rsidR="001845A6" w:rsidRPr="001220A4">
        <w:rPr>
          <w:rFonts w:asciiTheme="minorHAnsi" w:hAnsiTheme="minorHAnsi" w:cstheme="minorHAnsi"/>
          <w:color w:val="auto"/>
        </w:rPr>
        <w:t xml:space="preserve"> </w:t>
      </w:r>
      <w:r w:rsidR="00695D5D" w:rsidRPr="001220A4">
        <w:rPr>
          <w:rFonts w:asciiTheme="minorHAnsi" w:hAnsiTheme="minorHAnsi" w:cstheme="minorHAnsi"/>
          <w:color w:val="auto"/>
        </w:rPr>
        <w:t>T</w:t>
      </w:r>
      <w:r w:rsidR="00213273" w:rsidRPr="001220A4">
        <w:rPr>
          <w:rFonts w:asciiTheme="minorHAnsi" w:hAnsiTheme="minorHAnsi" w:cstheme="minorHAnsi"/>
          <w:color w:val="auto"/>
        </w:rPr>
        <w:t xml:space="preserve">hey </w:t>
      </w:r>
      <w:r w:rsidR="00204C3B" w:rsidRPr="001220A4">
        <w:rPr>
          <w:rFonts w:asciiTheme="minorHAnsi" w:hAnsiTheme="minorHAnsi" w:cstheme="minorHAnsi"/>
          <w:color w:val="auto"/>
        </w:rPr>
        <w:t>are</w:t>
      </w:r>
      <w:r w:rsidR="00213273" w:rsidRPr="001220A4">
        <w:rPr>
          <w:rFonts w:asciiTheme="minorHAnsi" w:hAnsiTheme="minorHAnsi" w:cstheme="minorHAnsi"/>
          <w:color w:val="auto"/>
        </w:rPr>
        <w:t xml:space="preserve"> integrated </w:t>
      </w:r>
      <w:r w:rsidR="00695D5D" w:rsidRPr="001220A4">
        <w:rPr>
          <w:rFonts w:asciiTheme="minorHAnsi" w:hAnsiTheme="minorHAnsi" w:cstheme="minorHAnsi"/>
          <w:color w:val="auto"/>
        </w:rPr>
        <w:t>in</w:t>
      </w:r>
      <w:r w:rsidR="004A175A" w:rsidRPr="001220A4">
        <w:rPr>
          <w:rFonts w:asciiTheme="minorHAnsi" w:hAnsiTheme="minorHAnsi" w:cstheme="minorHAnsi"/>
          <w:color w:val="auto"/>
        </w:rPr>
        <w:t>to</w:t>
      </w:r>
      <w:r w:rsidR="00213273" w:rsidRPr="001220A4">
        <w:rPr>
          <w:rFonts w:asciiTheme="minorHAnsi" w:hAnsiTheme="minorHAnsi" w:cstheme="minorHAnsi"/>
          <w:color w:val="auto"/>
        </w:rPr>
        <w:t xml:space="preserve"> </w:t>
      </w:r>
      <w:r w:rsidR="00BC4AF3" w:rsidRPr="001220A4">
        <w:rPr>
          <w:rFonts w:asciiTheme="minorHAnsi" w:hAnsiTheme="minorHAnsi" w:cstheme="minorHAnsi"/>
          <w:color w:val="auto"/>
        </w:rPr>
        <w:t xml:space="preserve">the </w:t>
      </w:r>
      <w:r w:rsidR="00213273" w:rsidRPr="001220A4">
        <w:rPr>
          <w:rFonts w:asciiTheme="minorHAnsi" w:hAnsiTheme="minorHAnsi" w:cstheme="minorHAnsi"/>
          <w:noProof/>
          <w:color w:val="auto"/>
        </w:rPr>
        <w:t>2-OC</w:t>
      </w:r>
      <w:r w:rsidR="00213273" w:rsidRPr="001220A4">
        <w:rPr>
          <w:rFonts w:asciiTheme="minorHAnsi" w:hAnsiTheme="minorHAnsi" w:cstheme="minorHAnsi"/>
          <w:color w:val="auto"/>
        </w:rPr>
        <w:t xml:space="preserve"> microfluidic device</w:t>
      </w:r>
      <w:r w:rsidR="006F32F5" w:rsidRPr="001220A4">
        <w:rPr>
          <w:rFonts w:asciiTheme="minorHAnsi" w:hAnsiTheme="minorHAnsi" w:cstheme="minorHAnsi"/>
          <w:color w:val="auto"/>
        </w:rPr>
        <w:t xml:space="preserve"> (</w:t>
      </w:r>
      <w:r w:rsidR="007679BB" w:rsidRPr="007679BB">
        <w:rPr>
          <w:rFonts w:asciiTheme="minorHAnsi" w:hAnsiTheme="minorHAnsi" w:cstheme="minorHAnsi"/>
          <w:b/>
          <w:bCs/>
          <w:color w:val="auto"/>
        </w:rPr>
        <w:t>Figure</w:t>
      </w:r>
      <w:r w:rsidR="006F32F5" w:rsidRPr="007679BB">
        <w:rPr>
          <w:rFonts w:asciiTheme="minorHAnsi" w:hAnsiTheme="minorHAnsi" w:cstheme="minorHAnsi"/>
          <w:b/>
          <w:bCs/>
          <w:color w:val="auto"/>
        </w:rPr>
        <w:t xml:space="preserve"> 1A</w:t>
      </w:r>
      <w:r w:rsidR="006F32F5" w:rsidRPr="001220A4">
        <w:rPr>
          <w:rFonts w:asciiTheme="minorHAnsi" w:hAnsiTheme="minorHAnsi" w:cstheme="minorHAnsi"/>
          <w:color w:val="auto"/>
        </w:rPr>
        <w:t>)</w:t>
      </w:r>
      <w:r w:rsidR="00A5674B">
        <w:rPr>
          <w:rFonts w:asciiTheme="minorHAnsi" w:hAnsiTheme="minorHAnsi" w:cstheme="minorHAnsi"/>
          <w:color w:val="auto"/>
        </w:rPr>
        <w:t xml:space="preserve"> </w:t>
      </w:r>
      <w:r w:rsidR="00213273" w:rsidRPr="001220A4">
        <w:rPr>
          <w:rFonts w:asciiTheme="minorHAnsi" w:hAnsiTheme="minorHAnsi" w:cstheme="minorHAnsi"/>
          <w:color w:val="auto"/>
        </w:rPr>
        <w:t xml:space="preserve">24 h before </w:t>
      </w:r>
      <w:r w:rsidR="00960A49" w:rsidRPr="001220A4">
        <w:rPr>
          <w:rFonts w:asciiTheme="minorHAnsi" w:hAnsiTheme="minorHAnsi" w:cstheme="minorHAnsi"/>
          <w:color w:val="auto"/>
        </w:rPr>
        <w:t>start</w:t>
      </w:r>
      <w:r w:rsidR="00695D5D" w:rsidRPr="001220A4">
        <w:rPr>
          <w:rFonts w:asciiTheme="minorHAnsi" w:hAnsiTheme="minorHAnsi" w:cstheme="minorHAnsi"/>
          <w:color w:val="auto"/>
        </w:rPr>
        <w:t>ing</w:t>
      </w:r>
      <w:r w:rsidR="00960A49" w:rsidRPr="001220A4">
        <w:rPr>
          <w:rFonts w:asciiTheme="minorHAnsi" w:hAnsiTheme="minorHAnsi" w:cstheme="minorHAnsi"/>
          <w:color w:val="auto"/>
        </w:rPr>
        <w:t xml:space="preserve"> of </w:t>
      </w:r>
      <w:r w:rsidR="006F32F5" w:rsidRPr="001220A4">
        <w:rPr>
          <w:rFonts w:asciiTheme="minorHAnsi" w:hAnsiTheme="minorHAnsi" w:cstheme="minorHAnsi"/>
          <w:color w:val="auto"/>
        </w:rPr>
        <w:t xml:space="preserve">the PK </w:t>
      </w:r>
      <w:r w:rsidR="00213273" w:rsidRPr="001220A4">
        <w:rPr>
          <w:rFonts w:asciiTheme="minorHAnsi" w:hAnsiTheme="minorHAnsi" w:cstheme="minorHAnsi"/>
          <w:color w:val="auto"/>
        </w:rPr>
        <w:t>APAP assay.</w:t>
      </w:r>
      <w:r w:rsidR="00204C3B" w:rsidRPr="001220A4">
        <w:rPr>
          <w:rFonts w:asciiTheme="minorHAnsi" w:hAnsiTheme="minorHAnsi" w:cstheme="minorHAnsi"/>
          <w:color w:val="auto"/>
        </w:rPr>
        <w:t xml:space="preserve"> </w:t>
      </w:r>
      <w:r w:rsidR="007679BB">
        <w:rPr>
          <w:rFonts w:asciiTheme="minorHAnsi" w:hAnsiTheme="minorHAnsi" w:cstheme="minorHAnsi"/>
          <w:color w:val="auto"/>
        </w:rPr>
        <w:t>T</w:t>
      </w:r>
      <w:r w:rsidR="00204C3B" w:rsidRPr="001220A4">
        <w:rPr>
          <w:rFonts w:asciiTheme="minorHAnsi" w:hAnsiTheme="minorHAnsi" w:cstheme="minorHAnsi"/>
          <w:color w:val="auto"/>
        </w:rPr>
        <w:t>he next day,</w:t>
      </w:r>
      <w:r w:rsidR="00695D5D" w:rsidRPr="001220A4">
        <w:rPr>
          <w:rFonts w:asciiTheme="minorHAnsi" w:hAnsiTheme="minorHAnsi" w:cstheme="minorHAnsi"/>
          <w:color w:val="auto"/>
        </w:rPr>
        <w:t xml:space="preserve"> the </w:t>
      </w:r>
      <w:r w:rsidR="00204C3B" w:rsidRPr="001220A4">
        <w:rPr>
          <w:rFonts w:asciiTheme="minorHAnsi" w:hAnsiTheme="minorHAnsi" w:cstheme="minorHAnsi"/>
          <w:color w:val="auto"/>
        </w:rPr>
        <w:t xml:space="preserve">medium </w:t>
      </w:r>
      <w:r w:rsidR="00A5674B">
        <w:rPr>
          <w:rFonts w:asciiTheme="minorHAnsi" w:hAnsiTheme="minorHAnsi" w:cstheme="minorHAnsi"/>
          <w:color w:val="auto"/>
        </w:rPr>
        <w:t xml:space="preserve">is </w:t>
      </w:r>
      <w:r w:rsidR="00BD3FE4" w:rsidRPr="001220A4">
        <w:rPr>
          <w:rFonts w:asciiTheme="minorHAnsi" w:hAnsiTheme="minorHAnsi" w:cstheme="minorHAnsi"/>
          <w:color w:val="auto"/>
        </w:rPr>
        <w:t>changed,</w:t>
      </w:r>
      <w:r w:rsidR="004A175A" w:rsidRPr="001220A4">
        <w:rPr>
          <w:rFonts w:asciiTheme="minorHAnsi" w:hAnsiTheme="minorHAnsi" w:cstheme="minorHAnsi"/>
          <w:color w:val="auto"/>
        </w:rPr>
        <w:t xml:space="preserve"> and the model</w:t>
      </w:r>
      <w:r w:rsidR="00204C3B" w:rsidRPr="001220A4">
        <w:rPr>
          <w:rFonts w:asciiTheme="minorHAnsi" w:hAnsiTheme="minorHAnsi" w:cstheme="minorHAnsi"/>
          <w:color w:val="auto"/>
        </w:rPr>
        <w:t xml:space="preserve"> </w:t>
      </w:r>
      <w:r w:rsidR="00A5674B">
        <w:rPr>
          <w:rFonts w:asciiTheme="minorHAnsi" w:hAnsiTheme="minorHAnsi" w:cstheme="minorHAnsi"/>
          <w:color w:val="auto"/>
        </w:rPr>
        <w:t xml:space="preserve">is </w:t>
      </w:r>
      <w:r w:rsidR="00695D5D" w:rsidRPr="001220A4">
        <w:rPr>
          <w:rFonts w:asciiTheme="minorHAnsi" w:hAnsiTheme="minorHAnsi" w:cstheme="minorHAnsi"/>
          <w:color w:val="auto"/>
        </w:rPr>
        <w:t>expose</w:t>
      </w:r>
      <w:r w:rsidR="004A175A" w:rsidRPr="001220A4">
        <w:rPr>
          <w:rFonts w:asciiTheme="minorHAnsi" w:hAnsiTheme="minorHAnsi" w:cstheme="minorHAnsi"/>
          <w:color w:val="auto"/>
        </w:rPr>
        <w:t>d</w:t>
      </w:r>
      <w:r w:rsidR="00695D5D" w:rsidRPr="001220A4">
        <w:rPr>
          <w:rFonts w:asciiTheme="minorHAnsi" w:hAnsiTheme="minorHAnsi" w:cstheme="minorHAnsi"/>
          <w:color w:val="auto"/>
        </w:rPr>
        <w:t xml:space="preserve"> to APAP</w:t>
      </w:r>
      <w:r w:rsidR="00204C3B" w:rsidRPr="001220A4">
        <w:rPr>
          <w:rFonts w:asciiTheme="minorHAnsi" w:hAnsiTheme="minorHAnsi" w:cstheme="minorHAnsi"/>
          <w:color w:val="auto"/>
        </w:rPr>
        <w:t>.</w:t>
      </w:r>
      <w:r w:rsidR="008E593A" w:rsidRPr="001220A4">
        <w:rPr>
          <w:rFonts w:asciiTheme="minorHAnsi" w:hAnsiTheme="minorHAnsi" w:cstheme="minorHAnsi"/>
          <w:color w:val="auto"/>
        </w:rPr>
        <w:t xml:space="preserve"> </w:t>
      </w:r>
      <w:r w:rsidR="006F32F5" w:rsidRPr="007679BB">
        <w:rPr>
          <w:rFonts w:asciiTheme="minorHAnsi" w:hAnsiTheme="minorHAnsi" w:cstheme="minorHAnsi"/>
          <w:b/>
          <w:bCs/>
          <w:noProof/>
          <w:color w:val="auto"/>
        </w:rPr>
        <w:t>F</w:t>
      </w:r>
      <w:r w:rsidR="008E593A" w:rsidRPr="007679BB">
        <w:rPr>
          <w:rFonts w:asciiTheme="minorHAnsi" w:hAnsiTheme="minorHAnsi" w:cstheme="minorHAnsi"/>
          <w:b/>
          <w:bCs/>
          <w:noProof/>
          <w:color w:val="auto"/>
        </w:rPr>
        <w:t>igure</w:t>
      </w:r>
      <w:r w:rsidR="008E593A" w:rsidRPr="007679BB">
        <w:rPr>
          <w:rFonts w:asciiTheme="minorHAnsi" w:hAnsiTheme="minorHAnsi" w:cstheme="minorHAnsi"/>
          <w:b/>
          <w:bCs/>
          <w:color w:val="auto"/>
        </w:rPr>
        <w:t xml:space="preserve"> 1</w:t>
      </w:r>
      <w:r w:rsidR="008E593A" w:rsidRPr="001220A4">
        <w:rPr>
          <w:rFonts w:asciiTheme="minorHAnsi" w:hAnsiTheme="minorHAnsi" w:cstheme="minorHAnsi"/>
          <w:color w:val="auto"/>
        </w:rPr>
        <w:t xml:space="preserve"> </w:t>
      </w:r>
      <w:r w:rsidR="00A5674B">
        <w:rPr>
          <w:rFonts w:asciiTheme="minorHAnsi" w:hAnsiTheme="minorHAnsi" w:cstheme="minorHAnsi"/>
          <w:color w:val="auto"/>
        </w:rPr>
        <w:t>i</w:t>
      </w:r>
      <w:r w:rsidR="00963736" w:rsidRPr="001220A4">
        <w:rPr>
          <w:rFonts w:asciiTheme="minorHAnsi" w:hAnsiTheme="minorHAnsi" w:cstheme="minorHAnsi"/>
          <w:color w:val="auto"/>
        </w:rPr>
        <w:t>llustrates the</w:t>
      </w:r>
      <w:r w:rsidR="008E593A" w:rsidRPr="001220A4">
        <w:rPr>
          <w:rFonts w:asciiTheme="minorHAnsi" w:hAnsiTheme="minorHAnsi" w:cstheme="minorHAnsi"/>
          <w:color w:val="auto"/>
        </w:rPr>
        <w:t xml:space="preserve"> intestine and liver equivalents placed inside </w:t>
      </w:r>
      <w:r w:rsidR="004A175A" w:rsidRPr="001220A4">
        <w:rPr>
          <w:rFonts w:asciiTheme="minorHAnsi" w:hAnsiTheme="minorHAnsi" w:cstheme="minorHAnsi"/>
          <w:color w:val="auto"/>
        </w:rPr>
        <w:t>the</w:t>
      </w:r>
      <w:r w:rsidR="008E593A" w:rsidRPr="001220A4">
        <w:rPr>
          <w:rFonts w:asciiTheme="minorHAnsi" w:hAnsiTheme="minorHAnsi" w:cstheme="minorHAnsi"/>
          <w:color w:val="auto"/>
        </w:rPr>
        <w:t xml:space="preserve"> 2-OC device</w:t>
      </w:r>
      <w:r w:rsidR="006F32F5" w:rsidRPr="001220A4">
        <w:rPr>
          <w:rFonts w:asciiTheme="minorHAnsi" w:hAnsiTheme="minorHAnsi" w:cstheme="minorHAnsi"/>
          <w:color w:val="auto"/>
        </w:rPr>
        <w:t xml:space="preserve"> (</w:t>
      </w:r>
      <w:r w:rsidR="007679BB" w:rsidRPr="00A5674B">
        <w:rPr>
          <w:rFonts w:asciiTheme="minorHAnsi" w:hAnsiTheme="minorHAnsi" w:cstheme="minorHAnsi"/>
          <w:b/>
          <w:bCs/>
          <w:color w:val="auto"/>
        </w:rPr>
        <w:t xml:space="preserve">Figure </w:t>
      </w:r>
      <w:r w:rsidR="006F32F5" w:rsidRPr="00A5674B">
        <w:rPr>
          <w:rFonts w:asciiTheme="minorHAnsi" w:hAnsiTheme="minorHAnsi" w:cstheme="minorHAnsi"/>
          <w:b/>
          <w:bCs/>
          <w:color w:val="auto"/>
        </w:rPr>
        <w:t>1B</w:t>
      </w:r>
      <w:r w:rsidR="006F32F5" w:rsidRPr="001220A4">
        <w:rPr>
          <w:rFonts w:asciiTheme="minorHAnsi" w:hAnsiTheme="minorHAnsi" w:cstheme="minorHAnsi"/>
          <w:color w:val="auto"/>
        </w:rPr>
        <w:t xml:space="preserve">) </w:t>
      </w:r>
      <w:r w:rsidR="0061694F" w:rsidRPr="001220A4">
        <w:rPr>
          <w:rFonts w:asciiTheme="minorHAnsi" w:hAnsiTheme="minorHAnsi" w:cstheme="minorHAnsi"/>
          <w:color w:val="auto"/>
        </w:rPr>
        <w:t xml:space="preserve">and </w:t>
      </w:r>
      <w:r w:rsidR="004A175A" w:rsidRPr="001220A4">
        <w:rPr>
          <w:rFonts w:asciiTheme="minorHAnsi" w:hAnsiTheme="minorHAnsi" w:cstheme="minorHAnsi"/>
          <w:color w:val="auto"/>
        </w:rPr>
        <w:t xml:space="preserve">the APAP PK experiment </w:t>
      </w:r>
      <w:proofErr w:type="spellStart"/>
      <w:r w:rsidR="0061694F" w:rsidRPr="001220A4">
        <w:rPr>
          <w:rFonts w:asciiTheme="minorHAnsi" w:hAnsiTheme="minorHAnsi" w:cstheme="minorHAnsi"/>
          <w:color w:val="auto"/>
        </w:rPr>
        <w:t>time</w:t>
      </w:r>
      <w:r w:rsidR="004A175A" w:rsidRPr="001220A4">
        <w:rPr>
          <w:rFonts w:asciiTheme="minorHAnsi" w:hAnsiTheme="minorHAnsi" w:cstheme="minorHAnsi"/>
          <w:color w:val="auto"/>
        </w:rPr>
        <w:t>course</w:t>
      </w:r>
      <w:proofErr w:type="spellEnd"/>
      <w:r w:rsidR="0061694F" w:rsidRPr="001220A4">
        <w:rPr>
          <w:rFonts w:asciiTheme="minorHAnsi" w:hAnsiTheme="minorHAnsi" w:cstheme="minorHAnsi"/>
          <w:color w:val="auto"/>
        </w:rPr>
        <w:t xml:space="preserve"> </w:t>
      </w:r>
      <w:r w:rsidR="006F32F5" w:rsidRPr="001220A4">
        <w:rPr>
          <w:rFonts w:asciiTheme="minorHAnsi" w:hAnsiTheme="minorHAnsi" w:cstheme="minorHAnsi"/>
          <w:color w:val="auto"/>
        </w:rPr>
        <w:t>(</w:t>
      </w:r>
      <w:r w:rsidR="007679BB" w:rsidRPr="007679BB">
        <w:rPr>
          <w:rFonts w:asciiTheme="minorHAnsi" w:hAnsiTheme="minorHAnsi" w:cstheme="minorHAnsi"/>
          <w:b/>
          <w:bCs/>
          <w:color w:val="auto"/>
        </w:rPr>
        <w:t xml:space="preserve">Figure </w:t>
      </w:r>
      <w:r w:rsidR="006F32F5" w:rsidRPr="007679BB">
        <w:rPr>
          <w:rFonts w:asciiTheme="minorHAnsi" w:hAnsiTheme="minorHAnsi" w:cstheme="minorHAnsi"/>
          <w:b/>
          <w:bCs/>
          <w:color w:val="auto"/>
        </w:rPr>
        <w:t>1C</w:t>
      </w:r>
      <w:r w:rsidR="006F32F5" w:rsidRPr="001220A4">
        <w:rPr>
          <w:rFonts w:asciiTheme="minorHAnsi" w:hAnsiTheme="minorHAnsi" w:cstheme="minorHAnsi"/>
          <w:color w:val="auto"/>
        </w:rPr>
        <w:t>).</w:t>
      </w:r>
      <w:r w:rsidR="003D295E" w:rsidRPr="001220A4">
        <w:rPr>
          <w:rFonts w:asciiTheme="minorHAnsi" w:hAnsiTheme="minorHAnsi" w:cstheme="minorHAnsi"/>
          <w:color w:val="auto"/>
        </w:rPr>
        <w:t xml:space="preserve"> </w:t>
      </w:r>
      <w:r w:rsidR="005D1A23" w:rsidRPr="001220A4">
        <w:rPr>
          <w:rFonts w:asciiTheme="minorHAnsi" w:hAnsiTheme="minorHAnsi" w:cstheme="minorHAnsi"/>
          <w:color w:val="auto"/>
        </w:rPr>
        <w:t xml:space="preserve">We performed </w:t>
      </w:r>
      <w:proofErr w:type="gramStart"/>
      <w:r w:rsidR="00A5674B">
        <w:rPr>
          <w:rFonts w:asciiTheme="minorHAnsi" w:hAnsiTheme="minorHAnsi" w:cstheme="minorHAnsi"/>
          <w:color w:val="auto"/>
        </w:rPr>
        <w:t>a</w:t>
      </w:r>
      <w:proofErr w:type="gramEnd"/>
      <w:r w:rsidR="00A5674B">
        <w:rPr>
          <w:rFonts w:asciiTheme="minorHAnsi" w:hAnsiTheme="minorHAnsi" w:cstheme="minorHAnsi"/>
          <w:color w:val="auto"/>
        </w:rPr>
        <w:t xml:space="preserve"> </w:t>
      </w:r>
      <w:r w:rsidR="005D1A23" w:rsidRPr="001220A4">
        <w:rPr>
          <w:rFonts w:asciiTheme="minorHAnsi" w:hAnsiTheme="minorHAnsi" w:cstheme="minorHAnsi"/>
          <w:color w:val="auto"/>
        </w:rPr>
        <w:t>MTT assay,</w:t>
      </w:r>
      <w:r w:rsidR="00B21939" w:rsidRPr="001220A4">
        <w:rPr>
          <w:rFonts w:asciiTheme="minorHAnsi" w:hAnsiTheme="minorHAnsi" w:cstheme="minorHAnsi"/>
          <w:color w:val="auto"/>
        </w:rPr>
        <w:t xml:space="preserve"> TEER measurements,</w:t>
      </w:r>
      <w:r w:rsidR="005D1A23" w:rsidRPr="001220A4">
        <w:rPr>
          <w:rFonts w:asciiTheme="minorHAnsi" w:hAnsiTheme="minorHAnsi" w:cstheme="minorHAnsi"/>
          <w:color w:val="auto"/>
        </w:rPr>
        <w:t xml:space="preserve"> HCA, real-time PCR</w:t>
      </w:r>
      <w:r w:rsidR="002B467C" w:rsidRPr="001220A4">
        <w:rPr>
          <w:rFonts w:asciiTheme="minorHAnsi" w:hAnsiTheme="minorHAnsi" w:cstheme="minorHAnsi"/>
          <w:color w:val="auto"/>
        </w:rPr>
        <w:t>, western blotting,</w:t>
      </w:r>
      <w:r w:rsidR="005D1A23" w:rsidRPr="001220A4">
        <w:rPr>
          <w:rFonts w:asciiTheme="minorHAnsi" w:hAnsiTheme="minorHAnsi" w:cstheme="minorHAnsi"/>
          <w:color w:val="auto"/>
        </w:rPr>
        <w:t xml:space="preserve"> histology</w:t>
      </w:r>
      <w:r w:rsidR="00B21939" w:rsidRPr="001220A4">
        <w:rPr>
          <w:rFonts w:asciiTheme="minorHAnsi" w:hAnsiTheme="minorHAnsi" w:cstheme="minorHAnsi"/>
          <w:color w:val="auto"/>
        </w:rPr>
        <w:t>,</w:t>
      </w:r>
      <w:r w:rsidR="005D1A23" w:rsidRPr="001220A4">
        <w:rPr>
          <w:rFonts w:asciiTheme="minorHAnsi" w:hAnsiTheme="minorHAnsi" w:cstheme="minorHAnsi"/>
          <w:color w:val="auto"/>
        </w:rPr>
        <w:t xml:space="preserve"> and confocal fluorescence microscopy in 2D culture and 3D organoids to check the tissue’s </w:t>
      </w:r>
      <w:r w:rsidR="00BD3FE4" w:rsidRPr="001220A4">
        <w:rPr>
          <w:rFonts w:asciiTheme="minorHAnsi" w:hAnsiTheme="minorHAnsi" w:cstheme="minorHAnsi"/>
          <w:color w:val="auto"/>
        </w:rPr>
        <w:t>viability and</w:t>
      </w:r>
      <w:r w:rsidR="005D1A23" w:rsidRPr="001220A4">
        <w:rPr>
          <w:rFonts w:asciiTheme="minorHAnsi" w:hAnsiTheme="minorHAnsi" w:cstheme="minorHAnsi"/>
          <w:color w:val="auto"/>
        </w:rPr>
        <w:t xml:space="preserve"> detect possible APAP toxic effects.</w:t>
      </w:r>
      <w:r w:rsidR="00B21939" w:rsidRPr="001220A4">
        <w:rPr>
          <w:rFonts w:asciiTheme="minorHAnsi" w:hAnsiTheme="minorHAnsi" w:cstheme="minorHAnsi"/>
          <w:color w:val="auto"/>
        </w:rPr>
        <w:t xml:space="preserve"> </w:t>
      </w:r>
      <w:r w:rsidR="003D295E" w:rsidRPr="001220A4">
        <w:rPr>
          <w:rFonts w:asciiTheme="minorHAnsi" w:hAnsiTheme="minorHAnsi" w:cstheme="minorHAnsi"/>
          <w:color w:val="auto"/>
        </w:rPr>
        <w:t>In the confocal fluorescence microscopy images, t</w:t>
      </w:r>
      <w:r w:rsidR="005D1A23" w:rsidRPr="001220A4">
        <w:rPr>
          <w:rFonts w:asciiTheme="minorHAnsi" w:hAnsiTheme="minorHAnsi" w:cstheme="minorHAnsi"/>
          <w:color w:val="auto"/>
        </w:rPr>
        <w:t>he intestine equivalent samples stained with DAPI and Phalloidin (for nuclei and actin respectively)</w:t>
      </w:r>
      <w:r w:rsidR="003D295E" w:rsidRPr="001220A4">
        <w:rPr>
          <w:rFonts w:asciiTheme="minorHAnsi" w:hAnsiTheme="minorHAnsi" w:cstheme="minorHAnsi"/>
          <w:color w:val="auto"/>
        </w:rPr>
        <w:t xml:space="preserve"> were</w:t>
      </w:r>
      <w:r w:rsidR="005D1A23" w:rsidRPr="001220A4">
        <w:rPr>
          <w:rFonts w:asciiTheme="minorHAnsi" w:hAnsiTheme="minorHAnsi" w:cstheme="minorHAnsi"/>
          <w:color w:val="auto"/>
        </w:rPr>
        <w:t xml:space="preserve"> </w:t>
      </w:r>
      <w:r w:rsidR="003D295E" w:rsidRPr="001220A4">
        <w:rPr>
          <w:rFonts w:asciiTheme="minorHAnsi" w:hAnsiTheme="minorHAnsi" w:cstheme="minorHAnsi"/>
          <w:color w:val="auto"/>
        </w:rPr>
        <w:t>presented as</w:t>
      </w:r>
      <w:r w:rsidR="005D1A23" w:rsidRPr="001220A4">
        <w:rPr>
          <w:rFonts w:asciiTheme="minorHAnsi" w:hAnsiTheme="minorHAnsi" w:cstheme="minorHAnsi"/>
          <w:color w:val="auto"/>
        </w:rPr>
        <w:t xml:space="preserve"> </w:t>
      </w:r>
      <w:r w:rsidR="003D295E" w:rsidRPr="001220A4">
        <w:rPr>
          <w:rFonts w:asciiTheme="minorHAnsi" w:hAnsiTheme="minorHAnsi" w:cstheme="minorHAnsi"/>
          <w:color w:val="auto"/>
        </w:rPr>
        <w:t>a</w:t>
      </w:r>
      <w:r w:rsidR="005D1A23" w:rsidRPr="001220A4">
        <w:rPr>
          <w:rFonts w:asciiTheme="minorHAnsi" w:hAnsiTheme="minorHAnsi" w:cstheme="minorHAnsi"/>
          <w:color w:val="auto"/>
        </w:rPr>
        <w:t xml:space="preserve"> </w:t>
      </w:r>
      <w:r w:rsidR="003D295E" w:rsidRPr="001220A4">
        <w:rPr>
          <w:rFonts w:asciiTheme="minorHAnsi" w:hAnsiTheme="minorHAnsi" w:cstheme="minorHAnsi"/>
          <w:color w:val="auto"/>
        </w:rPr>
        <w:t xml:space="preserve">contiguous barrier </w:t>
      </w:r>
      <w:r w:rsidR="005D1A23" w:rsidRPr="001220A4">
        <w:rPr>
          <w:rFonts w:asciiTheme="minorHAnsi" w:hAnsiTheme="minorHAnsi" w:cstheme="minorHAnsi"/>
          <w:color w:val="auto"/>
        </w:rPr>
        <w:t>for the non-treated (</w:t>
      </w:r>
      <w:r w:rsidR="007679BB" w:rsidRPr="007679BB">
        <w:rPr>
          <w:rFonts w:asciiTheme="minorHAnsi" w:hAnsiTheme="minorHAnsi" w:cstheme="minorHAnsi"/>
          <w:b/>
          <w:bCs/>
          <w:color w:val="auto"/>
        </w:rPr>
        <w:t>Figure</w:t>
      </w:r>
      <w:r w:rsidR="005D1A23" w:rsidRPr="007679BB">
        <w:rPr>
          <w:rFonts w:asciiTheme="minorHAnsi" w:hAnsiTheme="minorHAnsi" w:cstheme="minorHAnsi"/>
          <w:b/>
          <w:bCs/>
          <w:color w:val="auto"/>
        </w:rPr>
        <w:t xml:space="preserve"> 2A</w:t>
      </w:r>
      <w:r w:rsidR="005D1A23" w:rsidRPr="001220A4">
        <w:rPr>
          <w:rFonts w:asciiTheme="minorHAnsi" w:hAnsiTheme="minorHAnsi" w:cstheme="minorHAnsi"/>
          <w:color w:val="auto"/>
        </w:rPr>
        <w:t xml:space="preserve">) and the 12 </w:t>
      </w:r>
      <w:r w:rsidR="008173B3">
        <w:rPr>
          <w:rFonts w:asciiTheme="minorHAnsi" w:hAnsiTheme="minorHAnsi" w:cstheme="minorHAnsi"/>
          <w:color w:val="auto"/>
        </w:rPr>
        <w:t>µ</w:t>
      </w:r>
      <w:r w:rsidR="005D1A23" w:rsidRPr="001220A4">
        <w:rPr>
          <w:rFonts w:asciiTheme="minorHAnsi" w:hAnsiTheme="minorHAnsi" w:cstheme="minorHAnsi"/>
          <w:color w:val="auto"/>
        </w:rPr>
        <w:t>M APAP treated samples (</w:t>
      </w:r>
      <w:r w:rsidR="007679BB" w:rsidRPr="007679BB">
        <w:rPr>
          <w:rFonts w:asciiTheme="minorHAnsi" w:hAnsiTheme="minorHAnsi" w:cstheme="minorHAnsi"/>
          <w:b/>
          <w:bCs/>
          <w:color w:val="auto"/>
        </w:rPr>
        <w:t>Figure</w:t>
      </w:r>
      <w:r w:rsidR="005D1A23" w:rsidRPr="007679BB">
        <w:rPr>
          <w:rFonts w:asciiTheme="minorHAnsi" w:hAnsiTheme="minorHAnsi" w:cstheme="minorHAnsi"/>
          <w:b/>
          <w:bCs/>
          <w:color w:val="auto"/>
        </w:rPr>
        <w:t xml:space="preserve"> 2B</w:t>
      </w:r>
      <w:r w:rsidR="005D1A23" w:rsidRPr="001220A4">
        <w:rPr>
          <w:rFonts w:asciiTheme="minorHAnsi" w:hAnsiTheme="minorHAnsi" w:cstheme="minorHAnsi"/>
          <w:color w:val="auto"/>
        </w:rPr>
        <w:t xml:space="preserve">). As seen in </w:t>
      </w:r>
      <w:r w:rsidR="005D1A23" w:rsidRPr="007679BB">
        <w:rPr>
          <w:rFonts w:asciiTheme="minorHAnsi" w:hAnsiTheme="minorHAnsi" w:cstheme="minorHAnsi"/>
          <w:b/>
          <w:bCs/>
          <w:color w:val="auto"/>
        </w:rPr>
        <w:t>Figure 2C</w:t>
      </w:r>
      <w:r w:rsidR="005D1A23" w:rsidRPr="001220A4">
        <w:rPr>
          <w:rFonts w:asciiTheme="minorHAnsi" w:hAnsiTheme="minorHAnsi" w:cstheme="minorHAnsi"/>
          <w:color w:val="auto"/>
        </w:rPr>
        <w:t xml:space="preserve">, the MTT assay showed relative cell viability levels above 70%, indicating the absence of relevant cytotoxic effects in response to APAP exposure at 12 </w:t>
      </w:r>
      <w:r w:rsidR="008173B3">
        <w:rPr>
          <w:rFonts w:asciiTheme="minorHAnsi" w:hAnsiTheme="minorHAnsi" w:cstheme="minorHAnsi"/>
          <w:color w:val="auto"/>
        </w:rPr>
        <w:t>µ</w:t>
      </w:r>
      <w:r w:rsidR="005D1A23" w:rsidRPr="001220A4">
        <w:rPr>
          <w:rFonts w:asciiTheme="minorHAnsi" w:hAnsiTheme="minorHAnsi" w:cstheme="minorHAnsi"/>
          <w:color w:val="auto"/>
        </w:rPr>
        <w:t>M concentration</w:t>
      </w:r>
      <w:r w:rsidR="006618A8" w:rsidRPr="001220A4">
        <w:rPr>
          <w:rFonts w:asciiTheme="minorHAnsi" w:hAnsiTheme="minorHAnsi" w:cstheme="minorHAnsi"/>
          <w:color w:val="auto"/>
        </w:rPr>
        <w:fldChar w:fldCharType="begin" w:fldLock="1"/>
      </w:r>
      <w:r w:rsidR="00DE664D" w:rsidRPr="001220A4">
        <w:rPr>
          <w:rFonts w:asciiTheme="minorHAnsi" w:hAnsiTheme="minorHAnsi" w:cstheme="minorHAnsi"/>
          <w:color w:val="auto"/>
        </w:rPr>
        <w:instrText>ADDIN CSL_CITATION {"citationItems":[{"id":"ITEM-1","itemData":{"DOI":"https://doi.org/10.1787/9789264242432-en.","author":[{"dropping-particle":"","family":"OECD","given":"","non-dropping-particle":"","parse-names":false,"suffix":""}],"container-title":"OECD guidelines for the testing of chemicals","id":"ITEM-1","issued":{"date-parts":[["2018"]]},"page":"14","publisher":"Organisation for Economic Cooperation and Development","publisher-place":"Paris","title":"OECD TG 491 - Short Time Exposure In Vitro Test Method for Identifying i) Chemicals Inducing Serious Eye Damage and ii) Chemicals Not Requiring Classification for Eye Irritation or Serious Eye Damage","type":"chapter"},"uris":["http://www.mendeley.com/documents/?uuid=1630149a-37e1-4b0d-a78e-a33066e72b30"]},{"id":"ITEM-2","itemData":{"DOI":"10.3109/03639045.2014.925919","ISBN":"1520-5762 (Electronic)\\r0363-9045 (Linking)","ISSN":"15205762","PMID":"22285235","abstract":"It is important to determine the toxicity of compounds and co-solvents that are used in cell monolayer permeability studies to increase confidence in the results obtained from these in vitro experiments. This study was designed to evaluate the cytotoxicity of new nifuroxazide derivatives with potential activity against Methicillin-resistant Staphylococcus aureus (MRSA) in Caco-2 cells to select analogues for further in vitro permeability analyses. In this study, nitrofurantoin and nifuroxazide, in addition to 6 furanic and 6 thiophenic nifuroxazide derivatives were tested at 2, 4, 6, 8 and 10μg/mL. In vitro cytotoxicity assays were performed according to the MTT (methyl tetrazolium) assay protocol described in ISO 10993-5. The viability of treated Caco-2 cells was greater than 83% for all tested nitrofurantoin concentrations, while those treated with nifuroxazide at 2, 4 and 6μg/mL had viabilities greater than 70%. Treatment with the nifuroxazide analogues resulted in viability values greater than 70% at 2 and 4μg/mL with the exception of the thiophenic methyl-substituted derivative, which resulted in cell viabilities below 70% at all tested concentrations. Caco-2 cells demonstrated reasonable viability for all nifuroxazide derivatives, except the thiophenic methyl-substituted compound. The former were selected for further permeability studies using Caco-2 cells. © 2012 Elsevier Ltd.","author":[{"dropping-particle":"","family":"Fernandes","given":"Mariane Ballerini","non-dropping-particle":"","parse-names":false,"suffix":""},{"dropping-particle":"","family":"Gonçalves","given":"José E.","non-dropping-particle":"","parse-names":false,"suffix":""},{"dropping-particle":"","family":"Tavares","given":"Leoberto C.","non-dropping-particle":"","parse-names":false,"suffix":""},{"dropping-particle":"","family":"Storpirtis","given":"Sílvia","non-dropping-particle":"","parse-names":false,"suffix":""}],"container-title":"Drug Development and Industrial Pharmacy","id":"ITEM-2","issue":"7","issued":{"date-parts":[["2015"]]},"page":"1066-1072","title":"Caco-2 cells permeability evaluation of nifuroxazide derivatives with potential activity against methicillin-resistant Staphylococcus aureus (MRSA)","type":"article-journal","volume":"41"},"uris":["http://www.mendeley.com/documents/?uuid=2fb8a760-4557-30d0-90a1-37f85fe5a85c"]},{"id":"ITEM-3","itemData":{"DOI":"https://doi.org/10.1787/20745788","author":[{"dropping-particle":"","family":"OECD","given":"","non-dropping-particle":"","parse-names":false,"suffix":""}],"container-title":"OECD guidelines for the testing of chemicals","edition":"2nd","id":"ITEM-3","issued":{"date-parts":[["2018"]]},"page":"35","publisher":"Organisation for Economic Cooperation and Development","publisher-place":"Paris","title":"OECD TG 492 - Reconstructed human Cornea-like Epithelium (RhCE) test method for identifying chemicals not requiring classification and labelling for eye irritation or serious eye damage","type":"chapter"},"uris":["http://www.mendeley.com/documents/?uuid=ab79853c-9666-4bd8-8e91-4b66e95bfa84"]},{"id":"ITEM-4","itemData":{"DOI":"https://doi.org/10.1787/20745788","author":[{"dropping-particle":"","family":"OECD","given":"","non-dropping-particle":"","parse-names":false,"suffix":""}],"container-title":"OECD guidelines for the testing of chemicals","id":"ITEM-4","issued":{"date-parts":[["2016"]]},"page":"8","publisher":"Organisation for Economic Cooperation and Development","publisher-place":"Paris","title":"OECD TG 431 - In vitro skin corrosion: reconstructed human epidermis (RHE) test method.","type":"chapter"},"uris":["http://www.mendeley.com/documents/?uuid=85fca153-e1e7-4dff-859b-2da8de58c63a"]},{"id":"ITEM-5","itemData":{"DOI":"https://doi.org/10.1787/20745788","author":[{"dropping-particle":"","family":"OECD","given":"","non-dropping-particle":"","parse-names":false,"suffix":""}],"container-title":"OECD guidelines for the testing of chemicals","id":"ITEM-5","issued":{"date-parts":[["2015"]]},"page":"21","title":"OECD TG 439 - In Vitro Skin Irritation: Reconstructed Human Epidermis Test Method","type":"chapter"},"uris":["http://www.mendeley.com/documents/?uuid=fdbc6bac-2601-4422-aeee-fce6841f2cce"]}],"mendeley":{"formattedCitation":"&lt;sup&gt;33–37&lt;/sup&gt;","plainTextFormattedCitation":"33–37","previouslyFormattedCitation":"&lt;sup&gt;33–37&lt;/sup&gt;"},"properties":{"noteIndex":0},"schema":"https://github.com/citation-style-language/schema/raw/master/csl-citation.json"}</w:instrText>
      </w:r>
      <w:r w:rsidR="006618A8" w:rsidRPr="001220A4">
        <w:rPr>
          <w:rFonts w:asciiTheme="minorHAnsi" w:hAnsiTheme="minorHAnsi" w:cstheme="minorHAnsi"/>
          <w:color w:val="auto"/>
        </w:rPr>
        <w:fldChar w:fldCharType="separate"/>
      </w:r>
      <w:r w:rsidR="0077280B" w:rsidRPr="001220A4">
        <w:rPr>
          <w:rFonts w:asciiTheme="minorHAnsi" w:hAnsiTheme="minorHAnsi" w:cstheme="minorHAnsi"/>
          <w:noProof/>
          <w:color w:val="auto"/>
          <w:vertAlign w:val="superscript"/>
        </w:rPr>
        <w:t>33–37</w:t>
      </w:r>
      <w:r w:rsidR="006618A8" w:rsidRPr="001220A4">
        <w:rPr>
          <w:rFonts w:asciiTheme="minorHAnsi" w:hAnsiTheme="minorHAnsi" w:cstheme="minorHAnsi"/>
          <w:color w:val="auto"/>
        </w:rPr>
        <w:fldChar w:fldCharType="end"/>
      </w:r>
      <w:r w:rsidR="005D1A23" w:rsidRPr="001220A4">
        <w:rPr>
          <w:rFonts w:asciiTheme="minorHAnsi" w:hAnsiTheme="minorHAnsi" w:cstheme="minorHAnsi"/>
          <w:color w:val="auto"/>
        </w:rPr>
        <w:t>. The positive contro</w:t>
      </w:r>
      <w:r w:rsidR="00A5674B">
        <w:rPr>
          <w:rFonts w:asciiTheme="minorHAnsi" w:hAnsiTheme="minorHAnsi" w:cstheme="minorHAnsi"/>
          <w:color w:val="auto"/>
        </w:rPr>
        <w:t>l (</w:t>
      </w:r>
      <w:r w:rsidR="005D1A23" w:rsidRPr="001220A4">
        <w:rPr>
          <w:rFonts w:asciiTheme="minorHAnsi" w:hAnsiTheme="minorHAnsi" w:cstheme="minorHAnsi"/>
          <w:color w:val="auto"/>
        </w:rPr>
        <w:t>100</w:t>
      </w:r>
      <w:r w:rsidR="007679BB">
        <w:rPr>
          <w:rFonts w:asciiTheme="minorHAnsi" w:hAnsiTheme="minorHAnsi" w:cstheme="minorHAnsi"/>
          <w:color w:val="auto"/>
        </w:rPr>
        <w:t xml:space="preserve"> </w:t>
      </w:r>
      <w:r w:rsidR="005D1A23" w:rsidRPr="001220A4">
        <w:rPr>
          <w:rFonts w:asciiTheme="minorHAnsi" w:hAnsiTheme="minorHAnsi" w:cstheme="minorHAnsi"/>
          <w:color w:val="auto"/>
        </w:rPr>
        <w:t>mM</w:t>
      </w:r>
      <w:r w:rsidR="00A5674B">
        <w:rPr>
          <w:rFonts w:asciiTheme="minorHAnsi" w:hAnsiTheme="minorHAnsi" w:cstheme="minorHAnsi"/>
          <w:color w:val="auto"/>
        </w:rPr>
        <w:t>)</w:t>
      </w:r>
      <w:r w:rsidR="005D1A23" w:rsidRPr="001220A4">
        <w:rPr>
          <w:rFonts w:asciiTheme="minorHAnsi" w:hAnsiTheme="minorHAnsi" w:cstheme="minorHAnsi"/>
          <w:color w:val="auto"/>
        </w:rPr>
        <w:t xml:space="preserve"> induced significant cell death (survival below 5%).</w:t>
      </w:r>
      <w:r w:rsidR="00B21939" w:rsidRPr="001220A4">
        <w:rPr>
          <w:rFonts w:asciiTheme="minorHAnsi" w:hAnsiTheme="minorHAnsi" w:cstheme="minorHAnsi"/>
          <w:color w:val="auto"/>
        </w:rPr>
        <w:t xml:space="preserve"> The Caco-2/HT-29 viability and proper differentiation as well as the intestine equivalent barrier integrity were verified by TEER evolution during the differentiation period (</w:t>
      </w:r>
      <w:r w:rsidR="007679BB" w:rsidRPr="007679BB">
        <w:rPr>
          <w:rFonts w:asciiTheme="minorHAnsi" w:hAnsiTheme="minorHAnsi" w:cstheme="minorHAnsi"/>
          <w:b/>
          <w:bCs/>
          <w:color w:val="auto"/>
        </w:rPr>
        <w:t>Figure</w:t>
      </w:r>
      <w:r w:rsidR="00B21939" w:rsidRPr="007679BB">
        <w:rPr>
          <w:rFonts w:asciiTheme="minorHAnsi" w:hAnsiTheme="minorHAnsi" w:cstheme="minorHAnsi"/>
          <w:b/>
          <w:bCs/>
          <w:color w:val="auto"/>
        </w:rPr>
        <w:t xml:space="preserve"> 2D</w:t>
      </w:r>
      <w:r w:rsidR="00B21939" w:rsidRPr="001220A4">
        <w:rPr>
          <w:rFonts w:asciiTheme="minorHAnsi" w:hAnsiTheme="minorHAnsi" w:cstheme="minorHAnsi"/>
          <w:color w:val="auto"/>
        </w:rPr>
        <w:t xml:space="preserve">). APAP did not cause any alteration in the TEER values as shown in </w:t>
      </w:r>
      <w:r w:rsidR="007679BB" w:rsidRPr="007679BB">
        <w:rPr>
          <w:rFonts w:asciiTheme="minorHAnsi" w:hAnsiTheme="minorHAnsi" w:cstheme="minorHAnsi"/>
          <w:b/>
          <w:bCs/>
          <w:color w:val="auto"/>
        </w:rPr>
        <w:t>Figure</w:t>
      </w:r>
      <w:r w:rsidR="00B21939" w:rsidRPr="007679BB">
        <w:rPr>
          <w:rFonts w:asciiTheme="minorHAnsi" w:hAnsiTheme="minorHAnsi" w:cstheme="minorHAnsi"/>
          <w:b/>
          <w:bCs/>
          <w:color w:val="auto"/>
        </w:rPr>
        <w:t xml:space="preserve"> 2E</w:t>
      </w:r>
      <w:r w:rsidR="00B21939" w:rsidRPr="001220A4">
        <w:rPr>
          <w:rFonts w:asciiTheme="minorHAnsi" w:hAnsiTheme="minorHAnsi" w:cstheme="minorHAnsi"/>
          <w:color w:val="auto"/>
        </w:rPr>
        <w:t>.</w:t>
      </w:r>
      <w:r w:rsidR="005D1A23" w:rsidRPr="001220A4">
        <w:rPr>
          <w:rFonts w:asciiTheme="minorHAnsi" w:hAnsiTheme="minorHAnsi" w:cstheme="minorHAnsi"/>
          <w:color w:val="auto"/>
        </w:rPr>
        <w:t xml:space="preserve"> The expression of the active sodium-coupled glucose transporters SLC5A1, multidrug resistance transporter MDR1 and sodium-potassium ATPase were analyzed, to verify the APAP treatment impact over cell barriers formation and basal functionality. As demonstrated in </w:t>
      </w:r>
      <w:r w:rsidR="007679BB" w:rsidRPr="007679BB">
        <w:rPr>
          <w:rFonts w:asciiTheme="minorHAnsi" w:hAnsiTheme="minorHAnsi" w:cstheme="minorHAnsi"/>
          <w:b/>
          <w:bCs/>
          <w:color w:val="auto"/>
        </w:rPr>
        <w:t xml:space="preserve">Figure </w:t>
      </w:r>
      <w:r w:rsidR="005D1A23" w:rsidRPr="007679BB">
        <w:rPr>
          <w:rFonts w:asciiTheme="minorHAnsi" w:hAnsiTheme="minorHAnsi" w:cstheme="minorHAnsi"/>
          <w:b/>
          <w:bCs/>
          <w:color w:val="auto"/>
        </w:rPr>
        <w:t>2</w:t>
      </w:r>
      <w:r w:rsidR="00B21939" w:rsidRPr="007679BB">
        <w:rPr>
          <w:rFonts w:asciiTheme="minorHAnsi" w:hAnsiTheme="minorHAnsi" w:cstheme="minorHAnsi"/>
          <w:b/>
          <w:bCs/>
          <w:color w:val="auto"/>
        </w:rPr>
        <w:t>F</w:t>
      </w:r>
      <w:r w:rsidR="005D1A23" w:rsidRPr="007679BB">
        <w:rPr>
          <w:rFonts w:asciiTheme="minorHAnsi" w:hAnsiTheme="minorHAnsi" w:cstheme="minorHAnsi"/>
          <w:b/>
          <w:bCs/>
          <w:color w:val="auto"/>
        </w:rPr>
        <w:t>–</w:t>
      </w:r>
      <w:r w:rsidR="00B21939" w:rsidRPr="007679BB">
        <w:rPr>
          <w:rFonts w:asciiTheme="minorHAnsi" w:hAnsiTheme="minorHAnsi" w:cstheme="minorHAnsi"/>
          <w:b/>
          <w:bCs/>
          <w:color w:val="auto"/>
        </w:rPr>
        <w:t>H</w:t>
      </w:r>
      <w:r w:rsidR="005D1A23" w:rsidRPr="001220A4">
        <w:rPr>
          <w:rFonts w:asciiTheme="minorHAnsi" w:hAnsiTheme="minorHAnsi" w:cstheme="minorHAnsi"/>
          <w:color w:val="auto"/>
        </w:rPr>
        <w:t xml:space="preserve">, both non-treated </w:t>
      </w:r>
      <w:r w:rsidR="005D1A23" w:rsidRPr="001220A4">
        <w:rPr>
          <w:rFonts w:asciiTheme="minorHAnsi" w:hAnsiTheme="minorHAnsi" w:cstheme="minorHAnsi"/>
          <w:color w:val="auto"/>
        </w:rPr>
        <w:lastRenderedPageBreak/>
        <w:t xml:space="preserve">and APAP treated intestine equivalents have shown similar expression of SLC5A1 and </w:t>
      </w:r>
      <w:proofErr w:type="spellStart"/>
      <w:r w:rsidR="005D1A23" w:rsidRPr="001220A4">
        <w:rPr>
          <w:rFonts w:asciiTheme="minorHAnsi" w:hAnsiTheme="minorHAnsi" w:cstheme="minorHAnsi"/>
          <w:color w:val="auto"/>
        </w:rPr>
        <w:t>NaKATPase</w:t>
      </w:r>
      <w:proofErr w:type="spellEnd"/>
      <w:r w:rsidR="005D1A23" w:rsidRPr="001220A4">
        <w:rPr>
          <w:rFonts w:asciiTheme="minorHAnsi" w:hAnsiTheme="minorHAnsi" w:cstheme="minorHAnsi"/>
          <w:color w:val="auto"/>
        </w:rPr>
        <w:t xml:space="preserve">. The oral administration of 12 </w:t>
      </w:r>
      <w:r w:rsidR="008173B3">
        <w:rPr>
          <w:rFonts w:asciiTheme="minorHAnsi" w:hAnsiTheme="minorHAnsi" w:cstheme="minorHAnsi"/>
          <w:color w:val="auto"/>
        </w:rPr>
        <w:t>µ</w:t>
      </w:r>
      <w:r w:rsidR="005D1A23" w:rsidRPr="001220A4">
        <w:rPr>
          <w:rFonts w:asciiTheme="minorHAnsi" w:hAnsiTheme="minorHAnsi" w:cstheme="minorHAnsi"/>
          <w:color w:val="auto"/>
        </w:rPr>
        <w:t>M APAP induced marked an increase in the MDR1 mRNA levels in intestines equivalents after 24 h (</w:t>
      </w:r>
      <w:r w:rsidR="007679BB" w:rsidRPr="007679BB">
        <w:rPr>
          <w:rFonts w:asciiTheme="minorHAnsi" w:hAnsiTheme="minorHAnsi" w:cstheme="minorHAnsi"/>
          <w:b/>
          <w:bCs/>
          <w:color w:val="auto"/>
        </w:rPr>
        <w:t>Figure</w:t>
      </w:r>
      <w:r w:rsidR="005D1A23" w:rsidRPr="007679BB">
        <w:rPr>
          <w:rFonts w:asciiTheme="minorHAnsi" w:hAnsiTheme="minorHAnsi" w:cstheme="minorHAnsi"/>
          <w:b/>
          <w:bCs/>
          <w:color w:val="auto"/>
        </w:rPr>
        <w:t xml:space="preserve"> 2</w:t>
      </w:r>
      <w:r w:rsidR="00B21939" w:rsidRPr="007679BB">
        <w:rPr>
          <w:rFonts w:asciiTheme="minorHAnsi" w:hAnsiTheme="minorHAnsi" w:cstheme="minorHAnsi"/>
          <w:b/>
          <w:bCs/>
          <w:color w:val="auto"/>
        </w:rPr>
        <w:t>H</w:t>
      </w:r>
      <w:r w:rsidR="005D1A23" w:rsidRPr="001220A4">
        <w:rPr>
          <w:rFonts w:asciiTheme="minorHAnsi" w:hAnsiTheme="minorHAnsi" w:cstheme="minorHAnsi"/>
          <w:color w:val="auto"/>
        </w:rPr>
        <w:t>). We also performed HCA of cell phenotypic changes by a fluorophore dye mixture for nuclei and mitochondrial mass content. Positive controls were 100</w:t>
      </w:r>
      <w:r w:rsidR="007679BB">
        <w:rPr>
          <w:rFonts w:asciiTheme="minorHAnsi" w:hAnsiTheme="minorHAnsi" w:cstheme="minorHAnsi"/>
          <w:color w:val="auto"/>
        </w:rPr>
        <w:t xml:space="preserve"> </w:t>
      </w:r>
      <w:r w:rsidR="005D1A23" w:rsidRPr="001220A4">
        <w:rPr>
          <w:rFonts w:asciiTheme="minorHAnsi" w:hAnsiTheme="minorHAnsi" w:cstheme="minorHAnsi"/>
          <w:color w:val="auto"/>
        </w:rPr>
        <w:t xml:space="preserve">mM APAP and 1% NaOH. Additionally, we analyzed whether 12 </w:t>
      </w:r>
      <w:r w:rsidR="008173B3">
        <w:rPr>
          <w:rFonts w:asciiTheme="minorHAnsi" w:hAnsiTheme="minorHAnsi" w:cstheme="minorHAnsi"/>
          <w:color w:val="auto"/>
        </w:rPr>
        <w:t>µ</w:t>
      </w:r>
      <w:r w:rsidR="005D1A23" w:rsidRPr="001220A4">
        <w:rPr>
          <w:rFonts w:asciiTheme="minorHAnsi" w:hAnsiTheme="minorHAnsi" w:cstheme="minorHAnsi"/>
          <w:color w:val="auto"/>
        </w:rPr>
        <w:t xml:space="preserve">M APAP could induce cytotoxicity to the 2D Caco-2/HT-29 co-culture. The intestinal cells images acquired with fluorescence microscopy shown in </w:t>
      </w:r>
      <w:r w:rsidR="007679BB" w:rsidRPr="007679BB">
        <w:rPr>
          <w:rFonts w:asciiTheme="minorHAnsi" w:hAnsiTheme="minorHAnsi" w:cstheme="minorHAnsi"/>
          <w:b/>
          <w:bCs/>
          <w:color w:val="auto"/>
        </w:rPr>
        <w:t xml:space="preserve">Figure </w:t>
      </w:r>
      <w:r w:rsidR="005D1A23" w:rsidRPr="007679BB">
        <w:rPr>
          <w:rFonts w:asciiTheme="minorHAnsi" w:hAnsiTheme="minorHAnsi" w:cstheme="minorHAnsi"/>
          <w:b/>
          <w:bCs/>
          <w:color w:val="auto"/>
        </w:rPr>
        <w:t>2</w:t>
      </w:r>
      <w:r w:rsidR="00B21939" w:rsidRPr="007679BB">
        <w:rPr>
          <w:rFonts w:asciiTheme="minorHAnsi" w:hAnsiTheme="minorHAnsi" w:cstheme="minorHAnsi"/>
          <w:b/>
          <w:bCs/>
          <w:color w:val="auto"/>
        </w:rPr>
        <w:t>I</w:t>
      </w:r>
      <w:r w:rsidR="005D1A23" w:rsidRPr="001220A4">
        <w:rPr>
          <w:rFonts w:asciiTheme="minorHAnsi" w:hAnsiTheme="minorHAnsi" w:cstheme="minorHAnsi"/>
          <w:color w:val="auto"/>
        </w:rPr>
        <w:t xml:space="preserve"> corroborates the MTT data, which have demonstrated that 12 </w:t>
      </w:r>
      <w:r w:rsidR="008173B3">
        <w:rPr>
          <w:rFonts w:asciiTheme="minorHAnsi" w:hAnsiTheme="minorHAnsi" w:cstheme="minorHAnsi"/>
          <w:color w:val="auto"/>
        </w:rPr>
        <w:t>µ</w:t>
      </w:r>
      <w:r w:rsidR="005D1A23" w:rsidRPr="001220A4">
        <w:rPr>
          <w:rFonts w:asciiTheme="minorHAnsi" w:hAnsiTheme="minorHAnsi" w:cstheme="minorHAnsi"/>
          <w:color w:val="auto"/>
        </w:rPr>
        <w:t>M APAP did not cause significa</w:t>
      </w:r>
      <w:r w:rsidR="00B21939" w:rsidRPr="001220A4">
        <w:rPr>
          <w:rFonts w:asciiTheme="minorHAnsi" w:hAnsiTheme="minorHAnsi" w:cstheme="minorHAnsi"/>
          <w:color w:val="auto"/>
        </w:rPr>
        <w:t>nt</w:t>
      </w:r>
      <w:r w:rsidR="005D1A23" w:rsidRPr="001220A4">
        <w:rPr>
          <w:rFonts w:asciiTheme="minorHAnsi" w:hAnsiTheme="minorHAnsi" w:cstheme="minorHAnsi"/>
          <w:color w:val="auto"/>
        </w:rPr>
        <w:t xml:space="preserve"> cytotoxicity in the Caco-2/HT-29 intestinal equivalents.</w:t>
      </w:r>
    </w:p>
    <w:p w14:paraId="35B84B2F" w14:textId="77777777" w:rsidR="007679BB" w:rsidRPr="001220A4" w:rsidRDefault="007679BB" w:rsidP="0054535F">
      <w:pPr>
        <w:pStyle w:val="NormalWeb"/>
        <w:spacing w:before="0" w:beforeAutospacing="0" w:after="0" w:afterAutospacing="0"/>
        <w:ind w:right="6"/>
        <w:contextualSpacing/>
        <w:rPr>
          <w:rFonts w:asciiTheme="minorHAnsi" w:hAnsiTheme="minorHAnsi" w:cstheme="minorHAnsi"/>
          <w:color w:val="auto"/>
        </w:rPr>
      </w:pPr>
    </w:p>
    <w:p w14:paraId="2A13515F" w14:textId="16930C83" w:rsidR="001E14AB" w:rsidRDefault="001E14AB" w:rsidP="0054535F">
      <w:pPr>
        <w:pStyle w:val="NormalWeb"/>
        <w:spacing w:before="0" w:beforeAutospacing="0" w:after="0" w:afterAutospacing="0"/>
        <w:ind w:right="4"/>
        <w:contextualSpacing/>
        <w:rPr>
          <w:rFonts w:asciiTheme="minorHAnsi" w:hAnsiTheme="minorHAnsi" w:cstheme="minorHAnsi"/>
          <w:color w:val="auto"/>
        </w:rPr>
      </w:pPr>
      <w:r w:rsidRPr="001220A4">
        <w:rPr>
          <w:rFonts w:asciiTheme="minorHAnsi" w:hAnsiTheme="minorHAnsi" w:cstheme="minorHAnsi"/>
          <w:color w:val="auto"/>
        </w:rPr>
        <w:t xml:space="preserve">The assessment of hepatic spheroids basal viability and the cytotoxicity in response to 2 </w:t>
      </w:r>
      <w:r w:rsidR="008173B3">
        <w:rPr>
          <w:rFonts w:asciiTheme="minorHAnsi" w:hAnsiTheme="minorHAnsi" w:cstheme="minorHAnsi"/>
          <w:color w:val="auto"/>
        </w:rPr>
        <w:t>µ</w:t>
      </w:r>
      <w:r w:rsidRPr="001220A4">
        <w:rPr>
          <w:rFonts w:asciiTheme="minorHAnsi" w:hAnsiTheme="minorHAnsi" w:cstheme="minorHAnsi"/>
          <w:color w:val="auto"/>
        </w:rPr>
        <w:t xml:space="preserve">M APAP were done by MTT assay and morphological analyses by confocal fluorescence microscopy, H&amp;E histology, and HCA assays. As shown in the </w:t>
      </w:r>
      <w:r w:rsidR="007679BB" w:rsidRPr="007679BB">
        <w:rPr>
          <w:rFonts w:asciiTheme="minorHAnsi" w:hAnsiTheme="minorHAnsi" w:cstheme="minorHAnsi"/>
          <w:b/>
          <w:bCs/>
          <w:color w:val="auto"/>
        </w:rPr>
        <w:t xml:space="preserve">Figure </w:t>
      </w:r>
      <w:r w:rsidRPr="007679BB">
        <w:rPr>
          <w:rFonts w:asciiTheme="minorHAnsi" w:hAnsiTheme="minorHAnsi" w:cstheme="minorHAnsi"/>
          <w:b/>
          <w:bCs/>
          <w:color w:val="auto"/>
        </w:rPr>
        <w:t>3A</w:t>
      </w:r>
      <w:r w:rsidRPr="001220A4">
        <w:rPr>
          <w:rFonts w:asciiTheme="minorHAnsi" w:hAnsiTheme="minorHAnsi" w:cstheme="minorHAnsi"/>
          <w:color w:val="auto"/>
        </w:rPr>
        <w:t xml:space="preserve">, </w:t>
      </w:r>
      <w:r w:rsidR="001246E7" w:rsidRPr="001220A4">
        <w:rPr>
          <w:rFonts w:asciiTheme="minorHAnsi" w:hAnsiTheme="minorHAnsi" w:cstheme="minorHAnsi"/>
          <w:color w:val="auto"/>
        </w:rPr>
        <w:t xml:space="preserve">according to the MTT assay data, </w:t>
      </w:r>
      <w:r w:rsidRPr="001220A4">
        <w:rPr>
          <w:rFonts w:asciiTheme="minorHAnsi" w:hAnsiTheme="minorHAnsi" w:cstheme="minorHAnsi"/>
          <w:color w:val="auto"/>
        </w:rPr>
        <w:t xml:space="preserve">the 2 </w:t>
      </w:r>
      <w:r w:rsidR="008173B3">
        <w:rPr>
          <w:rFonts w:asciiTheme="minorHAnsi" w:hAnsiTheme="minorHAnsi" w:cstheme="minorHAnsi"/>
          <w:color w:val="auto"/>
        </w:rPr>
        <w:t>µ</w:t>
      </w:r>
      <w:r w:rsidRPr="001220A4">
        <w:rPr>
          <w:rFonts w:asciiTheme="minorHAnsi" w:hAnsiTheme="minorHAnsi" w:cstheme="minorHAnsi"/>
          <w:color w:val="auto"/>
        </w:rPr>
        <w:t xml:space="preserve">M APAP treatment did not induce relevant cytotoxicity in the Liver 2-OC assembly under both static and dynamic conditions. The cell viability decreased but remained over 80% </w:t>
      </w:r>
      <w:r w:rsidR="00A5674B">
        <w:rPr>
          <w:rFonts w:asciiTheme="minorHAnsi" w:hAnsiTheme="minorHAnsi" w:cstheme="minorHAnsi"/>
          <w:color w:val="auto"/>
        </w:rPr>
        <w:t>for</w:t>
      </w:r>
      <w:r w:rsidRPr="001220A4">
        <w:rPr>
          <w:rFonts w:asciiTheme="minorHAnsi" w:hAnsiTheme="minorHAnsi" w:cstheme="minorHAnsi"/>
          <w:color w:val="auto"/>
        </w:rPr>
        <w:t xml:space="preserve"> both 12 h and 24 h time-points</w:t>
      </w:r>
      <w:r w:rsidR="000D3BE6" w:rsidRPr="001220A4">
        <w:rPr>
          <w:rFonts w:asciiTheme="minorHAnsi" w:hAnsiTheme="minorHAnsi" w:cstheme="minorHAnsi"/>
          <w:color w:val="auto"/>
        </w:rPr>
        <w:fldChar w:fldCharType="begin" w:fldLock="1"/>
      </w:r>
      <w:r w:rsidR="00DE664D" w:rsidRPr="001220A4">
        <w:rPr>
          <w:rFonts w:asciiTheme="minorHAnsi" w:hAnsiTheme="minorHAnsi" w:cstheme="minorHAnsi"/>
          <w:color w:val="auto"/>
        </w:rPr>
        <w:instrText>ADDIN CSL_CITATION {"citationItems":[{"id":"ITEM-1","itemData":{"DOI":"https://doi.org/10.1787/9789264242432-en.","author":[{"dropping-particle":"","family":"OECD","given":"","non-dropping-particle":"","parse-names":false,"suffix":""}],"container-title":"OECD guidelines for the testing of chemicals","id":"ITEM-1","issued":{"date-parts":[["2018"]]},"page":"14","publisher":"Organisation for Economic Cooperation and Development","publisher-place":"Paris","title":"OECD TG 491 - Short Time Exposure In Vitro Test Method for Identifying i) Chemicals Inducing Serious Eye Damage and ii) Chemicals Not Requiring Classification for Eye Irritation or Serious Eye Damage","type":"chapter"},"uris":["http://www.mendeley.com/documents/?uuid=1630149a-37e1-4b0d-a78e-a33066e72b30"]},{"id":"ITEM-2","itemData":{"DOI":"10.3109/03639045.2014.925919","ISBN":"1520-5762 (Electronic)\\r0363-9045 (Linking)","ISSN":"15205762","PMID":"22285235","abstract":"It is important to determine the toxicity of compounds and co-solvents that are used in cell monolayer permeability studies to increase confidence in the results obtained from these in vitro experiments. This study was designed to evaluate the cytotoxicity of new nifuroxazide derivatives with potential activity against Methicillin-resistant Staphylococcus aureus (MRSA) in Caco-2 cells to select analogues for further in vitro permeability analyses. In this study, nitrofurantoin and nifuroxazide, in addition to 6 furanic and 6 thiophenic nifuroxazide derivatives were tested at 2, 4, 6, 8 and 10μg/mL. In vitro cytotoxicity assays were performed according to the MTT (methyl tetrazolium) assay protocol described in ISO 10993-5. The viability of treated Caco-2 cells was greater than 83% for all tested nitrofurantoin concentrations, while those treated with nifuroxazide at 2, 4 and 6μg/mL had viabilities greater than 70%. Treatment with the nifuroxazide analogues resulted in viability values greater than 70% at 2 and 4μg/mL with the exception of the thiophenic methyl-substituted derivative, which resulted in cell viabilities below 70% at all tested concentrations. Caco-2 cells demonstrated reasonable viability for all nifuroxazide derivatives, except the thiophenic methyl-substituted compound. The former were selected for further permeability studies using Caco-2 cells. © 2012 Elsevier Ltd.","author":[{"dropping-particle":"","family":"Fernandes","given":"Mariane Ballerini","non-dropping-particle":"","parse-names":false,"suffix":""},{"dropping-particle":"","family":"Gonçalves","given":"José E.","non-dropping-particle":"","parse-names":false,"suffix":""},{"dropping-particle":"","family":"Tavares","given":"Leoberto C.","non-dropping-particle":"","parse-names":false,"suffix":""},{"dropping-particle":"","family":"Storpirtis","given":"Sílvia","non-dropping-particle":"","parse-names":false,"suffix":""}],"container-title":"Drug Development and Industrial Pharmacy","id":"ITEM-2","issue":"7","issued":{"date-parts":[["2015"]]},"page":"1066-1072","title":"Caco-2 cells permeability evaluation of nifuroxazide derivatives with potential activity against methicillin-resistant Staphylococcus aureus (MRSA)","type":"article-journal","volume":"41"},"uris":["http://www.mendeley.com/documents/?uuid=2fb8a760-4557-30d0-90a1-37f85fe5a85c"]},{"id":"ITEM-3","itemData":{"DOI":"https://doi.org/10.1787/20745788","author":[{"dropping-particle":"","family":"OECD","given":"","non-dropping-particle":"","parse-names":false,"suffix":""}],"container-title":"OECD guidelines for the testing of chemicals","edition":"2nd","id":"ITEM-3","issued":{"date-parts":[["2018"]]},"page":"35","publisher":"Organisation for Economic Cooperation and Development","publisher-place":"Paris","title":"OECD TG 492 - Reconstructed human Cornea-like Epithelium (RhCE) test method for identifying chemicals not requiring classification and labelling for eye irritation or serious eye damage","type":"chapter"},"uris":["http://www.mendeley.com/documents/?uuid=ab79853c-9666-4bd8-8e91-4b66e95bfa84"]},{"id":"ITEM-4","itemData":{"DOI":"https://doi.org/10.1787/20745788","author":[{"dropping-particle":"","family":"OECD","given":"","non-dropping-particle":"","parse-names":false,"suffix":""}],"container-title":"OECD guidelines for the testing of chemicals","id":"ITEM-4","issued":{"date-parts":[["2016"]]},"page":"8","publisher":"Organisation for Economic Cooperation and Development","publisher-place":"Paris","title":"OECD TG 431 - In vitro skin corrosion: reconstructed human epidermis (RHE) test method.","type":"chapter"},"uris":["http://www.mendeley.com/documents/?uuid=85fca153-e1e7-4dff-859b-2da8de58c63a"]},{"id":"ITEM-5","itemData":{"DOI":"https://doi.org/10.1787/20745788","author":[{"dropping-particle":"","family":"OECD","given":"","non-dropping-particle":"","parse-names":false,"suffix":""}],"container-title":"OECD guidelines for the testing of chemicals","id":"ITEM-5","issued":{"date-parts":[["2015"]]},"page":"21","title":"OECD TG 439 - In Vitro Skin Irritation: Reconstructed Human Epidermis Test Method","type":"chapter"},"uris":["http://www.mendeley.com/documents/?uuid=fdbc6bac-2601-4422-aeee-fce6841f2cce"]}],"mendeley":{"formattedCitation":"&lt;sup&gt;33–37&lt;/sup&gt;","plainTextFormattedCitation":"33–37","previouslyFormattedCitation":"&lt;sup&gt;33–37&lt;/sup&gt;"},"properties":{"noteIndex":0},"schema":"https://github.com/citation-style-language/schema/raw/master/csl-citation.json"}</w:instrText>
      </w:r>
      <w:r w:rsidR="000D3BE6" w:rsidRPr="001220A4">
        <w:rPr>
          <w:rFonts w:asciiTheme="minorHAnsi" w:hAnsiTheme="minorHAnsi" w:cstheme="minorHAnsi"/>
          <w:color w:val="auto"/>
        </w:rPr>
        <w:fldChar w:fldCharType="separate"/>
      </w:r>
      <w:r w:rsidR="0077280B" w:rsidRPr="001220A4">
        <w:rPr>
          <w:rFonts w:asciiTheme="minorHAnsi" w:hAnsiTheme="minorHAnsi" w:cstheme="minorHAnsi"/>
          <w:noProof/>
          <w:color w:val="auto"/>
          <w:vertAlign w:val="superscript"/>
        </w:rPr>
        <w:t>33–37</w:t>
      </w:r>
      <w:r w:rsidR="000D3BE6" w:rsidRPr="001220A4">
        <w:rPr>
          <w:rFonts w:asciiTheme="minorHAnsi" w:hAnsiTheme="minorHAnsi" w:cstheme="minorHAnsi"/>
          <w:color w:val="auto"/>
        </w:rPr>
        <w:fldChar w:fldCharType="end"/>
      </w:r>
      <w:r w:rsidRPr="001220A4">
        <w:rPr>
          <w:rFonts w:asciiTheme="minorHAnsi" w:hAnsiTheme="minorHAnsi" w:cstheme="minorHAnsi"/>
          <w:color w:val="auto"/>
        </w:rPr>
        <w:t>. The positive control treatments (100</w:t>
      </w:r>
      <w:r w:rsidR="007679BB">
        <w:rPr>
          <w:rFonts w:asciiTheme="minorHAnsi" w:hAnsiTheme="minorHAnsi" w:cstheme="minorHAnsi"/>
          <w:color w:val="auto"/>
        </w:rPr>
        <w:t xml:space="preserve"> </w:t>
      </w:r>
      <w:r w:rsidRPr="001220A4">
        <w:rPr>
          <w:rFonts w:asciiTheme="minorHAnsi" w:hAnsiTheme="minorHAnsi" w:cstheme="minorHAnsi"/>
          <w:color w:val="auto"/>
        </w:rPr>
        <w:t>mM APAP and 1% NaOH) induced significant tissue damages (viability below 10%). Microscopic confocal images indicate the absence of a necrotic center in the liver spheroids in both basal or APAP treatment conditions, and no evidence of significant death rates (</w:t>
      </w:r>
      <w:r w:rsidR="007679BB" w:rsidRPr="007679BB">
        <w:rPr>
          <w:rFonts w:asciiTheme="minorHAnsi" w:hAnsiTheme="minorHAnsi" w:cstheme="minorHAnsi"/>
          <w:b/>
          <w:bCs/>
          <w:color w:val="auto"/>
        </w:rPr>
        <w:t xml:space="preserve">Figure </w:t>
      </w:r>
      <w:r w:rsidRPr="007679BB">
        <w:rPr>
          <w:rFonts w:asciiTheme="minorHAnsi" w:hAnsiTheme="minorHAnsi" w:cstheme="minorHAnsi"/>
          <w:b/>
          <w:bCs/>
          <w:color w:val="auto"/>
        </w:rPr>
        <w:t>3B-C</w:t>
      </w:r>
      <w:r w:rsidRPr="001220A4">
        <w:rPr>
          <w:rFonts w:asciiTheme="minorHAnsi" w:hAnsiTheme="minorHAnsi" w:cstheme="minorHAnsi"/>
          <w:color w:val="auto"/>
        </w:rPr>
        <w:t xml:space="preserve">). </w:t>
      </w:r>
      <w:r w:rsidR="00F44550" w:rsidRPr="001220A4">
        <w:rPr>
          <w:rFonts w:asciiTheme="minorHAnsi" w:hAnsiTheme="minorHAnsi" w:cstheme="minorHAnsi"/>
          <w:color w:val="auto"/>
        </w:rPr>
        <w:t xml:space="preserve">However, when we analyzed multiple cellular phenotypic changes following </w:t>
      </w:r>
      <w:r w:rsidR="00A5674B">
        <w:rPr>
          <w:rFonts w:asciiTheme="minorHAnsi" w:hAnsiTheme="minorHAnsi" w:cstheme="minorHAnsi"/>
          <w:color w:val="auto"/>
        </w:rPr>
        <w:t xml:space="preserve">the </w:t>
      </w:r>
      <w:r w:rsidR="00F44550" w:rsidRPr="001220A4">
        <w:rPr>
          <w:rFonts w:asciiTheme="minorHAnsi" w:hAnsiTheme="minorHAnsi" w:cstheme="minorHAnsi"/>
          <w:color w:val="auto"/>
        </w:rPr>
        <w:t xml:space="preserve">vehicle or 2 </w:t>
      </w:r>
      <w:r w:rsidR="008173B3">
        <w:rPr>
          <w:rFonts w:asciiTheme="minorHAnsi" w:hAnsiTheme="minorHAnsi" w:cstheme="minorHAnsi"/>
          <w:color w:val="auto"/>
        </w:rPr>
        <w:t>µ</w:t>
      </w:r>
      <w:r w:rsidR="00F44550" w:rsidRPr="001220A4">
        <w:rPr>
          <w:rFonts w:asciiTheme="minorHAnsi" w:hAnsiTheme="minorHAnsi" w:cstheme="minorHAnsi"/>
          <w:color w:val="auto"/>
        </w:rPr>
        <w:t xml:space="preserve">M APAP administration in the 2D </w:t>
      </w:r>
      <w:proofErr w:type="spellStart"/>
      <w:r w:rsidR="00F44550" w:rsidRPr="001220A4">
        <w:rPr>
          <w:rFonts w:asciiTheme="minorHAnsi" w:hAnsiTheme="minorHAnsi" w:cstheme="minorHAnsi"/>
          <w:color w:val="auto"/>
        </w:rPr>
        <w:t>HepaRG</w:t>
      </w:r>
      <w:proofErr w:type="spellEnd"/>
      <w:r w:rsidR="00F44550" w:rsidRPr="001220A4">
        <w:rPr>
          <w:rFonts w:asciiTheme="minorHAnsi" w:hAnsiTheme="minorHAnsi" w:cstheme="minorHAnsi"/>
          <w:color w:val="auto"/>
        </w:rPr>
        <w:t>/</w:t>
      </w:r>
      <w:proofErr w:type="spellStart"/>
      <w:r w:rsidR="00F44550" w:rsidRPr="001220A4">
        <w:rPr>
          <w:rFonts w:asciiTheme="minorHAnsi" w:hAnsiTheme="minorHAnsi" w:cstheme="minorHAnsi"/>
          <w:color w:val="auto"/>
        </w:rPr>
        <w:t>HHSteC</w:t>
      </w:r>
      <w:proofErr w:type="spellEnd"/>
      <w:r w:rsidR="00F44550" w:rsidRPr="001220A4">
        <w:rPr>
          <w:rFonts w:asciiTheme="minorHAnsi" w:hAnsiTheme="minorHAnsi" w:cstheme="minorHAnsi"/>
          <w:color w:val="auto"/>
        </w:rPr>
        <w:t xml:space="preserve"> coculture through HCA assay, using 100 mM APAP (C+) as a positive control,</w:t>
      </w:r>
      <w:r w:rsidR="001246E7" w:rsidRPr="001220A4">
        <w:rPr>
          <w:rFonts w:asciiTheme="minorHAnsi" w:hAnsiTheme="minorHAnsi" w:cstheme="minorHAnsi"/>
          <w:color w:val="auto"/>
        </w:rPr>
        <w:t xml:space="preserve"> contradictorily to the results of the MTT assay, </w:t>
      </w:r>
      <w:r w:rsidR="00F44550" w:rsidRPr="001220A4">
        <w:rPr>
          <w:rFonts w:asciiTheme="minorHAnsi" w:hAnsiTheme="minorHAnsi" w:cstheme="minorHAnsi"/>
          <w:color w:val="auto"/>
        </w:rPr>
        <w:t xml:space="preserve">the hepatic cells demonstrated early cytotoxic responses to 2 </w:t>
      </w:r>
      <w:r w:rsidR="008173B3">
        <w:rPr>
          <w:rFonts w:asciiTheme="minorHAnsi" w:hAnsiTheme="minorHAnsi" w:cstheme="minorHAnsi"/>
          <w:color w:val="auto"/>
        </w:rPr>
        <w:t>µ</w:t>
      </w:r>
      <w:r w:rsidR="00F44550" w:rsidRPr="001220A4">
        <w:rPr>
          <w:rFonts w:asciiTheme="minorHAnsi" w:hAnsiTheme="minorHAnsi" w:cstheme="minorHAnsi"/>
          <w:color w:val="auto"/>
        </w:rPr>
        <w:t>M APAP treatment (</w:t>
      </w:r>
      <w:r w:rsidR="007679BB" w:rsidRPr="007679BB">
        <w:rPr>
          <w:rFonts w:asciiTheme="minorHAnsi" w:hAnsiTheme="minorHAnsi" w:cstheme="minorHAnsi"/>
          <w:b/>
          <w:bCs/>
          <w:color w:val="auto"/>
        </w:rPr>
        <w:t xml:space="preserve">Figure </w:t>
      </w:r>
      <w:r w:rsidR="00F44550" w:rsidRPr="007679BB">
        <w:rPr>
          <w:rFonts w:asciiTheme="minorHAnsi" w:hAnsiTheme="minorHAnsi" w:cstheme="minorHAnsi"/>
          <w:b/>
          <w:bCs/>
          <w:color w:val="auto"/>
        </w:rPr>
        <w:t>3D</w:t>
      </w:r>
      <w:r w:rsidR="00F44550" w:rsidRPr="001220A4">
        <w:rPr>
          <w:rFonts w:asciiTheme="minorHAnsi" w:hAnsiTheme="minorHAnsi" w:cstheme="minorHAnsi"/>
          <w:color w:val="auto"/>
        </w:rPr>
        <w:t>). After 24 h</w:t>
      </w:r>
      <w:r w:rsidR="00A5674B">
        <w:rPr>
          <w:rFonts w:asciiTheme="minorHAnsi" w:hAnsiTheme="minorHAnsi" w:cstheme="minorHAnsi"/>
          <w:color w:val="auto"/>
        </w:rPr>
        <w:t>,</w:t>
      </w:r>
      <w:r w:rsidR="00F44550" w:rsidRPr="001220A4">
        <w:rPr>
          <w:rFonts w:asciiTheme="minorHAnsi" w:hAnsiTheme="minorHAnsi" w:cstheme="minorHAnsi"/>
          <w:color w:val="auto"/>
        </w:rPr>
        <w:t xml:space="preserve"> there was a decrease in the number of cells, in the nuclear area and an increase in mitochondrial mass</w:t>
      </w:r>
      <w:r w:rsidR="001246E7" w:rsidRPr="001220A4">
        <w:rPr>
          <w:rFonts w:asciiTheme="minorHAnsi" w:hAnsiTheme="minorHAnsi" w:cstheme="minorHAnsi"/>
          <w:color w:val="auto"/>
        </w:rPr>
        <w:t xml:space="preserve">. </w:t>
      </w:r>
      <w:r w:rsidRPr="001220A4">
        <w:rPr>
          <w:rFonts w:asciiTheme="minorHAnsi" w:hAnsiTheme="minorHAnsi" w:cstheme="minorHAnsi"/>
          <w:color w:val="auto"/>
        </w:rPr>
        <w:t xml:space="preserve">Additionally, a fluorophore dye cocktail containing Hoechst 33342 and </w:t>
      </w:r>
      <w:proofErr w:type="spellStart"/>
      <w:r w:rsidRPr="001220A4">
        <w:rPr>
          <w:rFonts w:asciiTheme="minorHAnsi" w:hAnsiTheme="minorHAnsi" w:cstheme="minorHAnsi"/>
          <w:color w:val="auto"/>
        </w:rPr>
        <w:t>MitoTracker</w:t>
      </w:r>
      <w:proofErr w:type="spellEnd"/>
      <w:r w:rsidRPr="001220A4">
        <w:rPr>
          <w:rFonts w:asciiTheme="minorHAnsi" w:hAnsiTheme="minorHAnsi" w:cstheme="minorHAnsi"/>
          <w:color w:val="auto"/>
        </w:rPr>
        <w:t xml:space="preserve"> Deep Red was used to stain the 3D hepatic spheroids (</w:t>
      </w:r>
      <w:r w:rsidR="007679BB" w:rsidRPr="007679BB">
        <w:rPr>
          <w:rFonts w:asciiTheme="minorHAnsi" w:hAnsiTheme="minorHAnsi" w:cstheme="minorHAnsi"/>
          <w:b/>
          <w:bCs/>
          <w:color w:val="auto"/>
        </w:rPr>
        <w:t>Figure</w:t>
      </w:r>
      <w:r w:rsidRPr="007679BB">
        <w:rPr>
          <w:rFonts w:asciiTheme="minorHAnsi" w:hAnsiTheme="minorHAnsi" w:cstheme="minorHAnsi"/>
          <w:b/>
          <w:bCs/>
          <w:color w:val="auto"/>
        </w:rPr>
        <w:t xml:space="preserve"> 3</w:t>
      </w:r>
      <w:r w:rsidR="00F44550" w:rsidRPr="007679BB">
        <w:rPr>
          <w:rFonts w:asciiTheme="minorHAnsi" w:hAnsiTheme="minorHAnsi" w:cstheme="minorHAnsi"/>
          <w:b/>
          <w:bCs/>
          <w:color w:val="auto"/>
        </w:rPr>
        <w:t>J</w:t>
      </w:r>
      <w:r w:rsidRPr="001220A4">
        <w:rPr>
          <w:rFonts w:asciiTheme="minorHAnsi" w:hAnsiTheme="minorHAnsi" w:cstheme="minorHAnsi"/>
          <w:color w:val="auto"/>
        </w:rPr>
        <w:t>). Fiji software was used to evaluate 3D spherical architecture homogeneity among several spheroids (</w:t>
      </w:r>
      <w:r w:rsidR="007679BB" w:rsidRPr="007679BB">
        <w:rPr>
          <w:rFonts w:asciiTheme="minorHAnsi" w:hAnsiTheme="minorHAnsi" w:cstheme="minorHAnsi"/>
          <w:b/>
          <w:bCs/>
          <w:color w:val="auto"/>
        </w:rPr>
        <w:t>Figure</w:t>
      </w:r>
      <w:r w:rsidRPr="007679BB">
        <w:rPr>
          <w:rFonts w:asciiTheme="minorHAnsi" w:hAnsiTheme="minorHAnsi" w:cstheme="minorHAnsi"/>
          <w:b/>
          <w:bCs/>
          <w:color w:val="auto"/>
        </w:rPr>
        <w:t xml:space="preserve"> 3</w:t>
      </w:r>
      <w:r w:rsidR="00F44550" w:rsidRPr="007679BB">
        <w:rPr>
          <w:rFonts w:asciiTheme="minorHAnsi" w:hAnsiTheme="minorHAnsi" w:cstheme="minorHAnsi"/>
          <w:b/>
          <w:bCs/>
          <w:color w:val="auto"/>
        </w:rPr>
        <w:t>E</w:t>
      </w:r>
      <w:r w:rsidRPr="007679BB">
        <w:rPr>
          <w:rFonts w:asciiTheme="minorHAnsi" w:hAnsiTheme="minorHAnsi" w:cstheme="minorHAnsi"/>
          <w:b/>
          <w:bCs/>
          <w:color w:val="auto"/>
        </w:rPr>
        <w:t>–</w:t>
      </w:r>
      <w:r w:rsidR="00F44550" w:rsidRPr="007679BB">
        <w:rPr>
          <w:rFonts w:asciiTheme="minorHAnsi" w:hAnsiTheme="minorHAnsi" w:cstheme="minorHAnsi"/>
          <w:b/>
          <w:bCs/>
          <w:color w:val="auto"/>
        </w:rPr>
        <w:t>I</w:t>
      </w:r>
      <w:r w:rsidRPr="001220A4">
        <w:rPr>
          <w:rFonts w:asciiTheme="minorHAnsi" w:hAnsiTheme="minorHAnsi" w:cstheme="minorHAnsi"/>
          <w:color w:val="auto"/>
        </w:rPr>
        <w:t>). The graphic show</w:t>
      </w:r>
      <w:r w:rsidR="00A5674B">
        <w:rPr>
          <w:rFonts w:asciiTheme="minorHAnsi" w:hAnsiTheme="minorHAnsi" w:cstheme="minorHAnsi"/>
          <w:color w:val="auto"/>
        </w:rPr>
        <w:t>n</w:t>
      </w:r>
      <w:r w:rsidRPr="001220A4">
        <w:rPr>
          <w:rFonts w:asciiTheme="minorHAnsi" w:hAnsiTheme="minorHAnsi" w:cstheme="minorHAnsi"/>
          <w:color w:val="auto"/>
        </w:rPr>
        <w:t xml:space="preserve"> in </w:t>
      </w:r>
      <w:r w:rsidR="007679BB" w:rsidRPr="00A5674B">
        <w:rPr>
          <w:rFonts w:asciiTheme="minorHAnsi" w:hAnsiTheme="minorHAnsi" w:cstheme="minorHAnsi"/>
          <w:b/>
          <w:bCs/>
          <w:color w:val="auto"/>
        </w:rPr>
        <w:t>Figure</w:t>
      </w:r>
      <w:r w:rsidRPr="00A5674B">
        <w:rPr>
          <w:rFonts w:asciiTheme="minorHAnsi" w:hAnsiTheme="minorHAnsi" w:cstheme="minorHAnsi"/>
          <w:b/>
          <w:bCs/>
          <w:color w:val="auto"/>
        </w:rPr>
        <w:t xml:space="preserve"> 3</w:t>
      </w:r>
      <w:r w:rsidR="00F44550" w:rsidRPr="00A5674B">
        <w:rPr>
          <w:rFonts w:asciiTheme="minorHAnsi" w:hAnsiTheme="minorHAnsi" w:cstheme="minorHAnsi"/>
          <w:b/>
          <w:bCs/>
          <w:color w:val="auto"/>
        </w:rPr>
        <w:t>E</w:t>
      </w:r>
      <w:r w:rsidRPr="001220A4">
        <w:rPr>
          <w:rFonts w:asciiTheme="minorHAnsi" w:hAnsiTheme="minorHAnsi" w:cstheme="minorHAnsi"/>
          <w:color w:val="auto"/>
        </w:rPr>
        <w:t xml:space="preserve"> shows the similarity among liver spheroids total area. The aspect ratio (</w:t>
      </w:r>
      <w:r w:rsidR="007679BB" w:rsidRPr="007679BB">
        <w:rPr>
          <w:rFonts w:asciiTheme="minorHAnsi" w:hAnsiTheme="minorHAnsi" w:cstheme="minorHAnsi"/>
          <w:b/>
          <w:bCs/>
          <w:color w:val="auto"/>
        </w:rPr>
        <w:t>Figure</w:t>
      </w:r>
      <w:r w:rsidRPr="007679BB">
        <w:rPr>
          <w:rFonts w:asciiTheme="minorHAnsi" w:hAnsiTheme="minorHAnsi" w:cstheme="minorHAnsi"/>
          <w:b/>
          <w:bCs/>
          <w:color w:val="auto"/>
        </w:rPr>
        <w:t xml:space="preserve"> 3</w:t>
      </w:r>
      <w:r w:rsidR="00F44550" w:rsidRPr="007679BB">
        <w:rPr>
          <w:rFonts w:asciiTheme="minorHAnsi" w:hAnsiTheme="minorHAnsi" w:cstheme="minorHAnsi"/>
          <w:b/>
          <w:bCs/>
          <w:color w:val="auto"/>
        </w:rPr>
        <w:t>F</w:t>
      </w:r>
      <w:r w:rsidRPr="001220A4">
        <w:rPr>
          <w:rFonts w:asciiTheme="minorHAnsi" w:hAnsiTheme="minorHAnsi" w:cstheme="minorHAnsi"/>
          <w:color w:val="auto"/>
        </w:rPr>
        <w:t xml:space="preserve">) around 1 means an absence of bias during the confection process of the spheroids. The evaluation also indicated that </w:t>
      </w:r>
      <w:proofErr w:type="gramStart"/>
      <w:r w:rsidRPr="001220A4">
        <w:rPr>
          <w:rFonts w:asciiTheme="minorHAnsi" w:hAnsiTheme="minorHAnsi" w:cstheme="minorHAnsi"/>
          <w:color w:val="auto"/>
        </w:rPr>
        <w:t>the majority of</w:t>
      </w:r>
      <w:proofErr w:type="gramEnd"/>
      <w:r w:rsidRPr="001220A4">
        <w:rPr>
          <w:rFonts w:asciiTheme="minorHAnsi" w:hAnsiTheme="minorHAnsi" w:cstheme="minorHAnsi"/>
          <w:color w:val="auto"/>
        </w:rPr>
        <w:t xml:space="preserve"> the spheroids were roughly rounded (</w:t>
      </w:r>
      <w:r w:rsidR="007679BB" w:rsidRPr="007679BB">
        <w:rPr>
          <w:rFonts w:asciiTheme="minorHAnsi" w:hAnsiTheme="minorHAnsi" w:cstheme="minorHAnsi"/>
          <w:b/>
          <w:bCs/>
          <w:color w:val="auto"/>
        </w:rPr>
        <w:t>Figure</w:t>
      </w:r>
      <w:r w:rsidRPr="007679BB">
        <w:rPr>
          <w:rFonts w:asciiTheme="minorHAnsi" w:hAnsiTheme="minorHAnsi" w:cstheme="minorHAnsi"/>
          <w:b/>
          <w:bCs/>
          <w:color w:val="auto"/>
        </w:rPr>
        <w:t xml:space="preserve"> 3</w:t>
      </w:r>
      <w:r w:rsidR="00F44550" w:rsidRPr="007679BB">
        <w:rPr>
          <w:rFonts w:asciiTheme="minorHAnsi" w:hAnsiTheme="minorHAnsi" w:cstheme="minorHAnsi"/>
          <w:b/>
          <w:bCs/>
          <w:color w:val="auto"/>
        </w:rPr>
        <w:t>G</w:t>
      </w:r>
      <w:r w:rsidRPr="001220A4">
        <w:rPr>
          <w:rFonts w:asciiTheme="minorHAnsi" w:hAnsiTheme="minorHAnsi" w:cstheme="minorHAnsi"/>
          <w:color w:val="auto"/>
        </w:rPr>
        <w:t>). The evaluation of the morphology perimeter</w:t>
      </w:r>
      <w:r w:rsidR="000A33B5" w:rsidRPr="001220A4">
        <w:rPr>
          <w:rFonts w:asciiTheme="minorHAnsi" w:hAnsiTheme="minorHAnsi" w:cstheme="minorHAnsi"/>
          <w:color w:val="auto"/>
        </w:rPr>
        <w:t xml:space="preserve"> and cell distribution</w:t>
      </w:r>
      <w:r w:rsidRPr="001220A4">
        <w:rPr>
          <w:rFonts w:asciiTheme="minorHAnsi" w:hAnsiTheme="minorHAnsi" w:cstheme="minorHAnsi"/>
          <w:color w:val="auto"/>
        </w:rPr>
        <w:t xml:space="preserve"> was done by circularity (</w:t>
      </w:r>
      <w:r w:rsidR="007679BB" w:rsidRPr="007679BB">
        <w:rPr>
          <w:rFonts w:asciiTheme="minorHAnsi" w:hAnsiTheme="minorHAnsi" w:cstheme="minorHAnsi"/>
          <w:b/>
          <w:bCs/>
          <w:color w:val="auto"/>
        </w:rPr>
        <w:t>Figure</w:t>
      </w:r>
      <w:r w:rsidRPr="007679BB">
        <w:rPr>
          <w:rFonts w:asciiTheme="minorHAnsi" w:hAnsiTheme="minorHAnsi" w:cstheme="minorHAnsi"/>
          <w:b/>
          <w:bCs/>
          <w:color w:val="auto"/>
        </w:rPr>
        <w:t xml:space="preserve"> 3</w:t>
      </w:r>
      <w:r w:rsidR="00F44550" w:rsidRPr="007679BB">
        <w:rPr>
          <w:rFonts w:asciiTheme="minorHAnsi" w:hAnsiTheme="minorHAnsi" w:cstheme="minorHAnsi"/>
          <w:b/>
          <w:bCs/>
          <w:color w:val="auto"/>
        </w:rPr>
        <w:t>I</w:t>
      </w:r>
      <w:r w:rsidRPr="001220A4">
        <w:rPr>
          <w:rFonts w:asciiTheme="minorHAnsi" w:hAnsiTheme="minorHAnsi" w:cstheme="minorHAnsi"/>
          <w:color w:val="auto"/>
        </w:rPr>
        <w:t>)</w:t>
      </w:r>
      <w:r w:rsidR="000A33B5" w:rsidRPr="001220A4">
        <w:rPr>
          <w:rFonts w:asciiTheme="minorHAnsi" w:hAnsiTheme="minorHAnsi" w:cstheme="minorHAnsi"/>
          <w:color w:val="auto"/>
        </w:rPr>
        <w:t xml:space="preserve"> and by solidity calculation (</w:t>
      </w:r>
      <w:r w:rsidR="007679BB" w:rsidRPr="007679BB">
        <w:rPr>
          <w:rFonts w:asciiTheme="minorHAnsi" w:hAnsiTheme="minorHAnsi" w:cstheme="minorHAnsi"/>
          <w:b/>
          <w:bCs/>
          <w:color w:val="auto"/>
        </w:rPr>
        <w:t xml:space="preserve">Figure </w:t>
      </w:r>
      <w:r w:rsidR="000A33B5" w:rsidRPr="007679BB">
        <w:rPr>
          <w:rFonts w:asciiTheme="minorHAnsi" w:hAnsiTheme="minorHAnsi" w:cstheme="minorHAnsi"/>
          <w:b/>
          <w:bCs/>
          <w:color w:val="auto"/>
        </w:rPr>
        <w:t>3H</w:t>
      </w:r>
      <w:r w:rsidR="000A33B5" w:rsidRPr="001220A4">
        <w:rPr>
          <w:rFonts w:asciiTheme="minorHAnsi" w:hAnsiTheme="minorHAnsi" w:cstheme="minorHAnsi"/>
          <w:color w:val="auto"/>
        </w:rPr>
        <w:t>)</w:t>
      </w:r>
      <w:r w:rsidR="00A5674B">
        <w:rPr>
          <w:rFonts w:asciiTheme="minorHAnsi" w:hAnsiTheme="minorHAnsi" w:cstheme="minorHAnsi"/>
          <w:color w:val="auto"/>
        </w:rPr>
        <w:t>,</w:t>
      </w:r>
      <w:r w:rsidR="000A33B5" w:rsidRPr="001220A4">
        <w:rPr>
          <w:rFonts w:asciiTheme="minorHAnsi" w:hAnsiTheme="minorHAnsi" w:cstheme="minorHAnsi"/>
          <w:color w:val="auto"/>
        </w:rPr>
        <w:t xml:space="preserve"> respectively</w:t>
      </w:r>
      <w:r w:rsidRPr="001220A4">
        <w:rPr>
          <w:rFonts w:asciiTheme="minorHAnsi" w:hAnsiTheme="minorHAnsi" w:cstheme="minorHAnsi"/>
          <w:color w:val="auto"/>
        </w:rPr>
        <w:t>. We concluded that the methodology to confectioning the liver spheroids had generated organoids with a smooth perimeter, compatible with spherical growth, no biases</w:t>
      </w:r>
      <w:r w:rsidR="002B467C" w:rsidRPr="001220A4">
        <w:rPr>
          <w:rFonts w:asciiTheme="minorHAnsi" w:hAnsiTheme="minorHAnsi" w:cstheme="minorHAnsi"/>
          <w:color w:val="auto"/>
        </w:rPr>
        <w:t>,</w:t>
      </w:r>
      <w:r w:rsidRPr="001220A4">
        <w:rPr>
          <w:rFonts w:asciiTheme="minorHAnsi" w:hAnsiTheme="minorHAnsi" w:cstheme="minorHAnsi"/>
          <w:color w:val="auto"/>
        </w:rPr>
        <w:t xml:space="preserve"> or necrosis during the process.</w:t>
      </w:r>
    </w:p>
    <w:p w14:paraId="253B0251" w14:textId="77777777" w:rsidR="007679BB" w:rsidRPr="001220A4" w:rsidRDefault="007679BB" w:rsidP="0054535F">
      <w:pPr>
        <w:pStyle w:val="NormalWeb"/>
        <w:spacing w:before="0" w:beforeAutospacing="0" w:after="0" w:afterAutospacing="0"/>
        <w:ind w:right="4"/>
        <w:contextualSpacing/>
        <w:rPr>
          <w:rFonts w:asciiTheme="minorHAnsi" w:hAnsiTheme="minorHAnsi" w:cstheme="minorHAnsi"/>
          <w:color w:val="auto"/>
        </w:rPr>
      </w:pPr>
    </w:p>
    <w:p w14:paraId="3AEA16E0" w14:textId="3DE866FB" w:rsidR="00F44550" w:rsidRDefault="00F44550" w:rsidP="0054535F">
      <w:pPr>
        <w:ind w:right="4"/>
        <w:contextualSpacing/>
        <w:rPr>
          <w:rFonts w:asciiTheme="minorHAnsi" w:hAnsiTheme="minorHAnsi" w:cstheme="minorHAnsi"/>
          <w:color w:val="auto"/>
        </w:rPr>
      </w:pPr>
      <w:r w:rsidRPr="001220A4">
        <w:rPr>
          <w:rFonts w:asciiTheme="minorHAnsi" w:hAnsiTheme="minorHAnsi" w:cstheme="minorHAnsi"/>
          <w:color w:val="auto"/>
        </w:rPr>
        <w:t xml:space="preserve">As demonstrated in </w:t>
      </w:r>
      <w:r w:rsidR="007679BB" w:rsidRPr="007679BB">
        <w:rPr>
          <w:rFonts w:asciiTheme="minorHAnsi" w:hAnsiTheme="minorHAnsi" w:cstheme="minorHAnsi"/>
          <w:b/>
          <w:bCs/>
          <w:color w:val="auto"/>
        </w:rPr>
        <w:t xml:space="preserve">Figure </w:t>
      </w:r>
      <w:r w:rsidR="000A33B5" w:rsidRPr="007679BB">
        <w:rPr>
          <w:rFonts w:asciiTheme="minorHAnsi" w:hAnsiTheme="minorHAnsi" w:cstheme="minorHAnsi"/>
          <w:b/>
          <w:bCs/>
          <w:color w:val="auto"/>
        </w:rPr>
        <w:t>4A</w:t>
      </w:r>
      <w:r w:rsidRPr="007679BB">
        <w:rPr>
          <w:rFonts w:asciiTheme="minorHAnsi" w:hAnsiTheme="minorHAnsi" w:cstheme="minorHAnsi"/>
          <w:b/>
          <w:bCs/>
          <w:color w:val="auto"/>
        </w:rPr>
        <w:t>-</w:t>
      </w:r>
      <w:r w:rsidR="000A33B5" w:rsidRPr="007679BB">
        <w:rPr>
          <w:rFonts w:asciiTheme="minorHAnsi" w:hAnsiTheme="minorHAnsi" w:cstheme="minorHAnsi"/>
          <w:b/>
          <w:bCs/>
          <w:color w:val="auto"/>
        </w:rPr>
        <w:t>B</w:t>
      </w:r>
      <w:r w:rsidRPr="001220A4">
        <w:rPr>
          <w:rFonts w:asciiTheme="minorHAnsi" w:hAnsiTheme="minorHAnsi" w:cstheme="minorHAnsi"/>
          <w:color w:val="auto"/>
        </w:rPr>
        <w:t>, the liver spheroids showed a</w:t>
      </w:r>
      <w:r w:rsidR="000A33B5" w:rsidRPr="001220A4">
        <w:rPr>
          <w:rFonts w:asciiTheme="minorHAnsi" w:hAnsiTheme="minorHAnsi" w:cstheme="minorHAnsi"/>
          <w:color w:val="auto"/>
        </w:rPr>
        <w:t xml:space="preserve"> relative</w:t>
      </w:r>
      <w:r w:rsidRPr="001220A4">
        <w:rPr>
          <w:rFonts w:asciiTheme="minorHAnsi" w:hAnsiTheme="minorHAnsi" w:cstheme="minorHAnsi"/>
          <w:color w:val="auto"/>
        </w:rPr>
        <w:t xml:space="preserve"> basal high level of albumin and GST mRNA expression respectively, indicating proper basal functionality. Nevertheless, the 2 </w:t>
      </w:r>
      <w:r w:rsidR="008173B3">
        <w:rPr>
          <w:rFonts w:asciiTheme="minorHAnsi" w:hAnsiTheme="minorHAnsi" w:cstheme="minorHAnsi"/>
          <w:color w:val="auto"/>
        </w:rPr>
        <w:t>µ</w:t>
      </w:r>
      <w:r w:rsidRPr="001220A4">
        <w:rPr>
          <w:rFonts w:asciiTheme="minorHAnsi" w:hAnsiTheme="minorHAnsi" w:cstheme="minorHAnsi"/>
          <w:color w:val="auto"/>
        </w:rPr>
        <w:t>M APAP treatment for 24 h</w:t>
      </w:r>
      <w:r w:rsidR="00A5674B">
        <w:rPr>
          <w:rFonts w:asciiTheme="minorHAnsi" w:hAnsiTheme="minorHAnsi" w:cstheme="minorHAnsi"/>
          <w:color w:val="auto"/>
        </w:rPr>
        <w:t xml:space="preserve"> </w:t>
      </w:r>
      <w:r w:rsidRPr="001220A4">
        <w:rPr>
          <w:rFonts w:asciiTheme="minorHAnsi" w:hAnsiTheme="minorHAnsi" w:cstheme="minorHAnsi"/>
          <w:color w:val="auto"/>
        </w:rPr>
        <w:t xml:space="preserve">induced a decrease in the albumin and the GST mRNA expression levels, suggesting impairment of liver spheroids functionally at 24 h time point of APAP treatment. </w:t>
      </w:r>
    </w:p>
    <w:p w14:paraId="2F061CE0" w14:textId="77777777" w:rsidR="007679BB" w:rsidRPr="001220A4" w:rsidRDefault="007679BB" w:rsidP="0054535F">
      <w:pPr>
        <w:ind w:right="4"/>
        <w:contextualSpacing/>
        <w:rPr>
          <w:rFonts w:asciiTheme="minorHAnsi" w:hAnsiTheme="minorHAnsi" w:cstheme="minorHAnsi"/>
          <w:color w:val="auto"/>
        </w:rPr>
      </w:pPr>
    </w:p>
    <w:p w14:paraId="42A89738" w14:textId="528430BE" w:rsidR="000A33B5" w:rsidRDefault="00F44550" w:rsidP="0054535F">
      <w:pPr>
        <w:ind w:right="4"/>
        <w:contextualSpacing/>
        <w:rPr>
          <w:rFonts w:asciiTheme="minorHAnsi" w:hAnsiTheme="minorHAnsi" w:cstheme="minorHAnsi"/>
          <w:color w:val="auto"/>
        </w:rPr>
      </w:pPr>
      <w:r w:rsidRPr="001220A4">
        <w:rPr>
          <w:rFonts w:asciiTheme="minorHAnsi" w:hAnsiTheme="minorHAnsi" w:cstheme="minorHAnsi"/>
          <w:color w:val="auto"/>
        </w:rPr>
        <w:t>The detection of the CYP3A4 and UGT1A1 mRNA expression levels demonstrates the liver equivalents metabolic capacity. The CYP3A4 mRNA basal level (</w:t>
      </w:r>
      <w:r w:rsidR="007679BB" w:rsidRPr="007679BB">
        <w:rPr>
          <w:rFonts w:asciiTheme="minorHAnsi" w:hAnsiTheme="minorHAnsi" w:cstheme="minorHAnsi"/>
          <w:b/>
          <w:bCs/>
          <w:color w:val="auto"/>
        </w:rPr>
        <w:t xml:space="preserve">Figure </w:t>
      </w:r>
      <w:r w:rsidR="000A33B5" w:rsidRPr="007679BB">
        <w:rPr>
          <w:rFonts w:asciiTheme="minorHAnsi" w:hAnsiTheme="minorHAnsi" w:cstheme="minorHAnsi"/>
          <w:b/>
          <w:bCs/>
          <w:color w:val="auto"/>
        </w:rPr>
        <w:t>4C</w:t>
      </w:r>
      <w:r w:rsidRPr="001220A4">
        <w:rPr>
          <w:rFonts w:asciiTheme="minorHAnsi" w:hAnsiTheme="minorHAnsi" w:cstheme="minorHAnsi"/>
          <w:color w:val="auto"/>
        </w:rPr>
        <w:t>) was consistent with previous reports</w:t>
      </w:r>
      <w:r w:rsidRPr="001220A4">
        <w:rPr>
          <w:rFonts w:asciiTheme="minorHAnsi" w:hAnsiTheme="minorHAnsi" w:cstheme="minorHAnsi"/>
          <w:color w:val="auto"/>
        </w:rPr>
        <w:fldChar w:fldCharType="begin" w:fldLock="1"/>
      </w:r>
      <w:r w:rsidR="002E703E" w:rsidRPr="001220A4">
        <w:rPr>
          <w:rFonts w:asciiTheme="minorHAnsi" w:hAnsiTheme="minorHAnsi" w:cstheme="minorHAnsi"/>
          <w:color w:val="auto"/>
        </w:rPr>
        <w:instrText>ADDIN CSL_CITATION {"citationItems":[{"id":"ITEM-1","itemData":{"DOI":"10.1039/C5LC00392J","ISBN":"1473-0189 (Electronic)\\r1473-0189 (Linking)","ISSN":"1473-0197","PMID":"25996126","abstract":"Systemic absorption and metabolism of drugs in the small intestine, metabolism by the liver as well as excretion by the kidney are key determinants of efficacy and safety for therapeutic candidates. However, these systemic responses of applied substances lack in most in vitro assays. In this study, a microphysiological system maintaining the functionality of four organs over 28 days in co-culture has been established at a minute but standardized microsystem scale. Preformed human intestine and skin models have been integrated into the four-organ-chip on standard cell culture inserts at a size 100000-fold smaller than their human counterpart organs. A 3D-based spheroid, equivalent to ten liver lobules, mimics liver function. Finally, a barrier segregating the media flow through the organs from fluids excreted by the kidney has been generated by a polymeric membrane covered by a monolayer of human proximal tubule epithelial cells. A peristaltic on-chip micropump ensures pulsatile media flow interconnecting the four tissue culture compartments through microfluidic channels. A second microfluidic circuit ensures drainage of the fluid excreted through the kidney epithelial cell layer. This four-organ-chip system assures near to physiological fluid-to-tissue ratios. In-depth metabolic and gene analysis revealed the establishment of reproducible homeostasis among the co-cultures within two to four days, sustainable over at least 28 days independent of the individual human cell line or tissue donor background used for each organ equivalent. Lastly, 3D imaging two-photon microscopy visualised details of spatiotemporal segregation of the two microfluidic flows by proximal tubule epithelia. To our knowledge, this study is the first approach to establish a system for in vitro microfluidic ADME profiling and repeated dose systemic toxicity testing of drug candidates over 28 days.","author":[{"dropping-particle":"","family":"Maschmeyer","given":"Ilka","non-dropping-particle":"","parse-names":false,"suffix":""},{"dropping-particle":"","family":"Lorenz","given":"Alexandra K.","non-dropping-particle":"","parse-names":false,"suffix":""},{"dropping-particle":"","family":"Schimek","given":"Katharina","non-dropping-particle":"","parse-names":false,"suffix":""},{"dropping-particle":"","family":"Hasenberg","given":"Tobias","non-dropping-particle":"","parse-names":false,"suffix":""},{"dropping-particle":"","family":"Ramme","given":"Anja P.","non-dropping-particle":"","parse-names":false,"suffix":""},{"dropping-particle":"","family":"Hübner","given":"Juliane","non-dropping-particle":"","parse-names":false,"suffix":""},{"dropping-particle":"","family":"Lindner","given":"Marcus","non-dropping-particle":"","parse-names":false,"suffix":""},{"dropping-particle":"","family":"Drewell","given":"Christopher","non-dropping-particle":"","parse-names":false,"suffix":""},{"dropping-particle":"","family":"Bauer","given":"Sophie","non-dropping-particle":"","parse-names":false,"suffix":""},{"dropping-particle":"","family":"Thomas","given":"Alexander","non-dropping-particle":"","parse-names":false,"suffix":""},{"dropping-particle":"","family":"Sambo","given":"Naomia Sisoli","non-dropping-particle":"","parse-names":false,"suffix":""},{"dropping-particle":"","family":"Sonntag","given":"Frank","non-dropping-particle":"","parse-names":false,"suffix":""},{"dropping-particle":"","family":"Lauster","given":"Roland","non-dropping-particle":"","parse-names":false,"suffix":""},{"dropping-particle":"","family":"Marx","given":"Uwe","non-dropping-particle":"","parse-names":false,"suffix":""}],"container-title":"Lab Chip","id":"ITEM-1","issue":"12","issued":{"date-parts":[["2015"]]},"page":"2688-2699","title":"A four-organ-chip for interconnected long-term co-culture of human intestine, liver, skin and kidney equivalents","type":"article-journal","volume":"15"},"uris":["http://www.mendeley.com/documents/?uuid=da62ab58-38b3-3b46-9f74-6125132b2a09"]}],"mendeley":{"formattedCitation":"&lt;sup&gt;6&lt;/sup&gt;","plainTextFormattedCitation":"6","previouslyFormattedCitation":"&lt;sup&gt;6&lt;/sup&gt;"},"properties":{"noteIndex":0},"schema":"https://github.com/citation-style-language/schema/raw/master/csl-citation.json"}</w:instrText>
      </w:r>
      <w:r w:rsidRPr="001220A4">
        <w:rPr>
          <w:rFonts w:asciiTheme="minorHAnsi" w:hAnsiTheme="minorHAnsi" w:cstheme="minorHAnsi"/>
          <w:color w:val="auto"/>
        </w:rPr>
        <w:fldChar w:fldCharType="separate"/>
      </w:r>
      <w:r w:rsidR="0077280B" w:rsidRPr="001220A4">
        <w:rPr>
          <w:rFonts w:asciiTheme="minorHAnsi" w:hAnsiTheme="minorHAnsi" w:cstheme="minorHAnsi"/>
          <w:noProof/>
          <w:color w:val="auto"/>
          <w:vertAlign w:val="superscript"/>
        </w:rPr>
        <w:t>6</w:t>
      </w:r>
      <w:r w:rsidRPr="001220A4">
        <w:rPr>
          <w:rFonts w:asciiTheme="minorHAnsi" w:hAnsiTheme="minorHAnsi" w:cstheme="minorHAnsi"/>
          <w:color w:val="auto"/>
        </w:rPr>
        <w:fldChar w:fldCharType="end"/>
      </w:r>
      <w:r w:rsidRPr="001220A4">
        <w:rPr>
          <w:rFonts w:asciiTheme="minorHAnsi" w:hAnsiTheme="minorHAnsi" w:cstheme="minorHAnsi"/>
          <w:color w:val="auto"/>
        </w:rPr>
        <w:t xml:space="preserve">. The APAP treatment induced a trend for a decrease in both CYP3A4 mRNA and </w:t>
      </w:r>
      <w:r w:rsidRPr="001220A4">
        <w:rPr>
          <w:rFonts w:asciiTheme="minorHAnsi" w:hAnsiTheme="minorHAnsi" w:cstheme="minorHAnsi"/>
          <w:color w:val="auto"/>
        </w:rPr>
        <w:lastRenderedPageBreak/>
        <w:t>UGT1A1 expression in response to APAP treatment (</w:t>
      </w:r>
      <w:r w:rsidR="007679BB" w:rsidRPr="007679BB">
        <w:rPr>
          <w:rFonts w:asciiTheme="minorHAnsi" w:hAnsiTheme="minorHAnsi" w:cstheme="minorHAnsi"/>
          <w:b/>
          <w:bCs/>
          <w:color w:val="auto"/>
        </w:rPr>
        <w:t xml:space="preserve">Figure </w:t>
      </w:r>
      <w:r w:rsidR="000A33B5" w:rsidRPr="007679BB">
        <w:rPr>
          <w:rFonts w:asciiTheme="minorHAnsi" w:hAnsiTheme="minorHAnsi" w:cstheme="minorHAnsi"/>
          <w:b/>
          <w:bCs/>
          <w:color w:val="auto"/>
        </w:rPr>
        <w:t>4C-D</w:t>
      </w:r>
      <w:r w:rsidR="000A33B5" w:rsidRPr="001220A4">
        <w:rPr>
          <w:rFonts w:asciiTheme="minorHAnsi" w:hAnsiTheme="minorHAnsi" w:cstheme="minorHAnsi"/>
          <w:color w:val="auto"/>
        </w:rPr>
        <w:t xml:space="preserve">) once again corroborating the hypothesis of impairment of liver spheroids functionally at 24 h time point of APAP treatment. </w:t>
      </w:r>
    </w:p>
    <w:p w14:paraId="3E5B1B1B" w14:textId="77777777" w:rsidR="007679BB" w:rsidRPr="001220A4" w:rsidRDefault="007679BB" w:rsidP="0054535F">
      <w:pPr>
        <w:ind w:right="4"/>
        <w:contextualSpacing/>
        <w:rPr>
          <w:rFonts w:asciiTheme="minorHAnsi" w:hAnsiTheme="minorHAnsi" w:cstheme="minorHAnsi"/>
          <w:color w:val="auto"/>
        </w:rPr>
      </w:pPr>
    </w:p>
    <w:p w14:paraId="177CE88F" w14:textId="086C8A8D" w:rsidR="00F44550" w:rsidRDefault="000A33B5" w:rsidP="0054535F">
      <w:pPr>
        <w:ind w:right="4"/>
        <w:contextualSpacing/>
        <w:rPr>
          <w:rFonts w:asciiTheme="minorHAnsi" w:hAnsiTheme="minorHAnsi" w:cstheme="minorHAnsi"/>
          <w:color w:val="auto"/>
        </w:rPr>
      </w:pPr>
      <w:r w:rsidRPr="001220A4">
        <w:rPr>
          <w:rFonts w:asciiTheme="minorHAnsi" w:hAnsiTheme="minorHAnsi" w:cstheme="minorHAnsi"/>
          <w:color w:val="auto"/>
        </w:rPr>
        <w:t xml:space="preserve">Additionally, experiments of western blotting and </w:t>
      </w:r>
      <w:r w:rsidR="00194937" w:rsidRPr="00194937">
        <w:rPr>
          <w:rFonts w:asciiTheme="minorHAnsi" w:hAnsiTheme="minorHAnsi" w:cstheme="minorHAnsi"/>
          <w:color w:val="auto"/>
        </w:rPr>
        <w:t>in vitro</w:t>
      </w:r>
      <w:r w:rsidRPr="001220A4">
        <w:rPr>
          <w:rFonts w:asciiTheme="minorHAnsi" w:hAnsiTheme="minorHAnsi" w:cstheme="minorHAnsi"/>
          <w:color w:val="auto"/>
        </w:rPr>
        <w:t xml:space="preserve"> enzymatic activity were performed in order to analyze the albumin protein expression, </w:t>
      </w:r>
      <w:proofErr w:type="gramStart"/>
      <w:r w:rsidRPr="001220A4">
        <w:rPr>
          <w:rFonts w:asciiTheme="minorHAnsi" w:hAnsiTheme="minorHAnsi" w:cstheme="minorHAnsi"/>
          <w:color w:val="auto"/>
        </w:rPr>
        <w:t>as well as,</w:t>
      </w:r>
      <w:proofErr w:type="gramEnd"/>
      <w:r w:rsidRPr="001220A4">
        <w:rPr>
          <w:rFonts w:asciiTheme="minorHAnsi" w:hAnsiTheme="minorHAnsi" w:cstheme="minorHAnsi"/>
          <w:color w:val="auto"/>
        </w:rPr>
        <w:t xml:space="preserve"> the CYP 3A4 activity in liver equivalents at basal and </w:t>
      </w:r>
      <w:r w:rsidR="001246E7" w:rsidRPr="001220A4">
        <w:rPr>
          <w:rFonts w:asciiTheme="minorHAnsi" w:hAnsiTheme="minorHAnsi" w:cstheme="minorHAnsi"/>
          <w:color w:val="auto"/>
        </w:rPr>
        <w:t xml:space="preserve">at </w:t>
      </w:r>
      <w:r w:rsidRPr="001220A4">
        <w:rPr>
          <w:rFonts w:asciiTheme="minorHAnsi" w:hAnsiTheme="minorHAnsi" w:cstheme="minorHAnsi"/>
          <w:color w:val="auto"/>
        </w:rPr>
        <w:t xml:space="preserve">APAP treatment conditions. We found that 2 µM APAP treatment </w:t>
      </w:r>
      <w:r w:rsidR="001D0589" w:rsidRPr="001220A4">
        <w:rPr>
          <w:rFonts w:asciiTheme="minorHAnsi" w:hAnsiTheme="minorHAnsi" w:cstheme="minorHAnsi"/>
          <w:color w:val="auto"/>
        </w:rPr>
        <w:t>performed at</w:t>
      </w:r>
      <w:r w:rsidRPr="001220A4">
        <w:rPr>
          <w:rFonts w:asciiTheme="minorHAnsi" w:hAnsiTheme="minorHAnsi" w:cstheme="minorHAnsi"/>
          <w:color w:val="auto"/>
        </w:rPr>
        <w:t xml:space="preserve"> the Liver 2-</w:t>
      </w:r>
      <w:r w:rsidR="001D0589" w:rsidRPr="001220A4">
        <w:rPr>
          <w:rFonts w:asciiTheme="minorHAnsi" w:hAnsiTheme="minorHAnsi" w:cstheme="minorHAnsi"/>
          <w:color w:val="auto"/>
        </w:rPr>
        <w:t>OC MPS</w:t>
      </w:r>
      <w:r w:rsidRPr="001220A4">
        <w:rPr>
          <w:rFonts w:asciiTheme="minorHAnsi" w:hAnsiTheme="minorHAnsi" w:cstheme="minorHAnsi"/>
          <w:color w:val="auto"/>
        </w:rPr>
        <w:t>, induced a reduction in the l</w:t>
      </w:r>
      <w:r w:rsidR="001D0589" w:rsidRPr="001220A4">
        <w:rPr>
          <w:rFonts w:asciiTheme="minorHAnsi" w:hAnsiTheme="minorHAnsi" w:cstheme="minorHAnsi"/>
          <w:color w:val="auto"/>
        </w:rPr>
        <w:t>i</w:t>
      </w:r>
      <w:r w:rsidRPr="001220A4">
        <w:rPr>
          <w:rFonts w:asciiTheme="minorHAnsi" w:hAnsiTheme="minorHAnsi" w:cstheme="minorHAnsi"/>
          <w:color w:val="auto"/>
        </w:rPr>
        <w:t>ver equivalent</w:t>
      </w:r>
      <w:r w:rsidR="001D0589" w:rsidRPr="001220A4">
        <w:rPr>
          <w:rFonts w:asciiTheme="minorHAnsi" w:hAnsiTheme="minorHAnsi" w:cstheme="minorHAnsi"/>
          <w:color w:val="auto"/>
        </w:rPr>
        <w:t xml:space="preserve"> total</w:t>
      </w:r>
      <w:r w:rsidRPr="001220A4">
        <w:rPr>
          <w:rFonts w:asciiTheme="minorHAnsi" w:hAnsiTheme="minorHAnsi" w:cstheme="minorHAnsi"/>
          <w:color w:val="auto"/>
        </w:rPr>
        <w:t xml:space="preserve"> albumin expression at 12 h and 24 h time-points at both static</w:t>
      </w:r>
      <w:r w:rsidR="001D0589" w:rsidRPr="001220A4">
        <w:rPr>
          <w:rFonts w:asciiTheme="minorHAnsi" w:hAnsiTheme="minorHAnsi" w:cstheme="minorHAnsi"/>
          <w:color w:val="auto"/>
        </w:rPr>
        <w:t xml:space="preserve"> (</w:t>
      </w:r>
      <w:r w:rsidR="007679BB" w:rsidRPr="007679BB">
        <w:rPr>
          <w:rFonts w:asciiTheme="minorHAnsi" w:hAnsiTheme="minorHAnsi" w:cstheme="minorHAnsi"/>
          <w:b/>
          <w:bCs/>
          <w:color w:val="auto"/>
        </w:rPr>
        <w:t xml:space="preserve">Figure </w:t>
      </w:r>
      <w:r w:rsidR="001D0589" w:rsidRPr="007679BB">
        <w:rPr>
          <w:rFonts w:asciiTheme="minorHAnsi" w:hAnsiTheme="minorHAnsi" w:cstheme="minorHAnsi"/>
          <w:b/>
          <w:bCs/>
          <w:color w:val="auto"/>
        </w:rPr>
        <w:t>4E</w:t>
      </w:r>
      <w:r w:rsidR="001D0589" w:rsidRPr="001220A4">
        <w:rPr>
          <w:rFonts w:asciiTheme="minorHAnsi" w:hAnsiTheme="minorHAnsi" w:cstheme="minorHAnsi"/>
          <w:color w:val="auto"/>
        </w:rPr>
        <w:t>)</w:t>
      </w:r>
      <w:r w:rsidRPr="001220A4">
        <w:rPr>
          <w:rFonts w:asciiTheme="minorHAnsi" w:hAnsiTheme="minorHAnsi" w:cstheme="minorHAnsi"/>
          <w:color w:val="auto"/>
        </w:rPr>
        <w:t xml:space="preserve"> and dynamic</w:t>
      </w:r>
      <w:r w:rsidR="001D0589" w:rsidRPr="001220A4">
        <w:rPr>
          <w:rFonts w:asciiTheme="minorHAnsi" w:hAnsiTheme="minorHAnsi" w:cstheme="minorHAnsi"/>
          <w:color w:val="auto"/>
        </w:rPr>
        <w:t xml:space="preserve"> (</w:t>
      </w:r>
      <w:r w:rsidR="007679BB" w:rsidRPr="007679BB">
        <w:rPr>
          <w:rFonts w:asciiTheme="minorHAnsi" w:hAnsiTheme="minorHAnsi" w:cstheme="minorHAnsi"/>
          <w:b/>
          <w:bCs/>
          <w:color w:val="auto"/>
        </w:rPr>
        <w:t xml:space="preserve">Figure </w:t>
      </w:r>
      <w:r w:rsidR="001D0589" w:rsidRPr="007679BB">
        <w:rPr>
          <w:rFonts w:asciiTheme="minorHAnsi" w:hAnsiTheme="minorHAnsi" w:cstheme="minorHAnsi"/>
          <w:b/>
          <w:bCs/>
          <w:color w:val="auto"/>
        </w:rPr>
        <w:t>4F</w:t>
      </w:r>
      <w:r w:rsidR="001D0589" w:rsidRPr="001220A4">
        <w:rPr>
          <w:rFonts w:asciiTheme="minorHAnsi" w:hAnsiTheme="minorHAnsi" w:cstheme="minorHAnsi"/>
          <w:color w:val="auto"/>
        </w:rPr>
        <w:t>)</w:t>
      </w:r>
      <w:r w:rsidRPr="001220A4">
        <w:rPr>
          <w:rFonts w:asciiTheme="minorHAnsi" w:hAnsiTheme="minorHAnsi" w:cstheme="minorHAnsi"/>
          <w:color w:val="auto"/>
        </w:rPr>
        <w:t xml:space="preserve"> condition</w:t>
      </w:r>
      <w:r w:rsidR="001D0589" w:rsidRPr="001220A4">
        <w:rPr>
          <w:rFonts w:asciiTheme="minorHAnsi" w:hAnsiTheme="minorHAnsi" w:cstheme="minorHAnsi"/>
          <w:color w:val="auto"/>
        </w:rPr>
        <w:t>s. On the other hand,</w:t>
      </w:r>
      <w:r w:rsidR="001246E7" w:rsidRPr="001220A4">
        <w:rPr>
          <w:rFonts w:asciiTheme="minorHAnsi" w:hAnsiTheme="minorHAnsi" w:cstheme="minorHAnsi"/>
          <w:color w:val="auto"/>
        </w:rPr>
        <w:t xml:space="preserve"> liver equivalents samples from dynamic condition</w:t>
      </w:r>
      <w:r w:rsidR="002B467C" w:rsidRPr="001220A4">
        <w:rPr>
          <w:rFonts w:asciiTheme="minorHAnsi" w:hAnsiTheme="minorHAnsi" w:cstheme="minorHAnsi"/>
          <w:color w:val="auto"/>
        </w:rPr>
        <w:t>s</w:t>
      </w:r>
      <w:r w:rsidR="001246E7" w:rsidRPr="001220A4">
        <w:rPr>
          <w:rFonts w:asciiTheme="minorHAnsi" w:hAnsiTheme="minorHAnsi" w:cstheme="minorHAnsi"/>
          <w:color w:val="auto"/>
        </w:rPr>
        <w:t xml:space="preserve"> have</w:t>
      </w:r>
      <w:r w:rsidR="001D0589" w:rsidRPr="001220A4">
        <w:rPr>
          <w:rFonts w:asciiTheme="minorHAnsi" w:hAnsiTheme="minorHAnsi" w:cstheme="minorHAnsi"/>
          <w:color w:val="auto"/>
        </w:rPr>
        <w:t xml:space="preserve"> </w:t>
      </w:r>
      <w:r w:rsidR="001246E7" w:rsidRPr="001220A4">
        <w:rPr>
          <w:rFonts w:asciiTheme="minorHAnsi" w:hAnsiTheme="minorHAnsi" w:cstheme="minorHAnsi"/>
          <w:color w:val="auto"/>
        </w:rPr>
        <w:t xml:space="preserve">shown </w:t>
      </w:r>
      <w:r w:rsidR="001D0589" w:rsidRPr="001220A4">
        <w:rPr>
          <w:rFonts w:asciiTheme="minorHAnsi" w:hAnsiTheme="minorHAnsi" w:cstheme="minorHAnsi"/>
          <w:color w:val="auto"/>
        </w:rPr>
        <w:t xml:space="preserve">a trend </w:t>
      </w:r>
      <w:r w:rsidR="001246E7" w:rsidRPr="001220A4">
        <w:rPr>
          <w:rFonts w:asciiTheme="minorHAnsi" w:hAnsiTheme="minorHAnsi" w:cstheme="minorHAnsi"/>
          <w:color w:val="auto"/>
        </w:rPr>
        <w:t xml:space="preserve">to show higher levels of protein expression of albumin when compared to the static conditions </w:t>
      </w:r>
      <w:r w:rsidR="001D0589" w:rsidRPr="001220A4">
        <w:rPr>
          <w:rFonts w:asciiTheme="minorHAnsi" w:hAnsiTheme="minorHAnsi" w:cstheme="minorHAnsi"/>
          <w:color w:val="auto"/>
        </w:rPr>
        <w:t>(</w:t>
      </w:r>
      <w:r w:rsidR="007679BB" w:rsidRPr="007679BB">
        <w:rPr>
          <w:rFonts w:asciiTheme="minorHAnsi" w:hAnsiTheme="minorHAnsi" w:cstheme="minorHAnsi"/>
          <w:b/>
          <w:bCs/>
          <w:color w:val="auto"/>
        </w:rPr>
        <w:t xml:space="preserve">Figure </w:t>
      </w:r>
      <w:r w:rsidR="001D0589" w:rsidRPr="007679BB">
        <w:rPr>
          <w:rFonts w:asciiTheme="minorHAnsi" w:hAnsiTheme="minorHAnsi" w:cstheme="minorHAnsi"/>
          <w:b/>
          <w:bCs/>
          <w:color w:val="auto"/>
        </w:rPr>
        <w:t>4G</w:t>
      </w:r>
      <w:r w:rsidR="001D0589" w:rsidRPr="001220A4">
        <w:rPr>
          <w:rFonts w:asciiTheme="minorHAnsi" w:hAnsiTheme="minorHAnsi" w:cstheme="minorHAnsi"/>
          <w:color w:val="auto"/>
        </w:rPr>
        <w:t>).</w:t>
      </w:r>
      <w:r w:rsidR="00103C1D" w:rsidRPr="001220A4">
        <w:rPr>
          <w:rFonts w:asciiTheme="minorHAnsi" w:hAnsiTheme="minorHAnsi" w:cstheme="minorHAnsi"/>
          <w:color w:val="auto"/>
        </w:rPr>
        <w:t xml:space="preserve"> CYP 3A4 </w:t>
      </w:r>
      <w:r w:rsidR="00194937" w:rsidRPr="00194937">
        <w:rPr>
          <w:rFonts w:asciiTheme="minorHAnsi" w:hAnsiTheme="minorHAnsi" w:cstheme="minorHAnsi"/>
          <w:color w:val="auto"/>
        </w:rPr>
        <w:t>in vitro</w:t>
      </w:r>
      <w:r w:rsidR="00103C1D" w:rsidRPr="001220A4">
        <w:rPr>
          <w:rFonts w:asciiTheme="minorHAnsi" w:hAnsiTheme="minorHAnsi" w:cstheme="minorHAnsi"/>
          <w:color w:val="auto"/>
        </w:rPr>
        <w:t xml:space="preserve"> assay performed at liver equivalents from Liver 2-OC MPS shown that 2 µM APAP treatment for 12 h or 24 h was capable to induce a robust and significant impairment of CYP 3A4 activity at both static and dynamic conditions (</w:t>
      </w:r>
      <w:r w:rsidR="007679BB" w:rsidRPr="007679BB">
        <w:rPr>
          <w:rFonts w:asciiTheme="minorHAnsi" w:hAnsiTheme="minorHAnsi" w:cstheme="minorHAnsi"/>
          <w:b/>
          <w:bCs/>
          <w:color w:val="auto"/>
        </w:rPr>
        <w:t xml:space="preserve">Figure </w:t>
      </w:r>
      <w:r w:rsidR="00103C1D" w:rsidRPr="007679BB">
        <w:rPr>
          <w:rFonts w:asciiTheme="minorHAnsi" w:hAnsiTheme="minorHAnsi" w:cstheme="minorHAnsi"/>
          <w:b/>
          <w:bCs/>
          <w:color w:val="auto"/>
        </w:rPr>
        <w:t>4H-I</w:t>
      </w:r>
      <w:r w:rsidR="00103C1D" w:rsidRPr="001220A4">
        <w:rPr>
          <w:rFonts w:asciiTheme="minorHAnsi" w:hAnsiTheme="minorHAnsi" w:cstheme="minorHAnsi"/>
          <w:color w:val="auto"/>
        </w:rPr>
        <w:t>). More interesting</w:t>
      </w:r>
      <w:r w:rsidR="002B467C" w:rsidRPr="001220A4">
        <w:rPr>
          <w:rFonts w:asciiTheme="minorHAnsi" w:hAnsiTheme="minorHAnsi" w:cstheme="minorHAnsi"/>
          <w:color w:val="auto"/>
        </w:rPr>
        <w:t>,</w:t>
      </w:r>
      <w:r w:rsidR="008E4F90">
        <w:rPr>
          <w:rFonts w:asciiTheme="minorHAnsi" w:hAnsiTheme="minorHAnsi" w:cstheme="minorHAnsi"/>
          <w:color w:val="auto"/>
        </w:rPr>
        <w:t xml:space="preserve"> </w:t>
      </w:r>
      <w:r w:rsidR="00103C1D" w:rsidRPr="001220A4">
        <w:rPr>
          <w:rFonts w:asciiTheme="minorHAnsi" w:hAnsiTheme="minorHAnsi" w:cstheme="minorHAnsi"/>
          <w:color w:val="auto"/>
        </w:rPr>
        <w:t>the presence of medi</w:t>
      </w:r>
      <w:r w:rsidR="002B467C" w:rsidRPr="001220A4">
        <w:rPr>
          <w:rFonts w:asciiTheme="minorHAnsi" w:hAnsiTheme="minorHAnsi" w:cstheme="minorHAnsi"/>
          <w:color w:val="auto"/>
        </w:rPr>
        <w:t>a</w:t>
      </w:r>
      <w:r w:rsidR="00103C1D" w:rsidRPr="001220A4">
        <w:rPr>
          <w:rFonts w:asciiTheme="minorHAnsi" w:hAnsiTheme="minorHAnsi" w:cstheme="minorHAnsi"/>
          <w:color w:val="auto"/>
        </w:rPr>
        <w:t xml:space="preserve"> flow</w:t>
      </w:r>
      <w:r w:rsidR="00F34366" w:rsidRPr="001220A4">
        <w:rPr>
          <w:rFonts w:asciiTheme="minorHAnsi" w:hAnsiTheme="minorHAnsi" w:cstheme="minorHAnsi"/>
          <w:color w:val="auto"/>
        </w:rPr>
        <w:t xml:space="preserve"> (dynamic)</w:t>
      </w:r>
      <w:r w:rsidR="00103C1D" w:rsidRPr="001220A4">
        <w:rPr>
          <w:rFonts w:asciiTheme="minorHAnsi" w:hAnsiTheme="minorHAnsi" w:cstheme="minorHAnsi"/>
          <w:color w:val="auto"/>
        </w:rPr>
        <w:t xml:space="preserve"> ha</w:t>
      </w:r>
      <w:r w:rsidR="002B467C" w:rsidRPr="001220A4">
        <w:rPr>
          <w:rFonts w:asciiTheme="minorHAnsi" w:hAnsiTheme="minorHAnsi" w:cstheme="minorHAnsi"/>
          <w:color w:val="auto"/>
        </w:rPr>
        <w:t>s</w:t>
      </w:r>
      <w:r w:rsidR="00103C1D" w:rsidRPr="001220A4">
        <w:rPr>
          <w:rFonts w:asciiTheme="minorHAnsi" w:hAnsiTheme="minorHAnsi" w:cstheme="minorHAnsi"/>
          <w:color w:val="auto"/>
        </w:rPr>
        <w:t xml:space="preserve"> induced a significant improvement of liver equivalents CYP 3A4 activity levels when compared to conditions in which the liver equivalents were kept </w:t>
      </w:r>
      <w:r w:rsidR="00F34366" w:rsidRPr="001220A4">
        <w:rPr>
          <w:rFonts w:asciiTheme="minorHAnsi" w:hAnsiTheme="minorHAnsi" w:cstheme="minorHAnsi"/>
          <w:color w:val="auto"/>
        </w:rPr>
        <w:t>in absence</w:t>
      </w:r>
      <w:r w:rsidR="00103C1D" w:rsidRPr="001220A4">
        <w:rPr>
          <w:rFonts w:asciiTheme="minorHAnsi" w:hAnsiTheme="minorHAnsi" w:cstheme="minorHAnsi"/>
          <w:color w:val="auto"/>
        </w:rPr>
        <w:t xml:space="preserve"> of circulating medium</w:t>
      </w:r>
      <w:r w:rsidR="00F34366" w:rsidRPr="001220A4">
        <w:rPr>
          <w:rFonts w:asciiTheme="minorHAnsi" w:hAnsiTheme="minorHAnsi" w:cstheme="minorHAnsi"/>
          <w:color w:val="auto"/>
        </w:rPr>
        <w:t xml:space="preserve"> (static</w:t>
      </w:r>
      <w:r w:rsidR="002B467C" w:rsidRPr="001220A4">
        <w:rPr>
          <w:rFonts w:asciiTheme="minorHAnsi" w:hAnsiTheme="minorHAnsi" w:cstheme="minorHAnsi"/>
          <w:color w:val="auto"/>
        </w:rPr>
        <w:t xml:space="preserve"> conditions</w:t>
      </w:r>
      <w:r w:rsidR="00F34366" w:rsidRPr="001220A4">
        <w:rPr>
          <w:rFonts w:asciiTheme="minorHAnsi" w:hAnsiTheme="minorHAnsi" w:cstheme="minorHAnsi"/>
          <w:color w:val="auto"/>
        </w:rPr>
        <w:t>)</w:t>
      </w:r>
      <w:r w:rsidR="00103C1D" w:rsidRPr="001220A4">
        <w:rPr>
          <w:rFonts w:asciiTheme="minorHAnsi" w:hAnsiTheme="minorHAnsi" w:cstheme="minorHAnsi"/>
          <w:color w:val="auto"/>
        </w:rPr>
        <w:t xml:space="preserve"> (</w:t>
      </w:r>
      <w:r w:rsidR="007679BB" w:rsidRPr="007679BB">
        <w:rPr>
          <w:rFonts w:asciiTheme="minorHAnsi" w:hAnsiTheme="minorHAnsi" w:cstheme="minorHAnsi"/>
          <w:b/>
          <w:bCs/>
          <w:color w:val="auto"/>
        </w:rPr>
        <w:t xml:space="preserve">Figure </w:t>
      </w:r>
      <w:r w:rsidR="00103C1D" w:rsidRPr="007679BB">
        <w:rPr>
          <w:rFonts w:asciiTheme="minorHAnsi" w:hAnsiTheme="minorHAnsi" w:cstheme="minorHAnsi"/>
          <w:b/>
          <w:bCs/>
          <w:color w:val="auto"/>
        </w:rPr>
        <w:t>4J</w:t>
      </w:r>
      <w:r w:rsidR="00103C1D" w:rsidRPr="001220A4">
        <w:rPr>
          <w:rFonts w:asciiTheme="minorHAnsi" w:hAnsiTheme="minorHAnsi" w:cstheme="minorHAnsi"/>
          <w:color w:val="auto"/>
        </w:rPr>
        <w:t>).</w:t>
      </w:r>
    </w:p>
    <w:p w14:paraId="470BF739" w14:textId="77777777" w:rsidR="007679BB" w:rsidRPr="001220A4" w:rsidRDefault="007679BB" w:rsidP="0054535F">
      <w:pPr>
        <w:ind w:right="4"/>
        <w:contextualSpacing/>
        <w:rPr>
          <w:rFonts w:asciiTheme="minorHAnsi" w:hAnsiTheme="minorHAnsi" w:cstheme="minorHAnsi"/>
          <w:color w:val="auto"/>
        </w:rPr>
      </w:pPr>
    </w:p>
    <w:p w14:paraId="06FD803F" w14:textId="1FFFC658" w:rsidR="001D52E2" w:rsidRDefault="00932EC1" w:rsidP="0054535F">
      <w:pPr>
        <w:ind w:right="4"/>
        <w:contextualSpacing/>
        <w:rPr>
          <w:rFonts w:asciiTheme="minorHAnsi" w:hAnsiTheme="minorHAnsi" w:cstheme="minorHAnsi"/>
        </w:rPr>
      </w:pPr>
      <w:r w:rsidRPr="001220A4">
        <w:rPr>
          <w:rFonts w:asciiTheme="minorHAnsi" w:hAnsiTheme="minorHAnsi" w:cstheme="minorHAnsi"/>
        </w:rPr>
        <w:t>To find the most sensitive analytical conditio</w:t>
      </w:r>
      <w:r w:rsidR="0057608D" w:rsidRPr="001220A4">
        <w:rPr>
          <w:rFonts w:asciiTheme="minorHAnsi" w:hAnsiTheme="minorHAnsi" w:cstheme="minorHAnsi"/>
        </w:rPr>
        <w:t>n reg</w:t>
      </w:r>
      <w:r w:rsidR="002B467C" w:rsidRPr="001220A4">
        <w:rPr>
          <w:rFonts w:asciiTheme="minorHAnsi" w:hAnsiTheme="minorHAnsi" w:cstheme="minorHAnsi"/>
        </w:rPr>
        <w:t>ar</w:t>
      </w:r>
      <w:r w:rsidR="0057608D" w:rsidRPr="001220A4">
        <w:rPr>
          <w:rFonts w:asciiTheme="minorHAnsi" w:hAnsiTheme="minorHAnsi" w:cstheme="minorHAnsi"/>
        </w:rPr>
        <w:t>ding HPLC analysis,</w:t>
      </w:r>
      <w:r w:rsidRPr="001220A4">
        <w:rPr>
          <w:rFonts w:asciiTheme="minorHAnsi" w:hAnsiTheme="minorHAnsi" w:cstheme="minorHAnsi"/>
        </w:rPr>
        <w:t xml:space="preserve"> several parameters were investigated including the </w:t>
      </w:r>
      <w:r w:rsidRPr="001220A4">
        <w:rPr>
          <w:rFonts w:asciiTheme="minorHAnsi" w:hAnsiTheme="minorHAnsi" w:cstheme="minorHAnsi"/>
          <w:noProof/>
        </w:rPr>
        <w:t>composition</w:t>
      </w:r>
      <w:r w:rsidRPr="001220A4">
        <w:rPr>
          <w:rFonts w:asciiTheme="minorHAnsi" w:hAnsiTheme="minorHAnsi" w:cstheme="minorHAnsi"/>
        </w:rPr>
        <w:t xml:space="preserve"> of the </w:t>
      </w:r>
      <w:r w:rsidRPr="001220A4">
        <w:rPr>
          <w:rFonts w:asciiTheme="minorHAnsi" w:hAnsiTheme="minorHAnsi" w:cstheme="minorHAnsi"/>
          <w:noProof/>
        </w:rPr>
        <w:t>mobile</w:t>
      </w:r>
      <w:r w:rsidRPr="001220A4">
        <w:rPr>
          <w:rFonts w:asciiTheme="minorHAnsi" w:hAnsiTheme="minorHAnsi" w:cstheme="minorHAnsi"/>
        </w:rPr>
        <w:t xml:space="preserve"> phase, the type, </w:t>
      </w:r>
      <w:r w:rsidRPr="001220A4">
        <w:rPr>
          <w:rFonts w:asciiTheme="minorHAnsi" w:hAnsiTheme="minorHAnsi" w:cstheme="minorHAnsi"/>
          <w:noProof/>
        </w:rPr>
        <w:t>and</w:t>
      </w:r>
      <w:r w:rsidRPr="001220A4">
        <w:rPr>
          <w:rFonts w:asciiTheme="minorHAnsi" w:hAnsiTheme="minorHAnsi" w:cstheme="minorHAnsi"/>
        </w:rPr>
        <w:t xml:space="preserve"> concentration of additives. It was found that acetonitrile gave better chromatogram</w:t>
      </w:r>
      <w:r w:rsidR="001B0469" w:rsidRPr="001220A4">
        <w:rPr>
          <w:rFonts w:asciiTheme="minorHAnsi" w:hAnsiTheme="minorHAnsi" w:cstheme="minorHAnsi"/>
        </w:rPr>
        <w:t xml:space="preserve"> </w:t>
      </w:r>
      <w:r w:rsidR="00E222E9" w:rsidRPr="001220A4">
        <w:rPr>
          <w:rFonts w:asciiTheme="minorHAnsi" w:hAnsiTheme="minorHAnsi" w:cstheme="minorHAnsi"/>
        </w:rPr>
        <w:t xml:space="preserve">resolution and appropriate retention time than methanol. Fast and reproducible separation of APAP was obtained using a C18 reversed-phase column. The APAP retention time (Rt) value was 9.27 ± 0.19 minutes. Selectivity for APAP is indicated by the shape and symmetrical resolution of the peak, as well as by the lack of interfering peaks from the DMEM and Williams cell culture media. </w:t>
      </w:r>
    </w:p>
    <w:p w14:paraId="1659726C" w14:textId="77777777" w:rsidR="007679BB" w:rsidRPr="001220A4" w:rsidRDefault="007679BB" w:rsidP="0054535F">
      <w:pPr>
        <w:ind w:right="4"/>
        <w:contextualSpacing/>
        <w:rPr>
          <w:rFonts w:asciiTheme="minorHAnsi" w:hAnsiTheme="minorHAnsi" w:cstheme="minorHAnsi"/>
        </w:rPr>
      </w:pPr>
    </w:p>
    <w:p w14:paraId="658C8468" w14:textId="6656A74F" w:rsidR="001D52E2" w:rsidRDefault="00E222E9" w:rsidP="0054535F">
      <w:pPr>
        <w:ind w:right="4"/>
        <w:contextualSpacing/>
        <w:rPr>
          <w:rFonts w:asciiTheme="minorHAnsi" w:hAnsiTheme="minorHAnsi" w:cstheme="minorHAnsi"/>
        </w:rPr>
      </w:pPr>
      <w:r w:rsidRPr="001220A4">
        <w:rPr>
          <w:rFonts w:asciiTheme="minorHAnsi" w:hAnsiTheme="minorHAnsi" w:cstheme="minorHAnsi"/>
        </w:rPr>
        <w:t>APAP standard concentrations in DMEM</w:t>
      </w:r>
      <w:r w:rsidR="0057608D" w:rsidRPr="001220A4">
        <w:rPr>
          <w:rFonts w:asciiTheme="minorHAnsi" w:hAnsiTheme="minorHAnsi" w:cstheme="minorHAnsi"/>
        </w:rPr>
        <w:t xml:space="preserve"> S</w:t>
      </w:r>
      <w:r w:rsidRPr="001220A4">
        <w:rPr>
          <w:rFonts w:asciiTheme="minorHAnsi" w:hAnsiTheme="minorHAnsi" w:cstheme="minorHAnsi"/>
        </w:rPr>
        <w:t xml:space="preserve"> and Williams</w:t>
      </w:r>
      <w:r w:rsidR="0057608D" w:rsidRPr="001220A4">
        <w:rPr>
          <w:rFonts w:asciiTheme="minorHAnsi" w:hAnsiTheme="minorHAnsi" w:cstheme="minorHAnsi"/>
        </w:rPr>
        <w:t xml:space="preserve"> E S</w:t>
      </w:r>
      <w:r w:rsidRPr="001220A4">
        <w:rPr>
          <w:rFonts w:asciiTheme="minorHAnsi" w:hAnsiTheme="minorHAnsi" w:cstheme="minorHAnsi"/>
        </w:rPr>
        <w:t xml:space="preserve"> cell culture media diluted with ammonium acetate buffer (1:1, v/v) ranging from 0.25 to 100.00 µ</w:t>
      </w:r>
      <w:r w:rsidR="008432F7" w:rsidRPr="001220A4">
        <w:rPr>
          <w:rFonts w:asciiTheme="minorHAnsi" w:hAnsiTheme="minorHAnsi" w:cstheme="minorHAnsi"/>
        </w:rPr>
        <w:t>M</w:t>
      </w:r>
      <w:r w:rsidRPr="001220A4">
        <w:rPr>
          <w:rFonts w:asciiTheme="minorHAnsi" w:hAnsiTheme="minorHAnsi" w:cstheme="minorHAnsi"/>
        </w:rPr>
        <w:t xml:space="preserve"> were used to build the calibration curves. The linearity of the method was determined at nine concentration levels. The data are shown in </w:t>
      </w:r>
      <w:r w:rsidRPr="007679BB">
        <w:rPr>
          <w:rFonts w:asciiTheme="minorHAnsi" w:hAnsiTheme="minorHAnsi" w:cstheme="minorHAnsi"/>
          <w:b/>
          <w:bCs/>
        </w:rPr>
        <w:t xml:space="preserve">Table </w:t>
      </w:r>
      <w:r w:rsidR="001E0714" w:rsidRPr="007679BB">
        <w:rPr>
          <w:rFonts w:asciiTheme="minorHAnsi" w:hAnsiTheme="minorHAnsi" w:cstheme="minorHAnsi"/>
          <w:b/>
          <w:bCs/>
        </w:rPr>
        <w:t>2</w:t>
      </w:r>
      <w:r w:rsidR="001E0714" w:rsidRPr="001220A4">
        <w:rPr>
          <w:rFonts w:asciiTheme="minorHAnsi" w:hAnsiTheme="minorHAnsi" w:cstheme="minorHAnsi"/>
        </w:rPr>
        <w:t xml:space="preserve"> </w:t>
      </w:r>
      <w:r w:rsidRPr="001220A4">
        <w:rPr>
          <w:rFonts w:asciiTheme="minorHAnsi" w:hAnsiTheme="minorHAnsi" w:cstheme="minorHAnsi"/>
        </w:rPr>
        <w:t xml:space="preserve">and </w:t>
      </w:r>
      <w:r w:rsidR="007679BB" w:rsidRPr="007679BB">
        <w:rPr>
          <w:rFonts w:asciiTheme="minorHAnsi" w:hAnsiTheme="minorHAnsi" w:cstheme="minorHAnsi"/>
          <w:b/>
          <w:bCs/>
        </w:rPr>
        <w:t xml:space="preserve">Table </w:t>
      </w:r>
      <w:r w:rsidR="001E0714" w:rsidRPr="007679BB">
        <w:rPr>
          <w:rFonts w:asciiTheme="minorHAnsi" w:hAnsiTheme="minorHAnsi" w:cstheme="minorHAnsi"/>
          <w:b/>
          <w:bCs/>
        </w:rPr>
        <w:t>3</w:t>
      </w:r>
      <w:r w:rsidRPr="001220A4">
        <w:rPr>
          <w:rFonts w:asciiTheme="minorHAnsi" w:hAnsiTheme="minorHAnsi" w:cstheme="minorHAnsi"/>
        </w:rPr>
        <w:t xml:space="preserve">. </w:t>
      </w:r>
      <w:r w:rsidR="00426D34" w:rsidRPr="001220A4">
        <w:rPr>
          <w:rFonts w:asciiTheme="minorHAnsi" w:hAnsiTheme="minorHAnsi" w:cstheme="minorHAnsi"/>
        </w:rPr>
        <w:t>The relationship between APAP concentration and the peak areas was described by the linear regression equations: y = 16106*x + 3579.8 (R</w:t>
      </w:r>
      <w:r w:rsidR="00426D34" w:rsidRPr="001220A4">
        <w:rPr>
          <w:rFonts w:asciiTheme="minorHAnsi" w:hAnsiTheme="minorHAnsi" w:cstheme="minorHAnsi"/>
          <w:vertAlign w:val="superscript"/>
        </w:rPr>
        <w:t>2</w:t>
      </w:r>
      <w:r w:rsidR="00426D34" w:rsidRPr="001220A4">
        <w:rPr>
          <w:rFonts w:asciiTheme="minorHAnsi" w:hAnsiTheme="minorHAnsi" w:cstheme="minorHAnsi"/>
        </w:rPr>
        <w:t>=1, in DMEM medium) and y = 16397*x + 2475.1 (R</w:t>
      </w:r>
      <w:r w:rsidR="00426D34" w:rsidRPr="001220A4">
        <w:rPr>
          <w:rFonts w:asciiTheme="minorHAnsi" w:hAnsiTheme="minorHAnsi" w:cstheme="minorHAnsi"/>
          <w:vertAlign w:val="superscript"/>
        </w:rPr>
        <w:t>2</w:t>
      </w:r>
      <w:r w:rsidR="00426D34" w:rsidRPr="001220A4">
        <w:rPr>
          <w:rFonts w:asciiTheme="minorHAnsi" w:hAnsiTheme="minorHAnsi" w:cstheme="minorHAnsi"/>
        </w:rPr>
        <w:t>=1, in Williams medium), in which “x” is APAP nominal concentration in µM</w:t>
      </w:r>
      <w:r w:rsidR="00426D34" w:rsidRPr="001220A4">
        <w:rPr>
          <w:rFonts w:asciiTheme="minorHAnsi" w:hAnsiTheme="minorHAnsi" w:cstheme="minorHAnsi"/>
          <w:vertAlign w:val="superscript"/>
        </w:rPr>
        <w:t xml:space="preserve"> </w:t>
      </w:r>
      <w:r w:rsidR="00426D34" w:rsidRPr="001220A4">
        <w:rPr>
          <w:rFonts w:asciiTheme="minorHAnsi" w:hAnsiTheme="minorHAnsi" w:cstheme="minorHAnsi"/>
        </w:rPr>
        <w:t>and “y” is the chromatogram peak area of APAP in AU. At the upper limit of quantification (i.e.</w:t>
      </w:r>
      <w:r w:rsidR="00A5674B">
        <w:rPr>
          <w:rFonts w:asciiTheme="minorHAnsi" w:hAnsiTheme="minorHAnsi" w:cstheme="minorHAnsi"/>
        </w:rPr>
        <w:t>,</w:t>
      </w:r>
      <w:r w:rsidR="00426D34" w:rsidRPr="001220A4">
        <w:rPr>
          <w:rFonts w:asciiTheme="minorHAnsi" w:hAnsiTheme="minorHAnsi" w:cstheme="minorHAnsi"/>
        </w:rPr>
        <w:t xml:space="preserve"> 100.00 µM), the percentage deviation and the inter-run variability values were less than 2.50%. The accuracy and the precision for nine concentration levels, excluding the 0.50 µM (LLOQ), were within an acceptable range with DEV and C.V. values less than 7.00% (</w:t>
      </w:r>
      <w:r w:rsidR="00426D34" w:rsidRPr="007679BB">
        <w:rPr>
          <w:rFonts w:asciiTheme="minorHAnsi" w:hAnsiTheme="minorHAnsi" w:cstheme="minorHAnsi"/>
          <w:b/>
          <w:bCs/>
        </w:rPr>
        <w:t>Table 2</w:t>
      </w:r>
      <w:r w:rsidR="00426D34" w:rsidRPr="001220A4">
        <w:rPr>
          <w:rFonts w:asciiTheme="minorHAnsi" w:hAnsiTheme="minorHAnsi" w:cstheme="minorHAnsi"/>
        </w:rPr>
        <w:t xml:space="preserve"> and </w:t>
      </w:r>
      <w:r w:rsidR="00426D34" w:rsidRPr="007679BB">
        <w:rPr>
          <w:rFonts w:asciiTheme="minorHAnsi" w:hAnsiTheme="minorHAnsi" w:cstheme="minorHAnsi"/>
          <w:b/>
          <w:bCs/>
        </w:rPr>
        <w:t>Table 3</w:t>
      </w:r>
      <w:r w:rsidR="00426D34" w:rsidRPr="001220A4">
        <w:rPr>
          <w:rFonts w:asciiTheme="minorHAnsi" w:hAnsiTheme="minorHAnsi" w:cstheme="minorHAnsi"/>
        </w:rPr>
        <w:t>).</w:t>
      </w:r>
      <w:r w:rsidR="001D52E2" w:rsidRPr="001220A4">
        <w:rPr>
          <w:rFonts w:asciiTheme="minorHAnsi" w:hAnsiTheme="minorHAnsi" w:cstheme="minorHAnsi"/>
        </w:rPr>
        <w:t xml:space="preserve"> </w:t>
      </w:r>
    </w:p>
    <w:p w14:paraId="19125C2C" w14:textId="77777777" w:rsidR="007679BB" w:rsidRPr="001220A4" w:rsidRDefault="007679BB" w:rsidP="0054535F">
      <w:pPr>
        <w:ind w:right="4"/>
        <w:contextualSpacing/>
        <w:rPr>
          <w:rFonts w:asciiTheme="minorHAnsi" w:hAnsiTheme="minorHAnsi" w:cstheme="minorHAnsi"/>
        </w:rPr>
      </w:pPr>
    </w:p>
    <w:p w14:paraId="2E7EE793" w14:textId="16BC6C6C" w:rsidR="00426D34" w:rsidRDefault="00426D34" w:rsidP="0054535F">
      <w:pPr>
        <w:ind w:right="4"/>
        <w:contextualSpacing/>
        <w:rPr>
          <w:rFonts w:asciiTheme="minorHAnsi" w:hAnsiTheme="minorHAnsi" w:cstheme="minorHAnsi"/>
          <w:b/>
        </w:rPr>
      </w:pPr>
      <w:r w:rsidRPr="001220A4">
        <w:rPr>
          <w:rFonts w:asciiTheme="minorHAnsi" w:hAnsiTheme="minorHAnsi" w:cstheme="minorHAnsi"/>
        </w:rPr>
        <w:t xml:space="preserve">The analytical method inter- and intra-run accuracy and precision, at four tested concentrations, fell within the generally accepted criteria for bioanalytical assays. The reproducibility of the method was evaluated by analyzing replicates of APAP quality control samples of 0.50 (LLOQ), 4.50, 45.00 and 90.00 µM. The intra-run and inter-run average results are reported in </w:t>
      </w:r>
      <w:r w:rsidRPr="007679BB">
        <w:rPr>
          <w:rFonts w:asciiTheme="minorHAnsi" w:hAnsiTheme="minorHAnsi" w:cstheme="minorHAnsi"/>
          <w:b/>
          <w:bCs/>
        </w:rPr>
        <w:t>Table 4</w:t>
      </w:r>
      <w:r w:rsidRPr="001220A4">
        <w:rPr>
          <w:rFonts w:asciiTheme="minorHAnsi" w:hAnsiTheme="minorHAnsi" w:cstheme="minorHAnsi"/>
        </w:rPr>
        <w:t>. The accuracy and precision of the assay are demonstrated by DEV values ≤ 15.00% and by C.V. values ≤ 7.00%, respectively.</w:t>
      </w:r>
      <w:r w:rsidRPr="001220A4">
        <w:rPr>
          <w:rFonts w:asciiTheme="minorHAnsi" w:hAnsiTheme="minorHAnsi" w:cstheme="minorHAnsi"/>
          <w:b/>
        </w:rPr>
        <w:tab/>
      </w:r>
    </w:p>
    <w:p w14:paraId="55983809" w14:textId="77777777" w:rsidR="007679BB" w:rsidRPr="001220A4" w:rsidRDefault="007679BB" w:rsidP="0054535F">
      <w:pPr>
        <w:ind w:right="4"/>
        <w:contextualSpacing/>
        <w:rPr>
          <w:rFonts w:asciiTheme="minorHAnsi" w:hAnsiTheme="minorHAnsi" w:cstheme="minorHAnsi"/>
          <w:b/>
        </w:rPr>
      </w:pPr>
    </w:p>
    <w:p w14:paraId="5586B6BC" w14:textId="2CB4C38A" w:rsidR="00426D34" w:rsidRDefault="00426D34" w:rsidP="0054535F">
      <w:pPr>
        <w:ind w:right="4"/>
        <w:contextualSpacing/>
        <w:rPr>
          <w:rFonts w:asciiTheme="minorHAnsi" w:hAnsiTheme="minorHAnsi" w:cstheme="minorHAnsi"/>
        </w:rPr>
      </w:pPr>
      <w:r w:rsidRPr="001220A4">
        <w:rPr>
          <w:rFonts w:asciiTheme="minorHAnsi" w:hAnsiTheme="minorHAnsi" w:cstheme="minorHAnsi"/>
        </w:rPr>
        <w:lastRenderedPageBreak/>
        <w:t xml:space="preserve">LOD was determined as the sample whose signal-to-noise ratio (S/N) was just greater than 3 and corresponded to a 0.25 µM APAP. On the other hand, the LLOQ, estimated with 0.50 µM APAP samples, displayed S/N ratio equal to 10. Furthermore, we found accuracy values (DEV%) ranging within ≤ 19.00% of the nominal concentration values. The </w:t>
      </w:r>
      <w:r w:rsidRPr="001220A4">
        <w:rPr>
          <w:rFonts w:asciiTheme="minorHAnsi" w:hAnsiTheme="minorHAnsi" w:cstheme="minorHAnsi"/>
          <w:noProof/>
        </w:rPr>
        <w:t>intra</w:t>
      </w:r>
      <w:r w:rsidRPr="001220A4">
        <w:rPr>
          <w:rFonts w:asciiTheme="minorHAnsi" w:hAnsiTheme="minorHAnsi" w:cstheme="minorHAnsi"/>
        </w:rPr>
        <w:t xml:space="preserve">- and inter-run variabilities were demonstrated by C.V. ≤ 18.77%, as shown in </w:t>
      </w:r>
      <w:r w:rsidRPr="007679BB">
        <w:rPr>
          <w:rFonts w:asciiTheme="minorHAnsi" w:hAnsiTheme="minorHAnsi" w:cstheme="minorHAnsi"/>
          <w:b/>
          <w:bCs/>
        </w:rPr>
        <w:t xml:space="preserve">Table 2, </w:t>
      </w:r>
      <w:r w:rsidR="00A5674B" w:rsidRPr="007679BB">
        <w:rPr>
          <w:rFonts w:asciiTheme="minorHAnsi" w:hAnsiTheme="minorHAnsi" w:cstheme="minorHAnsi"/>
          <w:b/>
          <w:bCs/>
        </w:rPr>
        <w:t xml:space="preserve">Table </w:t>
      </w:r>
      <w:r w:rsidRPr="007679BB">
        <w:rPr>
          <w:rFonts w:asciiTheme="minorHAnsi" w:hAnsiTheme="minorHAnsi" w:cstheme="minorHAnsi"/>
          <w:b/>
          <w:bCs/>
        </w:rPr>
        <w:t xml:space="preserve">3 </w:t>
      </w:r>
      <w:r w:rsidRPr="00A5674B">
        <w:rPr>
          <w:rFonts w:asciiTheme="minorHAnsi" w:hAnsiTheme="minorHAnsi" w:cstheme="minorHAnsi"/>
        </w:rPr>
        <w:t>and</w:t>
      </w:r>
      <w:r w:rsidR="00A5674B" w:rsidRPr="00A5674B">
        <w:rPr>
          <w:rFonts w:asciiTheme="minorHAnsi" w:hAnsiTheme="minorHAnsi" w:cstheme="minorHAnsi"/>
          <w:b/>
          <w:bCs/>
        </w:rPr>
        <w:t xml:space="preserve"> </w:t>
      </w:r>
      <w:r w:rsidR="00A5674B" w:rsidRPr="007679BB">
        <w:rPr>
          <w:rFonts w:asciiTheme="minorHAnsi" w:hAnsiTheme="minorHAnsi" w:cstheme="minorHAnsi"/>
          <w:b/>
          <w:bCs/>
        </w:rPr>
        <w:t>Table</w:t>
      </w:r>
      <w:r w:rsidRPr="007679BB">
        <w:rPr>
          <w:rFonts w:asciiTheme="minorHAnsi" w:hAnsiTheme="minorHAnsi" w:cstheme="minorHAnsi"/>
          <w:b/>
          <w:bCs/>
        </w:rPr>
        <w:t xml:space="preserve"> 4</w:t>
      </w:r>
      <w:r w:rsidRPr="001220A4">
        <w:rPr>
          <w:rFonts w:asciiTheme="minorHAnsi" w:hAnsiTheme="minorHAnsi" w:cstheme="minorHAnsi"/>
        </w:rPr>
        <w:t>)</w:t>
      </w:r>
      <w:r w:rsidRPr="001220A4">
        <w:rPr>
          <w:rFonts w:asciiTheme="minorHAnsi" w:hAnsiTheme="minorHAnsi" w:cstheme="minorHAnsi"/>
        </w:rPr>
        <w:fldChar w:fldCharType="begin" w:fldLock="1"/>
      </w:r>
      <w:r w:rsidR="00DE664D" w:rsidRPr="001220A4">
        <w:rPr>
          <w:rFonts w:asciiTheme="minorHAnsi" w:hAnsiTheme="minorHAnsi" w:cstheme="minorHAnsi"/>
        </w:rPr>
        <w:instrText>ADDIN CSL_CITATION {"citationItems":[{"id":"ITEM-1","itemData":{"DOI":"http://www.labcompliance.de/documents/FDA/FDA-Others/Laboratory/f-507-bioanalytical-4252fnl.pdf","ISBN":"3017961508","ISSN":"2229-4708","PMID":"18929516","abstract":"This guidance provides assistance to sponsors of investigational new drug applications (INDs), new drug applications (NDAs), abbreviated new drug applications (ANDAs), and supplements in developing bioanalytical method validation information used in human clinical pharmacology, bioavailability (BA), and bioequivalence (BE) studies requiring pharmacokinetic (PK) evaluation. This guidance also applies to bioanalytical methods used for non-human pharmacology/toxicology studies and preclinical studies.","author":[{"dropping-particle":"","family":"FDA","given":"Food and Drug Administration","non-dropping-particle":"","parse-names":false,"suffix":""},{"dropping-particle":"","family":"Food and Drug Administration","given":"","non-dropping-particle":"","parse-names":false,"suffix":""}],"container-title":"U.S. Department of Health and Human Services","id":"ITEM-1","issued":{"date-parts":[["2013"]]},"title":"Guidance for Industry: Bioanalytical method validation.","type":"book"},"uris":["http://www.mendeley.com/documents/?uuid=c82bea47-d797-3038-bc08-56a5e6e3b41b"]},{"id":"ITEM-2","itemData":{"DOI":"10.1023/A:1007669411738","ISBN":"0724-8741","ISSN":"0724-8741","PMID":"11303967","abstract":"This report is a synthesis of (1) the earlier conference on Analytical Methods Validation−Bioavailability, Bioequiva- lence and Pharmacokinetic Studies (Conference held in Ar- lington, VA, December 3–5, 1990 and the report published in Pharmaceutical Research, 9: 588-592, 1992) and (2) the work- shop on “Bioanalytical Methods Validation—ARevisit with a Decade of Progress,” (Workshop held in Arlington, VA, January 12–14, 2000), sponsored by the American Associa- tion of Pharmaceutical Scientists and the U. S. Food and Drug Administration. The bioanalytical method validation work- shop of January 12–14, 2000 was directed towards small mol- ecules. A separate workshop was held in March 1–3, 2000 to discuss validation principles for macromolecules. The pur- pose of this report is to represent the progress in analytical methodologies over the last decade and assessment of the major agreements and issues discussed with regard to small molecules at both the conference and the workshop. The re- port is also intended to provide guiding principles for valida- tion of bioanalytical methods employed in support of bio- availability, bioequivalence, and pharmacokinetic studies in man and in animals.","author":[{"dropping-particle":"","family":"Shah","given":"V P","non-dropping-particle":"","parse-names":false,"suffix":""},{"dropping-particle":"","family":"Midha","given":"K K","non-dropping-particle":"","parse-names":false,"suffix":""},{"dropping-particle":"","family":"Findlay","given":"J W","non-dropping-particle":"","parse-names":false,"suffix":""},{"dropping-particle":"","family":"Hill","given":"H M","non-dropping-particle":"","parse-names":false,"suffix":""},{"dropping-particle":"","family":"Hulse","given":"J D","non-dropping-particle":"","parse-names":false,"suffix":""},{"dropping-particle":"","family":"McGilveray","given":"I J","non-dropping-particle":"","parse-names":false,"suffix":""},{"dropping-particle":"","family":"McKay","given":"G","non-dropping-particle":"","parse-names":false,"suffix":""},{"dropping-particle":"","family":"Miller","given":"K J","non-dropping-particle":"","parse-names":false,"suffix":""},{"dropping-particle":"","family":"Patnaik","given":"R N","non-dropping-particle":"","parse-names":false,"suffix":""},{"dropping-particle":"","family":"Powell","given":"M L","non-dropping-particle":"","parse-names":false,"suffix":""},{"dropping-particle":"","family":"Tonelli","given":"A","non-dropping-particle":"","parse-names":false,"suffix":""},{"dropping-particle":"","family":"Viswanathan","given":"C T","non-dropping-particle":"","parse-names":false,"suffix":""},{"dropping-particle":"","family":"Yacobi","given":"A","non-dropping-particle":"","parse-names":false,"suffix":""}],"container-title":"Pharmaceutical research","id":"ITEM-2","issue":"12","issued":{"date-parts":[["2000"]]},"page":"1551-1557","title":"Bioanalytical method validation-a revisit with a decade of progress.","type":"article-journal","volume":"17"},"uris":["http://www.mendeley.com/documents/?uuid=e91cdf39-a70d-3f7b-9f06-10c4404eccef"]}],"mendeley":{"formattedCitation":"&lt;sup&gt;29, 30&lt;/sup&gt;","plainTextFormattedCitation":"29, 30","previouslyFormattedCitation":"&lt;sup&gt;29, 30&lt;/sup&gt;"},"properties":{"noteIndex":0},"schema":"https://github.com/citation-style-language/schema/raw/master/csl-citation.json"}</w:instrText>
      </w:r>
      <w:r w:rsidRPr="001220A4">
        <w:rPr>
          <w:rFonts w:asciiTheme="minorHAnsi" w:hAnsiTheme="minorHAnsi" w:cstheme="minorHAnsi"/>
        </w:rPr>
        <w:fldChar w:fldCharType="separate"/>
      </w:r>
      <w:r w:rsidR="0077280B" w:rsidRPr="001220A4">
        <w:rPr>
          <w:rFonts w:asciiTheme="minorHAnsi" w:hAnsiTheme="minorHAnsi" w:cstheme="minorHAnsi"/>
          <w:noProof/>
          <w:vertAlign w:val="superscript"/>
        </w:rPr>
        <w:t>29,30</w:t>
      </w:r>
      <w:r w:rsidRPr="001220A4">
        <w:rPr>
          <w:rFonts w:asciiTheme="minorHAnsi" w:hAnsiTheme="minorHAnsi" w:cstheme="minorHAnsi"/>
        </w:rPr>
        <w:fldChar w:fldCharType="end"/>
      </w:r>
      <w:r w:rsidRPr="001220A4">
        <w:rPr>
          <w:rFonts w:asciiTheme="minorHAnsi" w:hAnsiTheme="minorHAnsi" w:cstheme="minorHAnsi"/>
        </w:rPr>
        <w:t xml:space="preserve">. </w:t>
      </w:r>
    </w:p>
    <w:p w14:paraId="2F5461C6" w14:textId="77777777" w:rsidR="007679BB" w:rsidRPr="001220A4" w:rsidRDefault="007679BB" w:rsidP="0054535F">
      <w:pPr>
        <w:ind w:right="4"/>
        <w:contextualSpacing/>
        <w:rPr>
          <w:rFonts w:asciiTheme="minorHAnsi" w:hAnsiTheme="minorHAnsi" w:cstheme="minorHAnsi"/>
        </w:rPr>
      </w:pPr>
    </w:p>
    <w:p w14:paraId="10BD4C90" w14:textId="79BD859E" w:rsidR="002F5844" w:rsidRDefault="002F5844" w:rsidP="0054535F">
      <w:pPr>
        <w:ind w:right="4"/>
        <w:contextualSpacing/>
        <w:rPr>
          <w:rFonts w:asciiTheme="minorHAnsi" w:hAnsiTheme="minorHAnsi" w:cstheme="minorHAnsi"/>
        </w:rPr>
      </w:pPr>
      <w:r w:rsidRPr="001220A4">
        <w:rPr>
          <w:rFonts w:asciiTheme="minorHAnsi" w:hAnsiTheme="minorHAnsi" w:cstheme="minorHAnsi"/>
        </w:rPr>
        <w:t>The APAP PK analyses were performed in three different 2-OC MPS assemblies: 1) Intestine 2-OC, containing the intestine equivalent only; 2</w:t>
      </w:r>
      <w:r w:rsidR="001D574E">
        <w:rPr>
          <w:rFonts w:asciiTheme="minorHAnsi" w:hAnsiTheme="minorHAnsi" w:cstheme="minorHAnsi"/>
        </w:rPr>
        <w:t>)</w:t>
      </w:r>
      <w:r w:rsidRPr="001220A4">
        <w:rPr>
          <w:rFonts w:asciiTheme="minorHAnsi" w:hAnsiTheme="minorHAnsi" w:cstheme="minorHAnsi"/>
        </w:rPr>
        <w:t xml:space="preserve"> Liver 2-OC, containing the liver spheroids only and 3</w:t>
      </w:r>
      <w:r w:rsidR="001D574E">
        <w:rPr>
          <w:rFonts w:asciiTheme="minorHAnsi" w:hAnsiTheme="minorHAnsi" w:cstheme="minorHAnsi"/>
        </w:rPr>
        <w:t>)</w:t>
      </w:r>
      <w:r w:rsidRPr="001220A4">
        <w:rPr>
          <w:rFonts w:asciiTheme="minorHAnsi" w:hAnsiTheme="minorHAnsi" w:cstheme="minorHAnsi"/>
        </w:rPr>
        <w:t xml:space="preserve"> Intestine/Liver 2-OC with both intestinal barrier and liver spheroids.</w:t>
      </w:r>
    </w:p>
    <w:p w14:paraId="72700CEE" w14:textId="77777777" w:rsidR="007679BB" w:rsidRPr="001220A4" w:rsidRDefault="007679BB" w:rsidP="0054535F">
      <w:pPr>
        <w:ind w:right="4"/>
        <w:contextualSpacing/>
        <w:rPr>
          <w:rFonts w:asciiTheme="minorHAnsi" w:hAnsiTheme="minorHAnsi" w:cstheme="minorHAnsi"/>
        </w:rPr>
      </w:pPr>
    </w:p>
    <w:p w14:paraId="4931A431" w14:textId="745E10E5" w:rsidR="001D52E2" w:rsidRDefault="002F5844" w:rsidP="0054535F">
      <w:pPr>
        <w:ind w:right="4"/>
        <w:contextualSpacing/>
        <w:rPr>
          <w:rFonts w:asciiTheme="minorHAnsi" w:hAnsiTheme="minorHAnsi" w:cstheme="minorHAnsi"/>
        </w:rPr>
      </w:pPr>
      <w:r w:rsidRPr="001220A4">
        <w:rPr>
          <w:rFonts w:asciiTheme="minorHAnsi" w:hAnsiTheme="minorHAnsi" w:cstheme="minorHAnsi"/>
        </w:rPr>
        <w:t xml:space="preserve">For absorption studies, the oral route was mimicked by the administration of 12 </w:t>
      </w:r>
      <w:r w:rsidR="008173B3">
        <w:rPr>
          <w:rFonts w:asciiTheme="minorHAnsi" w:hAnsiTheme="minorHAnsi" w:cstheme="minorHAnsi"/>
        </w:rPr>
        <w:t>µ</w:t>
      </w:r>
      <w:r w:rsidRPr="001220A4">
        <w:rPr>
          <w:rFonts w:asciiTheme="minorHAnsi" w:hAnsiTheme="minorHAnsi" w:cstheme="minorHAnsi"/>
        </w:rPr>
        <w:t xml:space="preserve">M APAP on the intestine equivalent apical side. APAP concentrations were measured by HPLC/UV, in the medium samples, collected from apical and basolateral intestinal equivalents sides, in both static and dynamic conditions. The APAP kinetics in the medium collected from the apical and basolateral sides demonstrated that the intestine model was able to absorb the APAP. There was </w:t>
      </w:r>
      <w:r w:rsidR="00BD3FE4" w:rsidRPr="001220A4">
        <w:rPr>
          <w:rFonts w:asciiTheme="minorHAnsi" w:hAnsiTheme="minorHAnsi" w:cstheme="minorHAnsi"/>
        </w:rPr>
        <w:t>a progressive</w:t>
      </w:r>
      <w:r w:rsidRPr="001220A4">
        <w:rPr>
          <w:rFonts w:asciiTheme="minorHAnsi" w:hAnsiTheme="minorHAnsi" w:cstheme="minorHAnsi"/>
        </w:rPr>
        <w:t xml:space="preserve"> APAP concentration decrease in the apical side (</w:t>
      </w:r>
      <w:r w:rsidR="007679BB" w:rsidRPr="007679BB">
        <w:rPr>
          <w:rFonts w:asciiTheme="minorHAnsi" w:hAnsiTheme="minorHAnsi" w:cstheme="minorHAnsi"/>
          <w:b/>
          <w:bCs/>
        </w:rPr>
        <w:t>Figure</w:t>
      </w:r>
      <w:r w:rsidRPr="007679BB">
        <w:rPr>
          <w:rFonts w:asciiTheme="minorHAnsi" w:hAnsiTheme="minorHAnsi" w:cstheme="minorHAnsi"/>
          <w:b/>
          <w:bCs/>
        </w:rPr>
        <w:t xml:space="preserve"> 5A</w:t>
      </w:r>
      <w:r w:rsidRPr="001220A4">
        <w:rPr>
          <w:rFonts w:asciiTheme="minorHAnsi" w:hAnsiTheme="minorHAnsi" w:cstheme="minorHAnsi"/>
        </w:rPr>
        <w:t>) concomitantly to APAP concentration increase at the intestinal basolateral side (</w:t>
      </w:r>
      <w:r w:rsidR="007679BB" w:rsidRPr="007679BB">
        <w:rPr>
          <w:rFonts w:asciiTheme="minorHAnsi" w:hAnsiTheme="minorHAnsi" w:cstheme="minorHAnsi"/>
          <w:b/>
          <w:bCs/>
        </w:rPr>
        <w:t>Figure</w:t>
      </w:r>
      <w:r w:rsidRPr="007679BB">
        <w:rPr>
          <w:rFonts w:asciiTheme="minorHAnsi" w:hAnsiTheme="minorHAnsi" w:cstheme="minorHAnsi"/>
          <w:b/>
          <w:bCs/>
        </w:rPr>
        <w:t xml:space="preserve"> 5B</w:t>
      </w:r>
      <w:r w:rsidRPr="001220A4">
        <w:rPr>
          <w:rFonts w:asciiTheme="minorHAnsi" w:hAnsiTheme="minorHAnsi" w:cstheme="minorHAnsi"/>
        </w:rPr>
        <w:t>). The maximum concentrations (</w:t>
      </w:r>
      <w:proofErr w:type="spellStart"/>
      <w:r w:rsidRPr="001220A4">
        <w:rPr>
          <w:rFonts w:asciiTheme="minorHAnsi" w:hAnsiTheme="minorHAnsi" w:cstheme="minorHAnsi"/>
        </w:rPr>
        <w:t>Cmax</w:t>
      </w:r>
      <w:proofErr w:type="spellEnd"/>
      <w:r w:rsidRPr="001220A4">
        <w:rPr>
          <w:rFonts w:asciiTheme="minorHAnsi" w:hAnsiTheme="minorHAnsi" w:cstheme="minorHAnsi"/>
        </w:rPr>
        <w:t xml:space="preserve">) in the medium was around 2 </w:t>
      </w:r>
      <w:r w:rsidR="008173B3">
        <w:rPr>
          <w:rFonts w:asciiTheme="minorHAnsi" w:hAnsiTheme="minorHAnsi" w:cstheme="minorHAnsi"/>
        </w:rPr>
        <w:t>µ</w:t>
      </w:r>
      <w:r w:rsidRPr="001220A4">
        <w:rPr>
          <w:rFonts w:asciiTheme="minorHAnsi" w:hAnsiTheme="minorHAnsi" w:cstheme="minorHAnsi"/>
        </w:rPr>
        <w:t>M for both static and dynamic conditions, after 12 h of the administration (</w:t>
      </w:r>
      <w:proofErr w:type="spellStart"/>
      <w:r w:rsidRPr="001220A4">
        <w:rPr>
          <w:rFonts w:asciiTheme="minorHAnsi" w:hAnsiTheme="minorHAnsi" w:cstheme="minorHAnsi"/>
        </w:rPr>
        <w:t>Tmax</w:t>
      </w:r>
      <w:proofErr w:type="spellEnd"/>
      <w:r w:rsidRPr="001220A4">
        <w:rPr>
          <w:rFonts w:asciiTheme="minorHAnsi" w:hAnsiTheme="minorHAnsi" w:cstheme="minorHAnsi"/>
        </w:rPr>
        <w:t>).</w:t>
      </w:r>
      <w:r w:rsidR="001D52E2" w:rsidRPr="001220A4">
        <w:rPr>
          <w:rFonts w:asciiTheme="minorHAnsi" w:hAnsiTheme="minorHAnsi" w:cstheme="minorHAnsi"/>
        </w:rPr>
        <w:t xml:space="preserve"> </w:t>
      </w:r>
    </w:p>
    <w:p w14:paraId="089BF058" w14:textId="77777777" w:rsidR="007679BB" w:rsidRPr="001220A4" w:rsidRDefault="007679BB" w:rsidP="0054535F">
      <w:pPr>
        <w:ind w:right="4"/>
        <w:contextualSpacing/>
        <w:rPr>
          <w:rFonts w:asciiTheme="minorHAnsi" w:hAnsiTheme="minorHAnsi" w:cstheme="minorHAnsi"/>
        </w:rPr>
      </w:pPr>
    </w:p>
    <w:p w14:paraId="37228F99" w14:textId="197C9784" w:rsidR="002F5844" w:rsidRDefault="002F5844" w:rsidP="0054535F">
      <w:pPr>
        <w:ind w:right="6"/>
        <w:contextualSpacing/>
        <w:rPr>
          <w:rFonts w:asciiTheme="minorHAnsi" w:hAnsiTheme="minorHAnsi" w:cstheme="minorHAnsi"/>
        </w:rPr>
      </w:pPr>
      <w:r w:rsidRPr="001220A4">
        <w:rPr>
          <w:rFonts w:asciiTheme="minorHAnsi" w:hAnsiTheme="minorHAnsi" w:cstheme="minorHAnsi"/>
        </w:rPr>
        <w:t xml:space="preserve">For metabolism studies, the intravenous administration was mimicked by the administration of 2 </w:t>
      </w:r>
      <w:r w:rsidR="008173B3">
        <w:rPr>
          <w:rFonts w:asciiTheme="minorHAnsi" w:hAnsiTheme="minorHAnsi" w:cstheme="minorHAnsi"/>
        </w:rPr>
        <w:t>µ</w:t>
      </w:r>
      <w:r w:rsidRPr="001220A4">
        <w:rPr>
          <w:rFonts w:asciiTheme="minorHAnsi" w:hAnsiTheme="minorHAnsi" w:cstheme="minorHAnsi"/>
        </w:rPr>
        <w:t xml:space="preserve">M APAP in the medium of the liver compartment. The APAP concentration kinetics in the media under both static and dynamic conditions indicated that only at the dynamic conditions the decreases in the APAP concentration could be detected, reaching 0.87 </w:t>
      </w:r>
      <w:r w:rsidR="008173B3">
        <w:rPr>
          <w:rFonts w:asciiTheme="minorHAnsi" w:hAnsiTheme="minorHAnsi" w:cstheme="minorHAnsi"/>
        </w:rPr>
        <w:t>µ</w:t>
      </w:r>
      <w:r w:rsidRPr="001220A4">
        <w:rPr>
          <w:rFonts w:asciiTheme="minorHAnsi" w:hAnsiTheme="minorHAnsi" w:cstheme="minorHAnsi"/>
        </w:rPr>
        <w:t xml:space="preserve">M APAP 12 h after 2 </w:t>
      </w:r>
      <w:r w:rsidR="008173B3">
        <w:rPr>
          <w:rFonts w:asciiTheme="minorHAnsi" w:hAnsiTheme="minorHAnsi" w:cstheme="minorHAnsi"/>
        </w:rPr>
        <w:t>µ</w:t>
      </w:r>
      <w:r w:rsidRPr="001220A4">
        <w:rPr>
          <w:rFonts w:asciiTheme="minorHAnsi" w:hAnsiTheme="minorHAnsi" w:cstheme="minorHAnsi"/>
        </w:rPr>
        <w:t>M APAP administration (T1/2 = 12 h). The liver equivalents showed minimal metabolic efficiency under static conditions (</w:t>
      </w:r>
      <w:r w:rsidRPr="007679BB">
        <w:rPr>
          <w:rFonts w:asciiTheme="minorHAnsi" w:hAnsiTheme="minorHAnsi" w:cstheme="minorHAnsi"/>
          <w:b/>
          <w:bCs/>
        </w:rPr>
        <w:t>Figure 5C</w:t>
      </w:r>
      <w:r w:rsidRPr="001220A4">
        <w:rPr>
          <w:rFonts w:asciiTheme="minorHAnsi" w:hAnsiTheme="minorHAnsi" w:cstheme="minorHAnsi"/>
        </w:rPr>
        <w:t>). The APAP concentration reached 1</w:t>
      </w:r>
      <w:r w:rsidR="007679BB">
        <w:rPr>
          <w:rFonts w:asciiTheme="minorHAnsi" w:hAnsiTheme="minorHAnsi" w:cstheme="minorHAnsi"/>
        </w:rPr>
        <w:t>.</w:t>
      </w:r>
      <w:r w:rsidRPr="001220A4">
        <w:rPr>
          <w:rFonts w:asciiTheme="minorHAnsi" w:hAnsiTheme="minorHAnsi" w:cstheme="minorHAnsi"/>
        </w:rPr>
        <w:t xml:space="preserve">7 </w:t>
      </w:r>
      <w:r w:rsidR="008173B3">
        <w:rPr>
          <w:rFonts w:asciiTheme="minorHAnsi" w:hAnsiTheme="minorHAnsi" w:cstheme="minorHAnsi"/>
        </w:rPr>
        <w:t>µ</w:t>
      </w:r>
      <w:r w:rsidRPr="001220A4">
        <w:rPr>
          <w:rFonts w:asciiTheme="minorHAnsi" w:hAnsiTheme="minorHAnsi" w:cstheme="minorHAnsi"/>
        </w:rPr>
        <w:t xml:space="preserve">M 12 h after APAP administration. The integrated, systemic like APAP absorption and metabolism evaluation was performed in the Intestine/Liver 2-OC model. The APAP was administered over the apical side of the intestine equivalent, emulating the oral route. Medium samples were collected from both Intestinal sides </w:t>
      </w:r>
      <w:proofErr w:type="gramStart"/>
      <w:r w:rsidRPr="001220A4">
        <w:rPr>
          <w:rFonts w:asciiTheme="minorHAnsi" w:hAnsiTheme="minorHAnsi" w:cstheme="minorHAnsi"/>
        </w:rPr>
        <w:t>and also</w:t>
      </w:r>
      <w:proofErr w:type="gramEnd"/>
      <w:r w:rsidRPr="001220A4">
        <w:rPr>
          <w:rFonts w:asciiTheme="minorHAnsi" w:hAnsiTheme="minorHAnsi" w:cstheme="minorHAnsi"/>
        </w:rPr>
        <w:t xml:space="preserve"> from the liver compartment.</w:t>
      </w:r>
      <w:r w:rsidR="00F81A46" w:rsidRPr="001220A4">
        <w:rPr>
          <w:rFonts w:asciiTheme="minorHAnsi" w:hAnsiTheme="minorHAnsi" w:cstheme="minorHAnsi"/>
        </w:rPr>
        <w:t xml:space="preserve"> </w:t>
      </w:r>
      <w:r w:rsidR="007679BB" w:rsidRPr="007679BB">
        <w:rPr>
          <w:rFonts w:asciiTheme="minorHAnsi" w:hAnsiTheme="minorHAnsi" w:cstheme="minorHAnsi"/>
          <w:b/>
          <w:bCs/>
        </w:rPr>
        <w:t>Figure</w:t>
      </w:r>
      <w:r w:rsidRPr="007679BB">
        <w:rPr>
          <w:rFonts w:asciiTheme="minorHAnsi" w:hAnsiTheme="minorHAnsi" w:cstheme="minorHAnsi"/>
          <w:b/>
          <w:bCs/>
        </w:rPr>
        <w:t xml:space="preserve"> 5D</w:t>
      </w:r>
      <w:r w:rsidRPr="001220A4">
        <w:rPr>
          <w:rFonts w:asciiTheme="minorHAnsi" w:hAnsiTheme="minorHAnsi" w:cstheme="minorHAnsi"/>
        </w:rPr>
        <w:t xml:space="preserve"> shows the progressive decay of the APAP concentration at the apical side in both static and dynamic conditions</w:t>
      </w:r>
      <w:r w:rsidR="00F81A46" w:rsidRPr="001220A4">
        <w:rPr>
          <w:rFonts w:asciiTheme="minorHAnsi" w:hAnsiTheme="minorHAnsi" w:cstheme="minorHAnsi"/>
        </w:rPr>
        <w:t>.</w:t>
      </w:r>
    </w:p>
    <w:p w14:paraId="570908C7" w14:textId="77777777" w:rsidR="007679BB" w:rsidRPr="001220A4" w:rsidRDefault="007679BB" w:rsidP="0054535F">
      <w:pPr>
        <w:ind w:right="6"/>
        <w:contextualSpacing/>
        <w:rPr>
          <w:rFonts w:asciiTheme="minorHAnsi" w:hAnsiTheme="minorHAnsi" w:cstheme="minorHAnsi"/>
        </w:rPr>
      </w:pPr>
    </w:p>
    <w:p w14:paraId="185AF6BE" w14:textId="125AFDDB" w:rsidR="0067725D" w:rsidRPr="001220A4" w:rsidRDefault="007679BB" w:rsidP="0054535F">
      <w:pPr>
        <w:ind w:right="4"/>
        <w:contextualSpacing/>
        <w:rPr>
          <w:rFonts w:asciiTheme="minorHAnsi" w:hAnsiTheme="minorHAnsi" w:cstheme="minorHAnsi"/>
        </w:rPr>
      </w:pPr>
      <w:r w:rsidRPr="007679BB">
        <w:rPr>
          <w:rFonts w:asciiTheme="minorHAnsi" w:hAnsiTheme="minorHAnsi" w:cstheme="minorHAnsi"/>
          <w:b/>
          <w:bCs/>
        </w:rPr>
        <w:t>Figure</w:t>
      </w:r>
      <w:r w:rsidR="002F5844" w:rsidRPr="007679BB">
        <w:rPr>
          <w:rFonts w:asciiTheme="minorHAnsi" w:hAnsiTheme="minorHAnsi" w:cstheme="minorHAnsi"/>
          <w:b/>
          <w:bCs/>
        </w:rPr>
        <w:t xml:space="preserve"> 5E</w:t>
      </w:r>
      <w:r w:rsidR="002F5844" w:rsidRPr="001220A4">
        <w:rPr>
          <w:rFonts w:asciiTheme="minorHAnsi" w:hAnsiTheme="minorHAnsi" w:cstheme="minorHAnsi"/>
        </w:rPr>
        <w:t xml:space="preserve"> shows distinguishable absorption and metabolism phases. The flow also impacted in the intestinal absorption. The APAP </w:t>
      </w:r>
      <w:proofErr w:type="spellStart"/>
      <w:r w:rsidR="002F5844" w:rsidRPr="001220A4">
        <w:rPr>
          <w:rFonts w:asciiTheme="minorHAnsi" w:hAnsiTheme="minorHAnsi" w:cstheme="minorHAnsi"/>
        </w:rPr>
        <w:t>Cmax</w:t>
      </w:r>
      <w:proofErr w:type="spellEnd"/>
      <w:r w:rsidR="002F5844" w:rsidRPr="001220A4">
        <w:rPr>
          <w:rFonts w:asciiTheme="minorHAnsi" w:hAnsiTheme="minorHAnsi" w:cstheme="minorHAnsi"/>
        </w:rPr>
        <w:t xml:space="preserve"> in the medium changed from 2 </w:t>
      </w:r>
      <w:r w:rsidR="008173B3">
        <w:rPr>
          <w:rFonts w:asciiTheme="minorHAnsi" w:hAnsiTheme="minorHAnsi" w:cstheme="minorHAnsi"/>
        </w:rPr>
        <w:t>µ</w:t>
      </w:r>
      <w:r w:rsidR="002F5844" w:rsidRPr="001220A4">
        <w:rPr>
          <w:rFonts w:asciiTheme="minorHAnsi" w:hAnsiTheme="minorHAnsi" w:cstheme="minorHAnsi"/>
        </w:rPr>
        <w:t>M on the “Intestine 2-OC” (</w:t>
      </w:r>
      <w:r w:rsidRPr="001D574E">
        <w:rPr>
          <w:rFonts w:asciiTheme="minorHAnsi" w:hAnsiTheme="minorHAnsi" w:cstheme="minorHAnsi"/>
          <w:b/>
          <w:bCs/>
        </w:rPr>
        <w:t>Figure</w:t>
      </w:r>
      <w:r w:rsidR="002F5844" w:rsidRPr="001D574E">
        <w:rPr>
          <w:rFonts w:asciiTheme="minorHAnsi" w:hAnsiTheme="minorHAnsi" w:cstheme="minorHAnsi"/>
          <w:b/>
          <w:bCs/>
        </w:rPr>
        <w:t xml:space="preserve"> 5B</w:t>
      </w:r>
      <w:r w:rsidR="002F5844" w:rsidRPr="001220A4">
        <w:rPr>
          <w:rFonts w:asciiTheme="minorHAnsi" w:hAnsiTheme="minorHAnsi" w:cstheme="minorHAnsi"/>
        </w:rPr>
        <w:t xml:space="preserve">) assembly to 1.7 </w:t>
      </w:r>
      <w:r w:rsidR="008173B3">
        <w:rPr>
          <w:rFonts w:asciiTheme="minorHAnsi" w:hAnsiTheme="minorHAnsi" w:cstheme="minorHAnsi"/>
        </w:rPr>
        <w:t>µ</w:t>
      </w:r>
      <w:r w:rsidR="002F5844" w:rsidRPr="001220A4">
        <w:rPr>
          <w:rFonts w:asciiTheme="minorHAnsi" w:hAnsiTheme="minorHAnsi" w:cstheme="minorHAnsi"/>
        </w:rPr>
        <w:t>M for the dynamic “Intestine/Liver 2-OC” (</w:t>
      </w:r>
      <w:r w:rsidRPr="007679BB">
        <w:rPr>
          <w:rFonts w:asciiTheme="minorHAnsi" w:hAnsiTheme="minorHAnsi" w:cstheme="minorHAnsi"/>
          <w:b/>
          <w:bCs/>
        </w:rPr>
        <w:t>Figure</w:t>
      </w:r>
      <w:r w:rsidR="002F5844" w:rsidRPr="007679BB">
        <w:rPr>
          <w:rFonts w:asciiTheme="minorHAnsi" w:hAnsiTheme="minorHAnsi" w:cstheme="minorHAnsi"/>
          <w:b/>
          <w:bCs/>
        </w:rPr>
        <w:t xml:space="preserve"> 5E</w:t>
      </w:r>
      <w:r w:rsidR="002F5844" w:rsidRPr="001220A4">
        <w:rPr>
          <w:rFonts w:asciiTheme="minorHAnsi" w:hAnsiTheme="minorHAnsi" w:cstheme="minorHAnsi"/>
        </w:rPr>
        <w:t>).</w:t>
      </w:r>
      <w:r w:rsidR="00D92D91" w:rsidRPr="001220A4">
        <w:rPr>
          <w:rFonts w:asciiTheme="minorHAnsi" w:hAnsiTheme="minorHAnsi" w:cstheme="minorHAnsi"/>
        </w:rPr>
        <w:t xml:space="preserve"> </w:t>
      </w:r>
      <w:r>
        <w:rPr>
          <w:rFonts w:asciiTheme="minorHAnsi" w:hAnsiTheme="minorHAnsi" w:cstheme="minorHAnsi"/>
        </w:rPr>
        <w:t xml:space="preserve">Figure </w:t>
      </w:r>
      <w:r w:rsidR="00D92D91" w:rsidRPr="001220A4">
        <w:rPr>
          <w:rFonts w:asciiTheme="minorHAnsi" w:hAnsiTheme="minorHAnsi" w:cstheme="minorHAnsi"/>
        </w:rPr>
        <w:t xml:space="preserve">5F shows a direct comparison between the concentration–time profile of APAP in our dynamic “Intestine/Liver 2-OC” </w:t>
      </w:r>
      <w:proofErr w:type="spellStart"/>
      <w:r w:rsidR="00D92D91" w:rsidRPr="001220A4">
        <w:rPr>
          <w:rFonts w:asciiTheme="minorHAnsi" w:hAnsiTheme="minorHAnsi" w:cstheme="minorHAnsi"/>
        </w:rPr>
        <w:t>microphysiological</w:t>
      </w:r>
      <w:proofErr w:type="spellEnd"/>
      <w:r w:rsidR="00D92D91" w:rsidRPr="001220A4">
        <w:rPr>
          <w:rFonts w:asciiTheme="minorHAnsi" w:hAnsiTheme="minorHAnsi" w:cstheme="minorHAnsi"/>
        </w:rPr>
        <w:t xml:space="preserve"> system (red curve and y axis) and a representative profile obtained in humans after a single oral dose of 1000 mg (black curve and y axis).</w:t>
      </w:r>
    </w:p>
    <w:p w14:paraId="6618AE97" w14:textId="64FD9994" w:rsidR="0067725D" w:rsidRPr="001220A4" w:rsidRDefault="0067725D" w:rsidP="0054535F">
      <w:pPr>
        <w:ind w:right="4"/>
        <w:contextualSpacing/>
        <w:rPr>
          <w:rFonts w:asciiTheme="minorHAnsi" w:hAnsiTheme="minorHAnsi" w:cstheme="minorHAnsi"/>
        </w:rPr>
      </w:pPr>
    </w:p>
    <w:p w14:paraId="3C9083F6" w14:textId="028B4ADB" w:rsidR="00B32616" w:rsidRPr="001220A4" w:rsidRDefault="00B32616" w:rsidP="0054535F">
      <w:pPr>
        <w:ind w:right="4"/>
        <w:contextualSpacing/>
        <w:rPr>
          <w:rFonts w:asciiTheme="minorHAnsi" w:hAnsiTheme="minorHAnsi" w:cstheme="minorHAnsi"/>
          <w:color w:val="808080"/>
        </w:rPr>
      </w:pPr>
      <w:r w:rsidRPr="001220A4">
        <w:rPr>
          <w:rFonts w:asciiTheme="minorHAnsi" w:hAnsiTheme="minorHAnsi" w:cstheme="minorHAnsi"/>
          <w:b/>
        </w:rPr>
        <w:t xml:space="preserve">FIGURE </w:t>
      </w:r>
      <w:r w:rsidR="0013621E" w:rsidRPr="001220A4">
        <w:rPr>
          <w:rFonts w:asciiTheme="minorHAnsi" w:hAnsiTheme="minorHAnsi" w:cstheme="minorHAnsi"/>
          <w:b/>
        </w:rPr>
        <w:t xml:space="preserve">AND TABLE </w:t>
      </w:r>
      <w:r w:rsidRPr="001220A4">
        <w:rPr>
          <w:rFonts w:asciiTheme="minorHAnsi" w:hAnsiTheme="minorHAnsi" w:cstheme="minorHAnsi"/>
          <w:b/>
        </w:rPr>
        <w:t>LEGENDS:</w:t>
      </w:r>
      <w:r w:rsidRPr="001220A4">
        <w:rPr>
          <w:rFonts w:asciiTheme="minorHAnsi" w:hAnsiTheme="minorHAnsi" w:cstheme="minorHAnsi"/>
          <w:color w:val="808080"/>
        </w:rPr>
        <w:t xml:space="preserve"> </w:t>
      </w:r>
    </w:p>
    <w:p w14:paraId="34C35F9E" w14:textId="4BD87AF7" w:rsidR="000B2584" w:rsidRPr="001220A4" w:rsidRDefault="000B2584" w:rsidP="0054535F">
      <w:pPr>
        <w:ind w:right="4"/>
        <w:contextualSpacing/>
        <w:rPr>
          <w:rFonts w:asciiTheme="minorHAnsi" w:hAnsiTheme="minorHAnsi" w:cstheme="minorHAnsi"/>
          <w:color w:val="808080"/>
        </w:rPr>
      </w:pPr>
    </w:p>
    <w:p w14:paraId="2FAA2D77" w14:textId="07CE51B6" w:rsidR="008400D8" w:rsidRPr="001220A4" w:rsidRDefault="008400D8" w:rsidP="0054535F">
      <w:pPr>
        <w:ind w:right="4"/>
        <w:contextualSpacing/>
        <w:rPr>
          <w:rFonts w:asciiTheme="minorHAnsi" w:hAnsiTheme="minorHAnsi" w:cstheme="minorHAnsi"/>
          <w:i/>
        </w:rPr>
      </w:pPr>
      <w:r w:rsidRPr="001220A4">
        <w:rPr>
          <w:rFonts w:asciiTheme="minorHAnsi" w:hAnsiTheme="minorHAnsi" w:cstheme="minorHAnsi"/>
          <w:b/>
        </w:rPr>
        <w:t xml:space="preserve">Figure 1. Schematic step compilation for PK studies in the 2-OC MPS. </w:t>
      </w:r>
      <w:r w:rsidRPr="001D574E">
        <w:rPr>
          <w:rFonts w:asciiTheme="minorHAnsi" w:hAnsiTheme="minorHAnsi" w:cstheme="minorHAnsi"/>
          <w:b/>
          <w:bCs/>
        </w:rPr>
        <w:t>A</w:t>
      </w:r>
      <w:r w:rsidRPr="001220A4">
        <w:rPr>
          <w:rFonts w:asciiTheme="minorHAnsi" w:hAnsiTheme="minorHAnsi" w:cstheme="minorHAnsi"/>
        </w:rPr>
        <w:t>) Schematic drawing of the 2-OC MPS, showing the intestinal and hepatic human tissue equivalents in b</w:t>
      </w:r>
      <w:r w:rsidRPr="001220A4">
        <w:rPr>
          <w:rFonts w:asciiTheme="minorHAnsi" w:hAnsiTheme="minorHAnsi" w:cstheme="minorHAnsi"/>
          <w:noProof/>
        </w:rPr>
        <w:t>ottom-up</w:t>
      </w:r>
      <w:r w:rsidRPr="001220A4">
        <w:rPr>
          <w:rFonts w:asciiTheme="minorHAnsi" w:hAnsiTheme="minorHAnsi" w:cstheme="minorHAnsi"/>
        </w:rPr>
        <w:t xml:space="preserve"> view. </w:t>
      </w:r>
      <w:r w:rsidRPr="001D574E">
        <w:rPr>
          <w:rFonts w:asciiTheme="minorHAnsi" w:hAnsiTheme="minorHAnsi" w:cstheme="minorHAnsi"/>
          <w:b/>
          <w:bCs/>
        </w:rPr>
        <w:t>B</w:t>
      </w:r>
      <w:r w:rsidRPr="001220A4">
        <w:rPr>
          <w:rFonts w:asciiTheme="minorHAnsi" w:hAnsiTheme="minorHAnsi" w:cstheme="minorHAnsi"/>
        </w:rPr>
        <w:t xml:space="preserve">) 2-OC MPS photograph with the intestinal and liver equivalents integrated into the device in </w:t>
      </w:r>
      <w:r w:rsidRPr="001220A4">
        <w:rPr>
          <w:rFonts w:asciiTheme="minorHAnsi" w:hAnsiTheme="minorHAnsi" w:cstheme="minorHAnsi"/>
        </w:rPr>
        <w:lastRenderedPageBreak/>
        <w:t xml:space="preserve">bottom-up view, with representative optical microscopy images. </w:t>
      </w:r>
      <w:r w:rsidRPr="001D574E">
        <w:rPr>
          <w:rFonts w:asciiTheme="minorHAnsi" w:hAnsiTheme="minorHAnsi" w:cstheme="minorHAnsi"/>
          <w:b/>
          <w:bCs/>
        </w:rPr>
        <w:t>C</w:t>
      </w:r>
      <w:r w:rsidRPr="001220A4">
        <w:rPr>
          <w:rFonts w:asciiTheme="minorHAnsi" w:hAnsiTheme="minorHAnsi" w:cstheme="minorHAnsi"/>
        </w:rPr>
        <w:t xml:space="preserve">) Timeline of tissue equivalents preparation, APAP treatment, and culture medium collections phases for organoid manufacturing, and pharmacokinetic and toxicological assessments. This figure has been modified from </w:t>
      </w:r>
      <w:r w:rsidRPr="001D574E">
        <w:rPr>
          <w:rFonts w:asciiTheme="minorHAnsi" w:hAnsiTheme="minorHAnsi" w:cstheme="minorHAnsi"/>
          <w:iCs/>
        </w:rPr>
        <w:t>Marin</w:t>
      </w:r>
      <w:r w:rsidR="001D574E" w:rsidRPr="001D574E">
        <w:rPr>
          <w:rFonts w:asciiTheme="minorHAnsi" w:hAnsiTheme="minorHAnsi" w:cstheme="minorHAnsi"/>
          <w:iCs/>
        </w:rPr>
        <w:t xml:space="preserve"> </w:t>
      </w:r>
      <w:r w:rsidR="00B2719E" w:rsidRPr="00B2719E">
        <w:rPr>
          <w:rFonts w:asciiTheme="minorHAnsi" w:hAnsiTheme="minorHAnsi" w:cstheme="minorHAnsi"/>
        </w:rPr>
        <w:t>et al.</w:t>
      </w:r>
      <w:r w:rsidRPr="001D574E">
        <w:rPr>
          <w:rFonts w:asciiTheme="minorHAnsi" w:hAnsiTheme="minorHAnsi" w:cstheme="minorHAnsi"/>
          <w:iCs/>
        </w:rPr>
        <w:t xml:space="preserve"> </w:t>
      </w:r>
      <w:bookmarkStart w:id="3" w:name="_Hlk19725412"/>
      <w:r w:rsidRPr="001D574E">
        <w:rPr>
          <w:rFonts w:asciiTheme="minorHAnsi" w:hAnsiTheme="minorHAnsi" w:cstheme="minorHAnsi"/>
          <w:iCs/>
        </w:rPr>
        <w:t xml:space="preserve">Acetaminophen absorption and metabolism in an intestine/liver </w:t>
      </w:r>
      <w:r w:rsidRPr="001D574E">
        <w:rPr>
          <w:rFonts w:asciiTheme="minorHAnsi" w:hAnsiTheme="minorHAnsi" w:cstheme="minorHAnsi"/>
          <w:iCs/>
          <w:noProof/>
        </w:rPr>
        <w:t>microphysiological</w:t>
      </w:r>
      <w:r w:rsidRPr="001D574E">
        <w:rPr>
          <w:rFonts w:asciiTheme="minorHAnsi" w:hAnsiTheme="minorHAnsi" w:cstheme="minorHAnsi"/>
          <w:iCs/>
        </w:rPr>
        <w:t xml:space="preserve"> system. </w:t>
      </w:r>
      <w:r w:rsidRPr="001D574E">
        <w:rPr>
          <w:rFonts w:asciiTheme="minorHAnsi" w:hAnsiTheme="minorHAnsi" w:cstheme="minorHAnsi"/>
          <w:i/>
        </w:rPr>
        <w:t>Chem Biol Interact</w:t>
      </w:r>
      <w:r w:rsidRPr="001D574E">
        <w:rPr>
          <w:rFonts w:asciiTheme="minorHAnsi" w:hAnsiTheme="minorHAnsi" w:cstheme="minorHAnsi"/>
          <w:iCs/>
        </w:rPr>
        <w:t xml:space="preserve">. </w:t>
      </w:r>
      <w:r w:rsidRPr="001D574E">
        <w:rPr>
          <w:rFonts w:asciiTheme="minorHAnsi" w:hAnsiTheme="minorHAnsi" w:cstheme="minorHAnsi"/>
          <w:b/>
          <w:bCs/>
          <w:iCs/>
        </w:rPr>
        <w:t>299</w:t>
      </w:r>
      <w:r w:rsidR="001D574E">
        <w:rPr>
          <w:rFonts w:asciiTheme="minorHAnsi" w:hAnsiTheme="minorHAnsi" w:cstheme="minorHAnsi"/>
          <w:iCs/>
        </w:rPr>
        <w:t xml:space="preserve">, </w:t>
      </w:r>
      <w:r w:rsidRPr="001D574E">
        <w:rPr>
          <w:rFonts w:asciiTheme="minorHAnsi" w:hAnsiTheme="minorHAnsi" w:cstheme="minorHAnsi"/>
          <w:iCs/>
        </w:rPr>
        <w:t>59-76</w:t>
      </w:r>
      <w:bookmarkEnd w:id="3"/>
      <w:r w:rsidR="001D574E">
        <w:rPr>
          <w:rFonts w:asciiTheme="minorHAnsi" w:hAnsiTheme="minorHAnsi" w:cstheme="minorHAnsi"/>
          <w:iCs/>
        </w:rPr>
        <w:t xml:space="preserve"> (2019).</w:t>
      </w:r>
    </w:p>
    <w:p w14:paraId="2E9F0D2A" w14:textId="77777777" w:rsidR="008400D8" w:rsidRPr="001220A4" w:rsidRDefault="008400D8" w:rsidP="0054535F">
      <w:pPr>
        <w:ind w:right="4"/>
        <w:contextualSpacing/>
        <w:rPr>
          <w:rFonts w:asciiTheme="minorHAnsi" w:hAnsiTheme="minorHAnsi" w:cstheme="minorHAnsi"/>
          <w:i/>
        </w:rPr>
      </w:pPr>
    </w:p>
    <w:p w14:paraId="26C8E36B" w14:textId="48D42D9E" w:rsidR="008400D8" w:rsidRPr="001220A4" w:rsidRDefault="008400D8" w:rsidP="0054535F">
      <w:pPr>
        <w:contextualSpacing/>
        <w:rPr>
          <w:rFonts w:asciiTheme="minorHAnsi" w:hAnsiTheme="minorHAnsi" w:cstheme="minorHAnsi"/>
          <w:i/>
        </w:rPr>
      </w:pPr>
      <w:r w:rsidRPr="001220A4">
        <w:rPr>
          <w:rFonts w:asciiTheme="minorHAnsi" w:hAnsiTheme="minorHAnsi" w:cstheme="minorHAnsi"/>
          <w:b/>
        </w:rPr>
        <w:t>Figure 2.</w:t>
      </w:r>
      <w:r w:rsidRPr="001220A4">
        <w:rPr>
          <w:rFonts w:asciiTheme="minorHAnsi" w:hAnsiTheme="minorHAnsi" w:cstheme="minorHAnsi"/>
        </w:rPr>
        <w:t xml:space="preserve"> </w:t>
      </w:r>
      <w:r w:rsidRPr="001220A4">
        <w:rPr>
          <w:rFonts w:asciiTheme="minorHAnsi" w:hAnsiTheme="minorHAnsi" w:cstheme="minorHAnsi"/>
          <w:b/>
        </w:rPr>
        <w:t>Viability and toxicological assessment of the intestine equivalents.</w:t>
      </w:r>
      <w:r w:rsidR="008E4F90">
        <w:rPr>
          <w:rFonts w:asciiTheme="minorHAnsi" w:hAnsiTheme="minorHAnsi" w:cstheme="minorHAnsi"/>
          <w:b/>
        </w:rPr>
        <w:t xml:space="preserve"> </w:t>
      </w:r>
      <w:r w:rsidRPr="001D574E">
        <w:rPr>
          <w:rFonts w:asciiTheme="minorHAnsi" w:hAnsiTheme="minorHAnsi" w:cstheme="minorHAnsi"/>
          <w:b/>
          <w:bCs/>
        </w:rPr>
        <w:t>A</w:t>
      </w:r>
      <w:r w:rsidR="001D574E">
        <w:rPr>
          <w:rFonts w:asciiTheme="minorHAnsi" w:hAnsiTheme="minorHAnsi" w:cstheme="minorHAnsi"/>
        </w:rPr>
        <w:t>)</w:t>
      </w:r>
      <w:r w:rsidRPr="001220A4">
        <w:rPr>
          <w:rFonts w:asciiTheme="minorHAnsi" w:hAnsiTheme="minorHAnsi" w:cstheme="minorHAnsi"/>
        </w:rPr>
        <w:t xml:space="preserve"> Representative </w:t>
      </w:r>
      <w:bookmarkStart w:id="4" w:name="_Hlk48416268"/>
      <w:r w:rsidRPr="001220A4">
        <w:rPr>
          <w:rFonts w:asciiTheme="minorHAnsi" w:hAnsiTheme="minorHAnsi" w:cstheme="minorHAnsi"/>
        </w:rPr>
        <w:t xml:space="preserve">confocal fluorescence microscopy images of non-treated Caco-2/HT-29 cells stained with cell nuclei and actin filaments fluorescent dye (DAPI and Phalloidin respectively); </w:t>
      </w:r>
      <w:bookmarkEnd w:id="4"/>
      <w:r w:rsidRPr="001220A4">
        <w:rPr>
          <w:rFonts w:asciiTheme="minorHAnsi" w:hAnsiTheme="minorHAnsi" w:cstheme="minorHAnsi"/>
        </w:rPr>
        <w:t>63x Magnification, zoom 2</w:t>
      </w:r>
      <w:r w:rsidR="001D574E">
        <w:rPr>
          <w:rFonts w:asciiTheme="minorHAnsi" w:hAnsiTheme="minorHAnsi" w:cstheme="minorHAnsi"/>
        </w:rPr>
        <w:t>.</w:t>
      </w:r>
      <w:r w:rsidRPr="001220A4">
        <w:rPr>
          <w:rFonts w:asciiTheme="minorHAnsi" w:hAnsiTheme="minorHAnsi" w:cstheme="minorHAnsi"/>
        </w:rPr>
        <w:t xml:space="preserve">6. </w:t>
      </w:r>
      <w:r w:rsidRPr="001D574E">
        <w:rPr>
          <w:rFonts w:asciiTheme="minorHAnsi" w:hAnsiTheme="minorHAnsi" w:cstheme="minorHAnsi"/>
          <w:b/>
          <w:bCs/>
        </w:rPr>
        <w:t>B</w:t>
      </w:r>
      <w:r w:rsidR="001D574E">
        <w:rPr>
          <w:rFonts w:asciiTheme="minorHAnsi" w:hAnsiTheme="minorHAnsi" w:cstheme="minorHAnsi"/>
        </w:rPr>
        <w:t>)</w:t>
      </w:r>
      <w:r w:rsidRPr="001220A4">
        <w:rPr>
          <w:rFonts w:asciiTheme="minorHAnsi" w:hAnsiTheme="minorHAnsi" w:cstheme="minorHAnsi"/>
        </w:rPr>
        <w:t xml:space="preserve"> Representative confocal fluorescence microscopy images of Caco-2/HT-29 cells treated with 12 </w:t>
      </w:r>
      <w:r w:rsidR="008173B3">
        <w:rPr>
          <w:rFonts w:asciiTheme="minorHAnsi" w:hAnsiTheme="minorHAnsi" w:cstheme="minorHAnsi"/>
        </w:rPr>
        <w:t>µ</w:t>
      </w:r>
      <w:r w:rsidRPr="001220A4">
        <w:rPr>
          <w:rFonts w:asciiTheme="minorHAnsi" w:hAnsiTheme="minorHAnsi" w:cstheme="minorHAnsi"/>
        </w:rPr>
        <w:t>M APAP for 24 h, stained with nuclei and actin filaments fluorescent dye (DAPI and Phalloidin respectively); 63x Magnification, zoom 2</w:t>
      </w:r>
      <w:r w:rsidR="001D574E">
        <w:rPr>
          <w:rFonts w:asciiTheme="minorHAnsi" w:hAnsiTheme="minorHAnsi" w:cstheme="minorHAnsi"/>
        </w:rPr>
        <w:t>.</w:t>
      </w:r>
      <w:r w:rsidRPr="001220A4">
        <w:rPr>
          <w:rFonts w:asciiTheme="minorHAnsi" w:hAnsiTheme="minorHAnsi" w:cstheme="minorHAnsi"/>
        </w:rPr>
        <w:t xml:space="preserve">6. </w:t>
      </w:r>
      <w:r w:rsidRPr="001D574E">
        <w:rPr>
          <w:rFonts w:asciiTheme="minorHAnsi" w:hAnsiTheme="minorHAnsi" w:cstheme="minorHAnsi"/>
          <w:b/>
          <w:bCs/>
        </w:rPr>
        <w:t>C</w:t>
      </w:r>
      <w:r w:rsidRPr="001220A4">
        <w:rPr>
          <w:rFonts w:asciiTheme="minorHAnsi" w:hAnsiTheme="minorHAnsi" w:cstheme="minorHAnsi"/>
        </w:rPr>
        <w:t xml:space="preserve">) Intestine equivalents viability evaluation by MTT assay in both static and dynamic conditions. </w:t>
      </w:r>
      <w:r w:rsidRPr="001220A4">
        <w:rPr>
          <w:rFonts w:asciiTheme="minorHAnsi" w:hAnsiTheme="minorHAnsi" w:cstheme="minorHAnsi"/>
          <w:color w:val="auto"/>
        </w:rPr>
        <w:t xml:space="preserve">The values represented by the bars in the graph are percent calculated relative to vehicle control (time-point named as </w:t>
      </w:r>
      <w:proofErr w:type="gramStart"/>
      <w:r w:rsidRPr="001220A4">
        <w:rPr>
          <w:rFonts w:asciiTheme="minorHAnsi" w:hAnsiTheme="minorHAnsi" w:cstheme="minorHAnsi"/>
          <w:color w:val="auto"/>
        </w:rPr>
        <w:t>0)</w:t>
      </w:r>
      <w:r w:rsidRPr="001220A4">
        <w:rPr>
          <w:rFonts w:asciiTheme="minorHAnsi" w:hAnsiTheme="minorHAnsi" w:cstheme="minorHAnsi"/>
        </w:rPr>
        <w:t>*</w:t>
      </w:r>
      <w:proofErr w:type="gramEnd"/>
      <w:r w:rsidRPr="001220A4">
        <w:rPr>
          <w:rFonts w:asciiTheme="minorHAnsi" w:hAnsiTheme="minorHAnsi" w:cstheme="minorHAnsi"/>
        </w:rPr>
        <w:t xml:space="preserve">P&lt;0.05 0 vs treatment. </w:t>
      </w:r>
      <w:r w:rsidR="00DC3CDC" w:rsidRPr="001D574E">
        <w:rPr>
          <w:rFonts w:asciiTheme="minorHAnsi" w:hAnsiTheme="minorHAnsi" w:cstheme="minorHAnsi"/>
          <w:b/>
          <w:bCs/>
        </w:rPr>
        <w:t>D</w:t>
      </w:r>
      <w:r w:rsidR="001D574E">
        <w:rPr>
          <w:rFonts w:asciiTheme="minorHAnsi" w:hAnsiTheme="minorHAnsi" w:cstheme="minorHAnsi"/>
        </w:rPr>
        <w:t>)</w:t>
      </w:r>
      <w:r w:rsidR="00DC3CDC" w:rsidRPr="001220A4">
        <w:rPr>
          <w:rFonts w:asciiTheme="minorHAnsi" w:hAnsiTheme="minorHAnsi" w:cstheme="minorHAnsi"/>
        </w:rPr>
        <w:t xml:space="preserve"> TEER evolution during the 21 days of differentiation. *P&lt;</w:t>
      </w:r>
      <w:proofErr w:type="gramStart"/>
      <w:r w:rsidR="00DC3CDC" w:rsidRPr="001220A4">
        <w:rPr>
          <w:rFonts w:asciiTheme="minorHAnsi" w:hAnsiTheme="minorHAnsi" w:cstheme="minorHAnsi"/>
        </w:rPr>
        <w:t>0.05 day</w:t>
      </w:r>
      <w:proofErr w:type="gramEnd"/>
      <w:r w:rsidR="00DC3CDC" w:rsidRPr="001220A4">
        <w:rPr>
          <w:rFonts w:asciiTheme="minorHAnsi" w:hAnsiTheme="minorHAnsi" w:cstheme="minorHAnsi"/>
        </w:rPr>
        <w:t xml:space="preserve"> 1 vs other days. </w:t>
      </w:r>
      <w:r w:rsidR="00DC3CDC" w:rsidRPr="001D574E">
        <w:rPr>
          <w:rFonts w:asciiTheme="minorHAnsi" w:hAnsiTheme="minorHAnsi" w:cstheme="minorHAnsi"/>
          <w:b/>
          <w:bCs/>
        </w:rPr>
        <w:t>E</w:t>
      </w:r>
      <w:r w:rsidR="001D574E">
        <w:rPr>
          <w:rFonts w:asciiTheme="minorHAnsi" w:hAnsiTheme="minorHAnsi" w:cstheme="minorHAnsi"/>
        </w:rPr>
        <w:t>)</w:t>
      </w:r>
      <w:r w:rsidR="00DC3CDC" w:rsidRPr="001220A4">
        <w:rPr>
          <w:rFonts w:asciiTheme="minorHAnsi" w:hAnsiTheme="minorHAnsi" w:cstheme="minorHAnsi"/>
        </w:rPr>
        <w:t xml:space="preserve"> TEER values after APAP administration into the Intestine 2-OC MPS under dynamic conditions. </w:t>
      </w:r>
      <w:r w:rsidRPr="001220A4">
        <w:rPr>
          <w:rFonts w:asciiTheme="minorHAnsi" w:hAnsiTheme="minorHAnsi" w:cstheme="minorHAnsi"/>
        </w:rPr>
        <w:t xml:space="preserve">Gene expression in intestines equivalents. Absorption potential of the intestine barrier and possible effects of 12 </w:t>
      </w:r>
      <w:r w:rsidR="008173B3">
        <w:rPr>
          <w:rFonts w:asciiTheme="minorHAnsi" w:hAnsiTheme="minorHAnsi" w:cstheme="minorHAnsi"/>
        </w:rPr>
        <w:t>µ</w:t>
      </w:r>
      <w:r w:rsidRPr="001220A4">
        <w:rPr>
          <w:rFonts w:asciiTheme="minorHAnsi" w:hAnsiTheme="minorHAnsi" w:cstheme="minorHAnsi"/>
        </w:rPr>
        <w:t>M APAP for 24 h under dynamic condition was verified by SLC5A1 (</w:t>
      </w:r>
      <w:r w:rsidR="00DC3CDC" w:rsidRPr="001D574E">
        <w:rPr>
          <w:rFonts w:asciiTheme="minorHAnsi" w:hAnsiTheme="minorHAnsi" w:cstheme="minorHAnsi"/>
          <w:b/>
          <w:bCs/>
        </w:rPr>
        <w:t>F</w:t>
      </w:r>
      <w:r w:rsidRPr="001220A4">
        <w:rPr>
          <w:rFonts w:asciiTheme="minorHAnsi" w:hAnsiTheme="minorHAnsi" w:cstheme="minorHAnsi"/>
        </w:rPr>
        <w:t>), Na-K-ATPase (</w:t>
      </w:r>
      <w:r w:rsidR="00DC3CDC" w:rsidRPr="001D574E">
        <w:rPr>
          <w:rFonts w:asciiTheme="minorHAnsi" w:hAnsiTheme="minorHAnsi" w:cstheme="minorHAnsi"/>
          <w:b/>
          <w:bCs/>
        </w:rPr>
        <w:t>G</w:t>
      </w:r>
      <w:r w:rsidRPr="001220A4">
        <w:rPr>
          <w:rFonts w:asciiTheme="minorHAnsi" w:hAnsiTheme="minorHAnsi" w:cstheme="minorHAnsi"/>
        </w:rPr>
        <w:t>) and MDR1 (</w:t>
      </w:r>
      <w:r w:rsidR="00DC3CDC" w:rsidRPr="001D574E">
        <w:rPr>
          <w:rFonts w:asciiTheme="minorHAnsi" w:hAnsiTheme="minorHAnsi" w:cstheme="minorHAnsi"/>
          <w:b/>
          <w:bCs/>
        </w:rPr>
        <w:t>H</w:t>
      </w:r>
      <w:r w:rsidRPr="001220A4">
        <w:rPr>
          <w:rFonts w:asciiTheme="minorHAnsi" w:hAnsiTheme="minorHAnsi" w:cstheme="minorHAnsi"/>
        </w:rPr>
        <w:t>) expression. Values represent the mean ± SEM of three independent experiments. The result is expressed as a ratio to housekeeping GAPDH.</w:t>
      </w:r>
      <w:r w:rsidR="008E4F90">
        <w:rPr>
          <w:rFonts w:asciiTheme="minorHAnsi" w:hAnsiTheme="minorHAnsi" w:cstheme="minorHAnsi"/>
        </w:rPr>
        <w:t xml:space="preserve"> </w:t>
      </w:r>
      <w:r w:rsidRPr="001220A4">
        <w:rPr>
          <w:rFonts w:asciiTheme="minorHAnsi" w:hAnsiTheme="minorHAnsi" w:cstheme="minorHAnsi"/>
        </w:rPr>
        <w:t xml:space="preserve">*P&lt;0.05 vehicle vs APAP. </w:t>
      </w:r>
      <w:r w:rsidR="00DC3CDC" w:rsidRPr="001D574E">
        <w:rPr>
          <w:rFonts w:asciiTheme="minorHAnsi" w:hAnsiTheme="minorHAnsi" w:cstheme="minorHAnsi"/>
          <w:b/>
          <w:bCs/>
        </w:rPr>
        <w:t>I</w:t>
      </w:r>
      <w:r w:rsidR="001D574E">
        <w:rPr>
          <w:rFonts w:asciiTheme="minorHAnsi" w:hAnsiTheme="minorHAnsi" w:cstheme="minorHAnsi"/>
        </w:rPr>
        <w:t>)</w:t>
      </w:r>
      <w:r w:rsidRPr="001220A4">
        <w:rPr>
          <w:rFonts w:asciiTheme="minorHAnsi" w:hAnsiTheme="minorHAnsi" w:cstheme="minorHAnsi"/>
        </w:rPr>
        <w:t xml:space="preserve"> Operetta image-based HCA performed by the Columbus® 2.4.0. software. Representative images of 2D intestine co-culture in different time points after 12 </w:t>
      </w:r>
      <w:r w:rsidR="008173B3">
        <w:rPr>
          <w:rFonts w:asciiTheme="minorHAnsi" w:hAnsiTheme="minorHAnsi" w:cstheme="minorHAnsi"/>
        </w:rPr>
        <w:t>µ</w:t>
      </w:r>
      <w:r w:rsidRPr="001220A4">
        <w:rPr>
          <w:rFonts w:asciiTheme="minorHAnsi" w:hAnsiTheme="minorHAnsi" w:cstheme="minorHAnsi"/>
        </w:rPr>
        <w:t xml:space="preserve">M APAP treatment. Negative controls were medium (0 h) or vehicle (0.5% ethanol). Positive controls shown here is the 100 mM APAP. </w:t>
      </w:r>
      <w:r w:rsidR="001D574E" w:rsidRPr="001220A4">
        <w:rPr>
          <w:rFonts w:asciiTheme="minorHAnsi" w:hAnsiTheme="minorHAnsi" w:cstheme="minorHAnsi"/>
        </w:rPr>
        <w:t xml:space="preserve">This figure has been modified from </w:t>
      </w:r>
      <w:r w:rsidR="001D574E" w:rsidRPr="001D574E">
        <w:rPr>
          <w:rFonts w:asciiTheme="minorHAnsi" w:hAnsiTheme="minorHAnsi" w:cstheme="minorHAnsi"/>
          <w:iCs/>
        </w:rPr>
        <w:t xml:space="preserve">Marin </w:t>
      </w:r>
      <w:r w:rsidR="00B2719E" w:rsidRPr="00B2719E">
        <w:rPr>
          <w:rFonts w:asciiTheme="minorHAnsi" w:hAnsiTheme="minorHAnsi" w:cstheme="minorHAnsi"/>
        </w:rPr>
        <w:t>et al.</w:t>
      </w:r>
      <w:r w:rsidR="001D574E" w:rsidRPr="001D574E">
        <w:rPr>
          <w:rFonts w:asciiTheme="minorHAnsi" w:hAnsiTheme="minorHAnsi" w:cstheme="minorHAnsi"/>
          <w:iCs/>
        </w:rPr>
        <w:t xml:space="preserve"> Acetaminophen absorption and metabolism in an intestine/liver </w:t>
      </w:r>
      <w:r w:rsidR="001D574E" w:rsidRPr="001D574E">
        <w:rPr>
          <w:rFonts w:asciiTheme="minorHAnsi" w:hAnsiTheme="minorHAnsi" w:cstheme="minorHAnsi"/>
          <w:iCs/>
          <w:noProof/>
        </w:rPr>
        <w:t>microphysiological</w:t>
      </w:r>
      <w:r w:rsidR="001D574E" w:rsidRPr="001D574E">
        <w:rPr>
          <w:rFonts w:asciiTheme="minorHAnsi" w:hAnsiTheme="minorHAnsi" w:cstheme="minorHAnsi"/>
          <w:iCs/>
        </w:rPr>
        <w:t xml:space="preserve"> system. </w:t>
      </w:r>
      <w:r w:rsidR="001D574E" w:rsidRPr="001D574E">
        <w:rPr>
          <w:rFonts w:asciiTheme="minorHAnsi" w:hAnsiTheme="minorHAnsi" w:cstheme="minorHAnsi"/>
          <w:i/>
        </w:rPr>
        <w:t>Chem Biol Interact</w:t>
      </w:r>
      <w:r w:rsidR="001D574E" w:rsidRPr="001D574E">
        <w:rPr>
          <w:rFonts w:asciiTheme="minorHAnsi" w:hAnsiTheme="minorHAnsi" w:cstheme="minorHAnsi"/>
          <w:iCs/>
        </w:rPr>
        <w:t xml:space="preserve">. </w:t>
      </w:r>
      <w:r w:rsidR="001D574E" w:rsidRPr="001D574E">
        <w:rPr>
          <w:rFonts w:asciiTheme="minorHAnsi" w:hAnsiTheme="minorHAnsi" w:cstheme="minorHAnsi"/>
          <w:b/>
          <w:bCs/>
          <w:iCs/>
        </w:rPr>
        <w:t>299</w:t>
      </w:r>
      <w:r w:rsidR="001D574E">
        <w:rPr>
          <w:rFonts w:asciiTheme="minorHAnsi" w:hAnsiTheme="minorHAnsi" w:cstheme="minorHAnsi"/>
          <w:iCs/>
        </w:rPr>
        <w:t xml:space="preserve">, </w:t>
      </w:r>
      <w:r w:rsidR="001D574E" w:rsidRPr="001D574E">
        <w:rPr>
          <w:rFonts w:asciiTheme="minorHAnsi" w:hAnsiTheme="minorHAnsi" w:cstheme="minorHAnsi"/>
          <w:iCs/>
        </w:rPr>
        <w:t>59-76</w:t>
      </w:r>
      <w:r w:rsidR="001D574E">
        <w:rPr>
          <w:rFonts w:asciiTheme="minorHAnsi" w:hAnsiTheme="minorHAnsi" w:cstheme="minorHAnsi"/>
          <w:iCs/>
        </w:rPr>
        <w:t xml:space="preserve"> (2019).</w:t>
      </w:r>
    </w:p>
    <w:p w14:paraId="03C94D93" w14:textId="77777777" w:rsidR="008400D8" w:rsidRPr="001220A4" w:rsidRDefault="008400D8" w:rsidP="0054535F">
      <w:pPr>
        <w:ind w:right="4"/>
        <w:contextualSpacing/>
        <w:rPr>
          <w:rFonts w:asciiTheme="minorHAnsi" w:hAnsiTheme="minorHAnsi" w:cstheme="minorHAnsi"/>
          <w:i/>
        </w:rPr>
      </w:pPr>
    </w:p>
    <w:p w14:paraId="2A62587D" w14:textId="47C2B206" w:rsidR="008400D8" w:rsidRDefault="008400D8" w:rsidP="0054535F">
      <w:pPr>
        <w:ind w:right="4"/>
        <w:contextualSpacing/>
        <w:rPr>
          <w:rFonts w:asciiTheme="minorHAnsi" w:hAnsiTheme="minorHAnsi" w:cstheme="minorHAnsi"/>
          <w:iCs/>
        </w:rPr>
      </w:pPr>
      <w:r w:rsidRPr="001220A4">
        <w:rPr>
          <w:rFonts w:asciiTheme="minorHAnsi" w:hAnsiTheme="minorHAnsi" w:cstheme="minorHAnsi"/>
          <w:b/>
        </w:rPr>
        <w:t>Figure 3. Viability and toxicological assessment of the liver equivalents.</w:t>
      </w:r>
      <w:r w:rsidRPr="001220A4">
        <w:rPr>
          <w:rFonts w:asciiTheme="minorHAnsi" w:hAnsiTheme="minorHAnsi" w:cstheme="minorHAnsi"/>
        </w:rPr>
        <w:t xml:space="preserve"> </w:t>
      </w:r>
      <w:r w:rsidRPr="001D574E">
        <w:rPr>
          <w:rFonts w:asciiTheme="minorHAnsi" w:hAnsiTheme="minorHAnsi" w:cstheme="minorHAnsi"/>
          <w:b/>
          <w:bCs/>
        </w:rPr>
        <w:t>A</w:t>
      </w:r>
      <w:r w:rsidR="001D574E">
        <w:rPr>
          <w:rFonts w:asciiTheme="minorHAnsi" w:hAnsiTheme="minorHAnsi" w:cstheme="minorHAnsi"/>
        </w:rPr>
        <w:t>)</w:t>
      </w:r>
      <w:r w:rsidRPr="001220A4">
        <w:rPr>
          <w:rFonts w:asciiTheme="minorHAnsi" w:hAnsiTheme="minorHAnsi" w:cstheme="minorHAnsi"/>
        </w:rPr>
        <w:t xml:space="preserve"> Liver equivalents viability evaluation by MTT assay in both static and dynamic conditions.</w:t>
      </w:r>
      <w:r w:rsidRPr="001220A4">
        <w:rPr>
          <w:rFonts w:asciiTheme="minorHAnsi" w:hAnsiTheme="minorHAnsi" w:cstheme="minorHAnsi"/>
          <w:color w:val="auto"/>
        </w:rPr>
        <w:t xml:space="preserve"> The values represented by the bars in the graph are percent calculated relative to vehicle control (time-point named as 0)</w:t>
      </w:r>
      <w:r w:rsidRPr="001220A4">
        <w:rPr>
          <w:rFonts w:asciiTheme="minorHAnsi" w:hAnsiTheme="minorHAnsi" w:cstheme="minorHAnsi"/>
        </w:rPr>
        <w:t xml:space="preserve"> *P&lt;0.05 0 vs treatment. </w:t>
      </w:r>
      <w:r w:rsidRPr="001D574E">
        <w:rPr>
          <w:rFonts w:asciiTheme="minorHAnsi" w:hAnsiTheme="minorHAnsi" w:cstheme="minorHAnsi"/>
          <w:b/>
          <w:bCs/>
        </w:rPr>
        <w:t>B</w:t>
      </w:r>
      <w:r w:rsidR="001D574E">
        <w:rPr>
          <w:rFonts w:asciiTheme="minorHAnsi" w:hAnsiTheme="minorHAnsi" w:cstheme="minorHAnsi"/>
        </w:rPr>
        <w:t>)</w:t>
      </w:r>
      <w:r w:rsidRPr="001220A4">
        <w:rPr>
          <w:rFonts w:asciiTheme="minorHAnsi" w:hAnsiTheme="minorHAnsi" w:cstheme="minorHAnsi"/>
        </w:rPr>
        <w:t xml:space="preserve"> Representatives confocal images captured from the vehicle and 2 </w:t>
      </w:r>
      <w:r w:rsidR="008173B3">
        <w:rPr>
          <w:rFonts w:asciiTheme="minorHAnsi" w:hAnsiTheme="minorHAnsi" w:cstheme="minorHAnsi"/>
        </w:rPr>
        <w:t>µ</w:t>
      </w:r>
      <w:r w:rsidRPr="001220A4">
        <w:rPr>
          <w:rFonts w:asciiTheme="minorHAnsi" w:hAnsiTheme="minorHAnsi" w:cstheme="minorHAnsi"/>
        </w:rPr>
        <w:t xml:space="preserve">M APAP 24 h treated liver spheroids from an inner section. </w:t>
      </w:r>
      <w:r w:rsidRPr="001D574E">
        <w:rPr>
          <w:rFonts w:asciiTheme="minorHAnsi" w:hAnsiTheme="minorHAnsi" w:cstheme="minorHAnsi"/>
          <w:b/>
          <w:bCs/>
        </w:rPr>
        <w:t>C</w:t>
      </w:r>
      <w:r w:rsidR="001D574E">
        <w:rPr>
          <w:rFonts w:asciiTheme="minorHAnsi" w:hAnsiTheme="minorHAnsi" w:cstheme="minorHAnsi"/>
        </w:rPr>
        <w:t>)</w:t>
      </w:r>
      <w:r w:rsidRPr="001220A4">
        <w:rPr>
          <w:rFonts w:asciiTheme="minorHAnsi" w:hAnsiTheme="minorHAnsi" w:cstheme="minorHAnsi"/>
        </w:rPr>
        <w:t xml:space="preserve"> Representatives H&amp;E (hematoxylin and eosin staining) images captured from the vehicle and 2 </w:t>
      </w:r>
      <w:r w:rsidR="008173B3">
        <w:rPr>
          <w:rFonts w:asciiTheme="minorHAnsi" w:hAnsiTheme="minorHAnsi" w:cstheme="minorHAnsi"/>
        </w:rPr>
        <w:t>µ</w:t>
      </w:r>
      <w:r w:rsidRPr="001220A4">
        <w:rPr>
          <w:rFonts w:asciiTheme="minorHAnsi" w:hAnsiTheme="minorHAnsi" w:cstheme="minorHAnsi"/>
        </w:rPr>
        <w:t>M APAP 24 h treated liver spheroids from an inner section. Scale bar</w:t>
      </w:r>
      <w:r w:rsidR="001D574E">
        <w:rPr>
          <w:rFonts w:asciiTheme="minorHAnsi" w:hAnsiTheme="minorHAnsi" w:cstheme="minorHAnsi"/>
        </w:rPr>
        <w:t xml:space="preserve"> = </w:t>
      </w:r>
      <w:r w:rsidRPr="001220A4">
        <w:rPr>
          <w:rFonts w:asciiTheme="minorHAnsi" w:hAnsiTheme="minorHAnsi" w:cstheme="minorHAnsi"/>
        </w:rPr>
        <w:t xml:space="preserve">50 </w:t>
      </w:r>
      <w:r w:rsidR="008173B3">
        <w:rPr>
          <w:rFonts w:asciiTheme="minorHAnsi" w:hAnsiTheme="minorHAnsi" w:cstheme="minorHAnsi"/>
        </w:rPr>
        <w:t>µ</w:t>
      </w:r>
      <w:r w:rsidR="001D574E">
        <w:rPr>
          <w:rFonts w:asciiTheme="minorHAnsi" w:hAnsiTheme="minorHAnsi" w:cstheme="minorHAnsi"/>
        </w:rPr>
        <w:t>m</w:t>
      </w:r>
      <w:r w:rsidRPr="001220A4">
        <w:rPr>
          <w:rFonts w:asciiTheme="minorHAnsi" w:hAnsiTheme="minorHAnsi" w:cstheme="minorHAnsi"/>
        </w:rPr>
        <w:t xml:space="preserve">. </w:t>
      </w:r>
      <w:r w:rsidRPr="001D574E">
        <w:rPr>
          <w:rFonts w:asciiTheme="minorHAnsi" w:hAnsiTheme="minorHAnsi" w:cstheme="minorHAnsi"/>
          <w:b/>
          <w:bCs/>
        </w:rPr>
        <w:t>D</w:t>
      </w:r>
      <w:r w:rsidR="001D574E">
        <w:rPr>
          <w:rFonts w:asciiTheme="minorHAnsi" w:hAnsiTheme="minorHAnsi" w:cstheme="minorHAnsi"/>
        </w:rPr>
        <w:t>)</w:t>
      </w:r>
      <w:r w:rsidRPr="001220A4">
        <w:rPr>
          <w:rFonts w:asciiTheme="minorHAnsi" w:hAnsiTheme="minorHAnsi" w:cstheme="minorHAnsi"/>
        </w:rPr>
        <w:t xml:space="preserve"> Representative images of 2D liver co-culture in different time points after 2 </w:t>
      </w:r>
      <w:r w:rsidR="008173B3">
        <w:rPr>
          <w:rFonts w:asciiTheme="minorHAnsi" w:hAnsiTheme="minorHAnsi" w:cstheme="minorHAnsi"/>
        </w:rPr>
        <w:t>µ</w:t>
      </w:r>
      <w:r w:rsidRPr="001220A4">
        <w:rPr>
          <w:rFonts w:asciiTheme="minorHAnsi" w:hAnsiTheme="minorHAnsi" w:cstheme="minorHAnsi"/>
        </w:rPr>
        <w:t xml:space="preserve">M APAP treatment. Samples treated with vehicle and with 2 </w:t>
      </w:r>
      <w:r w:rsidR="008173B3">
        <w:rPr>
          <w:rFonts w:asciiTheme="minorHAnsi" w:hAnsiTheme="minorHAnsi" w:cstheme="minorHAnsi"/>
        </w:rPr>
        <w:t>µ</w:t>
      </w:r>
      <w:r w:rsidRPr="001220A4">
        <w:rPr>
          <w:rFonts w:asciiTheme="minorHAnsi" w:hAnsiTheme="minorHAnsi" w:cstheme="minorHAnsi"/>
        </w:rPr>
        <w:t xml:space="preserve">M APAP were considered in these analyses. The fluorophore dye mixture includes Hoechst for nuclear staining and </w:t>
      </w:r>
      <w:proofErr w:type="spellStart"/>
      <w:r w:rsidRPr="001220A4">
        <w:rPr>
          <w:rFonts w:asciiTheme="minorHAnsi" w:hAnsiTheme="minorHAnsi" w:cstheme="minorHAnsi"/>
        </w:rPr>
        <w:t>Mitotracker</w:t>
      </w:r>
      <w:proofErr w:type="spellEnd"/>
      <w:r w:rsidRPr="001220A4">
        <w:rPr>
          <w:rFonts w:asciiTheme="minorHAnsi" w:hAnsiTheme="minorHAnsi" w:cstheme="minorHAnsi"/>
        </w:rPr>
        <w:t xml:space="preserve"> Deep Red for mitochondria mass staining. Negative controls were medium (0 h) or vehicle (0.5% ethanol). Positive controls were 100 mM APAP.</w:t>
      </w:r>
      <w:r w:rsidR="008E4F90">
        <w:rPr>
          <w:rFonts w:asciiTheme="minorHAnsi" w:hAnsiTheme="minorHAnsi" w:cstheme="minorHAnsi"/>
        </w:rPr>
        <w:t xml:space="preserve"> </w:t>
      </w:r>
      <w:r w:rsidRPr="001220A4">
        <w:rPr>
          <w:rFonts w:asciiTheme="minorHAnsi" w:hAnsiTheme="minorHAnsi" w:cstheme="minorHAnsi"/>
        </w:rPr>
        <w:t xml:space="preserve">Measurements of whole spheroids images captured were performed using Fiji software. </w:t>
      </w:r>
      <w:r w:rsidRPr="001D574E">
        <w:rPr>
          <w:rFonts w:asciiTheme="minorHAnsi" w:hAnsiTheme="minorHAnsi" w:cstheme="minorHAnsi"/>
          <w:b/>
          <w:bCs/>
        </w:rPr>
        <w:t>E</w:t>
      </w:r>
      <w:r w:rsidR="001D574E" w:rsidRPr="001D574E">
        <w:rPr>
          <w:rFonts w:asciiTheme="minorHAnsi" w:hAnsiTheme="minorHAnsi" w:cstheme="minorHAnsi"/>
        </w:rPr>
        <w:t>)</w:t>
      </w:r>
      <w:r w:rsidRPr="001220A4">
        <w:rPr>
          <w:rFonts w:asciiTheme="minorHAnsi" w:hAnsiTheme="minorHAnsi" w:cstheme="minorHAnsi"/>
        </w:rPr>
        <w:t xml:space="preserve"> Frequency distributions of the area </w:t>
      </w:r>
      <w:r w:rsidRPr="001D574E">
        <w:rPr>
          <w:rFonts w:asciiTheme="minorHAnsi" w:hAnsiTheme="minorHAnsi" w:cstheme="minorHAnsi"/>
          <w:b/>
          <w:bCs/>
        </w:rPr>
        <w:t>F</w:t>
      </w:r>
      <w:r w:rsidR="001D574E">
        <w:rPr>
          <w:rFonts w:asciiTheme="minorHAnsi" w:hAnsiTheme="minorHAnsi" w:cstheme="minorHAnsi"/>
        </w:rPr>
        <w:t>)</w:t>
      </w:r>
      <w:r w:rsidRPr="001220A4">
        <w:rPr>
          <w:rFonts w:asciiTheme="minorHAnsi" w:hAnsiTheme="minorHAnsi" w:cstheme="minorHAnsi"/>
        </w:rPr>
        <w:t xml:space="preserve"> aspect ratio, </w:t>
      </w:r>
      <w:r w:rsidRPr="001D574E">
        <w:rPr>
          <w:rFonts w:asciiTheme="minorHAnsi" w:hAnsiTheme="minorHAnsi" w:cstheme="minorHAnsi"/>
          <w:b/>
          <w:bCs/>
        </w:rPr>
        <w:t>G</w:t>
      </w:r>
      <w:r w:rsidR="001D574E">
        <w:rPr>
          <w:rFonts w:asciiTheme="minorHAnsi" w:hAnsiTheme="minorHAnsi" w:cstheme="minorHAnsi"/>
        </w:rPr>
        <w:t>)</w:t>
      </w:r>
      <w:r w:rsidRPr="001220A4">
        <w:rPr>
          <w:rFonts w:asciiTheme="minorHAnsi" w:hAnsiTheme="minorHAnsi" w:cstheme="minorHAnsi"/>
        </w:rPr>
        <w:t xml:space="preserve"> roundness, </w:t>
      </w:r>
      <w:r w:rsidRPr="001D574E">
        <w:rPr>
          <w:rFonts w:asciiTheme="minorHAnsi" w:hAnsiTheme="minorHAnsi" w:cstheme="minorHAnsi"/>
          <w:b/>
          <w:bCs/>
        </w:rPr>
        <w:t>H</w:t>
      </w:r>
      <w:r w:rsidR="001D574E">
        <w:rPr>
          <w:rFonts w:asciiTheme="minorHAnsi" w:hAnsiTheme="minorHAnsi" w:cstheme="minorHAnsi"/>
        </w:rPr>
        <w:t>)</w:t>
      </w:r>
      <w:r w:rsidRPr="001220A4">
        <w:rPr>
          <w:rFonts w:asciiTheme="minorHAnsi" w:hAnsiTheme="minorHAnsi" w:cstheme="minorHAnsi"/>
        </w:rPr>
        <w:t xml:space="preserve"> solidity, </w:t>
      </w:r>
      <w:r w:rsidRPr="001D574E">
        <w:rPr>
          <w:rFonts w:asciiTheme="minorHAnsi" w:hAnsiTheme="minorHAnsi" w:cstheme="minorHAnsi"/>
          <w:b/>
          <w:bCs/>
        </w:rPr>
        <w:t>I</w:t>
      </w:r>
      <w:r w:rsidRPr="001220A4">
        <w:rPr>
          <w:rFonts w:asciiTheme="minorHAnsi" w:hAnsiTheme="minorHAnsi" w:cstheme="minorHAnsi"/>
        </w:rPr>
        <w:t xml:space="preserve">) circularity. N = 85. *p &lt; 0,05. </w:t>
      </w:r>
      <w:r w:rsidRPr="001D574E">
        <w:rPr>
          <w:rFonts w:asciiTheme="minorHAnsi" w:hAnsiTheme="minorHAnsi" w:cstheme="minorHAnsi"/>
          <w:b/>
          <w:bCs/>
        </w:rPr>
        <w:t>J</w:t>
      </w:r>
      <w:r w:rsidR="001D574E">
        <w:rPr>
          <w:rFonts w:asciiTheme="minorHAnsi" w:hAnsiTheme="minorHAnsi" w:cstheme="minorHAnsi"/>
        </w:rPr>
        <w:t>)</w:t>
      </w:r>
      <w:r w:rsidRPr="001220A4">
        <w:rPr>
          <w:rFonts w:asciiTheme="minorHAnsi" w:hAnsiTheme="minorHAnsi" w:cstheme="minorHAnsi"/>
        </w:rPr>
        <w:t xml:space="preserve"> Representative images of 3D liver spheroids acquired by the Operetta using the LWD 10x objective. </w:t>
      </w:r>
      <w:r w:rsidR="001D574E" w:rsidRPr="001220A4">
        <w:rPr>
          <w:rFonts w:asciiTheme="minorHAnsi" w:hAnsiTheme="minorHAnsi" w:cstheme="minorHAnsi"/>
        </w:rPr>
        <w:t xml:space="preserve">This figure has been modified from </w:t>
      </w:r>
      <w:r w:rsidR="001D574E" w:rsidRPr="001D574E">
        <w:rPr>
          <w:rFonts w:asciiTheme="minorHAnsi" w:hAnsiTheme="minorHAnsi" w:cstheme="minorHAnsi"/>
          <w:iCs/>
        </w:rPr>
        <w:t xml:space="preserve">Marin </w:t>
      </w:r>
      <w:r w:rsidR="00B2719E" w:rsidRPr="00B2719E">
        <w:rPr>
          <w:rFonts w:asciiTheme="minorHAnsi" w:hAnsiTheme="minorHAnsi" w:cstheme="minorHAnsi"/>
        </w:rPr>
        <w:t>et al.</w:t>
      </w:r>
      <w:r w:rsidR="001D574E" w:rsidRPr="001D574E">
        <w:rPr>
          <w:rFonts w:asciiTheme="minorHAnsi" w:hAnsiTheme="minorHAnsi" w:cstheme="minorHAnsi"/>
          <w:iCs/>
        </w:rPr>
        <w:t xml:space="preserve"> Acetaminophen absorption and metabolism in an intestine/liver </w:t>
      </w:r>
      <w:r w:rsidR="001D574E" w:rsidRPr="001D574E">
        <w:rPr>
          <w:rFonts w:asciiTheme="minorHAnsi" w:hAnsiTheme="minorHAnsi" w:cstheme="minorHAnsi"/>
          <w:iCs/>
          <w:noProof/>
        </w:rPr>
        <w:t>microphysiological</w:t>
      </w:r>
      <w:r w:rsidR="001D574E" w:rsidRPr="001D574E">
        <w:rPr>
          <w:rFonts w:asciiTheme="minorHAnsi" w:hAnsiTheme="minorHAnsi" w:cstheme="minorHAnsi"/>
          <w:iCs/>
        </w:rPr>
        <w:t xml:space="preserve"> system. </w:t>
      </w:r>
      <w:r w:rsidR="001D574E" w:rsidRPr="001D574E">
        <w:rPr>
          <w:rFonts w:asciiTheme="minorHAnsi" w:hAnsiTheme="minorHAnsi" w:cstheme="minorHAnsi"/>
          <w:i/>
        </w:rPr>
        <w:t>Chem Biol Interact</w:t>
      </w:r>
      <w:r w:rsidR="001D574E" w:rsidRPr="001D574E">
        <w:rPr>
          <w:rFonts w:asciiTheme="minorHAnsi" w:hAnsiTheme="minorHAnsi" w:cstheme="minorHAnsi"/>
          <w:iCs/>
        </w:rPr>
        <w:t xml:space="preserve">. </w:t>
      </w:r>
      <w:r w:rsidR="001D574E" w:rsidRPr="001D574E">
        <w:rPr>
          <w:rFonts w:asciiTheme="minorHAnsi" w:hAnsiTheme="minorHAnsi" w:cstheme="minorHAnsi"/>
          <w:b/>
          <w:bCs/>
          <w:iCs/>
        </w:rPr>
        <w:t>299</w:t>
      </w:r>
      <w:r w:rsidR="001D574E">
        <w:rPr>
          <w:rFonts w:asciiTheme="minorHAnsi" w:hAnsiTheme="minorHAnsi" w:cstheme="minorHAnsi"/>
          <w:iCs/>
        </w:rPr>
        <w:t xml:space="preserve">, </w:t>
      </w:r>
      <w:r w:rsidR="001D574E" w:rsidRPr="001D574E">
        <w:rPr>
          <w:rFonts w:asciiTheme="minorHAnsi" w:hAnsiTheme="minorHAnsi" w:cstheme="minorHAnsi"/>
          <w:iCs/>
        </w:rPr>
        <w:t>59-76</w:t>
      </w:r>
      <w:r w:rsidR="001D574E">
        <w:rPr>
          <w:rFonts w:asciiTheme="minorHAnsi" w:hAnsiTheme="minorHAnsi" w:cstheme="minorHAnsi"/>
          <w:iCs/>
        </w:rPr>
        <w:t xml:space="preserve"> (2019).</w:t>
      </w:r>
    </w:p>
    <w:p w14:paraId="214FADFD" w14:textId="77777777" w:rsidR="001D574E" w:rsidRPr="001220A4" w:rsidRDefault="001D574E" w:rsidP="0054535F">
      <w:pPr>
        <w:ind w:right="4"/>
        <w:contextualSpacing/>
        <w:rPr>
          <w:rFonts w:asciiTheme="minorHAnsi" w:hAnsiTheme="minorHAnsi" w:cstheme="minorHAnsi"/>
          <w:i/>
        </w:rPr>
      </w:pPr>
    </w:p>
    <w:p w14:paraId="19E96B4F" w14:textId="5F29F896" w:rsidR="008400D8" w:rsidRPr="001220A4" w:rsidRDefault="008400D8" w:rsidP="0054535F">
      <w:pPr>
        <w:ind w:right="4"/>
        <w:contextualSpacing/>
        <w:rPr>
          <w:rFonts w:asciiTheme="minorHAnsi" w:hAnsiTheme="minorHAnsi" w:cstheme="minorHAnsi"/>
          <w:i/>
        </w:rPr>
      </w:pPr>
      <w:r w:rsidRPr="001220A4">
        <w:rPr>
          <w:rFonts w:asciiTheme="minorHAnsi" w:hAnsiTheme="minorHAnsi" w:cstheme="minorHAnsi"/>
          <w:b/>
        </w:rPr>
        <w:t xml:space="preserve">Figure 4. Liver viability/functionality and possible effects of 2 </w:t>
      </w:r>
      <w:r w:rsidR="008173B3">
        <w:rPr>
          <w:rFonts w:asciiTheme="minorHAnsi" w:hAnsiTheme="minorHAnsi" w:cstheme="minorHAnsi"/>
          <w:b/>
        </w:rPr>
        <w:t>µ</w:t>
      </w:r>
      <w:r w:rsidRPr="001220A4">
        <w:rPr>
          <w:rFonts w:asciiTheme="minorHAnsi" w:hAnsiTheme="minorHAnsi" w:cstheme="minorHAnsi"/>
          <w:b/>
        </w:rPr>
        <w:t>M APAP under static and dynamic conditions over it</w:t>
      </w:r>
      <w:r w:rsidRPr="001220A4">
        <w:rPr>
          <w:rFonts w:asciiTheme="minorHAnsi" w:hAnsiTheme="minorHAnsi" w:cstheme="minorHAnsi"/>
        </w:rPr>
        <w:t xml:space="preserve"> were verified by</w:t>
      </w:r>
      <w:r w:rsidR="005D3BBD" w:rsidRPr="001220A4">
        <w:rPr>
          <w:rFonts w:asciiTheme="minorHAnsi" w:hAnsiTheme="minorHAnsi" w:cstheme="minorHAnsi"/>
        </w:rPr>
        <w:t xml:space="preserve"> gene and protein expression and by enzymatic activity. </w:t>
      </w:r>
      <w:r w:rsidR="005D3BBD" w:rsidRPr="001D574E">
        <w:rPr>
          <w:rFonts w:asciiTheme="minorHAnsi" w:hAnsiTheme="minorHAnsi" w:cstheme="minorHAnsi"/>
          <w:b/>
          <w:bCs/>
        </w:rPr>
        <w:t>A</w:t>
      </w:r>
      <w:r w:rsidR="001D574E">
        <w:rPr>
          <w:rFonts w:asciiTheme="minorHAnsi" w:hAnsiTheme="minorHAnsi" w:cstheme="minorHAnsi"/>
        </w:rPr>
        <w:t>)</w:t>
      </w:r>
      <w:r w:rsidR="005D3BBD" w:rsidRPr="001220A4">
        <w:rPr>
          <w:rFonts w:asciiTheme="minorHAnsi" w:hAnsiTheme="minorHAnsi" w:cstheme="minorHAnsi"/>
        </w:rPr>
        <w:t xml:space="preserve"> albumin gene expression. </w:t>
      </w:r>
      <w:r w:rsidR="005D3BBD" w:rsidRPr="001D574E">
        <w:rPr>
          <w:rFonts w:asciiTheme="minorHAnsi" w:hAnsiTheme="minorHAnsi" w:cstheme="minorHAnsi"/>
          <w:b/>
          <w:bCs/>
        </w:rPr>
        <w:t>B</w:t>
      </w:r>
      <w:r w:rsidR="001D574E">
        <w:rPr>
          <w:rFonts w:asciiTheme="minorHAnsi" w:hAnsiTheme="minorHAnsi" w:cstheme="minorHAnsi"/>
        </w:rPr>
        <w:t>)</w:t>
      </w:r>
      <w:r w:rsidRPr="001220A4">
        <w:rPr>
          <w:rFonts w:asciiTheme="minorHAnsi" w:hAnsiTheme="minorHAnsi" w:cstheme="minorHAnsi"/>
        </w:rPr>
        <w:t xml:space="preserve"> </w:t>
      </w:r>
      <w:r w:rsidR="005D3BBD" w:rsidRPr="001220A4">
        <w:rPr>
          <w:rFonts w:asciiTheme="minorHAnsi" w:hAnsiTheme="minorHAnsi" w:cstheme="minorHAnsi"/>
        </w:rPr>
        <w:t xml:space="preserve">GSTA2 gene expression. Liver capability to perform phase I and phase II metabolism and possible effects of 2 </w:t>
      </w:r>
      <w:r w:rsidR="008173B3">
        <w:rPr>
          <w:rFonts w:asciiTheme="minorHAnsi" w:hAnsiTheme="minorHAnsi" w:cstheme="minorHAnsi"/>
        </w:rPr>
        <w:t>µ</w:t>
      </w:r>
      <w:r w:rsidR="005D3BBD" w:rsidRPr="001220A4">
        <w:rPr>
          <w:rFonts w:asciiTheme="minorHAnsi" w:hAnsiTheme="minorHAnsi" w:cstheme="minorHAnsi"/>
        </w:rPr>
        <w:t>M APAP for 24 h under dynamic condition over it were verified by gene expression of CYP3A4 (</w:t>
      </w:r>
      <w:r w:rsidR="005D3BBD" w:rsidRPr="001D574E">
        <w:rPr>
          <w:rFonts w:asciiTheme="minorHAnsi" w:hAnsiTheme="minorHAnsi" w:cstheme="minorHAnsi"/>
          <w:b/>
          <w:bCs/>
        </w:rPr>
        <w:t>C</w:t>
      </w:r>
      <w:r w:rsidR="005D3BBD" w:rsidRPr="001220A4">
        <w:rPr>
          <w:rFonts w:asciiTheme="minorHAnsi" w:hAnsiTheme="minorHAnsi" w:cstheme="minorHAnsi"/>
        </w:rPr>
        <w:t>) and by UGT1A1 (</w:t>
      </w:r>
      <w:r w:rsidR="005D3BBD" w:rsidRPr="001D574E">
        <w:rPr>
          <w:rFonts w:asciiTheme="minorHAnsi" w:hAnsiTheme="minorHAnsi" w:cstheme="minorHAnsi"/>
          <w:b/>
          <w:bCs/>
        </w:rPr>
        <w:t>D</w:t>
      </w:r>
      <w:r w:rsidR="005D3BBD" w:rsidRPr="001220A4">
        <w:rPr>
          <w:rFonts w:asciiTheme="minorHAnsi" w:hAnsiTheme="minorHAnsi" w:cstheme="minorHAnsi"/>
        </w:rPr>
        <w:t xml:space="preserve">) respectively. </w:t>
      </w:r>
      <w:r w:rsidR="005D3BBD" w:rsidRPr="001D574E">
        <w:rPr>
          <w:rFonts w:asciiTheme="minorHAnsi" w:hAnsiTheme="minorHAnsi" w:cstheme="minorHAnsi"/>
          <w:b/>
          <w:bCs/>
        </w:rPr>
        <w:t>E</w:t>
      </w:r>
      <w:r w:rsidR="001D574E">
        <w:rPr>
          <w:rFonts w:asciiTheme="minorHAnsi" w:hAnsiTheme="minorHAnsi" w:cstheme="minorHAnsi"/>
        </w:rPr>
        <w:t>)</w:t>
      </w:r>
      <w:r w:rsidR="005D3BBD" w:rsidRPr="001220A4">
        <w:rPr>
          <w:rFonts w:asciiTheme="minorHAnsi" w:hAnsiTheme="minorHAnsi" w:cstheme="minorHAnsi"/>
        </w:rPr>
        <w:t xml:space="preserve"> Total albumin protein expression under static condition. </w:t>
      </w:r>
      <w:r w:rsidR="005D3BBD" w:rsidRPr="001D574E">
        <w:rPr>
          <w:rFonts w:asciiTheme="minorHAnsi" w:hAnsiTheme="minorHAnsi" w:cstheme="minorHAnsi"/>
          <w:b/>
          <w:bCs/>
        </w:rPr>
        <w:t>F</w:t>
      </w:r>
      <w:r w:rsidR="001D574E">
        <w:rPr>
          <w:rFonts w:asciiTheme="minorHAnsi" w:hAnsiTheme="minorHAnsi" w:cstheme="minorHAnsi"/>
        </w:rPr>
        <w:t>)</w:t>
      </w:r>
      <w:r w:rsidR="005D3BBD" w:rsidRPr="001220A4">
        <w:rPr>
          <w:rFonts w:asciiTheme="minorHAnsi" w:hAnsiTheme="minorHAnsi" w:cstheme="minorHAnsi"/>
        </w:rPr>
        <w:t xml:space="preserve"> Total albumin protein expression under dynamic conditions. condition. </w:t>
      </w:r>
      <w:r w:rsidR="005D3BBD" w:rsidRPr="001D574E">
        <w:rPr>
          <w:rFonts w:asciiTheme="minorHAnsi" w:hAnsiTheme="minorHAnsi" w:cstheme="minorHAnsi"/>
          <w:b/>
          <w:bCs/>
        </w:rPr>
        <w:t>G</w:t>
      </w:r>
      <w:r w:rsidR="001D574E">
        <w:rPr>
          <w:rFonts w:asciiTheme="minorHAnsi" w:hAnsiTheme="minorHAnsi" w:cstheme="minorHAnsi"/>
        </w:rPr>
        <w:t>)</w:t>
      </w:r>
      <w:r w:rsidR="005D3BBD" w:rsidRPr="001220A4">
        <w:rPr>
          <w:rFonts w:asciiTheme="minorHAnsi" w:hAnsiTheme="minorHAnsi" w:cstheme="minorHAnsi"/>
        </w:rPr>
        <w:t xml:space="preserve"> Comparative graph illustrating the difference in total albumin expression</w:t>
      </w:r>
      <w:r w:rsidR="00440D3E" w:rsidRPr="001220A4">
        <w:rPr>
          <w:rFonts w:asciiTheme="minorHAnsi" w:hAnsiTheme="minorHAnsi" w:cstheme="minorHAnsi"/>
        </w:rPr>
        <w:t xml:space="preserve"> in</w:t>
      </w:r>
      <w:r w:rsidR="005D3BBD" w:rsidRPr="001220A4">
        <w:rPr>
          <w:rFonts w:asciiTheme="minorHAnsi" w:hAnsiTheme="minorHAnsi" w:cstheme="minorHAnsi"/>
        </w:rPr>
        <w:t xml:space="preserve"> liver equivalents cultivated and treated under static </w:t>
      </w:r>
      <w:r w:rsidR="00440D3E" w:rsidRPr="001220A4">
        <w:rPr>
          <w:rFonts w:asciiTheme="minorHAnsi" w:hAnsiTheme="minorHAnsi" w:cstheme="minorHAnsi"/>
        </w:rPr>
        <w:t>or</w:t>
      </w:r>
      <w:r w:rsidR="005D3BBD" w:rsidRPr="001220A4">
        <w:rPr>
          <w:rFonts w:asciiTheme="minorHAnsi" w:hAnsiTheme="minorHAnsi" w:cstheme="minorHAnsi"/>
        </w:rPr>
        <w:t xml:space="preserve"> dynamic conditions</w:t>
      </w:r>
      <w:r w:rsidR="00440D3E" w:rsidRPr="001220A4">
        <w:rPr>
          <w:rFonts w:asciiTheme="minorHAnsi" w:hAnsiTheme="minorHAnsi" w:cstheme="minorHAnsi"/>
        </w:rPr>
        <w:t>.</w:t>
      </w:r>
      <w:r w:rsidR="005D3BBD" w:rsidRPr="001220A4">
        <w:rPr>
          <w:rFonts w:asciiTheme="minorHAnsi" w:hAnsiTheme="minorHAnsi" w:cstheme="minorHAnsi"/>
        </w:rPr>
        <w:t xml:space="preserve"> </w:t>
      </w:r>
      <w:r w:rsidR="00440D3E" w:rsidRPr="001D574E">
        <w:rPr>
          <w:rFonts w:asciiTheme="minorHAnsi" w:hAnsiTheme="minorHAnsi" w:cstheme="minorHAnsi"/>
          <w:b/>
          <w:bCs/>
        </w:rPr>
        <w:t>H</w:t>
      </w:r>
      <w:r w:rsidR="001D574E">
        <w:rPr>
          <w:rFonts w:asciiTheme="minorHAnsi" w:hAnsiTheme="minorHAnsi" w:cstheme="minorHAnsi"/>
        </w:rPr>
        <w:t>)</w:t>
      </w:r>
      <w:r w:rsidR="00440D3E" w:rsidRPr="001220A4">
        <w:rPr>
          <w:rFonts w:asciiTheme="minorHAnsi" w:hAnsiTheme="minorHAnsi" w:cstheme="minorHAnsi"/>
        </w:rPr>
        <w:t xml:space="preserve"> CYP 3A4 </w:t>
      </w:r>
      <w:r w:rsidR="00194937" w:rsidRPr="00194937">
        <w:rPr>
          <w:rFonts w:asciiTheme="minorHAnsi" w:hAnsiTheme="minorHAnsi" w:cstheme="minorHAnsi"/>
        </w:rPr>
        <w:t>in vitro</w:t>
      </w:r>
      <w:r w:rsidR="00440D3E" w:rsidRPr="001220A4">
        <w:rPr>
          <w:rFonts w:asciiTheme="minorHAnsi" w:hAnsiTheme="minorHAnsi" w:cstheme="minorHAnsi"/>
        </w:rPr>
        <w:t xml:space="preserve"> enzymatic activity under static conditions. </w:t>
      </w:r>
      <w:r w:rsidR="00440D3E" w:rsidRPr="001D574E">
        <w:rPr>
          <w:rFonts w:asciiTheme="minorHAnsi" w:hAnsiTheme="minorHAnsi" w:cstheme="minorHAnsi"/>
          <w:b/>
          <w:bCs/>
        </w:rPr>
        <w:t>I</w:t>
      </w:r>
      <w:r w:rsidR="001D574E">
        <w:rPr>
          <w:rFonts w:asciiTheme="minorHAnsi" w:hAnsiTheme="minorHAnsi" w:cstheme="minorHAnsi"/>
        </w:rPr>
        <w:t>)</w:t>
      </w:r>
      <w:r w:rsidR="00440D3E" w:rsidRPr="001220A4">
        <w:rPr>
          <w:rFonts w:asciiTheme="minorHAnsi" w:hAnsiTheme="minorHAnsi" w:cstheme="minorHAnsi"/>
        </w:rPr>
        <w:t xml:space="preserve"> CYP 3A4 </w:t>
      </w:r>
      <w:r w:rsidR="00194937" w:rsidRPr="00194937">
        <w:rPr>
          <w:rFonts w:asciiTheme="minorHAnsi" w:hAnsiTheme="minorHAnsi" w:cstheme="minorHAnsi"/>
        </w:rPr>
        <w:t>in vitro</w:t>
      </w:r>
      <w:r w:rsidR="00440D3E" w:rsidRPr="001220A4">
        <w:rPr>
          <w:rFonts w:asciiTheme="minorHAnsi" w:hAnsiTheme="minorHAnsi" w:cstheme="minorHAnsi"/>
        </w:rPr>
        <w:t xml:space="preserve"> enzymatic activity under dynamic conditions. </w:t>
      </w:r>
      <w:r w:rsidR="00440D3E" w:rsidRPr="001D574E">
        <w:rPr>
          <w:rFonts w:asciiTheme="minorHAnsi" w:hAnsiTheme="minorHAnsi" w:cstheme="minorHAnsi"/>
          <w:b/>
          <w:bCs/>
        </w:rPr>
        <w:t>J</w:t>
      </w:r>
      <w:r w:rsidR="001D574E">
        <w:rPr>
          <w:rFonts w:asciiTheme="minorHAnsi" w:hAnsiTheme="minorHAnsi" w:cstheme="minorHAnsi"/>
        </w:rPr>
        <w:t>)</w:t>
      </w:r>
      <w:r w:rsidR="00440D3E" w:rsidRPr="001220A4">
        <w:rPr>
          <w:rFonts w:asciiTheme="minorHAnsi" w:hAnsiTheme="minorHAnsi" w:cstheme="minorHAnsi"/>
        </w:rPr>
        <w:t xml:space="preserve"> Comparative graph illustrating the difference in CYP 3A4 activity in liver equivalents cultivated and treated under static or dynamic conditions. </w:t>
      </w:r>
      <w:r w:rsidRPr="001220A4">
        <w:rPr>
          <w:rFonts w:asciiTheme="minorHAnsi" w:hAnsiTheme="minorHAnsi" w:cstheme="minorHAnsi"/>
        </w:rPr>
        <w:t xml:space="preserve">Values represent the mean ± SEM of three independent experiments. The </w:t>
      </w:r>
      <w:r w:rsidR="005D3BBD" w:rsidRPr="001220A4">
        <w:rPr>
          <w:rFonts w:asciiTheme="minorHAnsi" w:hAnsiTheme="minorHAnsi" w:cstheme="minorHAnsi"/>
        </w:rPr>
        <w:t>data of gene e</w:t>
      </w:r>
      <w:r w:rsidR="00440D3E" w:rsidRPr="001220A4">
        <w:rPr>
          <w:rFonts w:asciiTheme="minorHAnsi" w:hAnsiTheme="minorHAnsi" w:cstheme="minorHAnsi"/>
        </w:rPr>
        <w:t>xp</w:t>
      </w:r>
      <w:r w:rsidR="005D3BBD" w:rsidRPr="001220A4">
        <w:rPr>
          <w:rFonts w:asciiTheme="minorHAnsi" w:hAnsiTheme="minorHAnsi" w:cstheme="minorHAnsi"/>
        </w:rPr>
        <w:t>ression</w:t>
      </w:r>
      <w:r w:rsidRPr="001220A4">
        <w:rPr>
          <w:rFonts w:asciiTheme="minorHAnsi" w:hAnsiTheme="minorHAnsi" w:cstheme="minorHAnsi"/>
        </w:rPr>
        <w:t xml:space="preserve"> is expressed as a ratio to housekeeping GAPDH.</w:t>
      </w:r>
      <w:r w:rsidR="005D3BBD" w:rsidRPr="001220A4">
        <w:rPr>
          <w:rFonts w:asciiTheme="minorHAnsi" w:hAnsiTheme="minorHAnsi" w:cstheme="minorHAnsi"/>
        </w:rPr>
        <w:t xml:space="preserve"> The data of protein expression is expressed as a ratio to vinculin protein.</w:t>
      </w:r>
      <w:r w:rsidR="008E4F90">
        <w:rPr>
          <w:rFonts w:asciiTheme="minorHAnsi" w:hAnsiTheme="minorHAnsi" w:cstheme="minorHAnsi"/>
        </w:rPr>
        <w:t xml:space="preserve"> </w:t>
      </w:r>
      <w:r w:rsidRPr="001220A4">
        <w:rPr>
          <w:rFonts w:asciiTheme="minorHAnsi" w:hAnsiTheme="minorHAnsi" w:cstheme="minorHAnsi"/>
        </w:rPr>
        <w:t xml:space="preserve">*P&lt;0.05 vehicle vs APAP treatment. </w:t>
      </w:r>
      <w:bookmarkStart w:id="5" w:name="_Hlk19091313"/>
      <w:r w:rsidR="001D574E" w:rsidRPr="001220A4">
        <w:rPr>
          <w:rFonts w:asciiTheme="minorHAnsi" w:hAnsiTheme="minorHAnsi" w:cstheme="minorHAnsi"/>
        </w:rPr>
        <w:t xml:space="preserve">This figure has been modified from </w:t>
      </w:r>
      <w:r w:rsidR="001D574E" w:rsidRPr="001D574E">
        <w:rPr>
          <w:rFonts w:asciiTheme="minorHAnsi" w:hAnsiTheme="minorHAnsi" w:cstheme="minorHAnsi"/>
          <w:iCs/>
        </w:rPr>
        <w:t xml:space="preserve">Marin </w:t>
      </w:r>
      <w:r w:rsidR="00B2719E" w:rsidRPr="00B2719E">
        <w:rPr>
          <w:rFonts w:asciiTheme="minorHAnsi" w:hAnsiTheme="minorHAnsi" w:cstheme="minorHAnsi"/>
        </w:rPr>
        <w:t>et al.</w:t>
      </w:r>
      <w:r w:rsidR="001D574E" w:rsidRPr="001D574E">
        <w:rPr>
          <w:rFonts w:asciiTheme="minorHAnsi" w:hAnsiTheme="minorHAnsi" w:cstheme="minorHAnsi"/>
          <w:iCs/>
        </w:rPr>
        <w:t xml:space="preserve"> Acetaminophen absorption and metabolism in an intestine/liver </w:t>
      </w:r>
      <w:r w:rsidR="001D574E" w:rsidRPr="001D574E">
        <w:rPr>
          <w:rFonts w:asciiTheme="minorHAnsi" w:hAnsiTheme="minorHAnsi" w:cstheme="minorHAnsi"/>
          <w:iCs/>
          <w:noProof/>
        </w:rPr>
        <w:t>microphysiological</w:t>
      </w:r>
      <w:r w:rsidR="001D574E" w:rsidRPr="001D574E">
        <w:rPr>
          <w:rFonts w:asciiTheme="minorHAnsi" w:hAnsiTheme="minorHAnsi" w:cstheme="minorHAnsi"/>
          <w:iCs/>
        </w:rPr>
        <w:t xml:space="preserve"> system. </w:t>
      </w:r>
      <w:r w:rsidR="001D574E" w:rsidRPr="001D574E">
        <w:rPr>
          <w:rFonts w:asciiTheme="minorHAnsi" w:hAnsiTheme="minorHAnsi" w:cstheme="minorHAnsi"/>
          <w:i/>
        </w:rPr>
        <w:t>Chem Biol Interact</w:t>
      </w:r>
      <w:r w:rsidR="001D574E" w:rsidRPr="001D574E">
        <w:rPr>
          <w:rFonts w:asciiTheme="minorHAnsi" w:hAnsiTheme="minorHAnsi" w:cstheme="minorHAnsi"/>
          <w:iCs/>
        </w:rPr>
        <w:t xml:space="preserve">. </w:t>
      </w:r>
      <w:r w:rsidR="001D574E" w:rsidRPr="001D574E">
        <w:rPr>
          <w:rFonts w:asciiTheme="minorHAnsi" w:hAnsiTheme="minorHAnsi" w:cstheme="minorHAnsi"/>
          <w:b/>
          <w:bCs/>
          <w:iCs/>
        </w:rPr>
        <w:t>299</w:t>
      </w:r>
      <w:r w:rsidR="001D574E">
        <w:rPr>
          <w:rFonts w:asciiTheme="minorHAnsi" w:hAnsiTheme="minorHAnsi" w:cstheme="minorHAnsi"/>
          <w:iCs/>
        </w:rPr>
        <w:t xml:space="preserve">, </w:t>
      </w:r>
      <w:r w:rsidR="001D574E" w:rsidRPr="001D574E">
        <w:rPr>
          <w:rFonts w:asciiTheme="minorHAnsi" w:hAnsiTheme="minorHAnsi" w:cstheme="minorHAnsi"/>
          <w:iCs/>
        </w:rPr>
        <w:t>59-76</w:t>
      </w:r>
      <w:r w:rsidR="001D574E">
        <w:rPr>
          <w:rFonts w:asciiTheme="minorHAnsi" w:hAnsiTheme="minorHAnsi" w:cstheme="minorHAnsi"/>
          <w:iCs/>
        </w:rPr>
        <w:t xml:space="preserve"> (2019).</w:t>
      </w:r>
    </w:p>
    <w:bookmarkEnd w:id="5"/>
    <w:p w14:paraId="2AC67C82" w14:textId="77777777" w:rsidR="008400D8" w:rsidRPr="001220A4" w:rsidRDefault="008400D8" w:rsidP="0054535F">
      <w:pPr>
        <w:ind w:right="4"/>
        <w:contextualSpacing/>
        <w:rPr>
          <w:rFonts w:asciiTheme="minorHAnsi" w:hAnsiTheme="minorHAnsi" w:cstheme="minorHAnsi"/>
          <w:i/>
          <w:lang w:val="en-GB"/>
        </w:rPr>
      </w:pPr>
    </w:p>
    <w:p w14:paraId="7F67CCD7" w14:textId="75275FDF" w:rsidR="008400D8" w:rsidRDefault="008400D8" w:rsidP="001D574E">
      <w:pPr>
        <w:contextualSpacing/>
        <w:rPr>
          <w:rFonts w:asciiTheme="minorHAnsi" w:hAnsiTheme="minorHAnsi" w:cstheme="minorHAnsi"/>
          <w:iCs/>
        </w:rPr>
      </w:pPr>
      <w:r w:rsidRPr="001220A4">
        <w:rPr>
          <w:rFonts w:asciiTheme="minorHAnsi" w:hAnsiTheme="minorHAnsi" w:cstheme="minorHAnsi"/>
          <w:b/>
        </w:rPr>
        <w:t>Figure 5. Analyzes of APAP pharmacokinetics in 2-OC MPS.</w:t>
      </w:r>
      <w:r w:rsidRPr="001220A4">
        <w:rPr>
          <w:rFonts w:asciiTheme="minorHAnsi" w:hAnsiTheme="minorHAnsi" w:cstheme="minorHAnsi"/>
        </w:rPr>
        <w:t xml:space="preserve"> APAP absorption profile after 12 </w:t>
      </w:r>
      <w:r w:rsidR="008173B3">
        <w:rPr>
          <w:rFonts w:asciiTheme="minorHAnsi" w:hAnsiTheme="minorHAnsi" w:cstheme="minorHAnsi"/>
        </w:rPr>
        <w:t>µ</w:t>
      </w:r>
      <w:r w:rsidRPr="001220A4">
        <w:rPr>
          <w:rFonts w:asciiTheme="minorHAnsi" w:hAnsiTheme="minorHAnsi" w:cstheme="minorHAnsi"/>
        </w:rPr>
        <w:t>M APAP administration at the apical side of the Intestine 2-OC MPS preparation. The intestinal barrier was made of a coculture of Caco-2/HT-29 cell lines (</w:t>
      </w:r>
      <w:r w:rsidRPr="001D574E">
        <w:rPr>
          <w:rFonts w:asciiTheme="minorHAnsi" w:hAnsiTheme="minorHAnsi" w:cstheme="minorHAnsi"/>
          <w:b/>
          <w:bCs/>
        </w:rPr>
        <w:t>A</w:t>
      </w:r>
      <w:r w:rsidRPr="001220A4">
        <w:rPr>
          <w:rFonts w:asciiTheme="minorHAnsi" w:hAnsiTheme="minorHAnsi" w:cstheme="minorHAnsi"/>
        </w:rPr>
        <w:t>) Static and dynamic APAP concentrations in the medium from the apical side (representing the human intestinal lumen side). (</w:t>
      </w:r>
      <w:r w:rsidRPr="001D574E">
        <w:rPr>
          <w:rFonts w:asciiTheme="minorHAnsi" w:hAnsiTheme="minorHAnsi" w:cstheme="minorHAnsi"/>
          <w:b/>
          <w:bCs/>
        </w:rPr>
        <w:t>B</w:t>
      </w:r>
      <w:r w:rsidRPr="001220A4">
        <w:rPr>
          <w:rFonts w:asciiTheme="minorHAnsi" w:hAnsiTheme="minorHAnsi" w:cstheme="minorHAnsi"/>
        </w:rPr>
        <w:t xml:space="preserve">) Static and dynamic APAP concentrations in the medium from the basolateral side (representing the human intestinal bloodstream side). *P&lt;0.05 static vs dynamic conditions. </w:t>
      </w:r>
      <w:r w:rsidRPr="001D574E">
        <w:rPr>
          <w:rFonts w:asciiTheme="minorHAnsi" w:hAnsiTheme="minorHAnsi" w:cstheme="minorHAnsi"/>
          <w:b/>
          <w:bCs/>
        </w:rPr>
        <w:t>C</w:t>
      </w:r>
      <w:r w:rsidR="001D574E">
        <w:rPr>
          <w:rFonts w:asciiTheme="minorHAnsi" w:hAnsiTheme="minorHAnsi" w:cstheme="minorHAnsi"/>
        </w:rPr>
        <w:t>)</w:t>
      </w:r>
      <w:r w:rsidRPr="001220A4">
        <w:rPr>
          <w:rFonts w:asciiTheme="minorHAnsi" w:hAnsiTheme="minorHAnsi" w:cstheme="minorHAnsi"/>
        </w:rPr>
        <w:t xml:space="preserve"> APAP metabolism profile in the Liver 2-OC MPS by </w:t>
      </w:r>
      <w:proofErr w:type="spellStart"/>
      <w:r w:rsidRPr="001220A4">
        <w:rPr>
          <w:rFonts w:asciiTheme="minorHAnsi" w:hAnsiTheme="minorHAnsi" w:cstheme="minorHAnsi"/>
        </w:rPr>
        <w:t>HepaRG</w:t>
      </w:r>
      <w:proofErr w:type="spellEnd"/>
      <w:r w:rsidRPr="001220A4">
        <w:rPr>
          <w:rFonts w:asciiTheme="minorHAnsi" w:hAnsiTheme="minorHAnsi" w:cstheme="minorHAnsi"/>
        </w:rPr>
        <w:t>/</w:t>
      </w:r>
      <w:proofErr w:type="spellStart"/>
      <w:r w:rsidRPr="001220A4">
        <w:rPr>
          <w:rFonts w:asciiTheme="minorHAnsi" w:hAnsiTheme="minorHAnsi" w:cstheme="minorHAnsi"/>
        </w:rPr>
        <w:t>HHSTeC</w:t>
      </w:r>
      <w:proofErr w:type="spellEnd"/>
      <w:r w:rsidRPr="001220A4">
        <w:rPr>
          <w:rFonts w:asciiTheme="minorHAnsi" w:hAnsiTheme="minorHAnsi" w:cstheme="minorHAnsi"/>
        </w:rPr>
        <w:t xml:space="preserve"> liver spheroids. Comparison of static and dynamic conditions after a 2 </w:t>
      </w:r>
      <w:r w:rsidR="008173B3">
        <w:rPr>
          <w:rFonts w:asciiTheme="minorHAnsi" w:hAnsiTheme="minorHAnsi" w:cstheme="minorHAnsi"/>
        </w:rPr>
        <w:t>µ</w:t>
      </w:r>
      <w:r w:rsidRPr="001220A4">
        <w:rPr>
          <w:rFonts w:asciiTheme="minorHAnsi" w:hAnsiTheme="minorHAnsi" w:cstheme="minorHAnsi"/>
        </w:rPr>
        <w:t xml:space="preserve">M APAP administration into the medium. *P&lt;0.05 0h </w:t>
      </w:r>
      <w:r w:rsidRPr="001220A4">
        <w:rPr>
          <w:rFonts w:asciiTheme="minorHAnsi" w:hAnsiTheme="minorHAnsi" w:cstheme="minorHAnsi"/>
          <w:i/>
        </w:rPr>
        <w:t>vs</w:t>
      </w:r>
      <w:r w:rsidRPr="001220A4">
        <w:rPr>
          <w:rFonts w:asciiTheme="minorHAnsi" w:hAnsiTheme="minorHAnsi" w:cstheme="minorHAnsi"/>
        </w:rPr>
        <w:t xml:space="preserve"> 6</w:t>
      </w:r>
      <w:r w:rsidR="001D574E">
        <w:rPr>
          <w:rFonts w:asciiTheme="minorHAnsi" w:hAnsiTheme="minorHAnsi" w:cstheme="minorHAnsi"/>
        </w:rPr>
        <w:t xml:space="preserve"> </w:t>
      </w:r>
      <w:r w:rsidRPr="001220A4">
        <w:rPr>
          <w:rFonts w:asciiTheme="minorHAnsi" w:hAnsiTheme="minorHAnsi" w:cstheme="minorHAnsi"/>
        </w:rPr>
        <w:t>h, 12</w:t>
      </w:r>
      <w:r w:rsidR="001D574E">
        <w:rPr>
          <w:rFonts w:asciiTheme="minorHAnsi" w:hAnsiTheme="minorHAnsi" w:cstheme="minorHAnsi"/>
        </w:rPr>
        <w:t xml:space="preserve"> </w:t>
      </w:r>
      <w:r w:rsidRPr="001220A4">
        <w:rPr>
          <w:rFonts w:asciiTheme="minorHAnsi" w:hAnsiTheme="minorHAnsi" w:cstheme="minorHAnsi"/>
        </w:rPr>
        <w:t xml:space="preserve">h, </w:t>
      </w:r>
      <w:r w:rsidRPr="001220A4">
        <w:rPr>
          <w:rFonts w:asciiTheme="minorHAnsi" w:hAnsiTheme="minorHAnsi" w:cstheme="minorHAnsi"/>
          <w:noProof/>
        </w:rPr>
        <w:t>and</w:t>
      </w:r>
      <w:r w:rsidRPr="001220A4">
        <w:rPr>
          <w:rFonts w:asciiTheme="minorHAnsi" w:hAnsiTheme="minorHAnsi" w:cstheme="minorHAnsi"/>
        </w:rPr>
        <w:t xml:space="preserve"> 24</w:t>
      </w:r>
      <w:r w:rsidR="001D574E">
        <w:rPr>
          <w:rFonts w:asciiTheme="minorHAnsi" w:hAnsiTheme="minorHAnsi" w:cstheme="minorHAnsi"/>
        </w:rPr>
        <w:t xml:space="preserve"> </w:t>
      </w:r>
      <w:r w:rsidRPr="001220A4">
        <w:rPr>
          <w:rFonts w:asciiTheme="minorHAnsi" w:hAnsiTheme="minorHAnsi" w:cstheme="minorHAnsi"/>
        </w:rPr>
        <w:t xml:space="preserve">h APAP treatment. APAP absorption and metabolism profile after 12 </w:t>
      </w:r>
      <w:r w:rsidR="008173B3">
        <w:rPr>
          <w:rFonts w:asciiTheme="minorHAnsi" w:hAnsiTheme="minorHAnsi" w:cstheme="minorHAnsi"/>
        </w:rPr>
        <w:t>µ</w:t>
      </w:r>
      <w:r w:rsidRPr="001220A4">
        <w:rPr>
          <w:rFonts w:asciiTheme="minorHAnsi" w:hAnsiTheme="minorHAnsi" w:cstheme="minorHAnsi"/>
        </w:rPr>
        <w:t xml:space="preserve">M administration on the intestinal barrier apical side of the Intestine/Liver 2-OC MPS preparation. This emulates the oral route. The intestinal barrier was made of Caco-2/HT-29 cell lines and the liver equivalent made of spheroids of </w:t>
      </w:r>
      <w:proofErr w:type="spellStart"/>
      <w:r w:rsidRPr="001220A4">
        <w:rPr>
          <w:rFonts w:asciiTheme="minorHAnsi" w:hAnsiTheme="minorHAnsi" w:cstheme="minorHAnsi"/>
        </w:rPr>
        <w:t>HepaRG</w:t>
      </w:r>
      <w:proofErr w:type="spellEnd"/>
      <w:r w:rsidRPr="001220A4">
        <w:rPr>
          <w:rFonts w:asciiTheme="minorHAnsi" w:hAnsiTheme="minorHAnsi" w:cstheme="minorHAnsi"/>
        </w:rPr>
        <w:t>/</w:t>
      </w:r>
      <w:proofErr w:type="spellStart"/>
      <w:r w:rsidRPr="001220A4">
        <w:rPr>
          <w:rFonts w:asciiTheme="minorHAnsi" w:hAnsiTheme="minorHAnsi" w:cstheme="minorHAnsi"/>
        </w:rPr>
        <w:t>HHSTeC</w:t>
      </w:r>
      <w:proofErr w:type="spellEnd"/>
      <w:r w:rsidRPr="001220A4">
        <w:rPr>
          <w:rFonts w:asciiTheme="minorHAnsi" w:hAnsiTheme="minorHAnsi" w:cstheme="minorHAnsi"/>
        </w:rPr>
        <w:t xml:space="preserve"> cell lines. (</w:t>
      </w:r>
      <w:r w:rsidRPr="001D574E">
        <w:rPr>
          <w:rFonts w:asciiTheme="minorHAnsi" w:hAnsiTheme="minorHAnsi" w:cstheme="minorHAnsi"/>
          <w:b/>
          <w:bCs/>
        </w:rPr>
        <w:t>D</w:t>
      </w:r>
      <w:r w:rsidRPr="001220A4">
        <w:rPr>
          <w:rFonts w:asciiTheme="minorHAnsi" w:hAnsiTheme="minorHAnsi" w:cstheme="minorHAnsi"/>
        </w:rPr>
        <w:t>) Intestinal/Liver 2-OC APAP concentrations in the apical side of the intestinal barrier under static and dynamic conditions. (</w:t>
      </w:r>
      <w:r w:rsidRPr="001D574E">
        <w:rPr>
          <w:rFonts w:asciiTheme="minorHAnsi" w:hAnsiTheme="minorHAnsi" w:cstheme="minorHAnsi"/>
          <w:b/>
          <w:bCs/>
        </w:rPr>
        <w:t>E</w:t>
      </w:r>
      <w:r w:rsidRPr="001220A4">
        <w:rPr>
          <w:rFonts w:asciiTheme="minorHAnsi" w:hAnsiTheme="minorHAnsi" w:cstheme="minorHAnsi"/>
        </w:rPr>
        <w:t>) Intestinal/Liver 2-OC APAP concentrations in the medium under static and dynamic conditions. *P&lt;0.05 static vs dynamic conditions. (</w:t>
      </w:r>
      <w:r w:rsidRPr="001D574E">
        <w:rPr>
          <w:rFonts w:asciiTheme="minorHAnsi" w:hAnsiTheme="minorHAnsi" w:cstheme="minorHAnsi"/>
          <w:b/>
          <w:bCs/>
        </w:rPr>
        <w:t>F</w:t>
      </w:r>
      <w:r w:rsidRPr="001220A4">
        <w:rPr>
          <w:rFonts w:asciiTheme="minorHAnsi" w:hAnsiTheme="minorHAnsi" w:cstheme="minorHAnsi"/>
        </w:rPr>
        <w:t xml:space="preserve">) Comparison between the concentration–time profile of APAP in our </w:t>
      </w:r>
      <w:proofErr w:type="spellStart"/>
      <w:r w:rsidRPr="001220A4">
        <w:rPr>
          <w:rFonts w:asciiTheme="minorHAnsi" w:hAnsiTheme="minorHAnsi" w:cstheme="minorHAnsi"/>
        </w:rPr>
        <w:t>microphysiological</w:t>
      </w:r>
      <w:proofErr w:type="spellEnd"/>
      <w:r w:rsidRPr="001220A4">
        <w:rPr>
          <w:rFonts w:asciiTheme="minorHAnsi" w:hAnsiTheme="minorHAnsi" w:cstheme="minorHAnsi"/>
        </w:rPr>
        <w:t xml:space="preserve"> system (red curve and y axis) and a representative profile obtained in humans after a single oral dose of 1000 mg (black curve and y axis). Data was extracted from plots using </w:t>
      </w:r>
      <w:proofErr w:type="spellStart"/>
      <w:r w:rsidRPr="001220A4">
        <w:rPr>
          <w:rFonts w:asciiTheme="minorHAnsi" w:hAnsiTheme="minorHAnsi" w:cstheme="minorHAnsi"/>
        </w:rPr>
        <w:t>WebPlotDigitizer</w:t>
      </w:r>
      <w:proofErr w:type="spellEnd"/>
      <w:r w:rsidRPr="001220A4">
        <w:rPr>
          <w:rFonts w:asciiTheme="minorHAnsi" w:hAnsiTheme="minorHAnsi" w:cstheme="minorHAnsi"/>
        </w:rPr>
        <w:t xml:space="preserve"> 4.2 (https://automeris.io/WebPlotDigitizer).</w:t>
      </w:r>
      <w:r w:rsidR="001D574E" w:rsidRPr="001D574E">
        <w:rPr>
          <w:rFonts w:asciiTheme="minorHAnsi" w:hAnsiTheme="minorHAnsi" w:cstheme="minorHAnsi"/>
        </w:rPr>
        <w:t xml:space="preserve"> </w:t>
      </w:r>
      <w:r w:rsidR="001D574E" w:rsidRPr="001220A4">
        <w:rPr>
          <w:rFonts w:asciiTheme="minorHAnsi" w:hAnsiTheme="minorHAnsi" w:cstheme="minorHAnsi"/>
        </w:rPr>
        <w:t xml:space="preserve">This figure has been modified from </w:t>
      </w:r>
      <w:r w:rsidR="001D574E" w:rsidRPr="001D574E">
        <w:rPr>
          <w:rFonts w:asciiTheme="minorHAnsi" w:hAnsiTheme="minorHAnsi" w:cstheme="minorHAnsi"/>
          <w:iCs/>
        </w:rPr>
        <w:t xml:space="preserve">Marin </w:t>
      </w:r>
      <w:r w:rsidR="00B2719E" w:rsidRPr="00B2719E">
        <w:rPr>
          <w:rFonts w:asciiTheme="minorHAnsi" w:hAnsiTheme="minorHAnsi" w:cstheme="minorHAnsi"/>
        </w:rPr>
        <w:t>et al.</w:t>
      </w:r>
      <w:r w:rsidR="001D574E" w:rsidRPr="001D574E">
        <w:rPr>
          <w:rFonts w:asciiTheme="minorHAnsi" w:hAnsiTheme="minorHAnsi" w:cstheme="minorHAnsi"/>
          <w:iCs/>
        </w:rPr>
        <w:t xml:space="preserve"> Acetaminophen absorption and metabolism in an intestine/liver </w:t>
      </w:r>
      <w:r w:rsidR="001D574E" w:rsidRPr="001D574E">
        <w:rPr>
          <w:rFonts w:asciiTheme="minorHAnsi" w:hAnsiTheme="minorHAnsi" w:cstheme="minorHAnsi"/>
          <w:iCs/>
          <w:noProof/>
        </w:rPr>
        <w:t>microphysiological</w:t>
      </w:r>
      <w:r w:rsidR="001D574E" w:rsidRPr="001D574E">
        <w:rPr>
          <w:rFonts w:asciiTheme="minorHAnsi" w:hAnsiTheme="minorHAnsi" w:cstheme="minorHAnsi"/>
          <w:iCs/>
        </w:rPr>
        <w:t xml:space="preserve"> system. </w:t>
      </w:r>
      <w:r w:rsidR="001D574E" w:rsidRPr="001D574E">
        <w:rPr>
          <w:rFonts w:asciiTheme="minorHAnsi" w:hAnsiTheme="minorHAnsi" w:cstheme="minorHAnsi"/>
          <w:i/>
        </w:rPr>
        <w:t>Chem Biol Interact</w:t>
      </w:r>
      <w:r w:rsidR="001D574E" w:rsidRPr="001D574E">
        <w:rPr>
          <w:rFonts w:asciiTheme="minorHAnsi" w:hAnsiTheme="minorHAnsi" w:cstheme="minorHAnsi"/>
          <w:iCs/>
        </w:rPr>
        <w:t xml:space="preserve">. </w:t>
      </w:r>
      <w:r w:rsidR="001D574E" w:rsidRPr="001D574E">
        <w:rPr>
          <w:rFonts w:asciiTheme="minorHAnsi" w:hAnsiTheme="minorHAnsi" w:cstheme="minorHAnsi"/>
          <w:b/>
          <w:bCs/>
          <w:iCs/>
        </w:rPr>
        <w:t>299</w:t>
      </w:r>
      <w:r w:rsidR="001D574E">
        <w:rPr>
          <w:rFonts w:asciiTheme="minorHAnsi" w:hAnsiTheme="minorHAnsi" w:cstheme="minorHAnsi"/>
          <w:iCs/>
        </w:rPr>
        <w:t xml:space="preserve">, </w:t>
      </w:r>
      <w:r w:rsidR="001D574E" w:rsidRPr="001D574E">
        <w:rPr>
          <w:rFonts w:asciiTheme="minorHAnsi" w:hAnsiTheme="minorHAnsi" w:cstheme="minorHAnsi"/>
          <w:iCs/>
        </w:rPr>
        <w:t>59-76</w:t>
      </w:r>
      <w:r w:rsidR="001D574E">
        <w:rPr>
          <w:rFonts w:asciiTheme="minorHAnsi" w:hAnsiTheme="minorHAnsi" w:cstheme="minorHAnsi"/>
          <w:iCs/>
        </w:rPr>
        <w:t xml:space="preserve"> (2019).</w:t>
      </w:r>
    </w:p>
    <w:p w14:paraId="3336AB86" w14:textId="77777777" w:rsidR="001D574E" w:rsidRPr="001220A4" w:rsidRDefault="001D574E" w:rsidP="001D574E">
      <w:pPr>
        <w:contextualSpacing/>
        <w:rPr>
          <w:rFonts w:asciiTheme="minorHAnsi" w:hAnsiTheme="minorHAnsi" w:cstheme="minorHAnsi"/>
          <w:color w:val="808080"/>
        </w:rPr>
      </w:pPr>
    </w:p>
    <w:p w14:paraId="0A07A144" w14:textId="61A0F4A3" w:rsidR="000B2584" w:rsidRPr="001D574E" w:rsidRDefault="000B2584" w:rsidP="0054535F">
      <w:pPr>
        <w:ind w:right="4"/>
        <w:contextualSpacing/>
        <w:rPr>
          <w:rFonts w:asciiTheme="minorHAnsi" w:hAnsiTheme="minorHAnsi" w:cstheme="minorHAnsi"/>
          <w:b/>
          <w:bCs/>
        </w:rPr>
      </w:pPr>
      <w:r w:rsidRPr="001220A4">
        <w:rPr>
          <w:rFonts w:asciiTheme="minorHAnsi" w:hAnsiTheme="minorHAnsi" w:cstheme="minorHAnsi"/>
          <w:b/>
        </w:rPr>
        <w:t>Table 1</w:t>
      </w:r>
      <w:r w:rsidRPr="001D574E">
        <w:rPr>
          <w:rFonts w:asciiTheme="minorHAnsi" w:hAnsiTheme="minorHAnsi" w:cstheme="minorHAnsi"/>
          <w:b/>
          <w:bCs/>
        </w:rPr>
        <w:t>. Conditions and parameters to be used for HPLC-UV analyses of APAP in culture medium matrices.</w:t>
      </w:r>
    </w:p>
    <w:p w14:paraId="6B1ED15D" w14:textId="77777777" w:rsidR="008400D8" w:rsidRPr="001220A4" w:rsidRDefault="008400D8" w:rsidP="0054535F">
      <w:pPr>
        <w:ind w:right="4"/>
        <w:contextualSpacing/>
        <w:rPr>
          <w:rFonts w:asciiTheme="minorHAnsi" w:hAnsiTheme="minorHAnsi" w:cstheme="minorHAnsi"/>
          <w:i/>
        </w:rPr>
      </w:pPr>
    </w:p>
    <w:p w14:paraId="3A2073D5" w14:textId="7B24E636" w:rsidR="008400D8" w:rsidRPr="001D574E" w:rsidRDefault="008400D8" w:rsidP="0054535F">
      <w:pPr>
        <w:ind w:right="4"/>
        <w:contextualSpacing/>
        <w:rPr>
          <w:rFonts w:asciiTheme="minorHAnsi" w:hAnsiTheme="minorHAnsi" w:cstheme="minorHAnsi"/>
          <w:b/>
          <w:bCs/>
          <w:vertAlign w:val="superscript"/>
          <w:lang w:val="en-GB"/>
        </w:rPr>
      </w:pPr>
      <w:bookmarkStart w:id="6" w:name="_Hlk19091112"/>
      <w:r w:rsidRPr="001220A4">
        <w:rPr>
          <w:rFonts w:asciiTheme="minorHAnsi" w:hAnsiTheme="minorHAnsi" w:cstheme="minorHAnsi"/>
          <w:b/>
          <w:lang w:val="en-GB"/>
        </w:rPr>
        <w:t xml:space="preserve">Table 2. </w:t>
      </w:r>
      <w:r w:rsidRPr="001D574E">
        <w:rPr>
          <w:rFonts w:asciiTheme="minorHAnsi" w:hAnsiTheme="minorHAnsi" w:cstheme="minorHAnsi"/>
          <w:b/>
          <w:bCs/>
          <w:lang w:val="en-GB"/>
        </w:rPr>
        <w:t xml:space="preserve">Inter-run variation – accuracy, precision, </w:t>
      </w:r>
      <w:r w:rsidRPr="001D574E">
        <w:rPr>
          <w:rFonts w:asciiTheme="minorHAnsi" w:hAnsiTheme="minorHAnsi" w:cstheme="minorHAnsi"/>
          <w:b/>
          <w:bCs/>
          <w:noProof/>
          <w:lang w:val="en-GB"/>
        </w:rPr>
        <w:t>and</w:t>
      </w:r>
      <w:r w:rsidRPr="001D574E">
        <w:rPr>
          <w:rFonts w:asciiTheme="minorHAnsi" w:hAnsiTheme="minorHAnsi" w:cstheme="minorHAnsi"/>
          <w:b/>
          <w:bCs/>
          <w:lang w:val="en-GB"/>
        </w:rPr>
        <w:t xml:space="preserve"> linearity of standard curve samples prepared in a mixture of DMEM medium with 0.10 M ammonium acetate buffer (1:1, v/v) from </w:t>
      </w:r>
      <w:r w:rsidRPr="001D574E">
        <w:rPr>
          <w:rFonts w:asciiTheme="minorHAnsi" w:hAnsiTheme="minorHAnsi" w:cstheme="minorHAnsi"/>
          <w:b/>
          <w:bCs/>
          <w:lang w:val="en-GB"/>
        </w:rPr>
        <w:lastRenderedPageBreak/>
        <w:t xml:space="preserve">six separate </w:t>
      </w:r>
      <w:proofErr w:type="spellStart"/>
      <w:proofErr w:type="gramStart"/>
      <w:r w:rsidRPr="001D574E">
        <w:rPr>
          <w:rFonts w:asciiTheme="minorHAnsi" w:hAnsiTheme="minorHAnsi" w:cstheme="minorHAnsi"/>
          <w:b/>
          <w:bCs/>
          <w:lang w:val="en-GB"/>
        </w:rPr>
        <w:t>assays.</w:t>
      </w:r>
      <w:r w:rsidRPr="001D574E">
        <w:rPr>
          <w:rFonts w:asciiTheme="minorHAnsi" w:hAnsiTheme="minorHAnsi" w:cstheme="minorHAnsi"/>
          <w:b/>
          <w:bCs/>
          <w:vertAlign w:val="superscript"/>
          <w:lang w:val="en-GB"/>
        </w:rPr>
        <w:t>a</w:t>
      </w:r>
      <w:proofErr w:type="spellEnd"/>
      <w:proofErr w:type="gramEnd"/>
    </w:p>
    <w:p w14:paraId="0A088B8C" w14:textId="77777777" w:rsidR="008400D8" w:rsidRPr="001220A4" w:rsidRDefault="008400D8" w:rsidP="0054535F">
      <w:pPr>
        <w:ind w:right="4"/>
        <w:contextualSpacing/>
        <w:rPr>
          <w:rFonts w:asciiTheme="minorHAnsi" w:hAnsiTheme="minorHAnsi" w:cstheme="minorHAnsi"/>
          <w:lang w:val="en-GB"/>
        </w:rPr>
      </w:pPr>
      <w:r w:rsidRPr="001220A4">
        <w:rPr>
          <w:rFonts w:asciiTheme="minorHAnsi" w:hAnsiTheme="minorHAnsi" w:cstheme="minorHAnsi"/>
          <w:noProof/>
          <w:vertAlign w:val="superscript"/>
          <w:lang w:val="en-GB"/>
        </w:rPr>
        <w:t>a</w:t>
      </w:r>
      <w:r w:rsidRPr="001220A4">
        <w:rPr>
          <w:rFonts w:asciiTheme="minorHAnsi" w:hAnsiTheme="minorHAnsi" w:cstheme="minorHAnsi"/>
          <w:noProof/>
          <w:lang w:val="en-GB"/>
        </w:rPr>
        <w:t>A</w:t>
      </w:r>
      <w:r w:rsidRPr="001220A4">
        <w:rPr>
          <w:rFonts w:asciiTheme="minorHAnsi" w:hAnsiTheme="minorHAnsi" w:cstheme="minorHAnsi"/>
          <w:lang w:val="en-GB"/>
        </w:rPr>
        <w:t xml:space="preserve"> linear curve was fitted to the data for a </w:t>
      </w:r>
      <w:r w:rsidRPr="001220A4">
        <w:rPr>
          <w:rFonts w:asciiTheme="minorHAnsi" w:hAnsiTheme="minorHAnsi" w:cstheme="minorHAnsi"/>
          <w:noProof/>
          <w:lang w:val="en-GB"/>
        </w:rPr>
        <w:t>response</w:t>
      </w:r>
      <w:r w:rsidRPr="001220A4">
        <w:rPr>
          <w:rFonts w:asciiTheme="minorHAnsi" w:hAnsiTheme="minorHAnsi" w:cstheme="minorHAnsi"/>
          <w:lang w:val="en-GB"/>
        </w:rPr>
        <w:t xml:space="preserve"> (</w:t>
      </w:r>
      <w:r w:rsidRPr="001220A4">
        <w:rPr>
          <w:rFonts w:asciiTheme="minorHAnsi" w:hAnsiTheme="minorHAnsi" w:cstheme="minorHAnsi"/>
          <w:b/>
          <w:lang w:val="en-GB"/>
        </w:rPr>
        <w:t>APAP</w:t>
      </w:r>
      <w:r w:rsidRPr="001220A4">
        <w:rPr>
          <w:rFonts w:asciiTheme="minorHAnsi" w:hAnsiTheme="minorHAnsi" w:cstheme="minorHAnsi"/>
          <w:lang w:val="en-GB"/>
        </w:rPr>
        <w:t xml:space="preserve">) versus theoretical concentration as described in Experimental. The calculated concentration was derived from reading the response for each standard sample against the </w:t>
      </w:r>
      <w:r w:rsidRPr="001220A4">
        <w:rPr>
          <w:rFonts w:asciiTheme="minorHAnsi" w:hAnsiTheme="minorHAnsi" w:cstheme="minorHAnsi"/>
          <w:noProof/>
          <w:lang w:val="en-GB"/>
        </w:rPr>
        <w:t>calibration</w:t>
      </w:r>
      <w:r w:rsidRPr="001220A4">
        <w:rPr>
          <w:rFonts w:asciiTheme="minorHAnsi" w:hAnsiTheme="minorHAnsi" w:cstheme="minorHAnsi"/>
          <w:lang w:val="en-GB"/>
        </w:rPr>
        <w:t xml:space="preserve"> curve. Each entry (assay 1-6) corresponds to the average value of triplicate analysis.</w:t>
      </w:r>
    </w:p>
    <w:p w14:paraId="04DE332F" w14:textId="77777777" w:rsidR="008400D8" w:rsidRPr="001220A4" w:rsidRDefault="008400D8" w:rsidP="0054535F">
      <w:pPr>
        <w:ind w:right="4"/>
        <w:contextualSpacing/>
        <w:rPr>
          <w:rFonts w:asciiTheme="minorHAnsi" w:hAnsiTheme="minorHAnsi" w:cstheme="minorHAnsi"/>
          <w:lang w:val="en-GB"/>
        </w:rPr>
      </w:pPr>
      <w:r w:rsidRPr="001220A4">
        <w:rPr>
          <w:rFonts w:asciiTheme="minorHAnsi" w:hAnsiTheme="minorHAnsi" w:cstheme="minorHAnsi"/>
          <w:vertAlign w:val="superscript"/>
          <w:lang w:val="en-GB"/>
        </w:rPr>
        <w:t>b</w:t>
      </w:r>
      <w:r w:rsidRPr="001220A4">
        <w:rPr>
          <w:rFonts w:asciiTheme="minorHAnsi" w:hAnsiTheme="minorHAnsi" w:cstheme="minorHAnsi"/>
          <w:lang w:val="en-GB"/>
        </w:rPr>
        <w:t xml:space="preserve"> SD= Standard deviation. </w:t>
      </w:r>
      <w:r w:rsidRPr="001220A4">
        <w:rPr>
          <w:rFonts w:asciiTheme="minorHAnsi" w:hAnsiTheme="minorHAnsi" w:cstheme="minorHAnsi"/>
          <w:vertAlign w:val="superscript"/>
          <w:lang w:val="en-GB"/>
        </w:rPr>
        <w:t>c</w:t>
      </w:r>
      <w:r w:rsidRPr="001220A4">
        <w:rPr>
          <w:rFonts w:asciiTheme="minorHAnsi" w:hAnsiTheme="minorHAnsi" w:cstheme="minorHAnsi"/>
          <w:lang w:val="en-GB"/>
        </w:rPr>
        <w:t xml:space="preserve"> C.V. (coefficient of variation. precision). </w:t>
      </w:r>
    </w:p>
    <w:p w14:paraId="5B5E43D3" w14:textId="77777777" w:rsidR="008400D8" w:rsidRPr="001220A4" w:rsidRDefault="008400D8" w:rsidP="0054535F">
      <w:pPr>
        <w:ind w:right="4"/>
        <w:contextualSpacing/>
        <w:rPr>
          <w:rFonts w:asciiTheme="minorHAnsi" w:hAnsiTheme="minorHAnsi" w:cstheme="minorHAnsi"/>
          <w:lang w:val="en-GB"/>
        </w:rPr>
      </w:pPr>
      <w:r w:rsidRPr="001220A4">
        <w:rPr>
          <w:rFonts w:asciiTheme="minorHAnsi" w:hAnsiTheme="minorHAnsi" w:cstheme="minorHAnsi"/>
          <w:vertAlign w:val="superscript"/>
          <w:lang w:val="en-GB"/>
        </w:rPr>
        <w:t>d</w:t>
      </w:r>
      <w:r w:rsidRPr="001220A4">
        <w:rPr>
          <w:rFonts w:asciiTheme="minorHAnsi" w:hAnsiTheme="minorHAnsi" w:cstheme="minorHAnsi"/>
          <w:lang w:val="en-GB"/>
        </w:rPr>
        <w:t xml:space="preserve"> Accuracy (DEV %) = the deviation of the calculated concentration from the nominal value.</w:t>
      </w:r>
    </w:p>
    <w:bookmarkEnd w:id="6"/>
    <w:p w14:paraId="6911BE18" w14:textId="4A3A243F" w:rsidR="008400D8" w:rsidRDefault="001D574E" w:rsidP="0054535F">
      <w:pPr>
        <w:ind w:right="4"/>
        <w:contextualSpacing/>
        <w:rPr>
          <w:rFonts w:asciiTheme="minorHAnsi" w:hAnsiTheme="minorHAnsi" w:cstheme="minorHAnsi"/>
          <w:iCs/>
        </w:rPr>
      </w:pPr>
      <w:r w:rsidRPr="001220A4">
        <w:rPr>
          <w:rFonts w:asciiTheme="minorHAnsi" w:hAnsiTheme="minorHAnsi" w:cstheme="minorHAnsi"/>
        </w:rPr>
        <w:t xml:space="preserve">This figure has been modified from </w:t>
      </w:r>
      <w:r w:rsidRPr="001D574E">
        <w:rPr>
          <w:rFonts w:asciiTheme="minorHAnsi" w:hAnsiTheme="minorHAnsi" w:cstheme="minorHAnsi"/>
          <w:iCs/>
        </w:rPr>
        <w:t xml:space="preserve">Marin </w:t>
      </w:r>
      <w:r w:rsidR="00B2719E" w:rsidRPr="00B2719E">
        <w:rPr>
          <w:rFonts w:asciiTheme="minorHAnsi" w:hAnsiTheme="minorHAnsi" w:cstheme="minorHAnsi"/>
        </w:rPr>
        <w:t>et al.</w:t>
      </w:r>
      <w:r w:rsidRPr="001D574E">
        <w:rPr>
          <w:rFonts w:asciiTheme="minorHAnsi" w:hAnsiTheme="minorHAnsi" w:cstheme="minorHAnsi"/>
          <w:iCs/>
        </w:rPr>
        <w:t xml:space="preserve"> Acetaminophen absorption and metabolism in an intestine/liver </w:t>
      </w:r>
      <w:r w:rsidRPr="001D574E">
        <w:rPr>
          <w:rFonts w:asciiTheme="minorHAnsi" w:hAnsiTheme="minorHAnsi" w:cstheme="minorHAnsi"/>
          <w:iCs/>
          <w:noProof/>
        </w:rPr>
        <w:t>microphysiological</w:t>
      </w:r>
      <w:r w:rsidRPr="001D574E">
        <w:rPr>
          <w:rFonts w:asciiTheme="minorHAnsi" w:hAnsiTheme="minorHAnsi" w:cstheme="minorHAnsi"/>
          <w:iCs/>
        </w:rPr>
        <w:t xml:space="preserve"> system. </w:t>
      </w:r>
      <w:r w:rsidRPr="001D574E">
        <w:rPr>
          <w:rFonts w:asciiTheme="minorHAnsi" w:hAnsiTheme="minorHAnsi" w:cstheme="minorHAnsi"/>
          <w:i/>
        </w:rPr>
        <w:t>Chem Biol Interact</w:t>
      </w:r>
      <w:r w:rsidRPr="001D574E">
        <w:rPr>
          <w:rFonts w:asciiTheme="minorHAnsi" w:hAnsiTheme="minorHAnsi" w:cstheme="minorHAnsi"/>
          <w:iCs/>
        </w:rPr>
        <w:t xml:space="preserve">. </w:t>
      </w:r>
      <w:r w:rsidRPr="001D574E">
        <w:rPr>
          <w:rFonts w:asciiTheme="minorHAnsi" w:hAnsiTheme="minorHAnsi" w:cstheme="minorHAnsi"/>
          <w:b/>
          <w:bCs/>
          <w:iCs/>
        </w:rPr>
        <w:t>299</w:t>
      </w:r>
      <w:r>
        <w:rPr>
          <w:rFonts w:asciiTheme="minorHAnsi" w:hAnsiTheme="minorHAnsi" w:cstheme="minorHAnsi"/>
          <w:iCs/>
        </w:rPr>
        <w:t xml:space="preserve">, </w:t>
      </w:r>
      <w:r w:rsidRPr="001D574E">
        <w:rPr>
          <w:rFonts w:asciiTheme="minorHAnsi" w:hAnsiTheme="minorHAnsi" w:cstheme="minorHAnsi"/>
          <w:iCs/>
        </w:rPr>
        <w:t>59-76</w:t>
      </w:r>
      <w:r>
        <w:rPr>
          <w:rFonts w:asciiTheme="minorHAnsi" w:hAnsiTheme="minorHAnsi" w:cstheme="minorHAnsi"/>
          <w:iCs/>
        </w:rPr>
        <w:t xml:space="preserve"> (2019).</w:t>
      </w:r>
    </w:p>
    <w:p w14:paraId="70C6E89A" w14:textId="77777777" w:rsidR="001D574E" w:rsidRPr="001220A4" w:rsidRDefault="001D574E" w:rsidP="0054535F">
      <w:pPr>
        <w:ind w:right="4"/>
        <w:contextualSpacing/>
        <w:rPr>
          <w:rFonts w:asciiTheme="minorHAnsi" w:hAnsiTheme="minorHAnsi" w:cstheme="minorHAnsi"/>
          <w:i/>
        </w:rPr>
      </w:pPr>
    </w:p>
    <w:p w14:paraId="3DF37853" w14:textId="18D5088B" w:rsidR="008400D8" w:rsidRPr="001D574E" w:rsidRDefault="008400D8" w:rsidP="0054535F">
      <w:pPr>
        <w:ind w:right="4"/>
        <w:contextualSpacing/>
        <w:rPr>
          <w:rFonts w:asciiTheme="minorHAnsi" w:hAnsiTheme="minorHAnsi" w:cstheme="minorHAnsi"/>
          <w:vertAlign w:val="superscript"/>
          <w:lang w:val="en-GB"/>
        </w:rPr>
      </w:pPr>
      <w:r w:rsidRPr="001220A4">
        <w:rPr>
          <w:rFonts w:asciiTheme="minorHAnsi" w:hAnsiTheme="minorHAnsi" w:cstheme="minorHAnsi"/>
          <w:b/>
          <w:lang w:val="en-GB"/>
        </w:rPr>
        <w:t>Table 3.</w:t>
      </w:r>
      <w:r w:rsidRPr="001220A4">
        <w:rPr>
          <w:rFonts w:asciiTheme="minorHAnsi" w:hAnsiTheme="minorHAnsi" w:cstheme="minorHAnsi"/>
          <w:lang w:val="en-GB"/>
        </w:rPr>
        <w:t xml:space="preserve"> </w:t>
      </w:r>
      <w:r w:rsidRPr="001D574E">
        <w:rPr>
          <w:rFonts w:asciiTheme="minorHAnsi" w:hAnsiTheme="minorHAnsi" w:cstheme="minorHAnsi"/>
          <w:b/>
          <w:bCs/>
          <w:lang w:val="en-GB"/>
        </w:rPr>
        <w:t xml:space="preserve">Inter-run variation – accuracy, precision, </w:t>
      </w:r>
      <w:r w:rsidRPr="001D574E">
        <w:rPr>
          <w:rFonts w:asciiTheme="minorHAnsi" w:hAnsiTheme="minorHAnsi" w:cstheme="minorHAnsi"/>
          <w:b/>
          <w:bCs/>
          <w:noProof/>
          <w:lang w:val="en-GB"/>
        </w:rPr>
        <w:t>and</w:t>
      </w:r>
      <w:r w:rsidRPr="001D574E">
        <w:rPr>
          <w:rFonts w:asciiTheme="minorHAnsi" w:hAnsiTheme="minorHAnsi" w:cstheme="minorHAnsi"/>
          <w:b/>
          <w:bCs/>
          <w:lang w:val="en-GB"/>
        </w:rPr>
        <w:t xml:space="preserve"> linearity of standard curve samples prepared in a mixture of Williams medium with 0.10 M ammonium acetate buffer (1:1, v/v) from six separate </w:t>
      </w:r>
      <w:proofErr w:type="spellStart"/>
      <w:proofErr w:type="gramStart"/>
      <w:r w:rsidRPr="001D574E">
        <w:rPr>
          <w:rFonts w:asciiTheme="minorHAnsi" w:hAnsiTheme="minorHAnsi" w:cstheme="minorHAnsi"/>
          <w:b/>
          <w:bCs/>
          <w:lang w:val="en-GB"/>
        </w:rPr>
        <w:t>assays.</w:t>
      </w:r>
      <w:r w:rsidRPr="001D574E">
        <w:rPr>
          <w:rFonts w:asciiTheme="minorHAnsi" w:hAnsiTheme="minorHAnsi" w:cstheme="minorHAnsi"/>
          <w:b/>
          <w:bCs/>
          <w:vertAlign w:val="superscript"/>
          <w:lang w:val="en-GB"/>
        </w:rPr>
        <w:t>a</w:t>
      </w:r>
      <w:proofErr w:type="spellEnd"/>
      <w:proofErr w:type="gramEnd"/>
    </w:p>
    <w:p w14:paraId="1781A398" w14:textId="54776BB7" w:rsidR="008400D8" w:rsidRPr="001220A4" w:rsidRDefault="008400D8" w:rsidP="0054535F">
      <w:pPr>
        <w:ind w:right="4"/>
        <w:contextualSpacing/>
        <w:rPr>
          <w:rFonts w:asciiTheme="minorHAnsi" w:hAnsiTheme="minorHAnsi" w:cstheme="minorHAnsi"/>
          <w:noProof/>
          <w:lang w:val="en-GB"/>
        </w:rPr>
      </w:pPr>
      <w:r w:rsidRPr="001220A4">
        <w:rPr>
          <w:rFonts w:asciiTheme="minorHAnsi" w:hAnsiTheme="minorHAnsi" w:cstheme="minorHAnsi"/>
          <w:noProof/>
          <w:vertAlign w:val="superscript"/>
          <w:lang w:val="en-GB"/>
        </w:rPr>
        <w:t>a</w:t>
      </w:r>
      <w:r w:rsidRPr="001220A4">
        <w:rPr>
          <w:rFonts w:asciiTheme="minorHAnsi" w:hAnsiTheme="minorHAnsi" w:cstheme="minorHAnsi"/>
          <w:noProof/>
          <w:lang w:val="en-GB"/>
        </w:rPr>
        <w:t>A</w:t>
      </w:r>
      <w:r w:rsidRPr="001220A4">
        <w:rPr>
          <w:rFonts w:asciiTheme="minorHAnsi" w:hAnsiTheme="minorHAnsi" w:cstheme="minorHAnsi"/>
          <w:lang w:val="en-GB"/>
        </w:rPr>
        <w:t xml:space="preserve"> linear curve was fitted to the data for a </w:t>
      </w:r>
      <w:r w:rsidRPr="001220A4">
        <w:rPr>
          <w:rFonts w:asciiTheme="minorHAnsi" w:hAnsiTheme="minorHAnsi" w:cstheme="minorHAnsi"/>
          <w:noProof/>
          <w:lang w:val="en-GB"/>
        </w:rPr>
        <w:t>response</w:t>
      </w:r>
      <w:r w:rsidRPr="001220A4">
        <w:rPr>
          <w:rFonts w:asciiTheme="minorHAnsi" w:hAnsiTheme="minorHAnsi" w:cstheme="minorHAnsi"/>
          <w:lang w:val="en-GB"/>
        </w:rPr>
        <w:t xml:space="preserve"> (</w:t>
      </w:r>
      <w:r w:rsidRPr="001220A4">
        <w:rPr>
          <w:rFonts w:asciiTheme="minorHAnsi" w:hAnsiTheme="minorHAnsi" w:cstheme="minorHAnsi"/>
          <w:b/>
          <w:lang w:val="en-GB"/>
        </w:rPr>
        <w:t>APAP</w:t>
      </w:r>
      <w:r w:rsidRPr="001220A4">
        <w:rPr>
          <w:rFonts w:asciiTheme="minorHAnsi" w:hAnsiTheme="minorHAnsi" w:cstheme="minorHAnsi"/>
          <w:lang w:val="en-GB"/>
        </w:rPr>
        <w:t xml:space="preserve">) versus theoretical concentration as described in Experimental. The calculated concentration was derived from reading the response for each standard sample against a </w:t>
      </w:r>
      <w:r w:rsidRPr="001220A4">
        <w:rPr>
          <w:rFonts w:asciiTheme="minorHAnsi" w:hAnsiTheme="minorHAnsi" w:cstheme="minorHAnsi"/>
          <w:noProof/>
          <w:lang w:val="en-GB"/>
        </w:rPr>
        <w:t>calibration</w:t>
      </w:r>
      <w:r w:rsidRPr="001220A4">
        <w:rPr>
          <w:rFonts w:asciiTheme="minorHAnsi" w:hAnsiTheme="minorHAnsi" w:cstheme="minorHAnsi"/>
          <w:lang w:val="en-GB"/>
        </w:rPr>
        <w:t xml:space="preserve"> curve. Each entry (assay 1-5) corresponds to the average value of triplicate </w:t>
      </w:r>
      <w:proofErr w:type="spellStart"/>
      <w:proofErr w:type="gramStart"/>
      <w:r w:rsidRPr="001220A4">
        <w:rPr>
          <w:rFonts w:asciiTheme="minorHAnsi" w:hAnsiTheme="minorHAnsi" w:cstheme="minorHAnsi"/>
          <w:lang w:val="en-GB"/>
        </w:rPr>
        <w:t>analysis.</w:t>
      </w:r>
      <w:r w:rsidRPr="001220A4">
        <w:rPr>
          <w:rFonts w:asciiTheme="minorHAnsi" w:hAnsiTheme="minorHAnsi" w:cstheme="minorHAnsi"/>
          <w:vertAlign w:val="superscript"/>
          <w:lang w:val="en-GB"/>
        </w:rPr>
        <w:t>b</w:t>
      </w:r>
      <w:proofErr w:type="spellEnd"/>
      <w:proofErr w:type="gramEnd"/>
      <w:r w:rsidRPr="001220A4">
        <w:rPr>
          <w:rFonts w:asciiTheme="minorHAnsi" w:hAnsiTheme="minorHAnsi" w:cstheme="minorHAnsi"/>
          <w:lang w:val="en-GB"/>
        </w:rPr>
        <w:t xml:space="preserve"> SD= Standard deviation</w:t>
      </w:r>
      <w:r w:rsidR="00CA139D" w:rsidRPr="001220A4">
        <w:rPr>
          <w:rFonts w:asciiTheme="minorHAnsi" w:hAnsiTheme="minorHAnsi" w:cstheme="minorHAnsi"/>
          <w:lang w:val="en-GB"/>
        </w:rPr>
        <w:t xml:space="preserve"> </w:t>
      </w:r>
      <w:r w:rsidRPr="001220A4">
        <w:rPr>
          <w:rFonts w:asciiTheme="minorHAnsi" w:hAnsiTheme="minorHAnsi" w:cstheme="minorHAnsi"/>
          <w:vertAlign w:val="superscript"/>
          <w:lang w:val="en-GB"/>
        </w:rPr>
        <w:t>c</w:t>
      </w:r>
      <w:r w:rsidRPr="001220A4">
        <w:rPr>
          <w:rFonts w:asciiTheme="minorHAnsi" w:hAnsiTheme="minorHAnsi" w:cstheme="minorHAnsi"/>
          <w:lang w:val="en-GB"/>
        </w:rPr>
        <w:t xml:space="preserve"> C.V. (coefficient of variation. precision). </w:t>
      </w:r>
      <w:r w:rsidRPr="001220A4">
        <w:rPr>
          <w:rFonts w:asciiTheme="minorHAnsi" w:hAnsiTheme="minorHAnsi" w:cstheme="minorHAnsi"/>
          <w:vertAlign w:val="superscript"/>
          <w:lang w:val="en-GB"/>
        </w:rPr>
        <w:t>d</w:t>
      </w:r>
      <w:r w:rsidRPr="001220A4">
        <w:rPr>
          <w:rFonts w:asciiTheme="minorHAnsi" w:hAnsiTheme="minorHAnsi" w:cstheme="minorHAnsi"/>
          <w:lang w:val="en-GB"/>
        </w:rPr>
        <w:t xml:space="preserve"> Accuracy (DEV %) = the deviation of the calculated concentration from the nominal value. </w:t>
      </w:r>
      <w:r w:rsidR="001D574E" w:rsidRPr="001220A4">
        <w:rPr>
          <w:rFonts w:asciiTheme="minorHAnsi" w:hAnsiTheme="minorHAnsi" w:cstheme="minorHAnsi"/>
        </w:rPr>
        <w:t xml:space="preserve">This figure has been modified from </w:t>
      </w:r>
      <w:r w:rsidR="001D574E" w:rsidRPr="001D574E">
        <w:rPr>
          <w:rFonts w:asciiTheme="minorHAnsi" w:hAnsiTheme="minorHAnsi" w:cstheme="minorHAnsi"/>
          <w:iCs/>
        </w:rPr>
        <w:t xml:space="preserve">Marin </w:t>
      </w:r>
      <w:r w:rsidR="00B2719E" w:rsidRPr="00B2719E">
        <w:rPr>
          <w:rFonts w:asciiTheme="minorHAnsi" w:hAnsiTheme="minorHAnsi" w:cstheme="minorHAnsi"/>
        </w:rPr>
        <w:t>et al.</w:t>
      </w:r>
      <w:r w:rsidR="001D574E" w:rsidRPr="001D574E">
        <w:rPr>
          <w:rFonts w:asciiTheme="minorHAnsi" w:hAnsiTheme="minorHAnsi" w:cstheme="minorHAnsi"/>
          <w:iCs/>
        </w:rPr>
        <w:t xml:space="preserve"> Acetaminophen absorption and metabolism in an intestine/liver </w:t>
      </w:r>
      <w:r w:rsidR="001D574E" w:rsidRPr="001D574E">
        <w:rPr>
          <w:rFonts w:asciiTheme="minorHAnsi" w:hAnsiTheme="minorHAnsi" w:cstheme="minorHAnsi"/>
          <w:iCs/>
          <w:noProof/>
        </w:rPr>
        <w:t>microphysiological</w:t>
      </w:r>
      <w:r w:rsidR="001D574E" w:rsidRPr="001D574E">
        <w:rPr>
          <w:rFonts w:asciiTheme="minorHAnsi" w:hAnsiTheme="minorHAnsi" w:cstheme="minorHAnsi"/>
          <w:iCs/>
        </w:rPr>
        <w:t xml:space="preserve"> system. </w:t>
      </w:r>
      <w:r w:rsidR="001D574E" w:rsidRPr="001D574E">
        <w:rPr>
          <w:rFonts w:asciiTheme="minorHAnsi" w:hAnsiTheme="minorHAnsi" w:cstheme="minorHAnsi"/>
          <w:i/>
        </w:rPr>
        <w:t>Chem Biol Interact</w:t>
      </w:r>
      <w:r w:rsidR="001D574E" w:rsidRPr="001D574E">
        <w:rPr>
          <w:rFonts w:asciiTheme="minorHAnsi" w:hAnsiTheme="minorHAnsi" w:cstheme="minorHAnsi"/>
          <w:iCs/>
        </w:rPr>
        <w:t xml:space="preserve">. </w:t>
      </w:r>
      <w:r w:rsidR="001D574E" w:rsidRPr="001D574E">
        <w:rPr>
          <w:rFonts w:asciiTheme="minorHAnsi" w:hAnsiTheme="minorHAnsi" w:cstheme="minorHAnsi"/>
          <w:b/>
          <w:bCs/>
          <w:iCs/>
        </w:rPr>
        <w:t>299</w:t>
      </w:r>
      <w:r w:rsidR="001D574E">
        <w:rPr>
          <w:rFonts w:asciiTheme="minorHAnsi" w:hAnsiTheme="minorHAnsi" w:cstheme="minorHAnsi"/>
          <w:iCs/>
        </w:rPr>
        <w:t xml:space="preserve">, </w:t>
      </w:r>
      <w:r w:rsidR="001D574E" w:rsidRPr="001D574E">
        <w:rPr>
          <w:rFonts w:asciiTheme="minorHAnsi" w:hAnsiTheme="minorHAnsi" w:cstheme="minorHAnsi"/>
          <w:iCs/>
        </w:rPr>
        <w:t>59-76</w:t>
      </w:r>
      <w:r w:rsidR="001D574E">
        <w:rPr>
          <w:rFonts w:asciiTheme="minorHAnsi" w:hAnsiTheme="minorHAnsi" w:cstheme="minorHAnsi"/>
          <w:iCs/>
        </w:rPr>
        <w:t xml:space="preserve"> (2019).</w:t>
      </w:r>
    </w:p>
    <w:p w14:paraId="636DA99A" w14:textId="77777777" w:rsidR="008400D8" w:rsidRPr="001220A4" w:rsidRDefault="008400D8" w:rsidP="0054535F">
      <w:pPr>
        <w:ind w:right="4"/>
        <w:contextualSpacing/>
        <w:rPr>
          <w:rFonts w:asciiTheme="minorHAnsi" w:hAnsiTheme="minorHAnsi" w:cstheme="minorHAnsi"/>
          <w:lang w:val="en-GB"/>
        </w:rPr>
      </w:pPr>
    </w:p>
    <w:p w14:paraId="0110594F" w14:textId="77777777" w:rsidR="008400D8" w:rsidRPr="001220A4" w:rsidRDefault="008400D8" w:rsidP="0054535F">
      <w:pPr>
        <w:pStyle w:val="BodyText"/>
        <w:ind w:right="4"/>
        <w:contextualSpacing/>
        <w:rPr>
          <w:rFonts w:asciiTheme="minorHAnsi" w:hAnsiTheme="minorHAnsi" w:cstheme="minorHAnsi"/>
          <w:vertAlign w:val="superscript"/>
          <w:lang w:val="en-GB"/>
        </w:rPr>
      </w:pPr>
      <w:r w:rsidRPr="001220A4">
        <w:rPr>
          <w:rFonts w:asciiTheme="minorHAnsi" w:hAnsiTheme="minorHAnsi" w:cstheme="minorHAnsi"/>
          <w:b/>
          <w:lang w:val="en-GB"/>
        </w:rPr>
        <w:t>Table 4.</w:t>
      </w:r>
      <w:r w:rsidRPr="001220A4">
        <w:rPr>
          <w:rFonts w:asciiTheme="minorHAnsi" w:hAnsiTheme="minorHAnsi" w:cstheme="minorHAnsi"/>
          <w:lang w:val="en-GB"/>
        </w:rPr>
        <w:t xml:space="preserve"> </w:t>
      </w:r>
      <w:r w:rsidRPr="001D574E">
        <w:rPr>
          <w:rFonts w:asciiTheme="minorHAnsi" w:hAnsiTheme="minorHAnsi" w:cstheme="minorHAnsi"/>
          <w:b/>
          <w:bCs/>
          <w:lang w:val="en-GB"/>
        </w:rPr>
        <w:t xml:space="preserve">Intra- and inter-run precision and accuracy for APAP in quality control </w:t>
      </w:r>
      <w:proofErr w:type="spellStart"/>
      <w:proofErr w:type="gramStart"/>
      <w:r w:rsidRPr="001D574E">
        <w:rPr>
          <w:rFonts w:asciiTheme="minorHAnsi" w:hAnsiTheme="minorHAnsi" w:cstheme="minorHAnsi"/>
          <w:b/>
          <w:bCs/>
          <w:lang w:val="en-GB"/>
        </w:rPr>
        <w:t>samples.</w:t>
      </w:r>
      <w:r w:rsidRPr="001D574E">
        <w:rPr>
          <w:rFonts w:asciiTheme="minorHAnsi" w:hAnsiTheme="minorHAnsi" w:cstheme="minorHAnsi"/>
          <w:b/>
          <w:bCs/>
          <w:vertAlign w:val="superscript"/>
          <w:lang w:val="en-GB"/>
        </w:rPr>
        <w:t>a</w:t>
      </w:r>
      <w:proofErr w:type="spellEnd"/>
      <w:proofErr w:type="gramEnd"/>
    </w:p>
    <w:p w14:paraId="62C62EB4" w14:textId="444807CE" w:rsidR="008400D8" w:rsidRDefault="008400D8" w:rsidP="001D574E">
      <w:pPr>
        <w:ind w:right="4"/>
        <w:contextualSpacing/>
        <w:rPr>
          <w:rFonts w:asciiTheme="minorHAnsi" w:hAnsiTheme="minorHAnsi" w:cstheme="minorHAnsi"/>
          <w:iCs/>
        </w:rPr>
      </w:pPr>
      <w:r w:rsidRPr="001220A4">
        <w:rPr>
          <w:rFonts w:asciiTheme="minorHAnsi" w:hAnsiTheme="minorHAnsi" w:cstheme="minorHAnsi"/>
          <w:noProof/>
          <w:vertAlign w:val="superscript"/>
          <w:lang w:val="en-GB"/>
        </w:rPr>
        <w:t>a</w:t>
      </w:r>
      <w:r w:rsidRPr="001220A4">
        <w:rPr>
          <w:rFonts w:asciiTheme="minorHAnsi" w:hAnsiTheme="minorHAnsi" w:cstheme="minorHAnsi"/>
          <w:noProof/>
          <w:lang w:val="en-GB"/>
        </w:rPr>
        <w:t>The</w:t>
      </w:r>
      <w:r w:rsidRPr="001220A4">
        <w:rPr>
          <w:rFonts w:asciiTheme="minorHAnsi" w:hAnsiTheme="minorHAnsi" w:cstheme="minorHAnsi"/>
          <w:lang w:val="en-GB"/>
        </w:rPr>
        <w:t xml:space="preserve"> data are shown as averages. SD (standard deviation). C.V. (coefficient of variation. precision) and accuracy (percent deviation. DEV%). </w:t>
      </w:r>
      <w:r w:rsidR="001D574E" w:rsidRPr="001220A4">
        <w:rPr>
          <w:rFonts w:asciiTheme="minorHAnsi" w:hAnsiTheme="minorHAnsi" w:cstheme="minorHAnsi"/>
        </w:rPr>
        <w:t xml:space="preserve">This figure has been modified from </w:t>
      </w:r>
      <w:r w:rsidR="001D574E" w:rsidRPr="001D574E">
        <w:rPr>
          <w:rFonts w:asciiTheme="minorHAnsi" w:hAnsiTheme="minorHAnsi" w:cstheme="minorHAnsi"/>
          <w:iCs/>
        </w:rPr>
        <w:t xml:space="preserve">Marin </w:t>
      </w:r>
      <w:r w:rsidR="00B2719E" w:rsidRPr="00B2719E">
        <w:rPr>
          <w:rFonts w:asciiTheme="minorHAnsi" w:hAnsiTheme="minorHAnsi" w:cstheme="minorHAnsi"/>
        </w:rPr>
        <w:t>et al.</w:t>
      </w:r>
      <w:r w:rsidR="001D574E" w:rsidRPr="001D574E">
        <w:rPr>
          <w:rFonts w:asciiTheme="minorHAnsi" w:hAnsiTheme="minorHAnsi" w:cstheme="minorHAnsi"/>
          <w:iCs/>
        </w:rPr>
        <w:t xml:space="preserve"> Acetaminophen absorption and metabolism in an intestine/liver </w:t>
      </w:r>
      <w:r w:rsidR="001D574E" w:rsidRPr="001D574E">
        <w:rPr>
          <w:rFonts w:asciiTheme="minorHAnsi" w:hAnsiTheme="minorHAnsi" w:cstheme="minorHAnsi"/>
          <w:iCs/>
          <w:noProof/>
        </w:rPr>
        <w:t>microphysiological</w:t>
      </w:r>
      <w:r w:rsidR="001D574E" w:rsidRPr="001D574E">
        <w:rPr>
          <w:rFonts w:asciiTheme="minorHAnsi" w:hAnsiTheme="minorHAnsi" w:cstheme="minorHAnsi"/>
          <w:iCs/>
        </w:rPr>
        <w:t xml:space="preserve"> system. </w:t>
      </w:r>
      <w:r w:rsidR="001D574E" w:rsidRPr="001D574E">
        <w:rPr>
          <w:rFonts w:asciiTheme="minorHAnsi" w:hAnsiTheme="minorHAnsi" w:cstheme="minorHAnsi"/>
          <w:i/>
        </w:rPr>
        <w:t>Chem Biol Interact</w:t>
      </w:r>
      <w:r w:rsidR="001D574E" w:rsidRPr="001D574E">
        <w:rPr>
          <w:rFonts w:asciiTheme="minorHAnsi" w:hAnsiTheme="minorHAnsi" w:cstheme="minorHAnsi"/>
          <w:iCs/>
        </w:rPr>
        <w:t xml:space="preserve">. </w:t>
      </w:r>
      <w:r w:rsidR="001D574E" w:rsidRPr="001D574E">
        <w:rPr>
          <w:rFonts w:asciiTheme="minorHAnsi" w:hAnsiTheme="minorHAnsi" w:cstheme="minorHAnsi"/>
          <w:b/>
          <w:bCs/>
          <w:iCs/>
        </w:rPr>
        <w:t>299</w:t>
      </w:r>
      <w:r w:rsidR="001D574E">
        <w:rPr>
          <w:rFonts w:asciiTheme="minorHAnsi" w:hAnsiTheme="minorHAnsi" w:cstheme="minorHAnsi"/>
          <w:iCs/>
        </w:rPr>
        <w:t xml:space="preserve">, </w:t>
      </w:r>
      <w:r w:rsidR="001D574E" w:rsidRPr="001D574E">
        <w:rPr>
          <w:rFonts w:asciiTheme="minorHAnsi" w:hAnsiTheme="minorHAnsi" w:cstheme="minorHAnsi"/>
          <w:iCs/>
        </w:rPr>
        <w:t>59-76</w:t>
      </w:r>
      <w:r w:rsidR="001D574E">
        <w:rPr>
          <w:rFonts w:asciiTheme="minorHAnsi" w:hAnsiTheme="minorHAnsi" w:cstheme="minorHAnsi"/>
          <w:iCs/>
        </w:rPr>
        <w:t xml:space="preserve"> (2019).</w:t>
      </w:r>
    </w:p>
    <w:p w14:paraId="6BCE9540" w14:textId="77777777" w:rsidR="001D574E" w:rsidRPr="001220A4" w:rsidRDefault="001D574E" w:rsidP="0054535F">
      <w:pPr>
        <w:pStyle w:val="BodyText"/>
        <w:ind w:right="4"/>
        <w:contextualSpacing/>
        <w:rPr>
          <w:rFonts w:asciiTheme="minorHAnsi" w:hAnsiTheme="minorHAnsi" w:cstheme="minorHAnsi"/>
          <w:i/>
          <w:lang w:val="en-GB"/>
        </w:rPr>
      </w:pPr>
    </w:p>
    <w:p w14:paraId="67FAA0FB" w14:textId="77777777" w:rsidR="008400D8" w:rsidRPr="001220A4" w:rsidRDefault="008400D8" w:rsidP="0054535F">
      <w:pPr>
        <w:pStyle w:val="BodyText"/>
        <w:ind w:right="4"/>
        <w:contextualSpacing/>
        <w:rPr>
          <w:rFonts w:asciiTheme="minorHAnsi" w:hAnsiTheme="minorHAnsi" w:cstheme="minorHAnsi"/>
          <w:i/>
          <w:lang w:val="en-GB"/>
        </w:rPr>
      </w:pPr>
      <w:r w:rsidRPr="001220A4">
        <w:rPr>
          <w:rFonts w:asciiTheme="minorHAnsi" w:hAnsiTheme="minorHAnsi" w:cstheme="minorHAnsi"/>
          <w:b/>
        </w:rPr>
        <w:t>Table 5.</w:t>
      </w:r>
      <w:r w:rsidRPr="001220A4">
        <w:rPr>
          <w:rFonts w:asciiTheme="minorHAnsi" w:hAnsiTheme="minorHAnsi" w:cstheme="minorHAnsi"/>
        </w:rPr>
        <w:t xml:space="preserve"> </w:t>
      </w:r>
      <w:r w:rsidRPr="001D574E">
        <w:rPr>
          <w:rFonts w:asciiTheme="minorHAnsi" w:hAnsiTheme="minorHAnsi" w:cstheme="minorHAnsi"/>
          <w:b/>
          <w:bCs/>
        </w:rPr>
        <w:t>Real-time qPCR primers to evaluate gene transcription at mRNA level in the 2-OC cultures for intestine and liver tissues</w:t>
      </w:r>
    </w:p>
    <w:p w14:paraId="76D5F850" w14:textId="77777777" w:rsidR="008400D8" w:rsidRPr="001220A4" w:rsidRDefault="008400D8" w:rsidP="0054535F">
      <w:pPr>
        <w:ind w:right="4"/>
        <w:contextualSpacing/>
        <w:rPr>
          <w:rFonts w:asciiTheme="minorHAnsi" w:hAnsiTheme="minorHAnsi" w:cstheme="minorHAnsi"/>
        </w:rPr>
      </w:pPr>
    </w:p>
    <w:p w14:paraId="5D7F3FC5" w14:textId="768DE264" w:rsidR="008E4055" w:rsidRPr="001220A4" w:rsidRDefault="006305D7" w:rsidP="0054535F">
      <w:pPr>
        <w:ind w:right="4"/>
        <w:contextualSpacing/>
        <w:rPr>
          <w:rFonts w:asciiTheme="minorHAnsi" w:hAnsiTheme="minorHAnsi" w:cstheme="minorHAnsi"/>
          <w:b/>
          <w:bCs/>
        </w:rPr>
      </w:pPr>
      <w:r w:rsidRPr="001220A4">
        <w:rPr>
          <w:rFonts w:asciiTheme="minorHAnsi" w:hAnsiTheme="minorHAnsi" w:cstheme="minorHAnsi"/>
          <w:b/>
        </w:rPr>
        <w:t>DISCUSSION</w:t>
      </w:r>
      <w:r w:rsidRPr="001220A4">
        <w:rPr>
          <w:rFonts w:asciiTheme="minorHAnsi" w:hAnsiTheme="minorHAnsi" w:cstheme="minorHAnsi"/>
          <w:b/>
          <w:bCs/>
        </w:rPr>
        <w:t xml:space="preserve">: </w:t>
      </w:r>
    </w:p>
    <w:p w14:paraId="4F539DAC" w14:textId="25D257BF" w:rsidR="00C260CF" w:rsidRDefault="00C260CF" w:rsidP="0054535F">
      <w:pPr>
        <w:ind w:right="4"/>
        <w:contextualSpacing/>
        <w:rPr>
          <w:rFonts w:asciiTheme="minorHAnsi" w:hAnsiTheme="minorHAnsi" w:cstheme="minorHAnsi"/>
          <w:color w:val="auto"/>
        </w:rPr>
      </w:pPr>
      <w:r w:rsidRPr="001220A4">
        <w:rPr>
          <w:rFonts w:asciiTheme="minorHAnsi" w:hAnsiTheme="minorHAnsi" w:cstheme="minorHAnsi"/>
          <w:color w:val="auto"/>
        </w:rPr>
        <w:t xml:space="preserve">The accurate and reliable assessment of the pharmacologic properties of investigative new drugs is critical for reducing the risk </w:t>
      </w:r>
      <w:r w:rsidR="00211B92" w:rsidRPr="001220A4">
        <w:rPr>
          <w:rFonts w:asciiTheme="minorHAnsi" w:hAnsiTheme="minorHAnsi" w:cstheme="minorHAnsi"/>
          <w:color w:val="auto"/>
        </w:rPr>
        <w:t>in</w:t>
      </w:r>
      <w:r w:rsidRPr="001220A4">
        <w:rPr>
          <w:rFonts w:asciiTheme="minorHAnsi" w:hAnsiTheme="minorHAnsi" w:cstheme="minorHAnsi"/>
          <w:color w:val="auto"/>
        </w:rPr>
        <w:t xml:space="preserve"> the following development steps. The MPS is a relatively new technology, that aims at improving the predictive power and reducing the costs and time spent with preclinical tests. Our group is advancing in the </w:t>
      </w:r>
      <w:r w:rsidR="00211B92" w:rsidRPr="001220A4">
        <w:rPr>
          <w:rFonts w:asciiTheme="minorHAnsi" w:hAnsiTheme="minorHAnsi" w:cstheme="minorHAnsi"/>
          <w:color w:val="auto"/>
        </w:rPr>
        <w:t>assessment</w:t>
      </w:r>
      <w:r w:rsidRPr="001220A4">
        <w:rPr>
          <w:rFonts w:asciiTheme="minorHAnsi" w:hAnsiTheme="minorHAnsi" w:cstheme="minorHAnsi"/>
          <w:color w:val="auto"/>
        </w:rPr>
        <w:t xml:space="preserve"> of pharmacokinetic and </w:t>
      </w:r>
      <w:r w:rsidR="000D3BE6" w:rsidRPr="001220A4">
        <w:rPr>
          <w:rFonts w:asciiTheme="minorHAnsi" w:hAnsiTheme="minorHAnsi" w:cstheme="minorHAnsi"/>
          <w:color w:val="auto"/>
        </w:rPr>
        <w:t>toxicological</w:t>
      </w:r>
      <w:r w:rsidRPr="001220A4">
        <w:rPr>
          <w:rFonts w:asciiTheme="minorHAnsi" w:hAnsiTheme="minorHAnsi" w:cstheme="minorHAnsi"/>
          <w:color w:val="auto"/>
        </w:rPr>
        <w:t xml:space="preserve"> properties mostly needed for lead optimization. We worked with the 2-OC</w:t>
      </w:r>
      <w:r w:rsidR="008E4F90">
        <w:rPr>
          <w:rFonts w:asciiTheme="minorHAnsi" w:hAnsiTheme="minorHAnsi" w:cstheme="minorHAnsi"/>
          <w:color w:val="auto"/>
        </w:rPr>
        <w:t xml:space="preserve"> </w:t>
      </w:r>
      <w:r w:rsidR="00942AB2" w:rsidRPr="001220A4">
        <w:rPr>
          <w:rFonts w:asciiTheme="minorHAnsi" w:hAnsiTheme="minorHAnsi" w:cstheme="minorHAnsi"/>
          <w:color w:val="auto"/>
        </w:rPr>
        <w:t xml:space="preserve">microfluidic </w:t>
      </w:r>
      <w:r w:rsidRPr="001220A4">
        <w:rPr>
          <w:rFonts w:asciiTheme="minorHAnsi" w:hAnsiTheme="minorHAnsi" w:cstheme="minorHAnsi"/>
          <w:color w:val="auto"/>
        </w:rPr>
        <w:t xml:space="preserve">device, </w:t>
      </w:r>
      <w:r w:rsidR="003308A7" w:rsidRPr="001220A4">
        <w:rPr>
          <w:rFonts w:asciiTheme="minorHAnsi" w:hAnsiTheme="minorHAnsi" w:cstheme="minorHAnsi"/>
          <w:color w:val="auto"/>
        </w:rPr>
        <w:t>which</w:t>
      </w:r>
      <w:r w:rsidRPr="001220A4">
        <w:rPr>
          <w:rFonts w:asciiTheme="minorHAnsi" w:hAnsiTheme="minorHAnsi" w:cstheme="minorHAnsi"/>
          <w:color w:val="auto"/>
        </w:rPr>
        <w:t xml:space="preserve"> has two chambers, allowing </w:t>
      </w:r>
      <w:r w:rsidR="003308A7" w:rsidRPr="001220A4">
        <w:rPr>
          <w:rFonts w:asciiTheme="minorHAnsi" w:hAnsiTheme="minorHAnsi" w:cstheme="minorHAnsi"/>
          <w:color w:val="auto"/>
        </w:rPr>
        <w:t xml:space="preserve">the </w:t>
      </w:r>
      <w:r w:rsidRPr="001220A4">
        <w:rPr>
          <w:rFonts w:asciiTheme="minorHAnsi" w:hAnsiTheme="minorHAnsi" w:cstheme="minorHAnsi"/>
          <w:color w:val="auto"/>
        </w:rPr>
        <w:t xml:space="preserve">integration of two organoids. APAP was chosen because it has plenty of high-quality human data, is mostly metabolized by the liver, </w:t>
      </w:r>
      <w:proofErr w:type="gramStart"/>
      <w:r w:rsidRPr="001220A4">
        <w:rPr>
          <w:rFonts w:asciiTheme="minorHAnsi" w:hAnsiTheme="minorHAnsi" w:cstheme="minorHAnsi"/>
          <w:color w:val="auto"/>
        </w:rPr>
        <w:t>and also</w:t>
      </w:r>
      <w:proofErr w:type="gramEnd"/>
      <w:r w:rsidRPr="001220A4">
        <w:rPr>
          <w:rFonts w:asciiTheme="minorHAnsi" w:hAnsiTheme="minorHAnsi" w:cstheme="minorHAnsi"/>
          <w:color w:val="auto"/>
        </w:rPr>
        <w:t xml:space="preserve"> displays hepatotoxic properties.</w:t>
      </w:r>
      <w:r w:rsidR="00942AB2" w:rsidRPr="001220A4">
        <w:rPr>
          <w:rFonts w:asciiTheme="minorHAnsi" w:hAnsiTheme="minorHAnsi" w:cstheme="minorHAnsi"/>
          <w:color w:val="auto"/>
        </w:rPr>
        <w:t xml:space="preserve"> </w:t>
      </w:r>
      <w:r w:rsidR="001D574E">
        <w:rPr>
          <w:rFonts w:asciiTheme="minorHAnsi" w:hAnsiTheme="minorHAnsi" w:cstheme="minorHAnsi"/>
          <w:color w:val="auto"/>
        </w:rPr>
        <w:t>The</w:t>
      </w:r>
      <w:r w:rsidRPr="001220A4">
        <w:rPr>
          <w:rFonts w:asciiTheme="minorHAnsi" w:hAnsiTheme="minorHAnsi" w:cstheme="minorHAnsi"/>
          <w:color w:val="auto"/>
        </w:rPr>
        <w:t xml:space="preserve"> study protocol </w:t>
      </w:r>
      <w:r w:rsidR="001D734C" w:rsidRPr="001220A4">
        <w:rPr>
          <w:rFonts w:asciiTheme="minorHAnsi" w:hAnsiTheme="minorHAnsi" w:cstheme="minorHAnsi"/>
          <w:color w:val="auto"/>
        </w:rPr>
        <w:t>aimed to emulate some steps of</w:t>
      </w:r>
      <w:r w:rsidRPr="001220A4">
        <w:rPr>
          <w:rFonts w:asciiTheme="minorHAnsi" w:hAnsiTheme="minorHAnsi" w:cstheme="minorHAnsi"/>
          <w:color w:val="auto"/>
        </w:rPr>
        <w:t xml:space="preserve"> </w:t>
      </w:r>
      <w:r w:rsidR="001D734C" w:rsidRPr="001220A4">
        <w:rPr>
          <w:rFonts w:asciiTheme="minorHAnsi" w:hAnsiTheme="minorHAnsi" w:cstheme="minorHAnsi"/>
          <w:color w:val="auto"/>
        </w:rPr>
        <w:t>the</w:t>
      </w:r>
      <w:r w:rsidRPr="001220A4">
        <w:rPr>
          <w:rFonts w:asciiTheme="minorHAnsi" w:hAnsiTheme="minorHAnsi" w:cstheme="minorHAnsi"/>
          <w:color w:val="auto"/>
        </w:rPr>
        <w:t xml:space="preserve"> human phase I clinical trial, where a drug is administered orally to volunteers, and periodic blood samples are drawn to assess the drugs’ concentration to know the pharmacokinetic properties and biochemical and clinical parameters are collected to assess the safety and tolerability. Therefore, when the MPS evolves enough to provide reliable predictions, it will significantly </w:t>
      </w:r>
      <w:r w:rsidRPr="001220A4">
        <w:rPr>
          <w:rFonts w:asciiTheme="minorHAnsi" w:hAnsiTheme="minorHAnsi" w:cstheme="minorHAnsi"/>
          <w:color w:val="auto"/>
        </w:rPr>
        <w:lastRenderedPageBreak/>
        <w:t>reduce the risk of failure in the phase I trial. By adding the disease models</w:t>
      </w:r>
      <w:r w:rsidR="001D734C" w:rsidRPr="001220A4">
        <w:rPr>
          <w:rFonts w:asciiTheme="minorHAnsi" w:hAnsiTheme="minorHAnsi" w:cstheme="minorHAnsi"/>
          <w:color w:val="auto"/>
        </w:rPr>
        <w:t xml:space="preserve"> in the future</w:t>
      </w:r>
      <w:r w:rsidRPr="001220A4">
        <w:rPr>
          <w:rFonts w:asciiTheme="minorHAnsi" w:hAnsiTheme="minorHAnsi" w:cstheme="minorHAnsi"/>
          <w:color w:val="auto"/>
        </w:rPr>
        <w:t>, the same assumption</w:t>
      </w:r>
      <w:r w:rsidR="001D734C" w:rsidRPr="001220A4">
        <w:rPr>
          <w:rFonts w:asciiTheme="minorHAnsi" w:hAnsiTheme="minorHAnsi" w:cstheme="minorHAnsi"/>
          <w:color w:val="auto"/>
        </w:rPr>
        <w:t xml:space="preserve"> possibly</w:t>
      </w:r>
      <w:r w:rsidRPr="001220A4">
        <w:rPr>
          <w:rFonts w:asciiTheme="minorHAnsi" w:hAnsiTheme="minorHAnsi" w:cstheme="minorHAnsi"/>
          <w:color w:val="auto"/>
        </w:rPr>
        <w:t xml:space="preserve"> will apply to the phases II and III clinical trials. </w:t>
      </w:r>
    </w:p>
    <w:p w14:paraId="74E0DCCF" w14:textId="77777777" w:rsidR="007679BB" w:rsidRPr="001220A4" w:rsidRDefault="007679BB" w:rsidP="0054535F">
      <w:pPr>
        <w:ind w:right="4"/>
        <w:contextualSpacing/>
        <w:rPr>
          <w:rFonts w:asciiTheme="minorHAnsi" w:hAnsiTheme="minorHAnsi" w:cstheme="minorHAnsi"/>
          <w:color w:val="auto"/>
        </w:rPr>
      </w:pPr>
    </w:p>
    <w:p w14:paraId="3AA292DA" w14:textId="5EB78761" w:rsidR="00C260CF" w:rsidRDefault="00C260CF" w:rsidP="0054535F">
      <w:pPr>
        <w:ind w:right="4"/>
        <w:contextualSpacing/>
        <w:rPr>
          <w:rFonts w:asciiTheme="minorHAnsi" w:hAnsiTheme="minorHAnsi" w:cstheme="minorHAnsi"/>
          <w:color w:val="auto"/>
        </w:rPr>
      </w:pPr>
      <w:r w:rsidRPr="001220A4">
        <w:rPr>
          <w:rFonts w:asciiTheme="minorHAnsi" w:hAnsiTheme="minorHAnsi" w:cstheme="minorHAnsi"/>
          <w:color w:val="auto"/>
        </w:rPr>
        <w:t>All studies were performed in three models: Intestine 2-OC (APAP oral administration), Liver 2-OC (Intravenous administration)</w:t>
      </w:r>
      <w:r w:rsidR="00211B92" w:rsidRPr="001220A4">
        <w:rPr>
          <w:rFonts w:asciiTheme="minorHAnsi" w:hAnsiTheme="minorHAnsi" w:cstheme="minorHAnsi"/>
          <w:color w:val="auto"/>
        </w:rPr>
        <w:t>,</w:t>
      </w:r>
      <w:r w:rsidRPr="001220A4">
        <w:rPr>
          <w:rFonts w:asciiTheme="minorHAnsi" w:hAnsiTheme="minorHAnsi" w:cstheme="minorHAnsi"/>
          <w:color w:val="auto"/>
        </w:rPr>
        <w:t xml:space="preserve"> and Intestine/Liver 2-OC (oral administration). The first model isolate</w:t>
      </w:r>
      <w:r w:rsidR="00211B92" w:rsidRPr="001220A4">
        <w:rPr>
          <w:rFonts w:asciiTheme="minorHAnsi" w:hAnsiTheme="minorHAnsi" w:cstheme="minorHAnsi"/>
          <w:color w:val="auto"/>
        </w:rPr>
        <w:t>d</w:t>
      </w:r>
      <w:r w:rsidRPr="001220A4">
        <w:rPr>
          <w:rFonts w:asciiTheme="minorHAnsi" w:hAnsiTheme="minorHAnsi" w:cstheme="minorHAnsi"/>
          <w:color w:val="auto"/>
        </w:rPr>
        <w:t xml:space="preserve"> the absorption, the second the metabolism</w:t>
      </w:r>
      <w:r w:rsidR="003308A7" w:rsidRPr="001220A4">
        <w:rPr>
          <w:rFonts w:asciiTheme="minorHAnsi" w:hAnsiTheme="minorHAnsi" w:cstheme="minorHAnsi"/>
          <w:color w:val="auto"/>
        </w:rPr>
        <w:t>,</w:t>
      </w:r>
      <w:r w:rsidRPr="001220A4">
        <w:rPr>
          <w:rFonts w:asciiTheme="minorHAnsi" w:hAnsiTheme="minorHAnsi" w:cstheme="minorHAnsi"/>
          <w:color w:val="auto"/>
        </w:rPr>
        <w:t xml:space="preserve"> and the third integrate</w:t>
      </w:r>
      <w:r w:rsidR="00211B92" w:rsidRPr="001220A4">
        <w:rPr>
          <w:rFonts w:asciiTheme="minorHAnsi" w:hAnsiTheme="minorHAnsi" w:cstheme="minorHAnsi"/>
          <w:color w:val="auto"/>
        </w:rPr>
        <w:t>d</w:t>
      </w:r>
      <w:r w:rsidRPr="001220A4">
        <w:rPr>
          <w:rFonts w:asciiTheme="minorHAnsi" w:hAnsiTheme="minorHAnsi" w:cstheme="minorHAnsi"/>
          <w:color w:val="auto"/>
        </w:rPr>
        <w:t xml:space="preserve"> both</w:t>
      </w:r>
      <w:r w:rsidR="00211B92" w:rsidRPr="001220A4">
        <w:rPr>
          <w:rFonts w:asciiTheme="minorHAnsi" w:hAnsiTheme="minorHAnsi" w:cstheme="minorHAnsi"/>
          <w:color w:val="auto"/>
        </w:rPr>
        <w:t>.</w:t>
      </w:r>
      <w:r w:rsidR="00942AB2" w:rsidRPr="001220A4">
        <w:rPr>
          <w:rFonts w:asciiTheme="minorHAnsi" w:hAnsiTheme="minorHAnsi" w:cstheme="minorHAnsi"/>
          <w:color w:val="auto"/>
        </w:rPr>
        <w:t xml:space="preserve"> </w:t>
      </w:r>
      <w:r w:rsidR="00211B92" w:rsidRPr="001220A4">
        <w:rPr>
          <w:rFonts w:asciiTheme="minorHAnsi" w:hAnsiTheme="minorHAnsi" w:cstheme="minorHAnsi"/>
          <w:color w:val="auto"/>
        </w:rPr>
        <w:t>We</w:t>
      </w:r>
      <w:r w:rsidRPr="001220A4">
        <w:rPr>
          <w:rFonts w:asciiTheme="minorHAnsi" w:hAnsiTheme="minorHAnsi" w:cstheme="minorHAnsi"/>
          <w:color w:val="auto"/>
        </w:rPr>
        <w:t xml:space="preserve"> first produced the organoids and incorporated into the microfluidic device, second administered the APAP and collected the media samples, and last performed a set of tests to assess the cell viability and functionality and the toxicological impact of APAP exposure. For the pharmacokinetic studies, we developed and validated a chromatographic method for </w:t>
      </w:r>
      <w:r w:rsidR="00211B92" w:rsidRPr="001220A4">
        <w:rPr>
          <w:rFonts w:asciiTheme="minorHAnsi" w:hAnsiTheme="minorHAnsi" w:cstheme="minorHAnsi"/>
          <w:color w:val="auto"/>
        </w:rPr>
        <w:t xml:space="preserve">APAP </w:t>
      </w:r>
      <w:r w:rsidRPr="001220A4">
        <w:rPr>
          <w:rFonts w:asciiTheme="minorHAnsi" w:hAnsiTheme="minorHAnsi" w:cstheme="minorHAnsi"/>
          <w:color w:val="auto"/>
        </w:rPr>
        <w:t>quantification in the medium. The validation complie</w:t>
      </w:r>
      <w:r w:rsidR="00211B92" w:rsidRPr="001220A4">
        <w:rPr>
          <w:rFonts w:asciiTheme="minorHAnsi" w:hAnsiTheme="minorHAnsi" w:cstheme="minorHAnsi"/>
          <w:color w:val="auto"/>
        </w:rPr>
        <w:t>d</w:t>
      </w:r>
      <w:r w:rsidRPr="001220A4">
        <w:rPr>
          <w:rFonts w:asciiTheme="minorHAnsi" w:hAnsiTheme="minorHAnsi" w:cstheme="minorHAnsi"/>
          <w:color w:val="auto"/>
        </w:rPr>
        <w:t xml:space="preserve"> with the Guideline on Bioanalytical Method Validation regarding specificity, linearity, the limit of quantification (LOQ), the limit of detection (LOD), matrix effect, precision, and accuracy, as outlined by FDA</w:t>
      </w:r>
      <w:r w:rsidR="000D3BE6" w:rsidRPr="001220A4">
        <w:rPr>
          <w:rFonts w:asciiTheme="minorHAnsi" w:hAnsiTheme="minorHAnsi" w:cstheme="minorHAnsi"/>
          <w:color w:val="auto"/>
        </w:rPr>
        <w:fldChar w:fldCharType="begin" w:fldLock="1"/>
      </w:r>
      <w:r w:rsidR="00DE664D" w:rsidRPr="001220A4">
        <w:rPr>
          <w:rFonts w:asciiTheme="minorHAnsi" w:hAnsiTheme="minorHAnsi" w:cstheme="minorHAnsi"/>
          <w:color w:val="auto"/>
        </w:rPr>
        <w:instrText>ADDIN CSL_CITATION {"citationItems":[{"id":"ITEM-1","itemData":{"DOI":"http://www.labcompliance.de/documents/FDA/FDA-Others/Laboratory/f-507-bioanalytical-4252fnl.pdf","ISBN":"3017961508","ISSN":"2229-4708","PMID":"18929516","abstract":"This guidance provides assistance to sponsors of investigational new drug applications (INDs), new drug applications (NDAs), abbreviated new drug applications (ANDAs), and supplements in developing bioanalytical method validation information used in human clinical pharmacology, bioavailability (BA), and bioequivalence (BE) studies requiring pharmacokinetic (PK) evaluation. This guidance also applies to bioanalytical methods used for non-human pharmacology/toxicology studies and preclinical studies.","author":[{"dropping-particle":"","family":"FDA","given":"Food and Drug Administration","non-dropping-particle":"","parse-names":false,"suffix":""},{"dropping-particle":"","family":"Food and Drug Administration","given":"","non-dropping-particle":"","parse-names":false,"suffix":""}],"container-title":"U.S. Department of Health and Human Services","id":"ITEM-1","issued":{"date-parts":[["2013"]]},"title":"Guidance for Industry: Bioanalytical method validation.","type":"book"},"uris":["http://www.mendeley.com/documents/?uuid=c82bea47-d797-3038-bc08-56a5e6e3b41b"]},{"id":"ITEM-2","itemData":{"DOI":"10.1023/A:1007669411738","ISBN":"0724-8741","ISSN":"0724-8741","PMID":"11303967","abstract":"This report is a synthesis of (1) the earlier conference on Analytical Methods Validation−Bioavailability, Bioequiva- lence and Pharmacokinetic Studies (Conference held in Ar- lington, VA, December 3–5, 1990 and the report published in Pharmaceutical Research, 9: 588-592, 1992) and (2) the work- shop on “Bioanalytical Methods Validation—ARevisit with a Decade of Progress,” (Workshop held in Arlington, VA, January 12–14, 2000), sponsored by the American Associa- tion of Pharmaceutical Scientists and the U. S. Food and Drug Administration. The bioanalytical method validation work- shop of January 12–14, 2000 was directed towards small mol- ecules. A separate workshop was held in March 1–3, 2000 to discuss validation principles for macromolecules. The pur- pose of this report is to represent the progress in analytical methodologies over the last decade and assessment of the major agreements and issues discussed with regard to small molecules at both the conference and the workshop. The re- port is also intended to provide guiding principles for valida- tion of bioanalytical methods employed in support of bio- availability, bioequivalence, and pharmacokinetic studies in man and in animals.","author":[{"dropping-particle":"","family":"Shah","given":"V P","non-dropping-particle":"","parse-names":false,"suffix":""},{"dropping-particle":"","family":"Midha","given":"K K","non-dropping-particle":"","parse-names":false,"suffix":""},{"dropping-particle":"","family":"Findlay","given":"J W","non-dropping-particle":"","parse-names":false,"suffix":""},{"dropping-particle":"","family":"Hill","given":"H M","non-dropping-particle":"","parse-names":false,"suffix":""},{"dropping-particle":"","family":"Hulse","given":"J D","non-dropping-particle":"","parse-names":false,"suffix":""},{"dropping-particle":"","family":"McGilveray","given":"I J","non-dropping-particle":"","parse-names":false,"suffix":""},{"dropping-particle":"","family":"McKay","given":"G","non-dropping-particle":"","parse-names":false,"suffix":""},{"dropping-particle":"","family":"Miller","given":"K J","non-dropping-particle":"","parse-names":false,"suffix":""},{"dropping-particle":"","family":"Patnaik","given":"R N","non-dropping-particle":"","parse-names":false,"suffix":""},{"dropping-particle":"","family":"Powell","given":"M L","non-dropping-particle":"","parse-names":false,"suffix":""},{"dropping-particle":"","family":"Tonelli","given":"A","non-dropping-particle":"","parse-names":false,"suffix":""},{"dropping-particle":"","family":"Viswanathan","given":"C T","non-dropping-particle":"","parse-names":false,"suffix":""},{"dropping-particle":"","family":"Yacobi","given":"A","non-dropping-particle":"","parse-names":false,"suffix":""}],"container-title":"Pharmaceutical research","id":"ITEM-2","issue":"12","issued":{"date-parts":[["2000"]]},"page":"1551-1557","title":"Bioanalytical method validation-a revisit with a decade of progress.","type":"article-journal","volume":"17"},"uris":["http://www.mendeley.com/documents/?uuid=e91cdf39-a70d-3f7b-9f06-10c4404eccef"]}],"mendeley":{"formattedCitation":"&lt;sup&gt;29, 30&lt;/sup&gt;","plainTextFormattedCitation":"29, 30","previouslyFormattedCitation":"&lt;sup&gt;29, 30&lt;/sup&gt;"},"properties":{"noteIndex":0},"schema":"https://github.com/citation-style-language/schema/raw/master/csl-citation.json"}</w:instrText>
      </w:r>
      <w:r w:rsidR="000D3BE6" w:rsidRPr="001220A4">
        <w:rPr>
          <w:rFonts w:asciiTheme="minorHAnsi" w:hAnsiTheme="minorHAnsi" w:cstheme="minorHAnsi"/>
          <w:color w:val="auto"/>
        </w:rPr>
        <w:fldChar w:fldCharType="separate"/>
      </w:r>
      <w:r w:rsidR="0077280B" w:rsidRPr="001220A4">
        <w:rPr>
          <w:rFonts w:asciiTheme="minorHAnsi" w:hAnsiTheme="minorHAnsi" w:cstheme="minorHAnsi"/>
          <w:noProof/>
          <w:color w:val="auto"/>
          <w:vertAlign w:val="superscript"/>
        </w:rPr>
        <w:t>29,30</w:t>
      </w:r>
      <w:r w:rsidR="000D3BE6" w:rsidRPr="001220A4">
        <w:rPr>
          <w:rFonts w:asciiTheme="minorHAnsi" w:hAnsiTheme="minorHAnsi" w:cstheme="minorHAnsi"/>
          <w:color w:val="auto"/>
        </w:rPr>
        <w:fldChar w:fldCharType="end"/>
      </w:r>
      <w:r w:rsidRPr="001220A4">
        <w:rPr>
          <w:rFonts w:asciiTheme="minorHAnsi" w:hAnsiTheme="minorHAnsi" w:cstheme="minorHAnsi"/>
          <w:color w:val="auto"/>
        </w:rPr>
        <w:t>. The specificity was established with blank, pooled, and individual biological samples from two different sources. The method performed acceptably during the analysis, and the data confirm</w:t>
      </w:r>
      <w:r w:rsidR="00211B92" w:rsidRPr="001220A4">
        <w:rPr>
          <w:rFonts w:asciiTheme="minorHAnsi" w:hAnsiTheme="minorHAnsi" w:cstheme="minorHAnsi"/>
          <w:color w:val="auto"/>
        </w:rPr>
        <w:t>ed</w:t>
      </w:r>
      <w:r w:rsidRPr="001220A4">
        <w:rPr>
          <w:rFonts w:asciiTheme="minorHAnsi" w:hAnsiTheme="minorHAnsi" w:cstheme="minorHAnsi"/>
          <w:color w:val="auto"/>
        </w:rPr>
        <w:t xml:space="preserve"> the ability of </w:t>
      </w:r>
      <w:r w:rsidR="003308A7" w:rsidRPr="001220A4">
        <w:rPr>
          <w:rFonts w:asciiTheme="minorHAnsi" w:hAnsiTheme="minorHAnsi" w:cstheme="minorHAnsi"/>
          <w:color w:val="auto"/>
        </w:rPr>
        <w:t xml:space="preserve">a </w:t>
      </w:r>
      <w:r w:rsidRPr="001220A4">
        <w:rPr>
          <w:rFonts w:asciiTheme="minorHAnsi" w:hAnsiTheme="minorHAnsi" w:cstheme="minorHAnsi"/>
          <w:color w:val="auto"/>
        </w:rPr>
        <w:t xml:space="preserve">simple isocratic mobile phase to separate and quantify APAP. </w:t>
      </w:r>
    </w:p>
    <w:p w14:paraId="6669203C" w14:textId="77777777" w:rsidR="007679BB" w:rsidRPr="001220A4" w:rsidRDefault="007679BB" w:rsidP="0054535F">
      <w:pPr>
        <w:ind w:right="4"/>
        <w:contextualSpacing/>
        <w:rPr>
          <w:rFonts w:asciiTheme="minorHAnsi" w:hAnsiTheme="minorHAnsi" w:cstheme="minorHAnsi"/>
          <w:color w:val="auto"/>
        </w:rPr>
      </w:pPr>
    </w:p>
    <w:p w14:paraId="376C2AF6" w14:textId="7C2AE65B" w:rsidR="00C260CF" w:rsidRDefault="00C260CF" w:rsidP="0054535F">
      <w:pPr>
        <w:ind w:right="4"/>
        <w:contextualSpacing/>
        <w:rPr>
          <w:rFonts w:asciiTheme="minorHAnsi" w:hAnsiTheme="minorHAnsi" w:cstheme="minorHAnsi"/>
          <w:color w:val="auto"/>
        </w:rPr>
      </w:pPr>
      <w:r w:rsidRPr="001220A4">
        <w:rPr>
          <w:rFonts w:asciiTheme="minorHAnsi" w:hAnsiTheme="minorHAnsi" w:cstheme="minorHAnsi"/>
          <w:color w:val="auto"/>
        </w:rPr>
        <w:t xml:space="preserve">The viability/functionally of the intestine and liver organoids </w:t>
      </w:r>
      <w:r w:rsidR="00AF5EE5" w:rsidRPr="001220A4">
        <w:rPr>
          <w:rFonts w:asciiTheme="minorHAnsi" w:hAnsiTheme="minorHAnsi" w:cstheme="minorHAnsi"/>
          <w:color w:val="auto"/>
        </w:rPr>
        <w:t>was assessed by different techniques</w:t>
      </w:r>
      <w:r w:rsidRPr="001220A4">
        <w:rPr>
          <w:rFonts w:asciiTheme="minorHAnsi" w:hAnsiTheme="minorHAnsi" w:cstheme="minorHAnsi"/>
          <w:color w:val="auto"/>
        </w:rPr>
        <w:t>.</w:t>
      </w:r>
      <w:r w:rsidR="00AF5EE5" w:rsidRPr="001220A4">
        <w:rPr>
          <w:rFonts w:asciiTheme="minorHAnsi" w:hAnsiTheme="minorHAnsi" w:cstheme="minorHAnsi"/>
          <w:color w:val="auto"/>
        </w:rPr>
        <w:t xml:space="preserve"> For the intestine equivalent,</w:t>
      </w:r>
      <w:r w:rsidRPr="001220A4">
        <w:rPr>
          <w:rFonts w:asciiTheme="minorHAnsi" w:hAnsiTheme="minorHAnsi" w:cstheme="minorHAnsi"/>
          <w:color w:val="auto"/>
        </w:rPr>
        <w:t xml:space="preserve"> </w:t>
      </w:r>
      <w:r w:rsidR="00AF5EE5" w:rsidRPr="001220A4">
        <w:rPr>
          <w:rFonts w:asciiTheme="minorHAnsi" w:hAnsiTheme="minorHAnsi" w:cstheme="minorHAnsi"/>
          <w:color w:val="auto"/>
        </w:rPr>
        <w:t>the confocal fluorescence microscopy (</w:t>
      </w:r>
      <w:r w:rsidR="007679BB" w:rsidRPr="007679BB">
        <w:rPr>
          <w:rFonts w:asciiTheme="minorHAnsi" w:hAnsiTheme="minorHAnsi" w:cstheme="minorHAnsi"/>
          <w:b/>
          <w:bCs/>
          <w:color w:val="auto"/>
        </w:rPr>
        <w:t>Figure</w:t>
      </w:r>
      <w:r w:rsidR="00AF5EE5" w:rsidRPr="007679BB">
        <w:rPr>
          <w:rFonts w:asciiTheme="minorHAnsi" w:hAnsiTheme="minorHAnsi" w:cstheme="minorHAnsi"/>
          <w:b/>
          <w:bCs/>
          <w:color w:val="auto"/>
        </w:rPr>
        <w:t xml:space="preserve"> 2</w:t>
      </w:r>
      <w:r w:rsidR="007679BB">
        <w:rPr>
          <w:rFonts w:asciiTheme="minorHAnsi" w:hAnsiTheme="minorHAnsi" w:cstheme="minorHAnsi"/>
          <w:b/>
          <w:bCs/>
          <w:color w:val="auto"/>
        </w:rPr>
        <w:t>A</w:t>
      </w:r>
      <w:r w:rsidR="00AF5EE5" w:rsidRPr="007679BB">
        <w:rPr>
          <w:rFonts w:asciiTheme="minorHAnsi" w:hAnsiTheme="minorHAnsi" w:cstheme="minorHAnsi"/>
          <w:b/>
          <w:bCs/>
          <w:color w:val="auto"/>
        </w:rPr>
        <w:t>-B</w:t>
      </w:r>
      <w:r w:rsidR="00AF5EE5" w:rsidRPr="001220A4">
        <w:rPr>
          <w:rFonts w:asciiTheme="minorHAnsi" w:hAnsiTheme="minorHAnsi" w:cstheme="minorHAnsi"/>
          <w:color w:val="auto"/>
        </w:rPr>
        <w:t>), the</w:t>
      </w:r>
      <w:r w:rsidRPr="001220A4">
        <w:rPr>
          <w:rFonts w:asciiTheme="minorHAnsi" w:hAnsiTheme="minorHAnsi" w:cstheme="minorHAnsi"/>
          <w:color w:val="auto"/>
        </w:rPr>
        <w:t xml:space="preserve"> MTT assay</w:t>
      </w:r>
      <w:r w:rsidR="00AF5EE5" w:rsidRPr="001220A4">
        <w:rPr>
          <w:rFonts w:asciiTheme="minorHAnsi" w:hAnsiTheme="minorHAnsi" w:cstheme="minorHAnsi"/>
          <w:color w:val="auto"/>
        </w:rPr>
        <w:t xml:space="preserve"> (</w:t>
      </w:r>
      <w:r w:rsidR="007679BB" w:rsidRPr="007679BB">
        <w:rPr>
          <w:rFonts w:asciiTheme="minorHAnsi" w:hAnsiTheme="minorHAnsi" w:cstheme="minorHAnsi"/>
          <w:b/>
          <w:bCs/>
          <w:color w:val="auto"/>
        </w:rPr>
        <w:t>Figure</w:t>
      </w:r>
      <w:r w:rsidR="00AF5EE5" w:rsidRPr="007679BB">
        <w:rPr>
          <w:rFonts w:asciiTheme="minorHAnsi" w:hAnsiTheme="minorHAnsi" w:cstheme="minorHAnsi"/>
          <w:b/>
          <w:bCs/>
          <w:color w:val="auto"/>
        </w:rPr>
        <w:t xml:space="preserve"> 2C</w:t>
      </w:r>
      <w:r w:rsidR="00AF5EE5" w:rsidRPr="001220A4">
        <w:rPr>
          <w:rFonts w:asciiTheme="minorHAnsi" w:hAnsiTheme="minorHAnsi" w:cstheme="minorHAnsi"/>
          <w:color w:val="auto"/>
        </w:rPr>
        <w:t>), gene expression assessment (</w:t>
      </w:r>
      <w:r w:rsidR="007679BB" w:rsidRPr="007679BB">
        <w:rPr>
          <w:rFonts w:asciiTheme="minorHAnsi" w:hAnsiTheme="minorHAnsi" w:cstheme="minorHAnsi"/>
          <w:b/>
          <w:bCs/>
          <w:color w:val="auto"/>
        </w:rPr>
        <w:t>Figure</w:t>
      </w:r>
      <w:r w:rsidR="00AF5EE5" w:rsidRPr="007679BB">
        <w:rPr>
          <w:rFonts w:asciiTheme="minorHAnsi" w:hAnsiTheme="minorHAnsi" w:cstheme="minorHAnsi"/>
          <w:b/>
          <w:bCs/>
          <w:color w:val="auto"/>
        </w:rPr>
        <w:t xml:space="preserve"> 2D-F</w:t>
      </w:r>
      <w:r w:rsidR="00AF5EE5" w:rsidRPr="001220A4">
        <w:rPr>
          <w:rFonts w:asciiTheme="minorHAnsi" w:hAnsiTheme="minorHAnsi" w:cstheme="minorHAnsi"/>
          <w:color w:val="auto"/>
        </w:rPr>
        <w:t xml:space="preserve">) or HCA </w:t>
      </w:r>
      <w:r w:rsidR="00B32875" w:rsidRPr="001220A4">
        <w:rPr>
          <w:rFonts w:asciiTheme="minorHAnsi" w:hAnsiTheme="minorHAnsi" w:cstheme="minorHAnsi"/>
          <w:color w:val="auto"/>
        </w:rPr>
        <w:t>experiment, did</w:t>
      </w:r>
      <w:r w:rsidR="00AF5EE5" w:rsidRPr="001220A4">
        <w:rPr>
          <w:rFonts w:asciiTheme="minorHAnsi" w:hAnsiTheme="minorHAnsi" w:cstheme="minorHAnsi"/>
          <w:color w:val="auto"/>
        </w:rPr>
        <w:t xml:space="preserve"> not</w:t>
      </w:r>
      <w:r w:rsidRPr="001220A4">
        <w:rPr>
          <w:rFonts w:asciiTheme="minorHAnsi" w:hAnsiTheme="minorHAnsi" w:cstheme="minorHAnsi"/>
          <w:color w:val="auto"/>
        </w:rPr>
        <w:t xml:space="preserve"> detect</w:t>
      </w:r>
      <w:r w:rsidR="00AF5EE5" w:rsidRPr="001220A4">
        <w:rPr>
          <w:rFonts w:asciiTheme="minorHAnsi" w:hAnsiTheme="minorHAnsi" w:cstheme="minorHAnsi"/>
          <w:color w:val="auto"/>
        </w:rPr>
        <w:t xml:space="preserve"> any</w:t>
      </w:r>
      <w:r w:rsidRPr="001220A4">
        <w:rPr>
          <w:rFonts w:asciiTheme="minorHAnsi" w:hAnsiTheme="minorHAnsi" w:cstheme="minorHAnsi"/>
          <w:color w:val="auto"/>
        </w:rPr>
        <w:t xml:space="preserve"> </w:t>
      </w:r>
      <w:r w:rsidR="00AF5EE5" w:rsidRPr="001220A4">
        <w:rPr>
          <w:rFonts w:asciiTheme="minorHAnsi" w:hAnsiTheme="minorHAnsi" w:cstheme="minorHAnsi"/>
          <w:color w:val="auto"/>
        </w:rPr>
        <w:t>toxicity 24 h after APAP exposure.</w:t>
      </w:r>
      <w:r w:rsidR="00B32875" w:rsidRPr="001220A4">
        <w:rPr>
          <w:rFonts w:asciiTheme="minorHAnsi" w:hAnsiTheme="minorHAnsi" w:cstheme="minorHAnsi"/>
          <w:color w:val="auto"/>
        </w:rPr>
        <w:t xml:space="preserve"> Likewise</w:t>
      </w:r>
      <w:r w:rsidR="003308A7" w:rsidRPr="001220A4">
        <w:rPr>
          <w:rFonts w:asciiTheme="minorHAnsi" w:hAnsiTheme="minorHAnsi" w:cstheme="minorHAnsi"/>
          <w:color w:val="auto"/>
        </w:rPr>
        <w:t>,</w:t>
      </w:r>
      <w:r w:rsidR="00B32875" w:rsidRPr="001220A4">
        <w:rPr>
          <w:rFonts w:asciiTheme="minorHAnsi" w:hAnsiTheme="minorHAnsi" w:cstheme="minorHAnsi"/>
          <w:color w:val="auto"/>
        </w:rPr>
        <w:t xml:space="preserve"> MTT assay did not detect toxic insults induced by APAP in liver equivalents (</w:t>
      </w:r>
      <w:r w:rsidR="007679BB" w:rsidRPr="007679BB">
        <w:rPr>
          <w:rFonts w:asciiTheme="minorHAnsi" w:hAnsiTheme="minorHAnsi" w:cstheme="minorHAnsi"/>
          <w:b/>
          <w:bCs/>
          <w:color w:val="auto"/>
        </w:rPr>
        <w:t xml:space="preserve">Figure </w:t>
      </w:r>
      <w:r w:rsidR="00B32875" w:rsidRPr="007679BB">
        <w:rPr>
          <w:rFonts w:asciiTheme="minorHAnsi" w:hAnsiTheme="minorHAnsi" w:cstheme="minorHAnsi"/>
          <w:b/>
          <w:bCs/>
          <w:color w:val="auto"/>
        </w:rPr>
        <w:t>3A</w:t>
      </w:r>
      <w:r w:rsidR="00B32875" w:rsidRPr="001220A4">
        <w:rPr>
          <w:rFonts w:asciiTheme="minorHAnsi" w:hAnsiTheme="minorHAnsi" w:cstheme="minorHAnsi"/>
          <w:color w:val="auto"/>
        </w:rPr>
        <w:t>).</w:t>
      </w:r>
      <w:r w:rsidR="00AF5EE5" w:rsidRPr="001220A4">
        <w:rPr>
          <w:rFonts w:asciiTheme="minorHAnsi" w:hAnsiTheme="minorHAnsi" w:cstheme="minorHAnsi"/>
          <w:color w:val="auto"/>
        </w:rPr>
        <w:t xml:space="preserve"> However,</w:t>
      </w:r>
      <w:r w:rsidRPr="001220A4">
        <w:rPr>
          <w:rFonts w:asciiTheme="minorHAnsi" w:hAnsiTheme="minorHAnsi" w:cstheme="minorHAnsi"/>
          <w:color w:val="auto"/>
        </w:rPr>
        <w:t xml:space="preserve"> </w:t>
      </w:r>
      <w:r w:rsidR="00AF5EE5" w:rsidRPr="001220A4">
        <w:rPr>
          <w:rFonts w:asciiTheme="minorHAnsi" w:hAnsiTheme="minorHAnsi" w:cstheme="minorHAnsi"/>
          <w:color w:val="auto"/>
        </w:rPr>
        <w:t>t</w:t>
      </w:r>
      <w:r w:rsidRPr="001220A4">
        <w:rPr>
          <w:rFonts w:asciiTheme="minorHAnsi" w:hAnsiTheme="minorHAnsi" w:cstheme="minorHAnsi"/>
          <w:color w:val="auto"/>
        </w:rPr>
        <w:t xml:space="preserve">he HCA </w:t>
      </w:r>
      <w:r w:rsidR="00AF5EE5" w:rsidRPr="001220A4">
        <w:rPr>
          <w:rFonts w:asciiTheme="minorHAnsi" w:hAnsiTheme="minorHAnsi" w:cstheme="minorHAnsi"/>
          <w:color w:val="auto"/>
        </w:rPr>
        <w:t xml:space="preserve">technique </w:t>
      </w:r>
      <w:r w:rsidRPr="001220A4">
        <w:rPr>
          <w:rFonts w:asciiTheme="minorHAnsi" w:hAnsiTheme="minorHAnsi" w:cstheme="minorHAnsi"/>
          <w:color w:val="auto"/>
        </w:rPr>
        <w:t>added the possibility of detection</w:t>
      </w:r>
      <w:r w:rsidR="00B32875" w:rsidRPr="001220A4">
        <w:rPr>
          <w:rFonts w:asciiTheme="minorHAnsi" w:hAnsiTheme="minorHAnsi" w:cstheme="minorHAnsi"/>
          <w:color w:val="auto"/>
        </w:rPr>
        <w:t xml:space="preserve"> of very</w:t>
      </w:r>
      <w:r w:rsidRPr="001220A4">
        <w:rPr>
          <w:rFonts w:asciiTheme="minorHAnsi" w:hAnsiTheme="minorHAnsi" w:cstheme="minorHAnsi"/>
          <w:color w:val="auto"/>
        </w:rPr>
        <w:t xml:space="preserve"> early toxic events </w:t>
      </w:r>
      <w:r w:rsidR="00AF5EE5" w:rsidRPr="001220A4">
        <w:rPr>
          <w:rFonts w:asciiTheme="minorHAnsi" w:hAnsiTheme="minorHAnsi" w:cstheme="minorHAnsi"/>
          <w:color w:val="auto"/>
        </w:rPr>
        <w:t xml:space="preserve">(24 h after APAP exposure) for liver cells, </w:t>
      </w:r>
      <w:r w:rsidRPr="001220A4">
        <w:rPr>
          <w:rFonts w:asciiTheme="minorHAnsi" w:hAnsiTheme="minorHAnsi" w:cstheme="minorHAnsi"/>
          <w:color w:val="auto"/>
        </w:rPr>
        <w:t>by</w:t>
      </w:r>
      <w:r w:rsidR="00AF5EE5" w:rsidRPr="001220A4">
        <w:rPr>
          <w:rFonts w:asciiTheme="minorHAnsi" w:hAnsiTheme="minorHAnsi" w:cstheme="minorHAnsi"/>
          <w:color w:val="auto"/>
        </w:rPr>
        <w:t xml:space="preserve"> the observation </w:t>
      </w:r>
      <w:r w:rsidR="00B32875" w:rsidRPr="001220A4">
        <w:rPr>
          <w:rFonts w:asciiTheme="minorHAnsi" w:hAnsiTheme="minorHAnsi" w:cstheme="minorHAnsi"/>
          <w:color w:val="auto"/>
        </w:rPr>
        <w:t>of cell</w:t>
      </w:r>
      <w:r w:rsidR="00AF5EE5" w:rsidRPr="001220A4">
        <w:rPr>
          <w:rFonts w:asciiTheme="minorHAnsi" w:hAnsiTheme="minorHAnsi" w:cstheme="minorHAnsi"/>
          <w:color w:val="auto"/>
        </w:rPr>
        <w:t xml:space="preserve"> </w:t>
      </w:r>
      <w:r w:rsidRPr="001220A4">
        <w:rPr>
          <w:rFonts w:asciiTheme="minorHAnsi" w:hAnsiTheme="minorHAnsi" w:cstheme="minorHAnsi"/>
          <w:color w:val="auto"/>
        </w:rPr>
        <w:t>phenotypic changes, with some mechanistic clues</w:t>
      </w:r>
      <w:r w:rsidR="00B32875" w:rsidRPr="001220A4">
        <w:rPr>
          <w:rFonts w:asciiTheme="minorHAnsi" w:hAnsiTheme="minorHAnsi" w:cstheme="minorHAnsi"/>
          <w:color w:val="auto"/>
        </w:rPr>
        <w:t xml:space="preserve"> (</w:t>
      </w:r>
      <w:r w:rsidR="007679BB" w:rsidRPr="007679BB">
        <w:rPr>
          <w:rFonts w:asciiTheme="minorHAnsi" w:hAnsiTheme="minorHAnsi" w:cstheme="minorHAnsi"/>
          <w:b/>
          <w:bCs/>
          <w:color w:val="auto"/>
        </w:rPr>
        <w:t>Figure</w:t>
      </w:r>
      <w:r w:rsidR="00B32875" w:rsidRPr="007679BB">
        <w:rPr>
          <w:rFonts w:asciiTheme="minorHAnsi" w:hAnsiTheme="minorHAnsi" w:cstheme="minorHAnsi"/>
          <w:b/>
          <w:bCs/>
          <w:color w:val="auto"/>
        </w:rPr>
        <w:t xml:space="preserve"> 3D</w:t>
      </w:r>
      <w:r w:rsidR="00B32875" w:rsidRPr="001220A4">
        <w:rPr>
          <w:rFonts w:asciiTheme="minorHAnsi" w:hAnsiTheme="minorHAnsi" w:cstheme="minorHAnsi"/>
          <w:color w:val="auto"/>
        </w:rPr>
        <w:t>)</w:t>
      </w:r>
      <w:r w:rsidRPr="001220A4">
        <w:rPr>
          <w:rFonts w:asciiTheme="minorHAnsi" w:hAnsiTheme="minorHAnsi" w:cstheme="minorHAnsi"/>
          <w:color w:val="auto"/>
        </w:rPr>
        <w:t xml:space="preserve">. </w:t>
      </w:r>
      <w:r w:rsidR="00B32875" w:rsidRPr="001220A4">
        <w:rPr>
          <w:rFonts w:asciiTheme="minorHAnsi" w:hAnsiTheme="minorHAnsi" w:cstheme="minorHAnsi"/>
          <w:color w:val="auto"/>
        </w:rPr>
        <w:t>On the other hand</w:t>
      </w:r>
      <w:r w:rsidRPr="001220A4">
        <w:rPr>
          <w:rFonts w:asciiTheme="minorHAnsi" w:hAnsiTheme="minorHAnsi" w:cstheme="minorHAnsi"/>
          <w:color w:val="auto"/>
        </w:rPr>
        <w:t>, the confocal fluorescence microscopy</w:t>
      </w:r>
      <w:r w:rsidR="00B32875" w:rsidRPr="001220A4">
        <w:rPr>
          <w:rFonts w:asciiTheme="minorHAnsi" w:hAnsiTheme="minorHAnsi" w:cstheme="minorHAnsi"/>
          <w:color w:val="auto"/>
        </w:rPr>
        <w:t xml:space="preserve"> (</w:t>
      </w:r>
      <w:r w:rsidR="007679BB" w:rsidRPr="007679BB">
        <w:rPr>
          <w:rFonts w:asciiTheme="minorHAnsi" w:hAnsiTheme="minorHAnsi" w:cstheme="minorHAnsi"/>
          <w:b/>
          <w:bCs/>
          <w:color w:val="auto"/>
        </w:rPr>
        <w:t xml:space="preserve">Figure </w:t>
      </w:r>
      <w:r w:rsidR="00B32875" w:rsidRPr="007679BB">
        <w:rPr>
          <w:rFonts w:asciiTheme="minorHAnsi" w:hAnsiTheme="minorHAnsi" w:cstheme="minorHAnsi"/>
          <w:b/>
          <w:bCs/>
          <w:color w:val="auto"/>
        </w:rPr>
        <w:t>3B</w:t>
      </w:r>
      <w:r w:rsidR="00B32875" w:rsidRPr="001220A4">
        <w:rPr>
          <w:rFonts w:asciiTheme="minorHAnsi" w:hAnsiTheme="minorHAnsi" w:cstheme="minorHAnsi"/>
          <w:color w:val="auto"/>
        </w:rPr>
        <w:t>)</w:t>
      </w:r>
      <w:r w:rsidRPr="001220A4">
        <w:rPr>
          <w:rFonts w:asciiTheme="minorHAnsi" w:hAnsiTheme="minorHAnsi" w:cstheme="minorHAnsi"/>
          <w:color w:val="auto"/>
        </w:rPr>
        <w:t xml:space="preserve"> and histology</w:t>
      </w:r>
      <w:r w:rsidR="00B32875" w:rsidRPr="001220A4">
        <w:rPr>
          <w:rFonts w:asciiTheme="minorHAnsi" w:hAnsiTheme="minorHAnsi" w:cstheme="minorHAnsi"/>
          <w:color w:val="auto"/>
        </w:rPr>
        <w:t xml:space="preserve"> (</w:t>
      </w:r>
      <w:r w:rsidR="007679BB" w:rsidRPr="007679BB">
        <w:rPr>
          <w:rFonts w:asciiTheme="minorHAnsi" w:hAnsiTheme="minorHAnsi" w:cstheme="minorHAnsi"/>
          <w:b/>
          <w:bCs/>
          <w:color w:val="auto"/>
        </w:rPr>
        <w:t>Figure</w:t>
      </w:r>
      <w:r w:rsidR="00B32875" w:rsidRPr="007679BB">
        <w:rPr>
          <w:rFonts w:asciiTheme="minorHAnsi" w:hAnsiTheme="minorHAnsi" w:cstheme="minorHAnsi"/>
          <w:b/>
          <w:bCs/>
          <w:color w:val="auto"/>
        </w:rPr>
        <w:t xml:space="preserve"> 3C</w:t>
      </w:r>
      <w:r w:rsidR="00B32875" w:rsidRPr="001220A4">
        <w:rPr>
          <w:rFonts w:asciiTheme="minorHAnsi" w:hAnsiTheme="minorHAnsi" w:cstheme="minorHAnsi"/>
          <w:color w:val="auto"/>
        </w:rPr>
        <w:t>)</w:t>
      </w:r>
      <w:r w:rsidRPr="001220A4">
        <w:rPr>
          <w:rFonts w:asciiTheme="minorHAnsi" w:hAnsiTheme="minorHAnsi" w:cstheme="minorHAnsi"/>
          <w:color w:val="auto"/>
        </w:rPr>
        <w:t xml:space="preserve"> </w:t>
      </w:r>
      <w:r w:rsidR="001D574E">
        <w:rPr>
          <w:rFonts w:asciiTheme="minorHAnsi" w:hAnsiTheme="minorHAnsi" w:cstheme="minorHAnsi"/>
          <w:color w:val="auto"/>
        </w:rPr>
        <w:t xml:space="preserve">were </w:t>
      </w:r>
      <w:r w:rsidRPr="001220A4">
        <w:rPr>
          <w:rFonts w:asciiTheme="minorHAnsi" w:hAnsiTheme="minorHAnsi" w:cstheme="minorHAnsi"/>
          <w:color w:val="auto"/>
        </w:rPr>
        <w:t>showed to be a useful complementary tool in the investigation of the viability status of the human tissue’s equivalents.</w:t>
      </w:r>
      <w:r w:rsidR="008E4F90">
        <w:rPr>
          <w:rFonts w:asciiTheme="minorHAnsi" w:hAnsiTheme="minorHAnsi" w:cstheme="minorHAnsi"/>
          <w:color w:val="auto"/>
        </w:rPr>
        <w:t xml:space="preserve"> </w:t>
      </w:r>
      <w:r w:rsidRPr="001220A4">
        <w:rPr>
          <w:rFonts w:asciiTheme="minorHAnsi" w:hAnsiTheme="minorHAnsi" w:cstheme="minorHAnsi"/>
          <w:color w:val="auto"/>
        </w:rPr>
        <w:t>For the liver cells, the simultaneous use of different techniques was very advantageous. The MTT assay</w:t>
      </w:r>
      <w:r w:rsidR="00AF5EE5" w:rsidRPr="001220A4">
        <w:rPr>
          <w:rFonts w:asciiTheme="minorHAnsi" w:hAnsiTheme="minorHAnsi" w:cstheme="minorHAnsi"/>
          <w:color w:val="auto"/>
        </w:rPr>
        <w:t>, as mentioned before,</w:t>
      </w:r>
      <w:r w:rsidRPr="001220A4">
        <w:rPr>
          <w:rFonts w:asciiTheme="minorHAnsi" w:hAnsiTheme="minorHAnsi" w:cstheme="minorHAnsi"/>
          <w:color w:val="auto"/>
        </w:rPr>
        <w:t xml:space="preserve"> was not able to detect the APAP cytotoxicity detected by the HCA 24 h after APAP exposure. The</w:t>
      </w:r>
      <w:r w:rsidR="003308A7" w:rsidRPr="001220A4">
        <w:rPr>
          <w:rFonts w:asciiTheme="minorHAnsi" w:hAnsiTheme="minorHAnsi" w:cstheme="minorHAnsi"/>
          <w:color w:val="auto"/>
        </w:rPr>
        <w:t xml:space="preserve"> gene expression analyses </w:t>
      </w:r>
      <w:r w:rsidRPr="001220A4">
        <w:rPr>
          <w:rFonts w:asciiTheme="minorHAnsi" w:hAnsiTheme="minorHAnsi" w:cstheme="minorHAnsi"/>
          <w:color w:val="auto"/>
        </w:rPr>
        <w:t>assessed the functionality of the intestine</w:t>
      </w:r>
      <w:r w:rsidR="00163E7E" w:rsidRPr="001220A4">
        <w:rPr>
          <w:rFonts w:asciiTheme="minorHAnsi" w:hAnsiTheme="minorHAnsi" w:cstheme="minorHAnsi"/>
          <w:color w:val="auto"/>
        </w:rPr>
        <w:t xml:space="preserve"> (</w:t>
      </w:r>
      <w:r w:rsidR="007679BB" w:rsidRPr="007679BB">
        <w:rPr>
          <w:rFonts w:asciiTheme="minorHAnsi" w:hAnsiTheme="minorHAnsi" w:cstheme="minorHAnsi"/>
          <w:b/>
          <w:bCs/>
          <w:color w:val="auto"/>
        </w:rPr>
        <w:t>Figure</w:t>
      </w:r>
      <w:r w:rsidR="00163E7E" w:rsidRPr="007679BB">
        <w:rPr>
          <w:rFonts w:asciiTheme="minorHAnsi" w:hAnsiTheme="minorHAnsi" w:cstheme="minorHAnsi"/>
          <w:b/>
          <w:bCs/>
          <w:color w:val="auto"/>
        </w:rPr>
        <w:t xml:space="preserve"> 2D-F</w:t>
      </w:r>
      <w:r w:rsidR="00163E7E" w:rsidRPr="001220A4">
        <w:rPr>
          <w:rFonts w:asciiTheme="minorHAnsi" w:hAnsiTheme="minorHAnsi" w:cstheme="minorHAnsi"/>
          <w:color w:val="auto"/>
        </w:rPr>
        <w:t>)</w:t>
      </w:r>
      <w:r w:rsidRPr="001220A4">
        <w:rPr>
          <w:rFonts w:asciiTheme="minorHAnsi" w:hAnsiTheme="minorHAnsi" w:cstheme="minorHAnsi"/>
          <w:color w:val="auto"/>
        </w:rPr>
        <w:t xml:space="preserve"> and liver organoids</w:t>
      </w:r>
      <w:r w:rsidR="00163E7E" w:rsidRPr="001220A4">
        <w:rPr>
          <w:rFonts w:asciiTheme="minorHAnsi" w:hAnsiTheme="minorHAnsi" w:cstheme="minorHAnsi"/>
          <w:color w:val="auto"/>
        </w:rPr>
        <w:t xml:space="preserve"> (</w:t>
      </w:r>
      <w:r w:rsidR="007679BB" w:rsidRPr="007679BB">
        <w:rPr>
          <w:rFonts w:asciiTheme="minorHAnsi" w:hAnsiTheme="minorHAnsi" w:cstheme="minorHAnsi"/>
          <w:b/>
          <w:bCs/>
          <w:color w:val="auto"/>
        </w:rPr>
        <w:t>Figure</w:t>
      </w:r>
      <w:r w:rsidR="00163E7E" w:rsidRPr="007679BB">
        <w:rPr>
          <w:rFonts w:asciiTheme="minorHAnsi" w:hAnsiTheme="minorHAnsi" w:cstheme="minorHAnsi"/>
          <w:b/>
          <w:bCs/>
          <w:color w:val="auto"/>
        </w:rPr>
        <w:t xml:space="preserve"> 4A-D</w:t>
      </w:r>
      <w:r w:rsidR="00163E7E" w:rsidRPr="001220A4">
        <w:rPr>
          <w:rFonts w:asciiTheme="minorHAnsi" w:hAnsiTheme="minorHAnsi" w:cstheme="minorHAnsi"/>
          <w:color w:val="auto"/>
        </w:rPr>
        <w:t>)</w:t>
      </w:r>
      <w:r w:rsidR="003308A7" w:rsidRPr="001220A4">
        <w:rPr>
          <w:rFonts w:asciiTheme="minorHAnsi" w:hAnsiTheme="minorHAnsi" w:cstheme="minorHAnsi"/>
          <w:color w:val="auto"/>
        </w:rPr>
        <w:t xml:space="preserve"> at</w:t>
      </w:r>
      <w:r w:rsidRPr="001220A4">
        <w:rPr>
          <w:rFonts w:asciiTheme="minorHAnsi" w:hAnsiTheme="minorHAnsi" w:cstheme="minorHAnsi"/>
          <w:color w:val="auto"/>
        </w:rPr>
        <w:t xml:space="preserve"> both basal and 24 h after APA</w:t>
      </w:r>
      <w:r w:rsidR="00AF5EE5" w:rsidRPr="001220A4">
        <w:rPr>
          <w:rFonts w:asciiTheme="minorHAnsi" w:hAnsiTheme="minorHAnsi" w:cstheme="minorHAnsi"/>
          <w:color w:val="auto"/>
        </w:rPr>
        <w:t>P</w:t>
      </w:r>
      <w:r w:rsidRPr="001220A4">
        <w:rPr>
          <w:rFonts w:asciiTheme="minorHAnsi" w:hAnsiTheme="minorHAnsi" w:cstheme="minorHAnsi"/>
          <w:color w:val="auto"/>
        </w:rPr>
        <w:t xml:space="preserve"> treatment. Under basal conditions, there were normal levels of intestinal and liver-specific markers, suggesting proper functionality. After 24 h of APAP exposure, there was a downregulation of albumin</w:t>
      </w:r>
      <w:r w:rsidR="00163E7E" w:rsidRPr="001220A4">
        <w:rPr>
          <w:rFonts w:asciiTheme="minorHAnsi" w:hAnsiTheme="minorHAnsi" w:cstheme="minorHAnsi"/>
          <w:color w:val="auto"/>
        </w:rPr>
        <w:t xml:space="preserve">, </w:t>
      </w:r>
      <w:r w:rsidRPr="001220A4">
        <w:rPr>
          <w:rFonts w:asciiTheme="minorHAnsi" w:hAnsiTheme="minorHAnsi" w:cstheme="minorHAnsi"/>
          <w:color w:val="auto"/>
        </w:rPr>
        <w:t>GST mRNA levels</w:t>
      </w:r>
      <w:r w:rsidR="003308A7" w:rsidRPr="001220A4">
        <w:rPr>
          <w:rFonts w:asciiTheme="minorHAnsi" w:hAnsiTheme="minorHAnsi" w:cstheme="minorHAnsi"/>
          <w:color w:val="auto"/>
        </w:rPr>
        <w:t>,</w:t>
      </w:r>
      <w:r w:rsidR="00163E7E" w:rsidRPr="001220A4">
        <w:rPr>
          <w:rFonts w:asciiTheme="minorHAnsi" w:hAnsiTheme="minorHAnsi" w:cstheme="minorHAnsi"/>
          <w:color w:val="auto"/>
        </w:rPr>
        <w:t xml:space="preserve"> and a tendency to reduce the CYP3A4 gene expression </w:t>
      </w:r>
      <w:r w:rsidRPr="001220A4">
        <w:rPr>
          <w:rFonts w:asciiTheme="minorHAnsi" w:hAnsiTheme="minorHAnsi" w:cstheme="minorHAnsi"/>
          <w:color w:val="auto"/>
        </w:rPr>
        <w:t>in liver equivalent tissues, indicating APAP early cytotoxicity.</w:t>
      </w:r>
      <w:r w:rsidR="009B2554" w:rsidRPr="001220A4">
        <w:rPr>
          <w:rFonts w:asciiTheme="minorHAnsi" w:hAnsiTheme="minorHAnsi" w:cstheme="minorHAnsi"/>
          <w:color w:val="auto"/>
        </w:rPr>
        <w:t xml:space="preserve"> Corroborating these findings, </w:t>
      </w:r>
      <w:r w:rsidR="003308A7" w:rsidRPr="001220A4">
        <w:rPr>
          <w:rFonts w:asciiTheme="minorHAnsi" w:hAnsiTheme="minorHAnsi" w:cstheme="minorHAnsi"/>
          <w:color w:val="auto"/>
        </w:rPr>
        <w:t>Western blotting experiments showed that the reduction in gene expression was also accompanied by a robust reduction in liver total albumin protein expression in response to APAP treatment (</w:t>
      </w:r>
      <w:r w:rsidR="007679BB" w:rsidRPr="007679BB">
        <w:rPr>
          <w:rFonts w:asciiTheme="minorHAnsi" w:hAnsiTheme="minorHAnsi" w:cstheme="minorHAnsi"/>
          <w:b/>
          <w:bCs/>
          <w:color w:val="auto"/>
        </w:rPr>
        <w:t xml:space="preserve">Figure </w:t>
      </w:r>
      <w:r w:rsidR="003308A7" w:rsidRPr="007679BB">
        <w:rPr>
          <w:rFonts w:asciiTheme="minorHAnsi" w:hAnsiTheme="minorHAnsi" w:cstheme="minorHAnsi"/>
          <w:b/>
          <w:bCs/>
          <w:color w:val="auto"/>
        </w:rPr>
        <w:t>4E-F</w:t>
      </w:r>
      <w:r w:rsidR="003308A7" w:rsidRPr="001220A4">
        <w:rPr>
          <w:rFonts w:asciiTheme="minorHAnsi" w:hAnsiTheme="minorHAnsi" w:cstheme="minorHAnsi"/>
          <w:color w:val="auto"/>
        </w:rPr>
        <w:t>), confirming the toxic insults imposed on liver tissue by exposure to APAP.</w:t>
      </w:r>
      <w:r w:rsidR="009B2554" w:rsidRPr="001220A4">
        <w:rPr>
          <w:rFonts w:asciiTheme="minorHAnsi" w:hAnsiTheme="minorHAnsi" w:cstheme="minorHAnsi"/>
        </w:rPr>
        <w:t xml:space="preserve"> </w:t>
      </w:r>
      <w:r w:rsidR="009B2554" w:rsidRPr="001220A4">
        <w:rPr>
          <w:rFonts w:asciiTheme="minorHAnsi" w:hAnsiTheme="minorHAnsi" w:cstheme="minorHAnsi"/>
          <w:color w:val="auto"/>
        </w:rPr>
        <w:t xml:space="preserve">Accordingly, </w:t>
      </w:r>
      <w:r w:rsidR="003308A7" w:rsidRPr="001220A4">
        <w:rPr>
          <w:rFonts w:asciiTheme="minorHAnsi" w:hAnsiTheme="minorHAnsi" w:cstheme="minorHAnsi"/>
          <w:color w:val="auto"/>
        </w:rPr>
        <w:t xml:space="preserve">experiments of </w:t>
      </w:r>
      <w:r w:rsidR="00194937" w:rsidRPr="00194937">
        <w:rPr>
          <w:rFonts w:asciiTheme="minorHAnsi" w:hAnsiTheme="minorHAnsi" w:cstheme="minorHAnsi"/>
          <w:color w:val="auto"/>
        </w:rPr>
        <w:t>in vitro</w:t>
      </w:r>
      <w:r w:rsidR="003308A7" w:rsidRPr="001220A4">
        <w:rPr>
          <w:rFonts w:asciiTheme="minorHAnsi" w:hAnsiTheme="minorHAnsi" w:cstheme="minorHAnsi"/>
          <w:color w:val="auto"/>
        </w:rPr>
        <w:t xml:space="preserve"> enzymatic activity showed a robust and progressive reduction in CYP 3A4 activity levels induced by APAP treatment, in liver equivalents (</w:t>
      </w:r>
      <w:r w:rsidR="007679BB" w:rsidRPr="007679BB">
        <w:rPr>
          <w:rFonts w:asciiTheme="minorHAnsi" w:hAnsiTheme="minorHAnsi" w:cstheme="minorHAnsi"/>
          <w:b/>
          <w:bCs/>
          <w:color w:val="auto"/>
        </w:rPr>
        <w:t xml:space="preserve">Figure </w:t>
      </w:r>
      <w:r w:rsidR="003308A7" w:rsidRPr="007679BB">
        <w:rPr>
          <w:rFonts w:asciiTheme="minorHAnsi" w:hAnsiTheme="minorHAnsi" w:cstheme="minorHAnsi"/>
          <w:b/>
          <w:bCs/>
          <w:color w:val="auto"/>
        </w:rPr>
        <w:t>4H-I</w:t>
      </w:r>
      <w:r w:rsidR="003308A7" w:rsidRPr="001220A4">
        <w:rPr>
          <w:rFonts w:asciiTheme="minorHAnsi" w:hAnsiTheme="minorHAnsi" w:cstheme="minorHAnsi"/>
          <w:color w:val="auto"/>
        </w:rPr>
        <w:t>).</w:t>
      </w:r>
    </w:p>
    <w:p w14:paraId="518A74CB" w14:textId="77777777" w:rsidR="007679BB" w:rsidRPr="001220A4" w:rsidRDefault="007679BB" w:rsidP="0054535F">
      <w:pPr>
        <w:ind w:right="4"/>
        <w:contextualSpacing/>
        <w:rPr>
          <w:rFonts w:asciiTheme="minorHAnsi" w:hAnsiTheme="minorHAnsi" w:cstheme="minorHAnsi"/>
          <w:color w:val="auto"/>
        </w:rPr>
      </w:pPr>
    </w:p>
    <w:p w14:paraId="09DDDBC2" w14:textId="08588EE2" w:rsidR="009B17C7" w:rsidRDefault="00C260CF" w:rsidP="0054535F">
      <w:pPr>
        <w:ind w:right="4"/>
        <w:contextualSpacing/>
        <w:rPr>
          <w:rFonts w:asciiTheme="minorHAnsi" w:hAnsiTheme="minorHAnsi" w:cstheme="minorHAnsi"/>
          <w:color w:val="auto"/>
        </w:rPr>
      </w:pPr>
      <w:r w:rsidRPr="001220A4">
        <w:rPr>
          <w:rFonts w:asciiTheme="minorHAnsi" w:hAnsiTheme="minorHAnsi" w:cstheme="minorHAnsi"/>
          <w:color w:val="auto"/>
        </w:rPr>
        <w:t>Morphometrical statistics of organoids were performed on Image J</w:t>
      </w:r>
      <w:r w:rsidR="009B2554" w:rsidRPr="001220A4">
        <w:rPr>
          <w:rFonts w:asciiTheme="minorHAnsi" w:hAnsiTheme="minorHAnsi" w:cstheme="minorHAnsi"/>
          <w:color w:val="auto"/>
        </w:rPr>
        <w:t xml:space="preserve"> (</w:t>
      </w:r>
      <w:r w:rsidR="007679BB" w:rsidRPr="007679BB">
        <w:rPr>
          <w:rFonts w:asciiTheme="minorHAnsi" w:hAnsiTheme="minorHAnsi" w:cstheme="minorHAnsi"/>
          <w:b/>
          <w:bCs/>
          <w:color w:val="auto"/>
        </w:rPr>
        <w:t xml:space="preserve">Figure </w:t>
      </w:r>
      <w:r w:rsidR="009B2554" w:rsidRPr="007679BB">
        <w:rPr>
          <w:rFonts w:asciiTheme="minorHAnsi" w:hAnsiTheme="minorHAnsi" w:cstheme="minorHAnsi"/>
          <w:b/>
          <w:bCs/>
          <w:color w:val="auto"/>
        </w:rPr>
        <w:t>3E-I</w:t>
      </w:r>
      <w:r w:rsidR="009B2554" w:rsidRPr="001220A4">
        <w:rPr>
          <w:rFonts w:asciiTheme="minorHAnsi" w:hAnsiTheme="minorHAnsi" w:cstheme="minorHAnsi"/>
          <w:color w:val="auto"/>
        </w:rPr>
        <w:t>)</w:t>
      </w:r>
      <w:r w:rsidRPr="001220A4">
        <w:rPr>
          <w:rFonts w:asciiTheme="minorHAnsi" w:hAnsiTheme="minorHAnsi" w:cstheme="minorHAnsi"/>
          <w:color w:val="auto"/>
        </w:rPr>
        <w:t xml:space="preserve">. The area reveals how close the 2D size is to all organoids analyzed, which could be used as standardization in this protocol so that an unbiased result can be produced. The ‘shape descriptors’ reveal statistics </w:t>
      </w:r>
      <w:r w:rsidRPr="001220A4">
        <w:rPr>
          <w:rFonts w:asciiTheme="minorHAnsi" w:hAnsiTheme="minorHAnsi" w:cstheme="minorHAnsi"/>
          <w:color w:val="auto"/>
        </w:rPr>
        <w:lastRenderedPageBreak/>
        <w:t>corresponding precisely to the shape morphology. The Aspect Ratio is an index which uses the major and minor axis, so results around 1 indicate no bias (i.e., preferential growth) during organoid formation. Values of Roundness (4 ×[area]/ (π × [major axis]</w:t>
      </w:r>
      <w:r w:rsidRPr="001D574E">
        <w:rPr>
          <w:rFonts w:asciiTheme="minorHAnsi" w:hAnsiTheme="minorHAnsi" w:cstheme="minorHAnsi"/>
          <w:color w:val="auto"/>
          <w:vertAlign w:val="superscript"/>
        </w:rPr>
        <w:t>2</w:t>
      </w:r>
      <w:r w:rsidRPr="001220A4">
        <w:rPr>
          <w:rFonts w:asciiTheme="minorHAnsi" w:hAnsiTheme="minorHAnsi" w:cstheme="minorHAnsi"/>
          <w:color w:val="auto"/>
        </w:rPr>
        <w:t>)) are very sensitive to a preferential growth, which would be revealed as a major axis. Solidity ([area]/ ([convex area])) is essential in showing gross morphology as it is not affected by irregularities in borders since it uses convex area (=envelope). Distributions centered around 1.0 indicate putative spherical growth. Conversely, Circularity (4× π [area]/[perimeter]</w:t>
      </w:r>
      <w:r w:rsidRPr="007679BB">
        <w:rPr>
          <w:rFonts w:asciiTheme="minorHAnsi" w:hAnsiTheme="minorHAnsi" w:cstheme="minorHAnsi"/>
          <w:color w:val="auto"/>
          <w:vertAlign w:val="superscript"/>
        </w:rPr>
        <w:t>2</w:t>
      </w:r>
      <w:r w:rsidRPr="001220A4">
        <w:rPr>
          <w:rFonts w:asciiTheme="minorHAnsi" w:hAnsiTheme="minorHAnsi" w:cstheme="minorHAnsi"/>
          <w:color w:val="auto"/>
        </w:rPr>
        <w:t>) is very sensitive to a complex perimeter, so “cavities” or “pockets” would impact this index. Thus, circularity around 1 also corroborates putative spherical growth</w:t>
      </w:r>
      <w:r w:rsidR="00F81A46" w:rsidRPr="001220A4">
        <w:rPr>
          <w:rFonts w:asciiTheme="minorHAnsi" w:hAnsiTheme="minorHAnsi" w:cstheme="minorHAnsi"/>
          <w:color w:val="auto"/>
        </w:rPr>
        <w:t>, compatible with proper organoid functionality.</w:t>
      </w:r>
    </w:p>
    <w:p w14:paraId="25C536A7" w14:textId="77777777" w:rsidR="007679BB" w:rsidRPr="001220A4" w:rsidRDefault="007679BB" w:rsidP="0054535F">
      <w:pPr>
        <w:ind w:right="4"/>
        <w:contextualSpacing/>
        <w:rPr>
          <w:rFonts w:asciiTheme="minorHAnsi" w:hAnsiTheme="minorHAnsi" w:cstheme="minorHAnsi"/>
          <w:color w:val="auto"/>
        </w:rPr>
      </w:pPr>
    </w:p>
    <w:p w14:paraId="4B6A51F6" w14:textId="1FC6897C" w:rsidR="003308A7" w:rsidRDefault="001D574E" w:rsidP="0054535F">
      <w:pPr>
        <w:ind w:right="4"/>
        <w:contextualSpacing/>
        <w:rPr>
          <w:rFonts w:asciiTheme="minorHAnsi" w:hAnsiTheme="minorHAnsi" w:cstheme="minorHAnsi"/>
          <w:color w:val="auto"/>
        </w:rPr>
      </w:pPr>
      <w:r>
        <w:rPr>
          <w:rFonts w:asciiTheme="minorHAnsi" w:hAnsiTheme="minorHAnsi" w:cstheme="minorHAnsi"/>
          <w:color w:val="auto"/>
        </w:rPr>
        <w:t>The</w:t>
      </w:r>
      <w:r w:rsidR="001327A2" w:rsidRPr="001220A4">
        <w:rPr>
          <w:rFonts w:asciiTheme="minorHAnsi" w:hAnsiTheme="minorHAnsi" w:cstheme="minorHAnsi"/>
          <w:color w:val="auto"/>
        </w:rPr>
        <w:t xml:space="preserve"> analytical results showed that the MPS could emulate the APAP absorption and metabolism properties, both isolated </w:t>
      </w:r>
      <w:proofErr w:type="gramStart"/>
      <w:r w:rsidR="001327A2" w:rsidRPr="001220A4">
        <w:rPr>
          <w:rFonts w:asciiTheme="minorHAnsi" w:hAnsiTheme="minorHAnsi" w:cstheme="minorHAnsi"/>
          <w:color w:val="auto"/>
        </w:rPr>
        <w:t>or</w:t>
      </w:r>
      <w:proofErr w:type="gramEnd"/>
      <w:r w:rsidR="001327A2" w:rsidRPr="001220A4">
        <w:rPr>
          <w:rFonts w:asciiTheme="minorHAnsi" w:hAnsiTheme="minorHAnsi" w:cstheme="minorHAnsi"/>
          <w:color w:val="auto"/>
        </w:rPr>
        <w:t xml:space="preserve"> integrated in a curve comparable to that produced </w:t>
      </w:r>
      <w:r w:rsidR="001327A2" w:rsidRPr="007679BB">
        <w:rPr>
          <w:rFonts w:asciiTheme="minorHAnsi" w:hAnsiTheme="minorHAnsi" w:cstheme="minorHAnsi"/>
          <w:iCs/>
          <w:color w:val="auto"/>
        </w:rPr>
        <w:t>in vivo</w:t>
      </w:r>
      <w:r w:rsidR="007679BB">
        <w:rPr>
          <w:rFonts w:asciiTheme="minorHAnsi" w:hAnsiTheme="minorHAnsi" w:cstheme="minorHAnsi"/>
          <w:color w:val="auto"/>
        </w:rPr>
        <w:t xml:space="preserve"> (</w:t>
      </w:r>
      <w:r w:rsidR="007679BB" w:rsidRPr="007679BB">
        <w:rPr>
          <w:rFonts w:asciiTheme="minorHAnsi" w:hAnsiTheme="minorHAnsi" w:cstheme="minorHAnsi"/>
          <w:b/>
          <w:bCs/>
          <w:color w:val="auto"/>
        </w:rPr>
        <w:t xml:space="preserve">Figure </w:t>
      </w:r>
      <w:r w:rsidR="001327A2" w:rsidRPr="007679BB">
        <w:rPr>
          <w:rFonts w:asciiTheme="minorHAnsi" w:hAnsiTheme="minorHAnsi" w:cstheme="minorHAnsi"/>
          <w:b/>
          <w:bCs/>
          <w:color w:val="auto"/>
        </w:rPr>
        <w:t>5F</w:t>
      </w:r>
      <w:r w:rsidR="001327A2" w:rsidRPr="001220A4">
        <w:rPr>
          <w:rFonts w:asciiTheme="minorHAnsi" w:hAnsiTheme="minorHAnsi" w:cstheme="minorHAnsi"/>
          <w:color w:val="auto"/>
        </w:rPr>
        <w:t>) without the excretion phase. The APAP absorption was similar after oral administration to both Intestine MPS or Intestine/Liver MPS models, under both static and dynamic conditions (</w:t>
      </w:r>
      <w:r w:rsidR="007679BB" w:rsidRPr="007679BB">
        <w:rPr>
          <w:rFonts w:asciiTheme="minorHAnsi" w:hAnsiTheme="minorHAnsi" w:cstheme="minorHAnsi"/>
          <w:b/>
          <w:bCs/>
          <w:color w:val="auto"/>
        </w:rPr>
        <w:t xml:space="preserve">Figure </w:t>
      </w:r>
      <w:r w:rsidR="001327A2" w:rsidRPr="007679BB">
        <w:rPr>
          <w:rFonts w:asciiTheme="minorHAnsi" w:hAnsiTheme="minorHAnsi" w:cstheme="minorHAnsi"/>
          <w:b/>
          <w:bCs/>
          <w:color w:val="auto"/>
        </w:rPr>
        <w:t>5</w:t>
      </w:r>
      <w:r w:rsidR="009B2554" w:rsidRPr="007679BB">
        <w:rPr>
          <w:rFonts w:asciiTheme="minorHAnsi" w:hAnsiTheme="minorHAnsi" w:cstheme="minorHAnsi"/>
          <w:b/>
          <w:bCs/>
          <w:color w:val="auto"/>
        </w:rPr>
        <w:t xml:space="preserve">A-B, </w:t>
      </w:r>
      <w:r w:rsidR="007679BB" w:rsidRPr="007679BB">
        <w:rPr>
          <w:rFonts w:asciiTheme="minorHAnsi" w:hAnsiTheme="minorHAnsi" w:cstheme="minorHAnsi"/>
          <w:b/>
          <w:bCs/>
          <w:color w:val="auto"/>
        </w:rPr>
        <w:t xml:space="preserve">Figure </w:t>
      </w:r>
      <w:r w:rsidR="009B2554" w:rsidRPr="007679BB">
        <w:rPr>
          <w:rFonts w:asciiTheme="minorHAnsi" w:hAnsiTheme="minorHAnsi" w:cstheme="minorHAnsi"/>
          <w:b/>
          <w:bCs/>
          <w:color w:val="auto"/>
        </w:rPr>
        <w:t>5D-E</w:t>
      </w:r>
      <w:r w:rsidR="001327A2" w:rsidRPr="001220A4">
        <w:rPr>
          <w:rFonts w:asciiTheme="minorHAnsi" w:hAnsiTheme="minorHAnsi" w:cstheme="minorHAnsi"/>
          <w:color w:val="auto"/>
        </w:rPr>
        <w:t>). In both, there was an APAP concentration decreases at apical side concomitantly to its increase at the basolateral side, with no significant difference for static and dynamic conditions. In contrast, the APAP hepatic metabolism differed under these conditions. The circulating media in MPS seemed to improve the organoid metabolic capability (</w:t>
      </w:r>
      <w:r w:rsidR="007679BB" w:rsidRPr="007679BB">
        <w:rPr>
          <w:rFonts w:asciiTheme="minorHAnsi" w:hAnsiTheme="minorHAnsi" w:cstheme="minorHAnsi"/>
          <w:b/>
          <w:bCs/>
          <w:color w:val="auto"/>
        </w:rPr>
        <w:t xml:space="preserve">Figure </w:t>
      </w:r>
      <w:r w:rsidR="001327A2" w:rsidRPr="007679BB">
        <w:rPr>
          <w:rFonts w:asciiTheme="minorHAnsi" w:hAnsiTheme="minorHAnsi" w:cstheme="minorHAnsi"/>
          <w:b/>
          <w:bCs/>
          <w:color w:val="auto"/>
        </w:rPr>
        <w:t>5C</w:t>
      </w:r>
      <w:r w:rsidR="001327A2" w:rsidRPr="001220A4">
        <w:rPr>
          <w:rFonts w:asciiTheme="minorHAnsi" w:hAnsiTheme="minorHAnsi" w:cstheme="minorHAnsi"/>
          <w:color w:val="auto"/>
        </w:rPr>
        <w:t xml:space="preserve"> and </w:t>
      </w:r>
      <w:r w:rsidR="007679BB" w:rsidRPr="007679BB">
        <w:rPr>
          <w:rFonts w:asciiTheme="minorHAnsi" w:hAnsiTheme="minorHAnsi" w:cstheme="minorHAnsi"/>
          <w:b/>
          <w:bCs/>
          <w:color w:val="auto"/>
        </w:rPr>
        <w:t>Figure</w:t>
      </w:r>
      <w:r w:rsidR="007679BB">
        <w:rPr>
          <w:rFonts w:asciiTheme="minorHAnsi" w:hAnsiTheme="minorHAnsi" w:cstheme="minorHAnsi"/>
          <w:color w:val="auto"/>
        </w:rPr>
        <w:t xml:space="preserve"> </w:t>
      </w:r>
      <w:r w:rsidR="001327A2" w:rsidRPr="007679BB">
        <w:rPr>
          <w:rFonts w:asciiTheme="minorHAnsi" w:hAnsiTheme="minorHAnsi" w:cstheme="minorHAnsi"/>
          <w:b/>
          <w:bCs/>
          <w:color w:val="auto"/>
        </w:rPr>
        <w:t>5E</w:t>
      </w:r>
      <w:r w:rsidR="001327A2" w:rsidRPr="001220A4">
        <w:rPr>
          <w:rFonts w:asciiTheme="minorHAnsi" w:hAnsiTheme="minorHAnsi" w:cstheme="minorHAnsi"/>
          <w:color w:val="auto"/>
        </w:rPr>
        <w:t>). There was a significant APAP decay underflow not seen without flow.</w:t>
      </w:r>
      <w:r w:rsidR="009B2554" w:rsidRPr="001220A4">
        <w:rPr>
          <w:rFonts w:asciiTheme="minorHAnsi" w:hAnsiTheme="minorHAnsi" w:cstheme="minorHAnsi"/>
          <w:color w:val="auto"/>
        </w:rPr>
        <w:t xml:space="preserve"> Interestingly, </w:t>
      </w:r>
      <w:r w:rsidR="00194937" w:rsidRPr="00194937">
        <w:rPr>
          <w:rFonts w:asciiTheme="minorHAnsi" w:hAnsiTheme="minorHAnsi" w:cstheme="minorHAnsi"/>
          <w:color w:val="auto"/>
        </w:rPr>
        <w:t>in vitro</w:t>
      </w:r>
      <w:r w:rsidR="003308A7" w:rsidRPr="001220A4">
        <w:rPr>
          <w:rFonts w:asciiTheme="minorHAnsi" w:hAnsiTheme="minorHAnsi" w:cstheme="minorHAnsi"/>
          <w:i/>
          <w:iCs/>
          <w:color w:val="auto"/>
        </w:rPr>
        <w:t>,</w:t>
      </w:r>
      <w:r w:rsidR="009B2554" w:rsidRPr="001220A4">
        <w:rPr>
          <w:rFonts w:asciiTheme="minorHAnsi" w:hAnsiTheme="minorHAnsi" w:cstheme="minorHAnsi"/>
          <w:color w:val="auto"/>
        </w:rPr>
        <w:t xml:space="preserve"> CYP3A4 activity </w:t>
      </w:r>
      <w:r w:rsidR="003308A7" w:rsidRPr="001220A4">
        <w:rPr>
          <w:rFonts w:asciiTheme="minorHAnsi" w:hAnsiTheme="minorHAnsi" w:cstheme="minorHAnsi"/>
          <w:color w:val="auto"/>
        </w:rPr>
        <w:t xml:space="preserve">experiments </w:t>
      </w:r>
      <w:r w:rsidR="009B2554" w:rsidRPr="001220A4">
        <w:rPr>
          <w:rFonts w:asciiTheme="minorHAnsi" w:hAnsiTheme="minorHAnsi" w:cstheme="minorHAnsi"/>
          <w:color w:val="auto"/>
        </w:rPr>
        <w:t xml:space="preserve">corroborate the hypothesis that the presence of flow in the system increases the functionality of human liver equivalents. As shown in the graph in </w:t>
      </w:r>
      <w:r w:rsidR="009B2554" w:rsidRPr="007679BB">
        <w:rPr>
          <w:rFonts w:asciiTheme="minorHAnsi" w:hAnsiTheme="minorHAnsi" w:cstheme="minorHAnsi"/>
          <w:b/>
          <w:bCs/>
          <w:color w:val="auto"/>
        </w:rPr>
        <w:t>Figure 4</w:t>
      </w:r>
      <w:r w:rsidR="001246E7" w:rsidRPr="007679BB">
        <w:rPr>
          <w:rFonts w:asciiTheme="minorHAnsi" w:hAnsiTheme="minorHAnsi" w:cstheme="minorHAnsi"/>
          <w:b/>
          <w:bCs/>
          <w:color w:val="auto"/>
        </w:rPr>
        <w:t>J</w:t>
      </w:r>
      <w:r w:rsidR="009B2554" w:rsidRPr="001220A4">
        <w:rPr>
          <w:rFonts w:asciiTheme="minorHAnsi" w:hAnsiTheme="minorHAnsi" w:cstheme="minorHAnsi"/>
          <w:color w:val="auto"/>
        </w:rPr>
        <w:t>, the activity of CYP 3A4 was significantly higher in liver equivalents maintained under flow at both basal and APAP treatment condition</w:t>
      </w:r>
      <w:r w:rsidR="003308A7" w:rsidRPr="001220A4">
        <w:rPr>
          <w:rFonts w:asciiTheme="minorHAnsi" w:hAnsiTheme="minorHAnsi" w:cstheme="minorHAnsi"/>
          <w:color w:val="auto"/>
        </w:rPr>
        <w:t>s</w:t>
      </w:r>
      <w:r w:rsidR="009B2554" w:rsidRPr="001220A4">
        <w:rPr>
          <w:rFonts w:asciiTheme="minorHAnsi" w:hAnsiTheme="minorHAnsi" w:cstheme="minorHAnsi"/>
          <w:color w:val="auto"/>
        </w:rPr>
        <w:t>.</w:t>
      </w:r>
      <w:r w:rsidR="001327A2" w:rsidRPr="001220A4">
        <w:rPr>
          <w:rFonts w:asciiTheme="minorHAnsi" w:hAnsiTheme="minorHAnsi" w:cstheme="minorHAnsi"/>
          <w:color w:val="auto"/>
        </w:rPr>
        <w:t xml:space="preserve"> </w:t>
      </w:r>
      <w:r w:rsidR="009B2554" w:rsidRPr="001220A4">
        <w:rPr>
          <w:rFonts w:asciiTheme="minorHAnsi" w:hAnsiTheme="minorHAnsi" w:cstheme="minorHAnsi"/>
          <w:color w:val="auto"/>
        </w:rPr>
        <w:t xml:space="preserve">Likewise, the liver equivalents kept under flow (dynamic) showed a tendency to increase the protein expression of albumin when compared to those kept without flow (static) both at baseline </w:t>
      </w:r>
      <w:proofErr w:type="gramStart"/>
      <w:r w:rsidR="009B2554" w:rsidRPr="001220A4">
        <w:rPr>
          <w:rFonts w:asciiTheme="minorHAnsi" w:hAnsiTheme="minorHAnsi" w:cstheme="minorHAnsi"/>
          <w:color w:val="auto"/>
        </w:rPr>
        <w:t>or</w:t>
      </w:r>
      <w:proofErr w:type="gramEnd"/>
      <w:r w:rsidR="009B2554" w:rsidRPr="001220A4">
        <w:rPr>
          <w:rFonts w:asciiTheme="minorHAnsi" w:hAnsiTheme="minorHAnsi" w:cstheme="minorHAnsi"/>
          <w:color w:val="auto"/>
        </w:rPr>
        <w:t xml:space="preserve"> at</w:t>
      </w:r>
      <w:r w:rsidR="008E4F90">
        <w:rPr>
          <w:rFonts w:asciiTheme="minorHAnsi" w:hAnsiTheme="minorHAnsi" w:cstheme="minorHAnsi"/>
          <w:color w:val="auto"/>
        </w:rPr>
        <w:t xml:space="preserve"> </w:t>
      </w:r>
      <w:r w:rsidR="009B2554" w:rsidRPr="001220A4">
        <w:rPr>
          <w:rFonts w:asciiTheme="minorHAnsi" w:hAnsiTheme="minorHAnsi" w:cstheme="minorHAnsi"/>
          <w:color w:val="auto"/>
        </w:rPr>
        <w:t>APAP treated conditions (</w:t>
      </w:r>
      <w:r w:rsidR="007679BB" w:rsidRPr="007679BB">
        <w:rPr>
          <w:rFonts w:asciiTheme="minorHAnsi" w:hAnsiTheme="minorHAnsi" w:cstheme="minorHAnsi"/>
          <w:b/>
          <w:bCs/>
          <w:color w:val="auto"/>
        </w:rPr>
        <w:t xml:space="preserve">Figure </w:t>
      </w:r>
      <w:r w:rsidR="009B2554" w:rsidRPr="007679BB">
        <w:rPr>
          <w:rFonts w:asciiTheme="minorHAnsi" w:hAnsiTheme="minorHAnsi" w:cstheme="minorHAnsi"/>
          <w:b/>
          <w:bCs/>
          <w:color w:val="auto"/>
        </w:rPr>
        <w:t>4</w:t>
      </w:r>
      <w:r w:rsidR="001246E7" w:rsidRPr="007679BB">
        <w:rPr>
          <w:rFonts w:asciiTheme="minorHAnsi" w:hAnsiTheme="minorHAnsi" w:cstheme="minorHAnsi"/>
          <w:b/>
          <w:bCs/>
          <w:color w:val="auto"/>
        </w:rPr>
        <w:t>G</w:t>
      </w:r>
      <w:r w:rsidR="009B2554" w:rsidRPr="001220A4">
        <w:rPr>
          <w:rFonts w:asciiTheme="minorHAnsi" w:hAnsiTheme="minorHAnsi" w:cstheme="minorHAnsi"/>
          <w:color w:val="auto"/>
        </w:rPr>
        <w:t>).</w:t>
      </w:r>
      <w:r w:rsidR="00942AB2" w:rsidRPr="001220A4">
        <w:rPr>
          <w:rFonts w:asciiTheme="minorHAnsi" w:hAnsiTheme="minorHAnsi" w:cstheme="minorHAnsi"/>
          <w:color w:val="auto"/>
        </w:rPr>
        <w:t xml:space="preserve"> </w:t>
      </w:r>
    </w:p>
    <w:p w14:paraId="50756E7B" w14:textId="77777777" w:rsidR="007679BB" w:rsidRPr="001220A4" w:rsidRDefault="007679BB" w:rsidP="0054535F">
      <w:pPr>
        <w:ind w:right="4"/>
        <w:contextualSpacing/>
        <w:rPr>
          <w:rFonts w:asciiTheme="minorHAnsi" w:hAnsiTheme="minorHAnsi" w:cstheme="minorHAnsi"/>
          <w:color w:val="auto"/>
        </w:rPr>
      </w:pPr>
    </w:p>
    <w:p w14:paraId="5143491E" w14:textId="42284BDF" w:rsidR="001327A2" w:rsidRPr="001220A4" w:rsidRDefault="001327A2" w:rsidP="0054535F">
      <w:pPr>
        <w:ind w:right="4"/>
        <w:contextualSpacing/>
        <w:rPr>
          <w:rFonts w:asciiTheme="minorHAnsi" w:hAnsiTheme="minorHAnsi" w:cstheme="minorHAnsi"/>
          <w:color w:val="auto"/>
        </w:rPr>
      </w:pPr>
      <w:r w:rsidRPr="001220A4">
        <w:rPr>
          <w:rFonts w:asciiTheme="minorHAnsi" w:hAnsiTheme="minorHAnsi" w:cstheme="minorHAnsi"/>
          <w:color w:val="auto"/>
        </w:rPr>
        <w:t xml:space="preserve">When compared to the concentration-time profile after oral administration of APAP to humans, our </w:t>
      </w:r>
      <w:proofErr w:type="spellStart"/>
      <w:r w:rsidRPr="001220A4">
        <w:rPr>
          <w:rFonts w:asciiTheme="minorHAnsi" w:hAnsiTheme="minorHAnsi" w:cstheme="minorHAnsi"/>
          <w:color w:val="auto"/>
        </w:rPr>
        <w:t>microphysiological</w:t>
      </w:r>
      <w:proofErr w:type="spellEnd"/>
      <w:r w:rsidRPr="001220A4">
        <w:rPr>
          <w:rFonts w:asciiTheme="minorHAnsi" w:hAnsiTheme="minorHAnsi" w:cstheme="minorHAnsi"/>
          <w:color w:val="auto"/>
        </w:rPr>
        <w:t xml:space="preserve"> system shows much larger</w:t>
      </w:r>
      <w:r w:rsidR="00104174" w:rsidRPr="001220A4">
        <w:rPr>
          <w:rFonts w:asciiTheme="minorHAnsi" w:hAnsiTheme="minorHAnsi" w:cstheme="minorHAnsi"/>
          <w:color w:val="auto"/>
        </w:rPr>
        <w:t xml:space="preserve"> </w:t>
      </w:r>
      <w:r w:rsidRPr="001220A4">
        <w:rPr>
          <w:rFonts w:asciiTheme="minorHAnsi" w:hAnsiTheme="minorHAnsi" w:cstheme="minorHAnsi"/>
          <w:color w:val="auto"/>
        </w:rPr>
        <w:t>t</w:t>
      </w:r>
      <w:r w:rsidRPr="001D574E">
        <w:rPr>
          <w:rFonts w:asciiTheme="minorHAnsi" w:hAnsiTheme="minorHAnsi" w:cstheme="minorHAnsi"/>
          <w:color w:val="auto"/>
          <w:vertAlign w:val="subscript"/>
        </w:rPr>
        <w:t>1/2</w:t>
      </w:r>
      <w:r w:rsidR="00104174" w:rsidRPr="001D574E">
        <w:rPr>
          <w:rFonts w:asciiTheme="minorHAnsi" w:hAnsiTheme="minorHAnsi" w:cstheme="minorHAnsi"/>
          <w:color w:val="auto"/>
          <w:vertAlign w:val="subscript"/>
        </w:rPr>
        <w:t xml:space="preserve"> </w:t>
      </w:r>
      <w:r w:rsidR="00104174" w:rsidRPr="001220A4">
        <w:rPr>
          <w:rFonts w:asciiTheme="minorHAnsi" w:hAnsiTheme="minorHAnsi" w:cstheme="minorHAnsi"/>
          <w:color w:val="auto"/>
        </w:rPr>
        <w:t>(half-life time)</w:t>
      </w:r>
      <w:r w:rsidRPr="001220A4">
        <w:rPr>
          <w:rFonts w:asciiTheme="minorHAnsi" w:hAnsiTheme="minorHAnsi" w:cstheme="minorHAnsi"/>
          <w:color w:val="auto"/>
        </w:rPr>
        <w:t xml:space="preserve"> (</w:t>
      </w:r>
      <w:r w:rsidR="007679BB" w:rsidRPr="007679BB">
        <w:rPr>
          <w:rFonts w:asciiTheme="minorHAnsi" w:hAnsiTheme="minorHAnsi" w:cstheme="minorHAnsi"/>
          <w:b/>
          <w:bCs/>
          <w:color w:val="auto"/>
        </w:rPr>
        <w:t>Figure</w:t>
      </w:r>
      <w:r w:rsidRPr="007679BB">
        <w:rPr>
          <w:rFonts w:asciiTheme="minorHAnsi" w:hAnsiTheme="minorHAnsi" w:cstheme="minorHAnsi"/>
          <w:b/>
          <w:bCs/>
          <w:color w:val="auto"/>
        </w:rPr>
        <w:t xml:space="preserve"> 5F</w:t>
      </w:r>
      <w:r w:rsidRPr="001220A4">
        <w:rPr>
          <w:rFonts w:asciiTheme="minorHAnsi" w:hAnsiTheme="minorHAnsi" w:cstheme="minorHAnsi"/>
          <w:color w:val="auto"/>
        </w:rPr>
        <w:t>). This happens, as mentioned before, because while we have a two-organ system with intestine and liver equivalents that can absorb and metabolize the drug, there is no kidney equivalent to excrete APAP and its metabolites from the plasma compartment</w:t>
      </w:r>
      <w:r w:rsidR="005335DC" w:rsidRPr="001220A4">
        <w:rPr>
          <w:rFonts w:asciiTheme="minorHAnsi" w:hAnsiTheme="minorHAnsi" w:cstheme="minorHAnsi"/>
          <w:color w:val="auto"/>
        </w:rPr>
        <w:fldChar w:fldCharType="begin" w:fldLock="1"/>
      </w:r>
      <w:r w:rsidR="00DE664D" w:rsidRPr="001220A4">
        <w:rPr>
          <w:rFonts w:asciiTheme="minorHAnsi" w:hAnsiTheme="minorHAnsi" w:cstheme="minorHAnsi"/>
          <w:color w:val="auto"/>
        </w:rPr>
        <w:instrText>ADDIN CSL_CITATION {"citationItems":[{"id":"ITEM-1","itemData":{"DOI":"10.1016/j.cbi.2018.11.010","ISSN":"18727786","abstract":"This study describes the characterization of pharmacokinetic (PK) properties of acetaminophen (APAP) in the Two-Organ-Chip platform (2-OC), a two-chamber device able to cultivate 3D tissues under flow. The APAP intestinal absorption and hepatic metabolism were emulated by human intestine and liver equivalents respectively. The intestinal barrier was produced using Caco-2 and HT-29 cells. The liver spheroids were produced with HepaRG and HHSTeC cells. Cell viability and toxicity were assessed by MTT assay, histology, confocal immunohistochemistry, and multiparametric high content analysis. Gene expression of intestine and liver equivalents were assessed by real-time PCR. Three assemblies of Microphysiological System (MPS) were applied: Intestine 2-OC, Liver 2-OC, and Intestine/Liver 2-OC. The oral administration was emulated by APAP placement over the apical side of the intestinal barrier and the intravenous routes were mimic by the application in the medium. Samples were analyzed by HPLC/UV. APAP 12 μM or 2 μM treatment did not induce cytotoxicity for the intestinal barrier (24 h time-point) or for the liver spheroids 12 h time-point), respectively. All preparations showed slower APAP absorption than reported for humans: Peak time (Tmax) = 12 h for Intestine 2-OC and 6 h for Intestine/Liver 2-OC in both static and dynamic conditions, against reported Tmax of 0,33 to 1,4 h after oral administration to humans. APAP metabolism was also slower than reported for humans. The APAP half-life (T1/2) was 12 h in the dynamic Liver 2-OC, against T1/2 = 2 ± 0,4 h reported for humans. Samples taken from the Liver 2-OC static preparation did not show APAP concentration decrease. These findings show the MPS capability and potential to emulate human PK properties and highlight the critical role of mechanical stimulus over cell functionality, especially by demonstrating the clear positive influence of the microfluidic flow over the liver equivalents metabolic performance.","author":[{"dropping-particle":"","family":"Marin","given":"Talita Miguel","non-dropping-particle":"","parse-names":false,"suffix":""},{"dropping-particle":"","family":"Carvalho Indolfo","given":"Nathalia","non-dropping-particle":"de","parse-names":false,"suffix":""},{"dropping-particle":"","family":"Rocco","given":"Silvana Aparecida","non-dropping-particle":"","parse-names":false,"suffix":""},{"dropping-particle":"","family":"Basei","given":"Fernanda Luisa","non-dropping-particle":"","parse-names":false,"suffix":""},{"dropping-particle":"","family":"Carvalho","given":"Murilo","non-dropping-particle":"de","parse-names":false,"suffix":""},{"dropping-particle":"","family":"Almeida Gonçalves","given":"Kaliandra","non-dropping-particle":"de","parse-names":false,"suffix":""},{"dropping-particle":"","family":"Pagani","given":"Eduardo","non-dropping-particle":"","parse-names":false,"suffix":""}],"container-title":"Chemico-Biological Interactions","id":"ITEM-1","issued":{"date-parts":[["2019"]]},"page":"59-76","title":"Acetaminophen absorption and metabolism in an intestine/liver microphysiological system","type":"article-journal","volume":"299"},"uris":["http://www.mendeley.com/documents/?uuid=21b04b72-dbd4-31ff-a1f9-df700bd129f9"]}],"mendeley":{"formattedCitation":"&lt;sup&gt;38&lt;/sup&gt;","plainTextFormattedCitation":"38","previouslyFormattedCitation":"&lt;sup&gt;38&lt;/sup&gt;"},"properties":{"noteIndex":0},"schema":"https://github.com/citation-style-language/schema/raw/master/csl-citation.json"}</w:instrText>
      </w:r>
      <w:r w:rsidR="005335DC" w:rsidRPr="001220A4">
        <w:rPr>
          <w:rFonts w:asciiTheme="minorHAnsi" w:hAnsiTheme="minorHAnsi" w:cstheme="minorHAnsi"/>
          <w:color w:val="auto"/>
        </w:rPr>
        <w:fldChar w:fldCharType="separate"/>
      </w:r>
      <w:r w:rsidR="005335DC" w:rsidRPr="001220A4">
        <w:rPr>
          <w:rFonts w:asciiTheme="minorHAnsi" w:hAnsiTheme="minorHAnsi" w:cstheme="minorHAnsi"/>
          <w:noProof/>
          <w:color w:val="auto"/>
          <w:vertAlign w:val="superscript"/>
        </w:rPr>
        <w:t>38</w:t>
      </w:r>
      <w:r w:rsidR="005335DC" w:rsidRPr="001220A4">
        <w:rPr>
          <w:rFonts w:asciiTheme="minorHAnsi" w:hAnsiTheme="minorHAnsi" w:cstheme="minorHAnsi"/>
          <w:color w:val="auto"/>
        </w:rPr>
        <w:fldChar w:fldCharType="end"/>
      </w:r>
      <w:r w:rsidR="005335DC" w:rsidRPr="001220A4">
        <w:rPr>
          <w:rFonts w:asciiTheme="minorHAnsi" w:hAnsiTheme="minorHAnsi" w:cstheme="minorHAnsi"/>
          <w:color w:val="auto"/>
        </w:rPr>
        <w:t xml:space="preserve">. </w:t>
      </w:r>
      <w:r w:rsidRPr="001220A4">
        <w:rPr>
          <w:rFonts w:asciiTheme="minorHAnsi" w:hAnsiTheme="minorHAnsi" w:cstheme="minorHAnsi"/>
          <w:color w:val="auto"/>
        </w:rPr>
        <w:t xml:space="preserve">In addition to that, </w:t>
      </w:r>
      <w:r w:rsidR="001D574E">
        <w:rPr>
          <w:rFonts w:asciiTheme="minorHAnsi" w:hAnsiTheme="minorHAnsi" w:cstheme="minorHAnsi"/>
          <w:color w:val="auto"/>
        </w:rPr>
        <w:t>the</w:t>
      </w:r>
      <w:r w:rsidRPr="001220A4">
        <w:rPr>
          <w:rFonts w:asciiTheme="minorHAnsi" w:hAnsiTheme="minorHAnsi" w:cstheme="minorHAnsi"/>
          <w:color w:val="auto"/>
        </w:rPr>
        <w:t xml:space="preserve"> </w:t>
      </w:r>
      <w:proofErr w:type="spellStart"/>
      <w:r w:rsidRPr="001220A4">
        <w:rPr>
          <w:rFonts w:asciiTheme="minorHAnsi" w:hAnsiTheme="minorHAnsi" w:cstheme="minorHAnsi"/>
          <w:color w:val="auto"/>
        </w:rPr>
        <w:t>microphysiological</w:t>
      </w:r>
      <w:proofErr w:type="spellEnd"/>
      <w:r w:rsidRPr="001220A4">
        <w:rPr>
          <w:rFonts w:asciiTheme="minorHAnsi" w:hAnsiTheme="minorHAnsi" w:cstheme="minorHAnsi"/>
          <w:color w:val="auto"/>
        </w:rPr>
        <w:t xml:space="preserve"> system shows smaller </w:t>
      </w:r>
      <w:proofErr w:type="spellStart"/>
      <w:r w:rsidRPr="001220A4">
        <w:rPr>
          <w:rFonts w:asciiTheme="minorHAnsi" w:hAnsiTheme="minorHAnsi" w:cstheme="minorHAnsi"/>
          <w:color w:val="auto"/>
        </w:rPr>
        <w:t>Cmax</w:t>
      </w:r>
      <w:proofErr w:type="spellEnd"/>
      <w:r w:rsidR="00104174" w:rsidRPr="001220A4">
        <w:rPr>
          <w:rFonts w:asciiTheme="minorHAnsi" w:hAnsiTheme="minorHAnsi" w:cstheme="minorHAnsi"/>
          <w:color w:val="auto"/>
        </w:rPr>
        <w:t xml:space="preserve"> (peak plasma concentration)</w:t>
      </w:r>
      <w:r w:rsidRPr="001220A4">
        <w:rPr>
          <w:rFonts w:asciiTheme="minorHAnsi" w:hAnsiTheme="minorHAnsi" w:cstheme="minorHAnsi"/>
          <w:color w:val="auto"/>
        </w:rPr>
        <w:t xml:space="preserve"> and larger </w:t>
      </w:r>
      <w:proofErr w:type="spellStart"/>
      <w:r w:rsidRPr="001220A4">
        <w:rPr>
          <w:rFonts w:asciiTheme="minorHAnsi" w:hAnsiTheme="minorHAnsi" w:cstheme="minorHAnsi"/>
          <w:color w:val="auto"/>
        </w:rPr>
        <w:t>tmax</w:t>
      </w:r>
      <w:proofErr w:type="spellEnd"/>
      <w:r w:rsidR="008E4F90">
        <w:rPr>
          <w:rFonts w:asciiTheme="minorHAnsi" w:hAnsiTheme="minorHAnsi" w:cstheme="minorHAnsi"/>
          <w:color w:val="auto"/>
        </w:rPr>
        <w:t xml:space="preserve"> </w:t>
      </w:r>
      <w:r w:rsidR="00DB3983" w:rsidRPr="001220A4">
        <w:rPr>
          <w:rFonts w:asciiTheme="minorHAnsi" w:hAnsiTheme="minorHAnsi" w:cstheme="minorHAnsi"/>
          <w:color w:val="auto"/>
        </w:rPr>
        <w:t xml:space="preserve">(time to reach </w:t>
      </w:r>
      <w:proofErr w:type="spellStart"/>
      <w:r w:rsidR="00DB3983" w:rsidRPr="001220A4">
        <w:rPr>
          <w:rFonts w:asciiTheme="minorHAnsi" w:hAnsiTheme="minorHAnsi" w:cstheme="minorHAnsi"/>
          <w:color w:val="auto"/>
        </w:rPr>
        <w:t>Cmax</w:t>
      </w:r>
      <w:proofErr w:type="spellEnd"/>
      <w:r w:rsidR="00DB3983" w:rsidRPr="001220A4">
        <w:rPr>
          <w:rFonts w:asciiTheme="minorHAnsi" w:hAnsiTheme="minorHAnsi" w:cstheme="minorHAnsi"/>
          <w:color w:val="auto"/>
        </w:rPr>
        <w:t xml:space="preserve">) </w:t>
      </w:r>
      <w:r w:rsidRPr="001220A4">
        <w:rPr>
          <w:rFonts w:asciiTheme="minorHAnsi" w:hAnsiTheme="minorHAnsi" w:cstheme="minorHAnsi"/>
          <w:color w:val="auto"/>
        </w:rPr>
        <w:t>than what is typically observed for humans (</w:t>
      </w:r>
      <w:r w:rsidR="007679BB" w:rsidRPr="007679BB">
        <w:rPr>
          <w:rFonts w:asciiTheme="minorHAnsi" w:hAnsiTheme="minorHAnsi" w:cstheme="minorHAnsi"/>
          <w:b/>
          <w:bCs/>
          <w:color w:val="auto"/>
        </w:rPr>
        <w:t>Figure</w:t>
      </w:r>
      <w:r w:rsidRPr="007679BB">
        <w:rPr>
          <w:rFonts w:asciiTheme="minorHAnsi" w:hAnsiTheme="minorHAnsi" w:cstheme="minorHAnsi"/>
          <w:b/>
          <w:bCs/>
          <w:color w:val="auto"/>
        </w:rPr>
        <w:t xml:space="preserve"> 5F</w:t>
      </w:r>
      <w:r w:rsidRPr="001220A4">
        <w:rPr>
          <w:rFonts w:asciiTheme="minorHAnsi" w:hAnsiTheme="minorHAnsi" w:cstheme="minorHAnsi"/>
          <w:color w:val="auto"/>
        </w:rPr>
        <w:t xml:space="preserve">). This is a consequence of the differences in the scale of the </w:t>
      </w:r>
      <w:r w:rsidR="00194937" w:rsidRPr="00194937">
        <w:rPr>
          <w:rFonts w:asciiTheme="minorHAnsi" w:hAnsiTheme="minorHAnsi" w:cstheme="minorHAnsi"/>
          <w:color w:val="auto"/>
        </w:rPr>
        <w:t>in vitro</w:t>
      </w:r>
      <w:r w:rsidRPr="001220A4">
        <w:rPr>
          <w:rFonts w:asciiTheme="minorHAnsi" w:hAnsiTheme="minorHAnsi" w:cstheme="minorHAnsi"/>
          <w:color w:val="auto"/>
        </w:rPr>
        <w:t xml:space="preserve"> </w:t>
      </w:r>
      <w:r w:rsidRPr="007679BB">
        <w:rPr>
          <w:rFonts w:asciiTheme="minorHAnsi" w:hAnsiTheme="minorHAnsi" w:cstheme="minorHAnsi"/>
          <w:color w:val="auto"/>
        </w:rPr>
        <w:t>and in vivo</w:t>
      </w:r>
      <w:r w:rsidRPr="001220A4">
        <w:rPr>
          <w:rFonts w:asciiTheme="minorHAnsi" w:hAnsiTheme="minorHAnsi" w:cstheme="minorHAnsi"/>
          <w:color w:val="auto"/>
        </w:rPr>
        <w:t xml:space="preserve"> experiments. </w:t>
      </w:r>
      <w:r w:rsidR="00BC1D72" w:rsidRPr="001220A4">
        <w:rPr>
          <w:rFonts w:asciiTheme="minorHAnsi" w:hAnsiTheme="minorHAnsi" w:cstheme="minorHAnsi"/>
          <w:color w:val="auto"/>
        </w:rPr>
        <w:t xml:space="preserve">Overall, there are three main differences between the concentration–time profile obtained using </w:t>
      </w:r>
      <w:r w:rsidR="001D574E">
        <w:rPr>
          <w:rFonts w:asciiTheme="minorHAnsi" w:hAnsiTheme="minorHAnsi" w:cstheme="minorHAnsi"/>
          <w:color w:val="auto"/>
        </w:rPr>
        <w:t>the</w:t>
      </w:r>
      <w:r w:rsidR="00BC1D72" w:rsidRPr="001220A4">
        <w:rPr>
          <w:rFonts w:asciiTheme="minorHAnsi" w:hAnsiTheme="minorHAnsi" w:cstheme="minorHAnsi"/>
          <w:color w:val="auto"/>
        </w:rPr>
        <w:t xml:space="preserve"> </w:t>
      </w:r>
      <w:proofErr w:type="spellStart"/>
      <w:r w:rsidR="00BC1D72" w:rsidRPr="001220A4">
        <w:rPr>
          <w:rFonts w:asciiTheme="minorHAnsi" w:hAnsiTheme="minorHAnsi" w:cstheme="minorHAnsi"/>
          <w:color w:val="auto"/>
        </w:rPr>
        <w:t>microphysiological</w:t>
      </w:r>
      <w:proofErr w:type="spellEnd"/>
      <w:r w:rsidR="00BC1D72" w:rsidRPr="001220A4">
        <w:rPr>
          <w:rFonts w:asciiTheme="minorHAnsi" w:hAnsiTheme="minorHAnsi" w:cstheme="minorHAnsi"/>
          <w:color w:val="auto"/>
        </w:rPr>
        <w:t xml:space="preserve"> system and profiles obtained after oral administration of APAP to humans: larger t</w:t>
      </w:r>
      <w:r w:rsidR="001D574E" w:rsidRPr="001D574E">
        <w:rPr>
          <w:rFonts w:asciiTheme="minorHAnsi" w:hAnsiTheme="minorHAnsi" w:cstheme="minorHAnsi"/>
          <w:color w:val="auto"/>
          <w:vertAlign w:val="subscript"/>
        </w:rPr>
        <w:t>1/2</w:t>
      </w:r>
      <w:r w:rsidR="00BC1D72" w:rsidRPr="001220A4">
        <w:rPr>
          <w:rFonts w:asciiTheme="minorHAnsi" w:hAnsiTheme="minorHAnsi" w:cstheme="minorHAnsi"/>
          <w:color w:val="auto"/>
        </w:rPr>
        <w:t xml:space="preserve">, smaller </w:t>
      </w:r>
      <w:proofErr w:type="spellStart"/>
      <w:r w:rsidR="00BC1D72" w:rsidRPr="001220A4">
        <w:rPr>
          <w:rFonts w:asciiTheme="minorHAnsi" w:hAnsiTheme="minorHAnsi" w:cstheme="minorHAnsi"/>
          <w:color w:val="auto"/>
        </w:rPr>
        <w:t>C</w:t>
      </w:r>
      <w:r w:rsidR="00BC1D72" w:rsidRPr="001D574E">
        <w:rPr>
          <w:rFonts w:asciiTheme="minorHAnsi" w:hAnsiTheme="minorHAnsi" w:cstheme="minorHAnsi"/>
          <w:color w:val="auto"/>
          <w:vertAlign w:val="subscript"/>
        </w:rPr>
        <w:t>max</w:t>
      </w:r>
      <w:proofErr w:type="spellEnd"/>
      <w:r w:rsidR="00BC1D72" w:rsidRPr="001220A4">
        <w:rPr>
          <w:rFonts w:asciiTheme="minorHAnsi" w:hAnsiTheme="minorHAnsi" w:cstheme="minorHAnsi"/>
          <w:color w:val="auto"/>
        </w:rPr>
        <w:t xml:space="preserve"> and larger </w:t>
      </w:r>
      <w:proofErr w:type="spellStart"/>
      <w:r w:rsidR="00BC1D72" w:rsidRPr="001220A4">
        <w:rPr>
          <w:rFonts w:asciiTheme="minorHAnsi" w:hAnsiTheme="minorHAnsi" w:cstheme="minorHAnsi"/>
          <w:color w:val="auto"/>
        </w:rPr>
        <w:t>t</w:t>
      </w:r>
      <w:r w:rsidR="00BC1D72" w:rsidRPr="001D574E">
        <w:rPr>
          <w:rFonts w:asciiTheme="minorHAnsi" w:hAnsiTheme="minorHAnsi" w:cstheme="minorHAnsi"/>
          <w:color w:val="auto"/>
          <w:vertAlign w:val="subscript"/>
        </w:rPr>
        <w:t>max</w:t>
      </w:r>
      <w:proofErr w:type="spellEnd"/>
      <w:r w:rsidR="00BC1D72" w:rsidRPr="001220A4">
        <w:rPr>
          <w:rFonts w:asciiTheme="minorHAnsi" w:hAnsiTheme="minorHAnsi" w:cstheme="minorHAnsi"/>
          <w:color w:val="auto"/>
        </w:rPr>
        <w:t xml:space="preserve"> (</w:t>
      </w:r>
      <w:r w:rsidR="007679BB" w:rsidRPr="007679BB">
        <w:rPr>
          <w:rFonts w:asciiTheme="minorHAnsi" w:hAnsiTheme="minorHAnsi" w:cstheme="minorHAnsi"/>
          <w:b/>
          <w:bCs/>
          <w:color w:val="auto"/>
        </w:rPr>
        <w:t>Figure</w:t>
      </w:r>
      <w:r w:rsidR="00BC1D72" w:rsidRPr="007679BB">
        <w:rPr>
          <w:rFonts w:asciiTheme="minorHAnsi" w:hAnsiTheme="minorHAnsi" w:cstheme="minorHAnsi"/>
          <w:b/>
          <w:bCs/>
          <w:color w:val="auto"/>
        </w:rPr>
        <w:t xml:space="preserve"> </w:t>
      </w:r>
      <w:r w:rsidR="00DB3983" w:rsidRPr="007679BB">
        <w:rPr>
          <w:rFonts w:asciiTheme="minorHAnsi" w:hAnsiTheme="minorHAnsi" w:cstheme="minorHAnsi"/>
          <w:b/>
          <w:bCs/>
          <w:color w:val="auto"/>
        </w:rPr>
        <w:t>5F</w:t>
      </w:r>
      <w:r w:rsidR="00BC1D72" w:rsidRPr="001220A4">
        <w:rPr>
          <w:rFonts w:asciiTheme="minorHAnsi" w:hAnsiTheme="minorHAnsi" w:cstheme="minorHAnsi"/>
          <w:color w:val="auto"/>
        </w:rPr>
        <w:t>). While the larger t</w:t>
      </w:r>
      <w:r w:rsidR="001D574E" w:rsidRPr="001D574E">
        <w:rPr>
          <w:rFonts w:asciiTheme="minorHAnsi" w:hAnsiTheme="minorHAnsi" w:cstheme="minorHAnsi"/>
          <w:color w:val="auto"/>
          <w:vertAlign w:val="subscript"/>
        </w:rPr>
        <w:t xml:space="preserve">1/2 </w:t>
      </w:r>
      <w:r w:rsidR="00BC1D72" w:rsidRPr="001220A4">
        <w:rPr>
          <w:rFonts w:asciiTheme="minorHAnsi" w:hAnsiTheme="minorHAnsi" w:cstheme="minorHAnsi"/>
          <w:color w:val="auto"/>
        </w:rPr>
        <w:t xml:space="preserve">is due to the absence of a kidney equivalent to excrete APAP and its metabolites from the plasma equivalent, smaller </w:t>
      </w:r>
      <w:proofErr w:type="spellStart"/>
      <w:r w:rsidR="00BC1D72" w:rsidRPr="001220A4">
        <w:rPr>
          <w:rFonts w:asciiTheme="minorHAnsi" w:hAnsiTheme="minorHAnsi" w:cstheme="minorHAnsi"/>
          <w:color w:val="auto"/>
        </w:rPr>
        <w:t>C</w:t>
      </w:r>
      <w:r w:rsidR="00BC1D72" w:rsidRPr="001D574E">
        <w:rPr>
          <w:rFonts w:asciiTheme="minorHAnsi" w:hAnsiTheme="minorHAnsi" w:cstheme="minorHAnsi"/>
          <w:color w:val="auto"/>
          <w:vertAlign w:val="subscript"/>
        </w:rPr>
        <w:t>max</w:t>
      </w:r>
      <w:proofErr w:type="spellEnd"/>
      <w:r w:rsidR="00BC1D72" w:rsidRPr="001220A4">
        <w:rPr>
          <w:rFonts w:asciiTheme="minorHAnsi" w:hAnsiTheme="minorHAnsi" w:cstheme="minorHAnsi"/>
          <w:color w:val="auto"/>
        </w:rPr>
        <w:t xml:space="preserve"> and larger </w:t>
      </w:r>
      <w:proofErr w:type="spellStart"/>
      <w:r w:rsidR="00BC1D72" w:rsidRPr="001220A4">
        <w:rPr>
          <w:rFonts w:asciiTheme="minorHAnsi" w:hAnsiTheme="minorHAnsi" w:cstheme="minorHAnsi"/>
          <w:color w:val="auto"/>
        </w:rPr>
        <w:t>t</w:t>
      </w:r>
      <w:r w:rsidR="00BC1D72" w:rsidRPr="001D574E">
        <w:rPr>
          <w:rFonts w:asciiTheme="minorHAnsi" w:hAnsiTheme="minorHAnsi" w:cstheme="minorHAnsi"/>
          <w:color w:val="auto"/>
          <w:vertAlign w:val="subscript"/>
        </w:rPr>
        <w:t>max</w:t>
      </w:r>
      <w:proofErr w:type="spellEnd"/>
      <w:r w:rsidR="00BC1D72" w:rsidRPr="001220A4">
        <w:rPr>
          <w:rFonts w:asciiTheme="minorHAnsi" w:hAnsiTheme="minorHAnsi" w:cstheme="minorHAnsi"/>
          <w:color w:val="auto"/>
        </w:rPr>
        <w:t xml:space="preserve"> are consequences of the small scale of the experiment when compared to the human body. </w:t>
      </w:r>
      <w:r w:rsidRPr="001220A4">
        <w:rPr>
          <w:rFonts w:asciiTheme="minorHAnsi" w:hAnsiTheme="minorHAnsi" w:cstheme="minorHAnsi"/>
          <w:color w:val="auto"/>
        </w:rPr>
        <w:t xml:space="preserve">The best scaling strategies for building and operating </w:t>
      </w:r>
      <w:proofErr w:type="spellStart"/>
      <w:r w:rsidRPr="001220A4">
        <w:rPr>
          <w:rFonts w:asciiTheme="minorHAnsi" w:hAnsiTheme="minorHAnsi" w:cstheme="minorHAnsi"/>
          <w:color w:val="auto"/>
        </w:rPr>
        <w:t>microphysiological</w:t>
      </w:r>
      <w:proofErr w:type="spellEnd"/>
      <w:r w:rsidRPr="001220A4">
        <w:rPr>
          <w:rFonts w:asciiTheme="minorHAnsi" w:hAnsiTheme="minorHAnsi" w:cstheme="minorHAnsi"/>
          <w:color w:val="auto"/>
        </w:rPr>
        <w:t xml:space="preserve"> systems are still an active area of research and it is unlikely that a single approach is optimal for all systems</w:t>
      </w:r>
      <w:r w:rsidR="005335DC" w:rsidRPr="001220A4">
        <w:rPr>
          <w:rFonts w:asciiTheme="minorHAnsi" w:hAnsiTheme="minorHAnsi" w:cstheme="minorHAnsi"/>
          <w:color w:val="auto"/>
        </w:rPr>
        <w:fldChar w:fldCharType="begin" w:fldLock="1"/>
      </w:r>
      <w:r w:rsidR="00DE664D" w:rsidRPr="001220A4">
        <w:rPr>
          <w:rFonts w:asciiTheme="minorHAnsi" w:hAnsiTheme="minorHAnsi" w:cstheme="minorHAnsi"/>
          <w:color w:val="auto"/>
        </w:rPr>
        <w:instrText>ADDIN CSL_CITATION {"citationItems":[{"id":"ITEM-1","itemData":{"DOI":"10.1039/c6ib00243a","ISSN":"17579708","abstract":"Microphysiological systems (MPS) provide relevant physiological environments in vitro for studies of pharmacokinetics, pharmacodynamics and biological mechanisms for translational research. Designing multi-MPS platforms is essential to study multi-organ systems. Typical design approaches, including direct and allometric scaling, scale each MPS individually and are based on relative sizes not function. This study's aim was to develop a new multi-functional scaling approach for integrated multi-MPS platform design for specific applications. We developed an optimization approach using mechanistic modeling and specification of an objective that considered multiple MPS functions, e.g., drug absorption and metabolism, simultaneously to identify system design parameters. This approach informed the design of two hypothetical multi-MPS platforms consisting of gut and liver (multi-MPS platform I) and gut, liver and kidney (multi-MPS platform II) to recapitulate in vivo drug exposures in vitro. This allows establishment of clinically relevant drug exposure-response relationships, a prerequisite for efficacy and toxicology assessment. Design parameters resulting from multi-functional scaling were compared to designs based on direct and allometric scaling. Human plasma time-concentration profiles of eight drugs were used to inform the designs, and profiles of an additional five drugs were calculated to test the designed platforms on an independent set. Multi-functional scaling yielded exposure times in good agreement with in vivo data, while direct and allometric scaling approaches resulted in short exposure durations. Multi-functional scaling allows appropriate scaling from in vivo to in vitro of multi-MPS platforms, and in the cases studied provides designs that better mimic in vivo exposures than standard MPS scaling methods.","author":[{"dropping-particle":"","family":"Maass","given":"Christian","non-dropping-particle":"","parse-names":false,"suffix":""},{"dropping-particle":"","family":"Stokes","given":"Cynthia L.","non-dropping-particle":"","parse-names":false,"suffix":""},{"dropping-particle":"","family":"Griffith","given":"Linda G.","non-dropping-particle":"","parse-names":false,"suffix":""},{"dropping-particle":"","family":"Cirit","given":"Murat","non-dropping-particle":"","parse-names":false,"suffix":""}],"container-title":"Integrative Biology (United Kingdom)","id":"ITEM-1","issue":"4","issued":{"date-parts":[["2017"]]},"page":"290-302","title":"Multi-functional scaling methodology for translational pharmacokinetic and pharmacodynamic applications using integrated microphysiological systems (MPS)","type":"article-journal","volume":"9"},"uris":["http://www.mendeley.com/documents/?uuid=962d4aae-05b7-3900-b5eb-7c8636494366"]}],"mendeley":{"formattedCitation":"&lt;sup&gt;39&lt;/sup&gt;","plainTextFormattedCitation":"39","previouslyFormattedCitation":"&lt;sup&gt;39&lt;/sup&gt;"},"properties":{"noteIndex":0},"schema":"https://github.com/citation-style-language/schema/raw/master/csl-citation.json"}</w:instrText>
      </w:r>
      <w:r w:rsidR="005335DC" w:rsidRPr="001220A4">
        <w:rPr>
          <w:rFonts w:asciiTheme="minorHAnsi" w:hAnsiTheme="minorHAnsi" w:cstheme="minorHAnsi"/>
          <w:color w:val="auto"/>
        </w:rPr>
        <w:fldChar w:fldCharType="separate"/>
      </w:r>
      <w:r w:rsidR="005335DC" w:rsidRPr="001220A4">
        <w:rPr>
          <w:rFonts w:asciiTheme="minorHAnsi" w:hAnsiTheme="minorHAnsi" w:cstheme="minorHAnsi"/>
          <w:noProof/>
          <w:color w:val="auto"/>
          <w:vertAlign w:val="superscript"/>
        </w:rPr>
        <w:t>39</w:t>
      </w:r>
      <w:r w:rsidR="005335DC" w:rsidRPr="001220A4">
        <w:rPr>
          <w:rFonts w:asciiTheme="minorHAnsi" w:hAnsiTheme="minorHAnsi" w:cstheme="minorHAnsi"/>
          <w:color w:val="auto"/>
        </w:rPr>
        <w:fldChar w:fldCharType="end"/>
      </w:r>
      <w:r w:rsidRPr="001220A4">
        <w:rPr>
          <w:rFonts w:asciiTheme="minorHAnsi" w:hAnsiTheme="minorHAnsi" w:cstheme="minorHAnsi"/>
          <w:color w:val="auto"/>
        </w:rPr>
        <w:t xml:space="preserve">. Additionally, mathematical modeling or machine learning can be used to apply corrections or learn the mapping from the micro scale to full scale in order to extrapolate </w:t>
      </w:r>
      <w:r w:rsidR="00194937" w:rsidRPr="00194937">
        <w:rPr>
          <w:rFonts w:asciiTheme="minorHAnsi" w:hAnsiTheme="minorHAnsi" w:cstheme="minorHAnsi"/>
          <w:color w:val="auto"/>
        </w:rPr>
        <w:t>in vitro</w:t>
      </w:r>
      <w:r w:rsidRPr="001220A4">
        <w:rPr>
          <w:rFonts w:asciiTheme="minorHAnsi" w:hAnsiTheme="minorHAnsi" w:cstheme="minorHAnsi"/>
          <w:color w:val="auto"/>
        </w:rPr>
        <w:t xml:space="preserve"> </w:t>
      </w:r>
      <w:r w:rsidRPr="001220A4">
        <w:rPr>
          <w:rFonts w:asciiTheme="minorHAnsi" w:hAnsiTheme="minorHAnsi" w:cstheme="minorHAnsi"/>
          <w:color w:val="auto"/>
        </w:rPr>
        <w:lastRenderedPageBreak/>
        <w:t xml:space="preserve">data obtained with the </w:t>
      </w:r>
      <w:proofErr w:type="spellStart"/>
      <w:r w:rsidRPr="001220A4">
        <w:rPr>
          <w:rFonts w:asciiTheme="minorHAnsi" w:hAnsiTheme="minorHAnsi" w:cstheme="minorHAnsi"/>
          <w:color w:val="auto"/>
        </w:rPr>
        <w:t>microphysiological</w:t>
      </w:r>
      <w:proofErr w:type="spellEnd"/>
      <w:r w:rsidRPr="001220A4">
        <w:rPr>
          <w:rFonts w:asciiTheme="minorHAnsi" w:hAnsiTheme="minorHAnsi" w:cstheme="minorHAnsi"/>
          <w:color w:val="auto"/>
        </w:rPr>
        <w:t xml:space="preserve"> systems to </w:t>
      </w:r>
      <w:r w:rsidRPr="001D574E">
        <w:rPr>
          <w:rFonts w:asciiTheme="minorHAnsi" w:hAnsiTheme="minorHAnsi" w:cstheme="minorHAnsi"/>
          <w:color w:val="auto"/>
        </w:rPr>
        <w:t>the in vivo</w:t>
      </w:r>
      <w:r w:rsidRPr="001220A4">
        <w:rPr>
          <w:rFonts w:asciiTheme="minorHAnsi" w:hAnsiTheme="minorHAnsi" w:cstheme="minorHAnsi"/>
          <w:color w:val="auto"/>
        </w:rPr>
        <w:t xml:space="preserve"> behavior observed in humans</w:t>
      </w:r>
      <w:r w:rsidR="005335DC" w:rsidRPr="001220A4">
        <w:rPr>
          <w:rFonts w:asciiTheme="minorHAnsi" w:hAnsiTheme="minorHAnsi" w:cstheme="minorHAnsi"/>
          <w:color w:val="auto"/>
        </w:rPr>
        <w:fldChar w:fldCharType="begin" w:fldLock="1"/>
      </w:r>
      <w:r w:rsidR="00DE664D" w:rsidRPr="001220A4">
        <w:rPr>
          <w:rFonts w:asciiTheme="minorHAnsi" w:hAnsiTheme="minorHAnsi" w:cstheme="minorHAnsi"/>
          <w:color w:val="auto"/>
        </w:rPr>
        <w:instrText>ADDIN CSL_CITATION {"citationItems":[{"id":"ITEM-1","itemData":{"DOI":"10.1063/1.5097675","ISSN":"2473-2877","abstract":"Recent advances in organ-on-a-chip technology have resulted in numerous examples of microscale systems that faithfully mimic the physiology and pathology of human organs and diseases. The next step...","author":[{"dropping-particle":"","family":"Sung","given":"Jong Hwan","non-dropping-particle":"","parse-names":false,"suffix":""},{"dropping-particle":"","family":"Wang","given":"Ying","non-dropping-particle":"","parse-names":false,"suffix":""},{"dropping-particle":"","family":"Shuler","given":"Michael L.","non-dropping-particle":"","parse-names":false,"suffix":""}],"container-title":"APL Bioengineering","id":"ITEM-1","issue":"2","issued":{"date-parts":[["2019"]]},"page":"021501","title":"Strategies for using mathematical modeling approaches to design and interpret multi-organ microphysiological systems (MPS)","type":"article-journal","volume":"3"},"uris":["http://www.mendeley.com/documents/?uuid=0aed321c-9faa-3b69-b0f2-e2c146c409ab"]}],"mendeley":{"formattedCitation":"&lt;sup&gt;40&lt;/sup&gt;","plainTextFormattedCitation":"40","previouslyFormattedCitation":"&lt;sup&gt;40&lt;/sup&gt;"},"properties":{"noteIndex":0},"schema":"https://github.com/citation-style-language/schema/raw/master/csl-citation.json"}</w:instrText>
      </w:r>
      <w:r w:rsidR="005335DC" w:rsidRPr="001220A4">
        <w:rPr>
          <w:rFonts w:asciiTheme="minorHAnsi" w:hAnsiTheme="minorHAnsi" w:cstheme="minorHAnsi"/>
          <w:color w:val="auto"/>
        </w:rPr>
        <w:fldChar w:fldCharType="separate"/>
      </w:r>
      <w:r w:rsidR="005335DC" w:rsidRPr="001220A4">
        <w:rPr>
          <w:rFonts w:asciiTheme="minorHAnsi" w:hAnsiTheme="minorHAnsi" w:cstheme="minorHAnsi"/>
          <w:noProof/>
          <w:color w:val="auto"/>
          <w:vertAlign w:val="superscript"/>
        </w:rPr>
        <w:t>40</w:t>
      </w:r>
      <w:r w:rsidR="005335DC" w:rsidRPr="001220A4">
        <w:rPr>
          <w:rFonts w:asciiTheme="minorHAnsi" w:hAnsiTheme="minorHAnsi" w:cstheme="minorHAnsi"/>
          <w:color w:val="auto"/>
        </w:rPr>
        <w:fldChar w:fldCharType="end"/>
      </w:r>
      <w:r w:rsidR="005335DC" w:rsidRPr="001220A4">
        <w:rPr>
          <w:rFonts w:asciiTheme="minorHAnsi" w:hAnsiTheme="minorHAnsi" w:cstheme="minorHAnsi"/>
          <w:color w:val="auto"/>
        </w:rPr>
        <w:t>.</w:t>
      </w:r>
    </w:p>
    <w:p w14:paraId="59F8AAD2" w14:textId="77777777" w:rsidR="001327A2" w:rsidRPr="001220A4" w:rsidRDefault="001327A2" w:rsidP="0054535F">
      <w:pPr>
        <w:ind w:right="4"/>
        <w:contextualSpacing/>
        <w:rPr>
          <w:rFonts w:asciiTheme="minorHAnsi" w:hAnsiTheme="minorHAnsi" w:cstheme="minorHAnsi"/>
          <w:color w:val="auto"/>
        </w:rPr>
      </w:pPr>
    </w:p>
    <w:p w14:paraId="1734505F" w14:textId="7EF61F4A" w:rsidR="00AA03DF" w:rsidRPr="001220A4" w:rsidRDefault="00AA03DF" w:rsidP="0054535F">
      <w:pPr>
        <w:pStyle w:val="NormalWeb"/>
        <w:spacing w:before="0" w:beforeAutospacing="0" w:after="0" w:afterAutospacing="0"/>
        <w:ind w:right="4"/>
        <w:contextualSpacing/>
        <w:rPr>
          <w:rFonts w:asciiTheme="minorHAnsi" w:hAnsiTheme="minorHAnsi" w:cstheme="minorHAnsi"/>
          <w:color w:val="808080"/>
        </w:rPr>
      </w:pPr>
      <w:r w:rsidRPr="001220A4">
        <w:rPr>
          <w:rFonts w:asciiTheme="minorHAnsi" w:hAnsiTheme="minorHAnsi" w:cstheme="minorHAnsi"/>
          <w:b/>
          <w:bCs/>
        </w:rPr>
        <w:t xml:space="preserve">ACKNOWLEDGMENTS: </w:t>
      </w:r>
    </w:p>
    <w:p w14:paraId="2D96E92E" w14:textId="17C2A701" w:rsidR="00AA03DF" w:rsidRPr="001220A4" w:rsidRDefault="00934F69" w:rsidP="0054535F">
      <w:pPr>
        <w:ind w:right="4"/>
        <w:contextualSpacing/>
        <w:rPr>
          <w:rFonts w:asciiTheme="minorHAnsi" w:hAnsiTheme="minorHAnsi" w:cstheme="minorHAnsi"/>
          <w:bCs/>
        </w:rPr>
      </w:pPr>
      <w:r w:rsidRPr="001220A4">
        <w:rPr>
          <w:rFonts w:asciiTheme="minorHAnsi" w:hAnsiTheme="minorHAnsi" w:cstheme="minorHAnsi"/>
          <w:bCs/>
        </w:rPr>
        <w:t xml:space="preserve">We </w:t>
      </w:r>
      <w:r w:rsidR="00B07E11" w:rsidRPr="001220A4">
        <w:rPr>
          <w:rFonts w:asciiTheme="minorHAnsi" w:hAnsiTheme="minorHAnsi" w:cstheme="minorHAnsi"/>
          <w:bCs/>
        </w:rPr>
        <w:t xml:space="preserve">thanks to Dr. Christie </w:t>
      </w:r>
      <w:proofErr w:type="spellStart"/>
      <w:r w:rsidR="00B2719E" w:rsidRPr="001220A4">
        <w:rPr>
          <w:rFonts w:asciiTheme="minorHAnsi" w:hAnsiTheme="minorHAnsi" w:cstheme="minorHAnsi"/>
          <w:bCs/>
        </w:rPr>
        <w:t>Guguen-Guillouzo</w:t>
      </w:r>
      <w:proofErr w:type="spellEnd"/>
      <w:r w:rsidR="00B07E11" w:rsidRPr="001220A4">
        <w:rPr>
          <w:rFonts w:asciiTheme="minorHAnsi" w:hAnsiTheme="minorHAnsi" w:cstheme="minorHAnsi"/>
          <w:bCs/>
        </w:rPr>
        <w:t xml:space="preserve">, Dr. Philippe </w:t>
      </w:r>
      <w:proofErr w:type="spellStart"/>
      <w:r w:rsidR="00B2719E" w:rsidRPr="001220A4">
        <w:rPr>
          <w:rFonts w:asciiTheme="minorHAnsi" w:hAnsiTheme="minorHAnsi" w:cstheme="minorHAnsi"/>
          <w:bCs/>
        </w:rPr>
        <w:t>Gripon</w:t>
      </w:r>
      <w:proofErr w:type="spellEnd"/>
      <w:r w:rsidR="00B2719E" w:rsidRPr="001220A4">
        <w:rPr>
          <w:rFonts w:asciiTheme="minorHAnsi" w:hAnsiTheme="minorHAnsi" w:cstheme="minorHAnsi"/>
          <w:bCs/>
        </w:rPr>
        <w:t xml:space="preserve"> </w:t>
      </w:r>
      <w:r w:rsidR="00B07E11" w:rsidRPr="001220A4">
        <w:rPr>
          <w:rFonts w:asciiTheme="minorHAnsi" w:hAnsiTheme="minorHAnsi" w:cstheme="minorHAnsi"/>
          <w:bCs/>
        </w:rPr>
        <w:t xml:space="preserve">at Unit 522 INSERM and to Dr. Christian </w:t>
      </w:r>
      <w:proofErr w:type="spellStart"/>
      <w:r w:rsidR="00B2719E" w:rsidRPr="001220A4">
        <w:rPr>
          <w:rFonts w:asciiTheme="minorHAnsi" w:hAnsiTheme="minorHAnsi" w:cstheme="minorHAnsi"/>
          <w:bCs/>
        </w:rPr>
        <w:t>Trepo</w:t>
      </w:r>
      <w:proofErr w:type="spellEnd"/>
      <w:r w:rsidR="00B2719E" w:rsidRPr="001220A4">
        <w:rPr>
          <w:rFonts w:asciiTheme="minorHAnsi" w:hAnsiTheme="minorHAnsi" w:cstheme="minorHAnsi"/>
          <w:bCs/>
        </w:rPr>
        <w:t xml:space="preserve"> </w:t>
      </w:r>
      <w:r w:rsidR="00B07E11" w:rsidRPr="001220A4">
        <w:rPr>
          <w:rFonts w:asciiTheme="minorHAnsi" w:hAnsiTheme="minorHAnsi" w:cstheme="minorHAnsi"/>
          <w:bCs/>
        </w:rPr>
        <w:t>at Unit 271 INSERM for the use of the Biological Material (</w:t>
      </w:r>
      <w:proofErr w:type="spellStart"/>
      <w:r w:rsidR="00B07E11" w:rsidRPr="001220A4">
        <w:rPr>
          <w:rFonts w:asciiTheme="minorHAnsi" w:hAnsiTheme="minorHAnsi" w:cstheme="minorHAnsi"/>
          <w:bCs/>
        </w:rPr>
        <w:t>Hepa</w:t>
      </w:r>
      <w:proofErr w:type="spellEnd"/>
      <w:r w:rsidR="00B07E11" w:rsidRPr="001220A4">
        <w:rPr>
          <w:rFonts w:asciiTheme="minorHAnsi" w:hAnsiTheme="minorHAnsi" w:cstheme="minorHAnsi"/>
          <w:bCs/>
        </w:rPr>
        <w:t xml:space="preserve"> RG cells) and for ma</w:t>
      </w:r>
      <w:r w:rsidR="005F6BC9" w:rsidRPr="001220A4">
        <w:rPr>
          <w:rFonts w:asciiTheme="minorHAnsi" w:hAnsiTheme="minorHAnsi" w:cstheme="minorHAnsi"/>
          <w:bCs/>
        </w:rPr>
        <w:t>king</w:t>
      </w:r>
      <w:r w:rsidR="00B07E11" w:rsidRPr="001220A4">
        <w:rPr>
          <w:rFonts w:asciiTheme="minorHAnsi" w:hAnsiTheme="minorHAnsi" w:cstheme="minorHAnsi"/>
          <w:bCs/>
        </w:rPr>
        <w:t xml:space="preserve"> th</w:t>
      </w:r>
      <w:r w:rsidR="005F6BC9" w:rsidRPr="001220A4">
        <w:rPr>
          <w:rFonts w:asciiTheme="minorHAnsi" w:hAnsiTheme="minorHAnsi" w:cstheme="minorHAnsi"/>
          <w:bCs/>
        </w:rPr>
        <w:t>e</w:t>
      </w:r>
      <w:r w:rsidR="00B07E11" w:rsidRPr="001220A4">
        <w:rPr>
          <w:rFonts w:asciiTheme="minorHAnsi" w:hAnsiTheme="minorHAnsi" w:cstheme="minorHAnsi"/>
          <w:bCs/>
        </w:rPr>
        <w:t>n available for us in order to perform the academic research.</w:t>
      </w:r>
    </w:p>
    <w:p w14:paraId="27DEFF8C" w14:textId="77777777" w:rsidR="00341DA6" w:rsidRPr="001220A4" w:rsidRDefault="00341DA6" w:rsidP="0054535F">
      <w:pPr>
        <w:ind w:right="4"/>
        <w:contextualSpacing/>
        <w:rPr>
          <w:rFonts w:asciiTheme="minorHAnsi" w:hAnsiTheme="minorHAnsi" w:cstheme="minorHAnsi"/>
          <w:b/>
          <w:bCs/>
        </w:rPr>
      </w:pPr>
    </w:p>
    <w:p w14:paraId="5D52ED8B" w14:textId="7608C00B" w:rsidR="00AA03DF" w:rsidRPr="001220A4" w:rsidRDefault="00AA03DF" w:rsidP="0054535F">
      <w:pPr>
        <w:pStyle w:val="NormalWeb"/>
        <w:spacing w:before="0" w:beforeAutospacing="0" w:after="0" w:afterAutospacing="0"/>
        <w:ind w:right="4"/>
        <w:contextualSpacing/>
        <w:rPr>
          <w:rFonts w:asciiTheme="minorHAnsi" w:hAnsiTheme="minorHAnsi" w:cstheme="minorHAnsi"/>
          <w:b/>
          <w:bCs/>
        </w:rPr>
      </w:pPr>
      <w:r w:rsidRPr="001220A4">
        <w:rPr>
          <w:rFonts w:asciiTheme="minorHAnsi" w:hAnsiTheme="minorHAnsi" w:cstheme="minorHAnsi"/>
          <w:b/>
        </w:rPr>
        <w:t>DISCLOSURES</w:t>
      </w:r>
      <w:r w:rsidRPr="001220A4">
        <w:rPr>
          <w:rFonts w:asciiTheme="minorHAnsi" w:hAnsiTheme="minorHAnsi" w:cstheme="minorHAnsi"/>
          <w:b/>
          <w:bCs/>
        </w:rPr>
        <w:t>:</w:t>
      </w:r>
    </w:p>
    <w:p w14:paraId="48BC5FC1" w14:textId="51D290D3" w:rsidR="00800A33" w:rsidRPr="001220A4" w:rsidRDefault="00800A33" w:rsidP="0054535F">
      <w:pPr>
        <w:pStyle w:val="NormalWeb"/>
        <w:spacing w:before="0" w:beforeAutospacing="0" w:after="0" w:afterAutospacing="0"/>
        <w:ind w:right="4"/>
        <w:contextualSpacing/>
        <w:rPr>
          <w:rFonts w:asciiTheme="minorHAnsi" w:hAnsiTheme="minorHAnsi" w:cstheme="minorHAnsi"/>
          <w:color w:val="808080"/>
        </w:rPr>
      </w:pPr>
      <w:r w:rsidRPr="001220A4">
        <w:rPr>
          <w:rFonts w:asciiTheme="minorHAnsi" w:hAnsiTheme="minorHAnsi" w:cstheme="minorHAnsi"/>
        </w:rPr>
        <w:t>The authors have nothing to disclose.</w:t>
      </w:r>
    </w:p>
    <w:p w14:paraId="1ACF370F" w14:textId="77777777" w:rsidR="007679BB" w:rsidRDefault="007679BB" w:rsidP="0054535F">
      <w:pPr>
        <w:ind w:right="4"/>
        <w:contextualSpacing/>
        <w:rPr>
          <w:rFonts w:asciiTheme="minorHAnsi" w:hAnsiTheme="minorHAnsi" w:cstheme="minorHAnsi"/>
          <w:color w:val="808080"/>
        </w:rPr>
      </w:pPr>
    </w:p>
    <w:p w14:paraId="5977DBA3" w14:textId="7AB5B9E9" w:rsidR="00260CB3" w:rsidRPr="007679BB" w:rsidRDefault="009726EE" w:rsidP="0054535F">
      <w:pPr>
        <w:ind w:right="4"/>
        <w:contextualSpacing/>
        <w:rPr>
          <w:rFonts w:asciiTheme="minorHAnsi" w:hAnsiTheme="minorHAnsi" w:cstheme="minorHAnsi"/>
        </w:rPr>
      </w:pPr>
      <w:r w:rsidRPr="001220A4">
        <w:rPr>
          <w:rFonts w:asciiTheme="minorHAnsi" w:hAnsiTheme="minorHAnsi" w:cstheme="minorHAnsi"/>
          <w:b/>
          <w:bCs/>
        </w:rPr>
        <w:t>REFERENCES</w:t>
      </w:r>
      <w:r w:rsidR="00D04760" w:rsidRPr="001220A4">
        <w:rPr>
          <w:rFonts w:asciiTheme="minorHAnsi" w:hAnsiTheme="minorHAnsi" w:cstheme="minorHAnsi"/>
          <w:b/>
          <w:bCs/>
        </w:rPr>
        <w:t>:</w:t>
      </w:r>
      <w:r w:rsidRPr="001220A4">
        <w:rPr>
          <w:rFonts w:asciiTheme="minorHAnsi" w:hAnsiTheme="minorHAnsi" w:cstheme="minorHAnsi"/>
        </w:rPr>
        <w:t xml:space="preserve"> </w:t>
      </w:r>
    </w:p>
    <w:p w14:paraId="7A54354C" w14:textId="14370D64" w:rsidR="00DE664D" w:rsidRPr="001220A4" w:rsidRDefault="00260CB3" w:rsidP="0054535F">
      <w:pPr>
        <w:contextualSpacing/>
        <w:rPr>
          <w:rFonts w:asciiTheme="minorHAnsi" w:hAnsiTheme="minorHAnsi" w:cstheme="minorHAnsi"/>
          <w:noProof/>
        </w:rPr>
      </w:pPr>
      <w:r w:rsidRPr="001220A4">
        <w:rPr>
          <w:rFonts w:asciiTheme="minorHAnsi" w:hAnsiTheme="minorHAnsi" w:cstheme="minorHAnsi"/>
          <w:color w:val="000000" w:themeColor="text1"/>
        </w:rPr>
        <w:fldChar w:fldCharType="begin" w:fldLock="1"/>
      </w:r>
      <w:r w:rsidRPr="001220A4">
        <w:rPr>
          <w:rFonts w:asciiTheme="minorHAnsi" w:hAnsiTheme="minorHAnsi" w:cstheme="minorHAnsi"/>
          <w:color w:val="000000" w:themeColor="text1"/>
        </w:rPr>
        <w:instrText xml:space="preserve">ADDIN Mendeley Bibliography CSL_BIBLIOGRAPHY </w:instrText>
      </w:r>
      <w:r w:rsidRPr="001220A4">
        <w:rPr>
          <w:rFonts w:asciiTheme="minorHAnsi" w:hAnsiTheme="minorHAnsi" w:cstheme="minorHAnsi"/>
          <w:color w:val="000000" w:themeColor="text1"/>
        </w:rPr>
        <w:fldChar w:fldCharType="separate"/>
      </w:r>
      <w:r w:rsidR="00DE664D" w:rsidRPr="001220A4">
        <w:rPr>
          <w:rFonts w:asciiTheme="minorHAnsi" w:hAnsiTheme="minorHAnsi" w:cstheme="minorHAnsi"/>
          <w:noProof/>
        </w:rPr>
        <w:t>1.</w:t>
      </w:r>
      <w:r w:rsidR="00DE664D" w:rsidRPr="001220A4">
        <w:rPr>
          <w:rFonts w:asciiTheme="minorHAnsi" w:hAnsiTheme="minorHAnsi" w:cstheme="minorHAnsi"/>
          <w:noProof/>
        </w:rPr>
        <w:tab/>
        <w:t xml:space="preserve">Zhang, D., Luo, G., Ding, X., Lu, C. Preclinical experimental models of drug metabolism and disposition in drug discovery and development. </w:t>
      </w:r>
      <w:r w:rsidR="00DE664D" w:rsidRPr="001220A4">
        <w:rPr>
          <w:rFonts w:asciiTheme="minorHAnsi" w:hAnsiTheme="minorHAnsi" w:cstheme="minorHAnsi"/>
          <w:i/>
          <w:iCs/>
          <w:noProof/>
        </w:rPr>
        <w:t>Acta Pharmaceutica Sinica B</w:t>
      </w:r>
      <w:r w:rsidR="00DE664D" w:rsidRPr="001220A4">
        <w:rPr>
          <w:rFonts w:asciiTheme="minorHAnsi" w:hAnsiTheme="minorHAnsi" w:cstheme="minorHAnsi"/>
          <w:noProof/>
        </w:rPr>
        <w:t xml:space="preserve">. </w:t>
      </w:r>
      <w:r w:rsidR="00DE664D" w:rsidRPr="007679BB">
        <w:rPr>
          <w:rFonts w:asciiTheme="minorHAnsi" w:hAnsiTheme="minorHAnsi" w:cstheme="minorHAnsi"/>
          <w:b/>
          <w:noProof/>
        </w:rPr>
        <w:t>2</w:t>
      </w:r>
      <w:r w:rsidR="00E75682" w:rsidRPr="001220A4">
        <w:rPr>
          <w:rFonts w:asciiTheme="minorHAnsi" w:hAnsiTheme="minorHAnsi" w:cstheme="minorHAnsi"/>
          <w:noProof/>
        </w:rPr>
        <w:t xml:space="preserve"> (6), 549–561</w:t>
      </w:r>
      <w:r w:rsidR="007679BB">
        <w:rPr>
          <w:rFonts w:asciiTheme="minorHAnsi" w:hAnsiTheme="minorHAnsi" w:cstheme="minorHAnsi"/>
          <w:noProof/>
        </w:rPr>
        <w:t xml:space="preserve"> (</w:t>
      </w:r>
      <w:r w:rsidR="00DE664D" w:rsidRPr="001220A4">
        <w:rPr>
          <w:rFonts w:asciiTheme="minorHAnsi" w:hAnsiTheme="minorHAnsi" w:cstheme="minorHAnsi"/>
          <w:noProof/>
        </w:rPr>
        <w:t>2012).</w:t>
      </w:r>
    </w:p>
    <w:p w14:paraId="0B8D93BB" w14:textId="492B7FCE"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2.</w:t>
      </w:r>
      <w:r w:rsidRPr="001220A4">
        <w:rPr>
          <w:rFonts w:asciiTheme="minorHAnsi" w:hAnsiTheme="minorHAnsi" w:cstheme="minorHAnsi"/>
          <w:noProof/>
        </w:rPr>
        <w:tab/>
        <w:t xml:space="preserve">Hynds, R.E., Giangreco, A. The relevance of human stem cell-derived organoid models for epithelial translational medicine. </w:t>
      </w:r>
      <w:r w:rsidRPr="001220A4">
        <w:rPr>
          <w:rFonts w:asciiTheme="minorHAnsi" w:hAnsiTheme="minorHAnsi" w:cstheme="minorHAnsi"/>
          <w:i/>
          <w:iCs/>
          <w:noProof/>
        </w:rPr>
        <w:t>Stem Cells</w:t>
      </w:r>
      <w:r w:rsidRPr="001220A4">
        <w:rPr>
          <w:rFonts w:asciiTheme="minorHAnsi" w:hAnsiTheme="minorHAnsi" w:cstheme="minorHAnsi"/>
          <w:noProof/>
        </w:rPr>
        <w:t xml:space="preserve">. </w:t>
      </w:r>
      <w:r w:rsidRPr="007679BB">
        <w:rPr>
          <w:rFonts w:asciiTheme="minorHAnsi" w:hAnsiTheme="minorHAnsi" w:cstheme="minorHAnsi"/>
          <w:b/>
          <w:noProof/>
        </w:rPr>
        <w:t>31</w:t>
      </w:r>
      <w:r w:rsidRPr="001220A4">
        <w:rPr>
          <w:rFonts w:asciiTheme="minorHAnsi" w:hAnsiTheme="minorHAnsi" w:cstheme="minorHAnsi"/>
          <w:noProof/>
        </w:rPr>
        <w:t xml:space="preserve"> (3),</w:t>
      </w:r>
      <w:r w:rsidR="00E75682" w:rsidRPr="001220A4">
        <w:rPr>
          <w:rFonts w:asciiTheme="minorHAnsi" w:hAnsiTheme="minorHAnsi" w:cstheme="minorHAnsi"/>
          <w:noProof/>
        </w:rPr>
        <w:t xml:space="preserve"> 417–422</w:t>
      </w:r>
      <w:r w:rsidR="007679BB">
        <w:rPr>
          <w:rFonts w:asciiTheme="minorHAnsi" w:hAnsiTheme="minorHAnsi" w:cstheme="minorHAnsi"/>
          <w:noProof/>
        </w:rPr>
        <w:t xml:space="preserve"> (</w:t>
      </w:r>
      <w:r w:rsidRPr="001220A4">
        <w:rPr>
          <w:rFonts w:asciiTheme="minorHAnsi" w:hAnsiTheme="minorHAnsi" w:cstheme="minorHAnsi"/>
          <w:noProof/>
        </w:rPr>
        <w:t>2013).</w:t>
      </w:r>
    </w:p>
    <w:p w14:paraId="51692ECB" w14:textId="16C7410E"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3.</w:t>
      </w:r>
      <w:r w:rsidRPr="001220A4">
        <w:rPr>
          <w:rFonts w:asciiTheme="minorHAnsi" w:hAnsiTheme="minorHAnsi" w:cstheme="minorHAnsi"/>
          <w:noProof/>
        </w:rPr>
        <w:tab/>
        <w:t xml:space="preserve">Sivaraman, A. </w:t>
      </w:r>
      <w:r w:rsidR="00B2719E" w:rsidRPr="00B2719E">
        <w:rPr>
          <w:rFonts w:asciiTheme="minorHAnsi" w:hAnsiTheme="minorHAnsi" w:cstheme="minorHAnsi"/>
          <w:noProof/>
        </w:rPr>
        <w:t>et al.</w:t>
      </w:r>
      <w:r w:rsidRPr="001220A4">
        <w:rPr>
          <w:rFonts w:asciiTheme="minorHAnsi" w:hAnsiTheme="minorHAnsi" w:cstheme="minorHAnsi"/>
          <w:noProof/>
        </w:rPr>
        <w:t xml:space="preserve"> A Microscale </w:t>
      </w:r>
      <w:r w:rsidR="00194937" w:rsidRPr="00194937">
        <w:rPr>
          <w:rFonts w:asciiTheme="minorHAnsi" w:hAnsiTheme="minorHAnsi" w:cstheme="minorHAnsi"/>
          <w:noProof/>
        </w:rPr>
        <w:t>In vitro</w:t>
      </w:r>
      <w:r w:rsidRPr="001220A4">
        <w:rPr>
          <w:rFonts w:asciiTheme="minorHAnsi" w:hAnsiTheme="minorHAnsi" w:cstheme="minorHAnsi"/>
          <w:noProof/>
        </w:rPr>
        <w:t xml:space="preserve"> Physiological Model of the Liver: Predictive Screens for Drug Metabolism and Enzyme Induction. </w:t>
      </w:r>
      <w:r w:rsidRPr="001220A4">
        <w:rPr>
          <w:rFonts w:asciiTheme="minorHAnsi" w:hAnsiTheme="minorHAnsi" w:cstheme="minorHAnsi"/>
          <w:i/>
          <w:iCs/>
          <w:noProof/>
        </w:rPr>
        <w:t>Current Drug Metabolism</w:t>
      </w:r>
      <w:r w:rsidRPr="001220A4">
        <w:rPr>
          <w:rFonts w:asciiTheme="minorHAnsi" w:hAnsiTheme="minorHAnsi" w:cstheme="minorHAnsi"/>
          <w:noProof/>
        </w:rPr>
        <w:t xml:space="preserve">. </w:t>
      </w:r>
      <w:r w:rsidRPr="007679BB">
        <w:rPr>
          <w:rFonts w:asciiTheme="minorHAnsi" w:hAnsiTheme="minorHAnsi" w:cstheme="minorHAnsi"/>
          <w:b/>
          <w:noProof/>
        </w:rPr>
        <w:t>6</w:t>
      </w:r>
      <w:r w:rsidR="00E75682" w:rsidRPr="001220A4">
        <w:rPr>
          <w:rFonts w:asciiTheme="minorHAnsi" w:hAnsiTheme="minorHAnsi" w:cstheme="minorHAnsi"/>
          <w:noProof/>
        </w:rPr>
        <w:t xml:space="preserve"> (6), 569–591</w:t>
      </w:r>
      <w:r w:rsidR="007679BB">
        <w:rPr>
          <w:rFonts w:asciiTheme="minorHAnsi" w:hAnsiTheme="minorHAnsi" w:cstheme="minorHAnsi"/>
          <w:noProof/>
        </w:rPr>
        <w:t xml:space="preserve"> (</w:t>
      </w:r>
      <w:r w:rsidRPr="001220A4">
        <w:rPr>
          <w:rFonts w:asciiTheme="minorHAnsi" w:hAnsiTheme="minorHAnsi" w:cstheme="minorHAnsi"/>
          <w:noProof/>
        </w:rPr>
        <w:t>2005).</w:t>
      </w:r>
    </w:p>
    <w:p w14:paraId="4B3514FC" w14:textId="10592ED9"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4.</w:t>
      </w:r>
      <w:r w:rsidRPr="001220A4">
        <w:rPr>
          <w:rFonts w:asciiTheme="minorHAnsi" w:hAnsiTheme="minorHAnsi" w:cstheme="minorHAnsi"/>
          <w:noProof/>
        </w:rPr>
        <w:tab/>
        <w:t xml:space="preserve">Dehne, E.-M., Hasenberg, T., Marx, U. The ascendance of microphysiological systems to solve the drug testing dilemma. </w:t>
      </w:r>
      <w:r w:rsidRPr="001220A4">
        <w:rPr>
          <w:rFonts w:asciiTheme="minorHAnsi" w:hAnsiTheme="minorHAnsi" w:cstheme="minorHAnsi"/>
          <w:i/>
          <w:iCs/>
          <w:noProof/>
        </w:rPr>
        <w:t>Future Science OA</w:t>
      </w:r>
      <w:r w:rsidRPr="001220A4">
        <w:rPr>
          <w:rFonts w:asciiTheme="minorHAnsi" w:hAnsiTheme="minorHAnsi" w:cstheme="minorHAnsi"/>
          <w:noProof/>
        </w:rPr>
        <w:t xml:space="preserve">. </w:t>
      </w:r>
      <w:r w:rsidRPr="007679BB">
        <w:rPr>
          <w:rFonts w:asciiTheme="minorHAnsi" w:hAnsiTheme="minorHAnsi" w:cstheme="minorHAnsi"/>
          <w:b/>
          <w:noProof/>
        </w:rPr>
        <w:t>3</w:t>
      </w:r>
      <w:r w:rsidRPr="001220A4">
        <w:rPr>
          <w:rFonts w:asciiTheme="minorHAnsi" w:hAnsiTheme="minorHAnsi" w:cstheme="minorHAnsi"/>
          <w:noProof/>
        </w:rPr>
        <w:t xml:space="preserve"> (2), FSO</w:t>
      </w:r>
      <w:r w:rsidR="00E75682" w:rsidRPr="001220A4">
        <w:rPr>
          <w:rFonts w:asciiTheme="minorHAnsi" w:hAnsiTheme="minorHAnsi" w:cstheme="minorHAnsi"/>
          <w:noProof/>
        </w:rPr>
        <w:t>185</w:t>
      </w:r>
      <w:r w:rsidR="007679BB">
        <w:rPr>
          <w:rFonts w:asciiTheme="minorHAnsi" w:hAnsiTheme="minorHAnsi" w:cstheme="minorHAnsi"/>
          <w:noProof/>
        </w:rPr>
        <w:t xml:space="preserve"> (</w:t>
      </w:r>
      <w:r w:rsidRPr="001220A4">
        <w:rPr>
          <w:rFonts w:asciiTheme="minorHAnsi" w:hAnsiTheme="minorHAnsi" w:cstheme="minorHAnsi"/>
          <w:noProof/>
        </w:rPr>
        <w:t>2017).</w:t>
      </w:r>
    </w:p>
    <w:p w14:paraId="4E72EF52" w14:textId="215E66C6"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5.</w:t>
      </w:r>
      <w:r w:rsidRPr="001220A4">
        <w:rPr>
          <w:rFonts w:asciiTheme="minorHAnsi" w:hAnsiTheme="minorHAnsi" w:cstheme="minorHAnsi"/>
          <w:noProof/>
        </w:rPr>
        <w:tab/>
        <w:t xml:space="preserve">Oleaga, C. </w:t>
      </w:r>
      <w:r w:rsidR="00B2719E" w:rsidRPr="00B2719E">
        <w:rPr>
          <w:rFonts w:asciiTheme="minorHAnsi" w:hAnsiTheme="minorHAnsi" w:cstheme="minorHAnsi"/>
          <w:noProof/>
        </w:rPr>
        <w:t>et al.</w:t>
      </w:r>
      <w:r w:rsidRPr="001220A4">
        <w:rPr>
          <w:rFonts w:asciiTheme="minorHAnsi" w:hAnsiTheme="minorHAnsi" w:cstheme="minorHAnsi"/>
          <w:noProof/>
        </w:rPr>
        <w:t xml:space="preserve"> Multi-Organ toxicity demonstration in a functional human </w:t>
      </w:r>
      <w:r w:rsidR="00194937" w:rsidRPr="00194937">
        <w:rPr>
          <w:rFonts w:asciiTheme="minorHAnsi" w:hAnsiTheme="minorHAnsi" w:cstheme="minorHAnsi"/>
          <w:noProof/>
        </w:rPr>
        <w:t>in vitro</w:t>
      </w:r>
      <w:r w:rsidRPr="001220A4">
        <w:rPr>
          <w:rFonts w:asciiTheme="minorHAnsi" w:hAnsiTheme="minorHAnsi" w:cstheme="minorHAnsi"/>
          <w:noProof/>
        </w:rPr>
        <w:t xml:space="preserve"> system composed of four organs. </w:t>
      </w:r>
      <w:r w:rsidRPr="001220A4">
        <w:rPr>
          <w:rFonts w:asciiTheme="minorHAnsi" w:hAnsiTheme="minorHAnsi" w:cstheme="minorHAnsi"/>
          <w:i/>
          <w:iCs/>
          <w:noProof/>
        </w:rPr>
        <w:t>Scientific Reports</w:t>
      </w:r>
      <w:r w:rsidRPr="001220A4">
        <w:rPr>
          <w:rFonts w:asciiTheme="minorHAnsi" w:hAnsiTheme="minorHAnsi" w:cstheme="minorHAnsi"/>
          <w:noProof/>
        </w:rPr>
        <w:t xml:space="preserve">. </w:t>
      </w:r>
      <w:r w:rsidRPr="007679BB">
        <w:rPr>
          <w:rFonts w:asciiTheme="minorHAnsi" w:hAnsiTheme="minorHAnsi" w:cstheme="minorHAnsi"/>
          <w:b/>
          <w:noProof/>
        </w:rPr>
        <w:t>6</w:t>
      </w:r>
      <w:r w:rsidR="00E75682" w:rsidRPr="001220A4">
        <w:rPr>
          <w:rFonts w:asciiTheme="minorHAnsi" w:hAnsiTheme="minorHAnsi" w:cstheme="minorHAnsi"/>
          <w:noProof/>
        </w:rPr>
        <w:t>, 20030</w:t>
      </w:r>
      <w:r w:rsidR="007679BB">
        <w:rPr>
          <w:rFonts w:asciiTheme="minorHAnsi" w:hAnsiTheme="minorHAnsi" w:cstheme="minorHAnsi"/>
          <w:noProof/>
        </w:rPr>
        <w:t xml:space="preserve"> (</w:t>
      </w:r>
      <w:r w:rsidRPr="001220A4">
        <w:rPr>
          <w:rFonts w:asciiTheme="minorHAnsi" w:hAnsiTheme="minorHAnsi" w:cstheme="minorHAnsi"/>
          <w:noProof/>
        </w:rPr>
        <w:t>2016).</w:t>
      </w:r>
    </w:p>
    <w:p w14:paraId="2A540C95" w14:textId="474843EE"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6.</w:t>
      </w:r>
      <w:r w:rsidRPr="001220A4">
        <w:rPr>
          <w:rFonts w:asciiTheme="minorHAnsi" w:hAnsiTheme="minorHAnsi" w:cstheme="minorHAnsi"/>
          <w:noProof/>
        </w:rPr>
        <w:tab/>
        <w:t xml:space="preserve">Maschmeyer, I. </w:t>
      </w:r>
      <w:r w:rsidR="00B2719E" w:rsidRPr="00B2719E">
        <w:rPr>
          <w:rFonts w:asciiTheme="minorHAnsi" w:hAnsiTheme="minorHAnsi" w:cstheme="minorHAnsi"/>
          <w:noProof/>
        </w:rPr>
        <w:t>et al.</w:t>
      </w:r>
      <w:r w:rsidRPr="001220A4">
        <w:rPr>
          <w:rFonts w:asciiTheme="minorHAnsi" w:hAnsiTheme="minorHAnsi" w:cstheme="minorHAnsi"/>
          <w:noProof/>
        </w:rPr>
        <w:t xml:space="preserve"> A four-organ-chip for interconnected long-term co-culture of human intestine, liver, skin and kidney equivalents. </w:t>
      </w:r>
      <w:r w:rsidRPr="001220A4">
        <w:rPr>
          <w:rFonts w:asciiTheme="minorHAnsi" w:hAnsiTheme="minorHAnsi" w:cstheme="minorHAnsi"/>
          <w:i/>
          <w:iCs/>
          <w:noProof/>
        </w:rPr>
        <w:t>Lab Chip</w:t>
      </w:r>
      <w:r w:rsidRPr="001220A4">
        <w:rPr>
          <w:rFonts w:asciiTheme="minorHAnsi" w:hAnsiTheme="minorHAnsi" w:cstheme="minorHAnsi"/>
          <w:noProof/>
        </w:rPr>
        <w:t xml:space="preserve">. </w:t>
      </w:r>
      <w:r w:rsidRPr="007679BB">
        <w:rPr>
          <w:rFonts w:asciiTheme="minorHAnsi" w:hAnsiTheme="minorHAnsi" w:cstheme="minorHAnsi"/>
          <w:b/>
          <w:noProof/>
        </w:rPr>
        <w:t>15</w:t>
      </w:r>
      <w:r w:rsidRPr="001220A4">
        <w:rPr>
          <w:rFonts w:asciiTheme="minorHAnsi" w:hAnsiTheme="minorHAnsi" w:cstheme="minorHAnsi"/>
          <w:noProof/>
        </w:rPr>
        <w:t xml:space="preserve"> (12), 268</w:t>
      </w:r>
      <w:r w:rsidR="00E75682" w:rsidRPr="001220A4">
        <w:rPr>
          <w:rFonts w:asciiTheme="minorHAnsi" w:hAnsiTheme="minorHAnsi" w:cstheme="minorHAnsi"/>
          <w:noProof/>
        </w:rPr>
        <w:t>8–2699</w:t>
      </w:r>
      <w:r w:rsidR="007679BB">
        <w:rPr>
          <w:rFonts w:asciiTheme="minorHAnsi" w:hAnsiTheme="minorHAnsi" w:cstheme="minorHAnsi"/>
          <w:noProof/>
        </w:rPr>
        <w:t xml:space="preserve"> (</w:t>
      </w:r>
      <w:r w:rsidRPr="001220A4">
        <w:rPr>
          <w:rFonts w:asciiTheme="minorHAnsi" w:hAnsiTheme="minorHAnsi" w:cstheme="minorHAnsi"/>
          <w:noProof/>
        </w:rPr>
        <w:t>2015).</w:t>
      </w:r>
    </w:p>
    <w:p w14:paraId="75738A44" w14:textId="477F1501"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7.</w:t>
      </w:r>
      <w:r w:rsidRPr="001220A4">
        <w:rPr>
          <w:rFonts w:asciiTheme="minorHAnsi" w:hAnsiTheme="minorHAnsi" w:cstheme="minorHAnsi"/>
          <w:noProof/>
        </w:rPr>
        <w:tab/>
        <w:t xml:space="preserve">Esch, M.B., Mahler, G.J., Stokol, T., Shuler, M.L. Body-on-a-chip simulation with gastrointestinal tract and liver tissues suggests that ingested nanoparticles have the potential to cause liver injury. </w:t>
      </w:r>
      <w:r w:rsidRPr="001220A4">
        <w:rPr>
          <w:rFonts w:asciiTheme="minorHAnsi" w:hAnsiTheme="minorHAnsi" w:cstheme="minorHAnsi"/>
          <w:i/>
          <w:iCs/>
          <w:noProof/>
        </w:rPr>
        <w:t>Lab Chip</w:t>
      </w:r>
      <w:r w:rsidRPr="001220A4">
        <w:rPr>
          <w:rFonts w:asciiTheme="minorHAnsi" w:hAnsiTheme="minorHAnsi" w:cstheme="minorHAnsi"/>
          <w:noProof/>
        </w:rPr>
        <w:t xml:space="preserve">. </w:t>
      </w:r>
      <w:r w:rsidRPr="007679BB">
        <w:rPr>
          <w:rFonts w:asciiTheme="minorHAnsi" w:hAnsiTheme="minorHAnsi" w:cstheme="minorHAnsi"/>
          <w:b/>
          <w:noProof/>
        </w:rPr>
        <w:t>14</w:t>
      </w:r>
      <w:r w:rsidRPr="001220A4">
        <w:rPr>
          <w:rFonts w:asciiTheme="minorHAnsi" w:hAnsiTheme="minorHAnsi" w:cstheme="minorHAnsi"/>
          <w:noProof/>
        </w:rPr>
        <w:t xml:space="preserve"> (16), 30</w:t>
      </w:r>
      <w:r w:rsidR="00E75682" w:rsidRPr="001220A4">
        <w:rPr>
          <w:rFonts w:asciiTheme="minorHAnsi" w:hAnsiTheme="minorHAnsi" w:cstheme="minorHAnsi"/>
          <w:noProof/>
        </w:rPr>
        <w:t>81–3092</w:t>
      </w:r>
      <w:r w:rsidR="007679BB">
        <w:rPr>
          <w:rFonts w:asciiTheme="minorHAnsi" w:hAnsiTheme="minorHAnsi" w:cstheme="minorHAnsi"/>
          <w:noProof/>
        </w:rPr>
        <w:t xml:space="preserve"> (</w:t>
      </w:r>
      <w:r w:rsidRPr="001220A4">
        <w:rPr>
          <w:rFonts w:asciiTheme="minorHAnsi" w:hAnsiTheme="minorHAnsi" w:cstheme="minorHAnsi"/>
          <w:noProof/>
        </w:rPr>
        <w:t>2014).</w:t>
      </w:r>
    </w:p>
    <w:p w14:paraId="6C8C403F" w14:textId="7BE03D86"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8.</w:t>
      </w:r>
      <w:r w:rsidRPr="001220A4">
        <w:rPr>
          <w:rFonts w:asciiTheme="minorHAnsi" w:hAnsiTheme="minorHAnsi" w:cstheme="minorHAnsi"/>
          <w:noProof/>
        </w:rPr>
        <w:tab/>
        <w:t xml:space="preserve">Materne, E.-M. </w:t>
      </w:r>
      <w:r w:rsidR="00B2719E" w:rsidRPr="00B2719E">
        <w:rPr>
          <w:rFonts w:asciiTheme="minorHAnsi" w:hAnsiTheme="minorHAnsi" w:cstheme="minorHAnsi"/>
          <w:noProof/>
        </w:rPr>
        <w:t>et al.</w:t>
      </w:r>
      <w:r w:rsidRPr="001220A4">
        <w:rPr>
          <w:rFonts w:asciiTheme="minorHAnsi" w:hAnsiTheme="minorHAnsi" w:cstheme="minorHAnsi"/>
          <w:noProof/>
        </w:rPr>
        <w:t xml:space="preserve"> The Multi-organ Chip - A Microfluidic Platform for Long-term Multi-tissue Coculture. </w:t>
      </w:r>
      <w:r w:rsidRPr="001220A4">
        <w:rPr>
          <w:rFonts w:asciiTheme="minorHAnsi" w:hAnsiTheme="minorHAnsi" w:cstheme="minorHAnsi"/>
          <w:i/>
          <w:iCs/>
          <w:noProof/>
        </w:rPr>
        <w:t>Journal of Visualized Experiments</w:t>
      </w:r>
      <w:r w:rsidRPr="001220A4">
        <w:rPr>
          <w:rFonts w:asciiTheme="minorHAnsi" w:hAnsiTheme="minorHAnsi" w:cstheme="minorHAnsi"/>
          <w:noProof/>
        </w:rPr>
        <w:t xml:space="preserve">. </w:t>
      </w:r>
      <w:r w:rsidRPr="007679BB">
        <w:rPr>
          <w:rFonts w:asciiTheme="minorHAnsi" w:hAnsiTheme="minorHAnsi" w:cstheme="minorHAnsi"/>
          <w:b/>
          <w:noProof/>
        </w:rPr>
        <w:t>98</w:t>
      </w:r>
      <w:r w:rsidR="00E75682" w:rsidRPr="001220A4">
        <w:rPr>
          <w:rFonts w:asciiTheme="minorHAnsi" w:hAnsiTheme="minorHAnsi" w:cstheme="minorHAnsi"/>
          <w:noProof/>
        </w:rPr>
        <w:t>, 52526</w:t>
      </w:r>
      <w:r w:rsidR="007679BB">
        <w:rPr>
          <w:rFonts w:asciiTheme="minorHAnsi" w:hAnsiTheme="minorHAnsi" w:cstheme="minorHAnsi"/>
          <w:noProof/>
        </w:rPr>
        <w:t xml:space="preserve"> (</w:t>
      </w:r>
      <w:r w:rsidRPr="001220A4">
        <w:rPr>
          <w:rFonts w:asciiTheme="minorHAnsi" w:hAnsiTheme="minorHAnsi" w:cstheme="minorHAnsi"/>
          <w:noProof/>
        </w:rPr>
        <w:t>2015).</w:t>
      </w:r>
    </w:p>
    <w:p w14:paraId="5B89A04E" w14:textId="7C03A556"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9.</w:t>
      </w:r>
      <w:r w:rsidRPr="001220A4">
        <w:rPr>
          <w:rFonts w:asciiTheme="minorHAnsi" w:hAnsiTheme="minorHAnsi" w:cstheme="minorHAnsi"/>
          <w:noProof/>
        </w:rPr>
        <w:tab/>
        <w:t xml:space="preserve">Esch, M.B., Ueno, H., Applegate, D.R., Shuler, M.L. Modular, pumpless body-on-a-chip platform for the co-culture of GI tract epithelium and 3D primary liver tissue. </w:t>
      </w:r>
      <w:r w:rsidRPr="001220A4">
        <w:rPr>
          <w:rFonts w:asciiTheme="minorHAnsi" w:hAnsiTheme="minorHAnsi" w:cstheme="minorHAnsi"/>
          <w:i/>
          <w:iCs/>
          <w:noProof/>
        </w:rPr>
        <w:t>Lab Chip</w:t>
      </w:r>
      <w:r w:rsidRPr="001220A4">
        <w:rPr>
          <w:rFonts w:asciiTheme="minorHAnsi" w:hAnsiTheme="minorHAnsi" w:cstheme="minorHAnsi"/>
          <w:noProof/>
        </w:rPr>
        <w:t xml:space="preserve">. </w:t>
      </w:r>
      <w:r w:rsidRPr="007679BB">
        <w:rPr>
          <w:rFonts w:asciiTheme="minorHAnsi" w:hAnsiTheme="minorHAnsi" w:cstheme="minorHAnsi"/>
          <w:b/>
          <w:noProof/>
        </w:rPr>
        <w:t>16</w:t>
      </w:r>
      <w:r w:rsidRPr="001220A4">
        <w:rPr>
          <w:rFonts w:asciiTheme="minorHAnsi" w:hAnsiTheme="minorHAnsi" w:cstheme="minorHAnsi"/>
          <w:noProof/>
        </w:rPr>
        <w:t xml:space="preserve"> (14), 271</w:t>
      </w:r>
      <w:r w:rsidR="00E75682" w:rsidRPr="001220A4">
        <w:rPr>
          <w:rFonts w:asciiTheme="minorHAnsi" w:hAnsiTheme="minorHAnsi" w:cstheme="minorHAnsi"/>
          <w:noProof/>
        </w:rPr>
        <w:t>9–2729</w:t>
      </w:r>
      <w:r w:rsidR="007679BB">
        <w:rPr>
          <w:rFonts w:asciiTheme="minorHAnsi" w:hAnsiTheme="minorHAnsi" w:cstheme="minorHAnsi"/>
          <w:noProof/>
        </w:rPr>
        <w:t xml:space="preserve"> (</w:t>
      </w:r>
      <w:r w:rsidRPr="001220A4">
        <w:rPr>
          <w:rFonts w:asciiTheme="minorHAnsi" w:hAnsiTheme="minorHAnsi" w:cstheme="minorHAnsi"/>
          <w:noProof/>
        </w:rPr>
        <w:t>2016).</w:t>
      </w:r>
    </w:p>
    <w:p w14:paraId="49D7AE12" w14:textId="76D38080"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10.</w:t>
      </w:r>
      <w:r w:rsidRPr="001220A4">
        <w:rPr>
          <w:rFonts w:asciiTheme="minorHAnsi" w:hAnsiTheme="minorHAnsi" w:cstheme="minorHAnsi"/>
          <w:noProof/>
        </w:rPr>
        <w:tab/>
        <w:t xml:space="preserve">Sung, J.H., Kam, C., Shuler, M.L. A microfluidic device for a pharmacokinetic–pharmacodynamic (PK–PD) model on a chip. </w:t>
      </w:r>
      <w:r w:rsidRPr="001220A4">
        <w:rPr>
          <w:rFonts w:asciiTheme="minorHAnsi" w:hAnsiTheme="minorHAnsi" w:cstheme="minorHAnsi"/>
          <w:i/>
          <w:iCs/>
          <w:noProof/>
        </w:rPr>
        <w:t>Lab on a Chip</w:t>
      </w:r>
      <w:r w:rsidRPr="001220A4">
        <w:rPr>
          <w:rFonts w:asciiTheme="minorHAnsi" w:hAnsiTheme="minorHAnsi" w:cstheme="minorHAnsi"/>
          <w:noProof/>
        </w:rPr>
        <w:t xml:space="preserve">. </w:t>
      </w:r>
      <w:r w:rsidRPr="007679BB">
        <w:rPr>
          <w:rFonts w:asciiTheme="minorHAnsi" w:hAnsiTheme="minorHAnsi" w:cstheme="minorHAnsi"/>
          <w:b/>
          <w:noProof/>
        </w:rPr>
        <w:t>10</w:t>
      </w:r>
      <w:r w:rsidRPr="001220A4">
        <w:rPr>
          <w:rFonts w:asciiTheme="minorHAnsi" w:hAnsiTheme="minorHAnsi" w:cstheme="minorHAnsi"/>
          <w:noProof/>
        </w:rPr>
        <w:t xml:space="preserve"> (4)</w:t>
      </w:r>
      <w:r w:rsidR="00E75682" w:rsidRPr="001220A4">
        <w:rPr>
          <w:rFonts w:asciiTheme="minorHAnsi" w:hAnsiTheme="minorHAnsi" w:cstheme="minorHAnsi"/>
          <w:noProof/>
        </w:rPr>
        <w:t>, 446–455</w:t>
      </w:r>
      <w:r w:rsidR="007679BB">
        <w:rPr>
          <w:rFonts w:asciiTheme="minorHAnsi" w:hAnsiTheme="minorHAnsi" w:cstheme="minorHAnsi"/>
          <w:noProof/>
        </w:rPr>
        <w:t xml:space="preserve"> (</w:t>
      </w:r>
      <w:r w:rsidRPr="001220A4">
        <w:rPr>
          <w:rFonts w:asciiTheme="minorHAnsi" w:hAnsiTheme="minorHAnsi" w:cstheme="minorHAnsi"/>
          <w:noProof/>
        </w:rPr>
        <w:t>2010).</w:t>
      </w:r>
    </w:p>
    <w:p w14:paraId="723DCB4B" w14:textId="2AFD4697"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11.</w:t>
      </w:r>
      <w:r w:rsidRPr="001220A4">
        <w:rPr>
          <w:rFonts w:asciiTheme="minorHAnsi" w:hAnsiTheme="minorHAnsi" w:cstheme="minorHAnsi"/>
          <w:noProof/>
        </w:rPr>
        <w:tab/>
        <w:t xml:space="preserve">Viravaidya, K., Sin, A., Shuler, M.L. Development of a Microscale Cell Culture Analog to Probe Naphthalene Toxicity. </w:t>
      </w:r>
      <w:r w:rsidRPr="001220A4">
        <w:rPr>
          <w:rFonts w:asciiTheme="minorHAnsi" w:hAnsiTheme="minorHAnsi" w:cstheme="minorHAnsi"/>
          <w:i/>
          <w:iCs/>
          <w:noProof/>
        </w:rPr>
        <w:t>Biotechnology Progress</w:t>
      </w:r>
      <w:r w:rsidRPr="001220A4">
        <w:rPr>
          <w:rFonts w:asciiTheme="minorHAnsi" w:hAnsiTheme="minorHAnsi" w:cstheme="minorHAnsi"/>
          <w:noProof/>
        </w:rPr>
        <w:t xml:space="preserve">. </w:t>
      </w:r>
      <w:r w:rsidRPr="007679BB">
        <w:rPr>
          <w:rFonts w:asciiTheme="minorHAnsi" w:hAnsiTheme="minorHAnsi" w:cstheme="minorHAnsi"/>
          <w:b/>
          <w:noProof/>
        </w:rPr>
        <w:t>20</w:t>
      </w:r>
      <w:r w:rsidRPr="001220A4">
        <w:rPr>
          <w:rFonts w:asciiTheme="minorHAnsi" w:hAnsiTheme="minorHAnsi" w:cstheme="minorHAnsi"/>
          <w:noProof/>
        </w:rPr>
        <w:t xml:space="preserve"> (1), </w:t>
      </w:r>
      <w:r w:rsidR="00E75682" w:rsidRPr="001220A4">
        <w:rPr>
          <w:rFonts w:asciiTheme="minorHAnsi" w:hAnsiTheme="minorHAnsi" w:cstheme="minorHAnsi"/>
          <w:noProof/>
        </w:rPr>
        <w:t>316–323</w:t>
      </w:r>
      <w:r w:rsidR="007679BB">
        <w:rPr>
          <w:rFonts w:asciiTheme="minorHAnsi" w:hAnsiTheme="minorHAnsi" w:cstheme="minorHAnsi"/>
          <w:noProof/>
        </w:rPr>
        <w:t xml:space="preserve"> (</w:t>
      </w:r>
      <w:r w:rsidRPr="001220A4">
        <w:rPr>
          <w:rFonts w:asciiTheme="minorHAnsi" w:hAnsiTheme="minorHAnsi" w:cstheme="minorHAnsi"/>
          <w:noProof/>
        </w:rPr>
        <w:t>2004).</w:t>
      </w:r>
    </w:p>
    <w:p w14:paraId="47ACE585" w14:textId="2F388E4D"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12.</w:t>
      </w:r>
      <w:r w:rsidRPr="001220A4">
        <w:rPr>
          <w:rFonts w:asciiTheme="minorHAnsi" w:hAnsiTheme="minorHAnsi" w:cstheme="minorHAnsi"/>
          <w:noProof/>
        </w:rPr>
        <w:tab/>
        <w:t xml:space="preserve">Sin, A., Chin, K.C., Jamil, M.F., Kostov, Y., Rao, G., Shuler, M.L. The Design and Fabrication of Three-Chamber Microscale Cell Culture Analog Devices with Integrated Dissolved Oxygen Sensors. </w:t>
      </w:r>
      <w:r w:rsidRPr="001220A4">
        <w:rPr>
          <w:rFonts w:asciiTheme="minorHAnsi" w:hAnsiTheme="minorHAnsi" w:cstheme="minorHAnsi"/>
          <w:i/>
          <w:iCs/>
          <w:noProof/>
        </w:rPr>
        <w:t>Biotechnology Progress</w:t>
      </w:r>
      <w:r w:rsidRPr="001220A4">
        <w:rPr>
          <w:rFonts w:asciiTheme="minorHAnsi" w:hAnsiTheme="minorHAnsi" w:cstheme="minorHAnsi"/>
          <w:noProof/>
        </w:rPr>
        <w:t xml:space="preserve">. </w:t>
      </w:r>
      <w:r w:rsidRPr="007679BB">
        <w:rPr>
          <w:rFonts w:asciiTheme="minorHAnsi" w:hAnsiTheme="minorHAnsi" w:cstheme="minorHAnsi"/>
          <w:b/>
          <w:noProof/>
        </w:rPr>
        <w:t>20</w:t>
      </w:r>
      <w:r w:rsidRPr="001220A4">
        <w:rPr>
          <w:rFonts w:asciiTheme="minorHAnsi" w:hAnsiTheme="minorHAnsi" w:cstheme="minorHAnsi"/>
          <w:noProof/>
        </w:rPr>
        <w:t xml:space="preserve"> (1),</w:t>
      </w:r>
      <w:r w:rsidR="00E75682" w:rsidRPr="001220A4">
        <w:rPr>
          <w:rFonts w:asciiTheme="minorHAnsi" w:hAnsiTheme="minorHAnsi" w:cstheme="minorHAnsi"/>
          <w:noProof/>
        </w:rPr>
        <w:t xml:space="preserve"> 338–345</w:t>
      </w:r>
      <w:r w:rsidR="007679BB">
        <w:rPr>
          <w:rFonts w:asciiTheme="minorHAnsi" w:hAnsiTheme="minorHAnsi" w:cstheme="minorHAnsi"/>
          <w:noProof/>
        </w:rPr>
        <w:t xml:space="preserve"> (</w:t>
      </w:r>
      <w:r w:rsidRPr="001220A4">
        <w:rPr>
          <w:rFonts w:asciiTheme="minorHAnsi" w:hAnsiTheme="minorHAnsi" w:cstheme="minorHAnsi"/>
          <w:noProof/>
        </w:rPr>
        <w:t>2004).</w:t>
      </w:r>
    </w:p>
    <w:p w14:paraId="4EEE0119" w14:textId="17F0B9B6"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13.</w:t>
      </w:r>
      <w:r w:rsidRPr="001220A4">
        <w:rPr>
          <w:rFonts w:asciiTheme="minorHAnsi" w:hAnsiTheme="minorHAnsi" w:cstheme="minorHAnsi"/>
          <w:noProof/>
        </w:rPr>
        <w:tab/>
        <w:t>Tsamandouras, N</w:t>
      </w:r>
      <w:r w:rsidR="00B2719E" w:rsidRPr="001220A4">
        <w:rPr>
          <w:rFonts w:asciiTheme="minorHAnsi" w:hAnsiTheme="minorHAnsi" w:cstheme="minorHAnsi"/>
          <w:noProof/>
        </w:rPr>
        <w:t xml:space="preserve">. </w:t>
      </w:r>
      <w:r w:rsidR="00B2719E" w:rsidRPr="00B2719E">
        <w:rPr>
          <w:rFonts w:asciiTheme="minorHAnsi" w:hAnsiTheme="minorHAnsi" w:cstheme="minorHAnsi"/>
          <w:noProof/>
        </w:rPr>
        <w:t>et al.</w:t>
      </w:r>
      <w:r w:rsidR="00B2719E">
        <w:rPr>
          <w:rFonts w:asciiTheme="minorHAnsi" w:hAnsiTheme="minorHAnsi" w:cstheme="minorHAnsi"/>
          <w:noProof/>
        </w:rPr>
        <w:t xml:space="preserve"> </w:t>
      </w:r>
      <w:r w:rsidRPr="001220A4">
        <w:rPr>
          <w:rFonts w:asciiTheme="minorHAnsi" w:hAnsiTheme="minorHAnsi" w:cstheme="minorHAnsi"/>
          <w:noProof/>
        </w:rPr>
        <w:t xml:space="preserve">Integrated Gut and Liver Microphysiological Systems for Quantitative </w:t>
      </w:r>
      <w:r w:rsidR="00194937" w:rsidRPr="00194937">
        <w:rPr>
          <w:rFonts w:asciiTheme="minorHAnsi" w:hAnsiTheme="minorHAnsi" w:cstheme="minorHAnsi"/>
          <w:noProof/>
        </w:rPr>
        <w:t>In vitro</w:t>
      </w:r>
      <w:r w:rsidRPr="001220A4">
        <w:rPr>
          <w:rFonts w:asciiTheme="minorHAnsi" w:hAnsiTheme="minorHAnsi" w:cstheme="minorHAnsi"/>
          <w:noProof/>
        </w:rPr>
        <w:t xml:space="preserve"> Pharmacokinetic Studies. </w:t>
      </w:r>
      <w:r w:rsidRPr="001220A4">
        <w:rPr>
          <w:rFonts w:asciiTheme="minorHAnsi" w:hAnsiTheme="minorHAnsi" w:cstheme="minorHAnsi"/>
          <w:i/>
          <w:iCs/>
          <w:noProof/>
        </w:rPr>
        <w:t>The AAPS Journal</w:t>
      </w:r>
      <w:r w:rsidRPr="001220A4">
        <w:rPr>
          <w:rFonts w:asciiTheme="minorHAnsi" w:hAnsiTheme="minorHAnsi" w:cstheme="minorHAnsi"/>
          <w:noProof/>
        </w:rPr>
        <w:t xml:space="preserve">. </w:t>
      </w:r>
      <w:r w:rsidRPr="007679BB">
        <w:rPr>
          <w:rFonts w:asciiTheme="minorHAnsi" w:hAnsiTheme="minorHAnsi" w:cstheme="minorHAnsi"/>
          <w:b/>
          <w:noProof/>
        </w:rPr>
        <w:t>19</w:t>
      </w:r>
      <w:r w:rsidR="00E75682" w:rsidRPr="001220A4">
        <w:rPr>
          <w:rFonts w:asciiTheme="minorHAnsi" w:hAnsiTheme="minorHAnsi" w:cstheme="minorHAnsi"/>
          <w:noProof/>
        </w:rPr>
        <w:t xml:space="preserve"> (5), 1499–1512</w:t>
      </w:r>
      <w:r w:rsidR="007679BB">
        <w:rPr>
          <w:rFonts w:asciiTheme="minorHAnsi" w:hAnsiTheme="minorHAnsi" w:cstheme="minorHAnsi"/>
          <w:noProof/>
        </w:rPr>
        <w:t xml:space="preserve"> (</w:t>
      </w:r>
      <w:r w:rsidRPr="001220A4">
        <w:rPr>
          <w:rFonts w:asciiTheme="minorHAnsi" w:hAnsiTheme="minorHAnsi" w:cstheme="minorHAnsi"/>
          <w:noProof/>
        </w:rPr>
        <w:t>2017).</w:t>
      </w:r>
    </w:p>
    <w:p w14:paraId="1BACF77F" w14:textId="187857B5"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14.</w:t>
      </w:r>
      <w:r w:rsidRPr="001220A4">
        <w:rPr>
          <w:rFonts w:asciiTheme="minorHAnsi" w:hAnsiTheme="minorHAnsi" w:cstheme="minorHAnsi"/>
          <w:noProof/>
        </w:rPr>
        <w:tab/>
        <w:t xml:space="preserve">Graham, G.G., Davies, M.J., Day, R.O., Mohamudally, A., Scott, K.F. The modern pharmacology of paracetamol: Therapeutic actions, mechanism of action, metabolism, toxicity </w:t>
      </w:r>
      <w:r w:rsidRPr="001220A4">
        <w:rPr>
          <w:rFonts w:asciiTheme="minorHAnsi" w:hAnsiTheme="minorHAnsi" w:cstheme="minorHAnsi"/>
          <w:noProof/>
        </w:rPr>
        <w:lastRenderedPageBreak/>
        <w:t xml:space="preserve">and recent pharmacological findings. </w:t>
      </w:r>
      <w:r w:rsidRPr="001220A4">
        <w:rPr>
          <w:rFonts w:asciiTheme="minorHAnsi" w:hAnsiTheme="minorHAnsi" w:cstheme="minorHAnsi"/>
          <w:i/>
          <w:iCs/>
          <w:noProof/>
        </w:rPr>
        <w:t>Inflammopharmacology</w:t>
      </w:r>
      <w:r w:rsidRPr="001220A4">
        <w:rPr>
          <w:rFonts w:asciiTheme="minorHAnsi" w:hAnsiTheme="minorHAnsi" w:cstheme="minorHAnsi"/>
          <w:noProof/>
        </w:rPr>
        <w:t xml:space="preserve">. </w:t>
      </w:r>
      <w:r w:rsidRPr="007679BB">
        <w:rPr>
          <w:rFonts w:asciiTheme="minorHAnsi" w:hAnsiTheme="minorHAnsi" w:cstheme="minorHAnsi"/>
          <w:b/>
          <w:noProof/>
        </w:rPr>
        <w:t>21</w:t>
      </w:r>
      <w:r w:rsidRPr="001220A4">
        <w:rPr>
          <w:rFonts w:asciiTheme="minorHAnsi" w:hAnsiTheme="minorHAnsi" w:cstheme="minorHAnsi"/>
          <w:noProof/>
        </w:rPr>
        <w:t xml:space="preserve"> (3), 201–232</w:t>
      </w:r>
      <w:r w:rsidR="007679BB">
        <w:rPr>
          <w:rFonts w:asciiTheme="minorHAnsi" w:hAnsiTheme="minorHAnsi" w:cstheme="minorHAnsi"/>
          <w:noProof/>
        </w:rPr>
        <w:t xml:space="preserve"> (</w:t>
      </w:r>
      <w:r w:rsidRPr="001220A4">
        <w:rPr>
          <w:rFonts w:asciiTheme="minorHAnsi" w:hAnsiTheme="minorHAnsi" w:cstheme="minorHAnsi"/>
          <w:noProof/>
        </w:rPr>
        <w:t>2013).</w:t>
      </w:r>
    </w:p>
    <w:p w14:paraId="559F8DB0" w14:textId="5A2378C4"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15.</w:t>
      </w:r>
      <w:r w:rsidRPr="001220A4">
        <w:rPr>
          <w:rFonts w:asciiTheme="minorHAnsi" w:hAnsiTheme="minorHAnsi" w:cstheme="minorHAnsi"/>
          <w:noProof/>
        </w:rPr>
        <w:tab/>
        <w:t xml:space="preserve">Hodgman, M.J., Garrard, A.R. A Review of Acetaminophen Poisoning. </w:t>
      </w:r>
      <w:r w:rsidRPr="001220A4">
        <w:rPr>
          <w:rFonts w:asciiTheme="minorHAnsi" w:hAnsiTheme="minorHAnsi" w:cstheme="minorHAnsi"/>
          <w:i/>
          <w:iCs/>
          <w:noProof/>
        </w:rPr>
        <w:t>Critical Care Clinics</w:t>
      </w:r>
      <w:r w:rsidRPr="001220A4">
        <w:rPr>
          <w:rFonts w:asciiTheme="minorHAnsi" w:hAnsiTheme="minorHAnsi" w:cstheme="minorHAnsi"/>
          <w:noProof/>
        </w:rPr>
        <w:t xml:space="preserve">. </w:t>
      </w:r>
      <w:r w:rsidRPr="007679BB">
        <w:rPr>
          <w:rFonts w:asciiTheme="minorHAnsi" w:hAnsiTheme="minorHAnsi" w:cstheme="minorHAnsi"/>
          <w:b/>
          <w:noProof/>
        </w:rPr>
        <w:t>28</w:t>
      </w:r>
      <w:r w:rsidRPr="001220A4">
        <w:rPr>
          <w:rFonts w:asciiTheme="minorHAnsi" w:hAnsiTheme="minorHAnsi" w:cstheme="minorHAnsi"/>
          <w:noProof/>
        </w:rPr>
        <w:t xml:space="preserve"> (4), 499–516</w:t>
      </w:r>
      <w:r w:rsidR="007679BB">
        <w:rPr>
          <w:rFonts w:asciiTheme="minorHAnsi" w:hAnsiTheme="minorHAnsi" w:cstheme="minorHAnsi"/>
          <w:noProof/>
        </w:rPr>
        <w:t xml:space="preserve"> (</w:t>
      </w:r>
      <w:r w:rsidRPr="001220A4">
        <w:rPr>
          <w:rFonts w:asciiTheme="minorHAnsi" w:hAnsiTheme="minorHAnsi" w:cstheme="minorHAnsi"/>
          <w:noProof/>
        </w:rPr>
        <w:t>2012).</w:t>
      </w:r>
    </w:p>
    <w:p w14:paraId="650B8EDF" w14:textId="3060EE94"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16.</w:t>
      </w:r>
      <w:r w:rsidRPr="001220A4">
        <w:rPr>
          <w:rFonts w:asciiTheme="minorHAnsi" w:hAnsiTheme="minorHAnsi" w:cstheme="minorHAnsi"/>
          <w:noProof/>
        </w:rPr>
        <w:tab/>
        <w:t xml:space="preserve">Maschmeyer, I. </w:t>
      </w:r>
      <w:r w:rsidR="00B2719E" w:rsidRPr="00B2719E">
        <w:rPr>
          <w:rFonts w:asciiTheme="minorHAnsi" w:hAnsiTheme="minorHAnsi" w:cstheme="minorHAnsi"/>
          <w:noProof/>
        </w:rPr>
        <w:t>et al.</w:t>
      </w:r>
      <w:r w:rsidRPr="001220A4">
        <w:rPr>
          <w:rFonts w:asciiTheme="minorHAnsi" w:hAnsiTheme="minorHAnsi" w:cstheme="minorHAnsi"/>
          <w:noProof/>
        </w:rPr>
        <w:t xml:space="preserve"> Chip-based human liver-intestine and liver-skin co-cultures - A first step toward systemic repeated dose substance testing </w:t>
      </w:r>
      <w:r w:rsidR="00194937" w:rsidRPr="00194937">
        <w:rPr>
          <w:rFonts w:asciiTheme="minorHAnsi" w:hAnsiTheme="minorHAnsi" w:cstheme="minorHAnsi"/>
          <w:noProof/>
        </w:rPr>
        <w:t>in vitro</w:t>
      </w:r>
      <w:r w:rsidRPr="001220A4">
        <w:rPr>
          <w:rFonts w:asciiTheme="minorHAnsi" w:hAnsiTheme="minorHAnsi" w:cstheme="minorHAnsi"/>
          <w:noProof/>
        </w:rPr>
        <w:t xml:space="preserve">. </w:t>
      </w:r>
      <w:r w:rsidRPr="001220A4">
        <w:rPr>
          <w:rFonts w:asciiTheme="minorHAnsi" w:hAnsiTheme="minorHAnsi" w:cstheme="minorHAnsi"/>
          <w:i/>
          <w:iCs/>
          <w:noProof/>
        </w:rPr>
        <w:t>European Journal of Pharmaceutics and Biopharmaceutics</w:t>
      </w:r>
      <w:r w:rsidRPr="001220A4">
        <w:rPr>
          <w:rFonts w:asciiTheme="minorHAnsi" w:hAnsiTheme="minorHAnsi" w:cstheme="minorHAnsi"/>
          <w:noProof/>
        </w:rPr>
        <w:t xml:space="preserve">. </w:t>
      </w:r>
      <w:r w:rsidRPr="007679BB">
        <w:rPr>
          <w:rFonts w:asciiTheme="minorHAnsi" w:hAnsiTheme="minorHAnsi" w:cstheme="minorHAnsi"/>
          <w:b/>
          <w:noProof/>
        </w:rPr>
        <w:t>95</w:t>
      </w:r>
      <w:r w:rsidRPr="001220A4">
        <w:rPr>
          <w:rFonts w:asciiTheme="minorHAnsi" w:hAnsiTheme="minorHAnsi" w:cstheme="minorHAnsi"/>
          <w:noProof/>
        </w:rPr>
        <w:t>, 77–87</w:t>
      </w:r>
      <w:r w:rsidR="007679BB">
        <w:rPr>
          <w:rFonts w:asciiTheme="minorHAnsi" w:hAnsiTheme="minorHAnsi" w:cstheme="minorHAnsi"/>
          <w:noProof/>
        </w:rPr>
        <w:t xml:space="preserve"> (</w:t>
      </w:r>
      <w:r w:rsidRPr="001220A4">
        <w:rPr>
          <w:rFonts w:asciiTheme="minorHAnsi" w:hAnsiTheme="minorHAnsi" w:cstheme="minorHAnsi"/>
          <w:noProof/>
        </w:rPr>
        <w:t>2015).</w:t>
      </w:r>
    </w:p>
    <w:p w14:paraId="0774FD79" w14:textId="0677240C"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17.</w:t>
      </w:r>
      <w:r w:rsidRPr="001220A4">
        <w:rPr>
          <w:rFonts w:asciiTheme="minorHAnsi" w:hAnsiTheme="minorHAnsi" w:cstheme="minorHAnsi"/>
          <w:noProof/>
        </w:rPr>
        <w:tab/>
        <w:t xml:space="preserve">Bessems, J.G.M., Vermeulen, N.P.E. Paracetamol (acetaminophen)-induced toxicity: Molecular and biochemical mechanisms, analogues and protective approaches. </w:t>
      </w:r>
      <w:r w:rsidRPr="001220A4">
        <w:rPr>
          <w:rFonts w:asciiTheme="minorHAnsi" w:hAnsiTheme="minorHAnsi" w:cstheme="minorHAnsi"/>
          <w:i/>
          <w:iCs/>
          <w:noProof/>
        </w:rPr>
        <w:t>Critical Reviews in Toxicology</w:t>
      </w:r>
      <w:r w:rsidRPr="001220A4">
        <w:rPr>
          <w:rFonts w:asciiTheme="minorHAnsi" w:hAnsiTheme="minorHAnsi" w:cstheme="minorHAnsi"/>
          <w:noProof/>
        </w:rPr>
        <w:t xml:space="preserve">. </w:t>
      </w:r>
      <w:r w:rsidRPr="007679BB">
        <w:rPr>
          <w:rFonts w:asciiTheme="minorHAnsi" w:hAnsiTheme="minorHAnsi" w:cstheme="minorHAnsi"/>
          <w:b/>
          <w:noProof/>
        </w:rPr>
        <w:t>31</w:t>
      </w:r>
      <w:r w:rsidRPr="001220A4">
        <w:rPr>
          <w:rFonts w:asciiTheme="minorHAnsi" w:hAnsiTheme="minorHAnsi" w:cstheme="minorHAnsi"/>
          <w:noProof/>
        </w:rPr>
        <w:t xml:space="preserve"> (1), 55–1</w:t>
      </w:r>
      <w:r w:rsidR="00E75682" w:rsidRPr="001220A4">
        <w:rPr>
          <w:rFonts w:asciiTheme="minorHAnsi" w:hAnsiTheme="minorHAnsi" w:cstheme="minorHAnsi"/>
          <w:noProof/>
        </w:rPr>
        <w:t>38</w:t>
      </w:r>
      <w:r w:rsidR="007679BB">
        <w:rPr>
          <w:rFonts w:asciiTheme="minorHAnsi" w:hAnsiTheme="minorHAnsi" w:cstheme="minorHAnsi"/>
          <w:noProof/>
        </w:rPr>
        <w:t xml:space="preserve"> (</w:t>
      </w:r>
      <w:r w:rsidRPr="001220A4">
        <w:rPr>
          <w:rFonts w:asciiTheme="minorHAnsi" w:hAnsiTheme="minorHAnsi" w:cstheme="minorHAnsi"/>
          <w:noProof/>
        </w:rPr>
        <w:t>2001).</w:t>
      </w:r>
    </w:p>
    <w:p w14:paraId="2E2CB31F" w14:textId="4337C8D7"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18.</w:t>
      </w:r>
      <w:r w:rsidRPr="001220A4">
        <w:rPr>
          <w:rFonts w:asciiTheme="minorHAnsi" w:hAnsiTheme="minorHAnsi" w:cstheme="minorHAnsi"/>
          <w:noProof/>
        </w:rPr>
        <w:tab/>
        <w:t xml:space="preserve">Hirt, M.N. </w:t>
      </w:r>
      <w:r w:rsidR="00B2719E" w:rsidRPr="00B2719E">
        <w:rPr>
          <w:rFonts w:asciiTheme="minorHAnsi" w:hAnsiTheme="minorHAnsi" w:cstheme="minorHAnsi"/>
          <w:noProof/>
        </w:rPr>
        <w:t>et al.</w:t>
      </w:r>
      <w:r w:rsidRPr="001220A4">
        <w:rPr>
          <w:rFonts w:asciiTheme="minorHAnsi" w:hAnsiTheme="minorHAnsi" w:cstheme="minorHAnsi"/>
          <w:noProof/>
        </w:rPr>
        <w:t xml:space="preserve"> Increased afterload induces pathological cardiac hypertrophy: A new </w:t>
      </w:r>
      <w:r w:rsidR="00194937" w:rsidRPr="00194937">
        <w:rPr>
          <w:rFonts w:asciiTheme="minorHAnsi" w:hAnsiTheme="minorHAnsi" w:cstheme="minorHAnsi"/>
          <w:noProof/>
        </w:rPr>
        <w:t>in vitro</w:t>
      </w:r>
      <w:r w:rsidRPr="001220A4">
        <w:rPr>
          <w:rFonts w:asciiTheme="minorHAnsi" w:hAnsiTheme="minorHAnsi" w:cstheme="minorHAnsi"/>
          <w:noProof/>
        </w:rPr>
        <w:t xml:space="preserve"> model. </w:t>
      </w:r>
      <w:r w:rsidRPr="001220A4">
        <w:rPr>
          <w:rFonts w:asciiTheme="minorHAnsi" w:hAnsiTheme="minorHAnsi" w:cstheme="minorHAnsi"/>
          <w:i/>
          <w:iCs/>
          <w:noProof/>
        </w:rPr>
        <w:t>Basic Research in Cardiology</w:t>
      </w:r>
      <w:r w:rsidRPr="001220A4">
        <w:rPr>
          <w:rFonts w:asciiTheme="minorHAnsi" w:hAnsiTheme="minorHAnsi" w:cstheme="minorHAnsi"/>
          <w:noProof/>
        </w:rPr>
        <w:t xml:space="preserve">. </w:t>
      </w:r>
      <w:r w:rsidRPr="007679BB">
        <w:rPr>
          <w:rFonts w:asciiTheme="minorHAnsi" w:hAnsiTheme="minorHAnsi" w:cstheme="minorHAnsi"/>
          <w:b/>
          <w:noProof/>
        </w:rPr>
        <w:t>107</w:t>
      </w:r>
      <w:r w:rsidRPr="001220A4">
        <w:rPr>
          <w:rFonts w:asciiTheme="minorHAnsi" w:hAnsiTheme="minorHAnsi" w:cstheme="minorHAnsi"/>
          <w:noProof/>
        </w:rPr>
        <w:t xml:space="preserve"> (6), 307</w:t>
      </w:r>
      <w:r w:rsidR="007679BB">
        <w:rPr>
          <w:rFonts w:asciiTheme="minorHAnsi" w:hAnsiTheme="minorHAnsi" w:cstheme="minorHAnsi"/>
          <w:noProof/>
        </w:rPr>
        <w:t xml:space="preserve"> (</w:t>
      </w:r>
      <w:r w:rsidRPr="001220A4">
        <w:rPr>
          <w:rFonts w:asciiTheme="minorHAnsi" w:hAnsiTheme="minorHAnsi" w:cstheme="minorHAnsi"/>
          <w:noProof/>
        </w:rPr>
        <w:t>2012).</w:t>
      </w:r>
    </w:p>
    <w:p w14:paraId="03E06D87" w14:textId="521C9292"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19.</w:t>
      </w:r>
      <w:r w:rsidRPr="001220A4">
        <w:rPr>
          <w:rFonts w:asciiTheme="minorHAnsi" w:hAnsiTheme="minorHAnsi" w:cstheme="minorHAnsi"/>
          <w:noProof/>
        </w:rPr>
        <w:tab/>
        <w:t>Fink, C</w:t>
      </w:r>
      <w:r w:rsidR="00B2719E" w:rsidRPr="001220A4">
        <w:rPr>
          <w:rFonts w:asciiTheme="minorHAnsi" w:hAnsiTheme="minorHAnsi" w:cstheme="minorHAnsi"/>
          <w:noProof/>
        </w:rPr>
        <w:t xml:space="preserve">. </w:t>
      </w:r>
      <w:r w:rsidR="00B2719E" w:rsidRPr="00B2719E">
        <w:rPr>
          <w:rFonts w:asciiTheme="minorHAnsi" w:hAnsiTheme="minorHAnsi" w:cstheme="minorHAnsi"/>
          <w:noProof/>
        </w:rPr>
        <w:t>et al.</w:t>
      </w:r>
      <w:r w:rsidR="00B2719E">
        <w:rPr>
          <w:rFonts w:asciiTheme="minorHAnsi" w:hAnsiTheme="minorHAnsi" w:cstheme="minorHAnsi"/>
          <w:noProof/>
        </w:rPr>
        <w:t xml:space="preserve"> </w:t>
      </w:r>
      <w:r w:rsidRPr="001220A4">
        <w:rPr>
          <w:rFonts w:asciiTheme="minorHAnsi" w:hAnsiTheme="minorHAnsi" w:cstheme="minorHAnsi"/>
          <w:noProof/>
        </w:rPr>
        <w:t xml:space="preserve">Chronic stretch of engineered heart tissue induces hypertrophy and functional improvement. </w:t>
      </w:r>
      <w:r w:rsidRPr="001220A4">
        <w:rPr>
          <w:rFonts w:asciiTheme="minorHAnsi" w:hAnsiTheme="minorHAnsi" w:cstheme="minorHAnsi"/>
          <w:i/>
          <w:iCs/>
          <w:noProof/>
        </w:rPr>
        <w:t>The FASEB journal : official publication of the Federation of American Societies for Experimental Biology</w:t>
      </w:r>
      <w:r w:rsidRPr="001220A4">
        <w:rPr>
          <w:rFonts w:asciiTheme="minorHAnsi" w:hAnsiTheme="minorHAnsi" w:cstheme="minorHAnsi"/>
          <w:noProof/>
        </w:rPr>
        <w:t xml:space="preserve">. </w:t>
      </w:r>
      <w:r w:rsidRPr="007679BB">
        <w:rPr>
          <w:rFonts w:asciiTheme="minorHAnsi" w:hAnsiTheme="minorHAnsi" w:cstheme="minorHAnsi"/>
          <w:b/>
          <w:noProof/>
        </w:rPr>
        <w:t>14</w:t>
      </w:r>
      <w:r w:rsidRPr="001220A4">
        <w:rPr>
          <w:rFonts w:asciiTheme="minorHAnsi" w:hAnsiTheme="minorHAnsi" w:cstheme="minorHAnsi"/>
          <w:noProof/>
        </w:rPr>
        <w:t xml:space="preserve"> (5), 669–67</w:t>
      </w:r>
      <w:r w:rsidR="00E75682" w:rsidRPr="001220A4">
        <w:rPr>
          <w:rFonts w:asciiTheme="minorHAnsi" w:hAnsiTheme="minorHAnsi" w:cstheme="minorHAnsi"/>
          <w:noProof/>
        </w:rPr>
        <w:t>9</w:t>
      </w:r>
      <w:r w:rsidR="007679BB">
        <w:rPr>
          <w:rFonts w:asciiTheme="minorHAnsi" w:hAnsiTheme="minorHAnsi" w:cstheme="minorHAnsi"/>
          <w:noProof/>
        </w:rPr>
        <w:t xml:space="preserve"> (</w:t>
      </w:r>
      <w:r w:rsidRPr="001220A4">
        <w:rPr>
          <w:rFonts w:asciiTheme="minorHAnsi" w:hAnsiTheme="minorHAnsi" w:cstheme="minorHAnsi"/>
          <w:noProof/>
        </w:rPr>
        <w:t>2000).</w:t>
      </w:r>
    </w:p>
    <w:p w14:paraId="53D68F89" w14:textId="0D51436E"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20.</w:t>
      </w:r>
      <w:r w:rsidRPr="001220A4">
        <w:rPr>
          <w:rFonts w:asciiTheme="minorHAnsi" w:hAnsiTheme="minorHAnsi" w:cstheme="minorHAnsi"/>
          <w:noProof/>
        </w:rPr>
        <w:tab/>
        <w:t xml:space="preserve">Zhang, B., Peticone, C., Murthy, S.K., Radisic, M. A standalone perfusion platform for drug testing and target validation in micro-vessel networks. </w:t>
      </w:r>
      <w:r w:rsidRPr="001220A4">
        <w:rPr>
          <w:rFonts w:asciiTheme="minorHAnsi" w:hAnsiTheme="minorHAnsi" w:cstheme="minorHAnsi"/>
          <w:i/>
          <w:iCs/>
          <w:noProof/>
        </w:rPr>
        <w:t>Biomicrofluidics</w:t>
      </w:r>
      <w:r w:rsidRPr="001220A4">
        <w:rPr>
          <w:rFonts w:asciiTheme="minorHAnsi" w:hAnsiTheme="minorHAnsi" w:cstheme="minorHAnsi"/>
          <w:noProof/>
        </w:rPr>
        <w:t xml:space="preserve">. </w:t>
      </w:r>
      <w:r w:rsidRPr="007679BB">
        <w:rPr>
          <w:rFonts w:asciiTheme="minorHAnsi" w:hAnsiTheme="minorHAnsi" w:cstheme="minorHAnsi"/>
          <w:b/>
          <w:noProof/>
        </w:rPr>
        <w:t>7</w:t>
      </w:r>
      <w:r w:rsidRPr="001220A4">
        <w:rPr>
          <w:rFonts w:asciiTheme="minorHAnsi" w:hAnsiTheme="minorHAnsi" w:cstheme="minorHAnsi"/>
          <w:noProof/>
        </w:rPr>
        <w:t xml:space="preserve"> (4),</w:t>
      </w:r>
      <w:r w:rsidR="00E75682" w:rsidRPr="001220A4">
        <w:rPr>
          <w:rFonts w:asciiTheme="minorHAnsi" w:hAnsiTheme="minorHAnsi" w:cstheme="minorHAnsi"/>
          <w:noProof/>
        </w:rPr>
        <w:t xml:space="preserve"> 044125</w:t>
      </w:r>
      <w:r w:rsidR="007679BB">
        <w:rPr>
          <w:rFonts w:asciiTheme="minorHAnsi" w:hAnsiTheme="minorHAnsi" w:cstheme="minorHAnsi"/>
          <w:noProof/>
        </w:rPr>
        <w:t xml:space="preserve"> (</w:t>
      </w:r>
      <w:r w:rsidRPr="001220A4">
        <w:rPr>
          <w:rFonts w:asciiTheme="minorHAnsi" w:hAnsiTheme="minorHAnsi" w:cstheme="minorHAnsi"/>
          <w:noProof/>
        </w:rPr>
        <w:t>2013).</w:t>
      </w:r>
    </w:p>
    <w:p w14:paraId="694D5D26" w14:textId="3B0A3BF2"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21.</w:t>
      </w:r>
      <w:r w:rsidRPr="001220A4">
        <w:rPr>
          <w:rFonts w:asciiTheme="minorHAnsi" w:hAnsiTheme="minorHAnsi" w:cstheme="minorHAnsi"/>
          <w:noProof/>
        </w:rPr>
        <w:tab/>
        <w:t xml:space="preserve">Araújo, F., Sarmento, B. Towards the characterization of an </w:t>
      </w:r>
      <w:r w:rsidR="00194937" w:rsidRPr="00194937">
        <w:rPr>
          <w:rFonts w:asciiTheme="minorHAnsi" w:hAnsiTheme="minorHAnsi" w:cstheme="minorHAnsi"/>
          <w:noProof/>
        </w:rPr>
        <w:t>in vitro</w:t>
      </w:r>
      <w:r w:rsidRPr="001220A4">
        <w:rPr>
          <w:rFonts w:asciiTheme="minorHAnsi" w:hAnsiTheme="minorHAnsi" w:cstheme="minorHAnsi"/>
          <w:noProof/>
        </w:rPr>
        <w:t xml:space="preserve"> triple co-culture intestine cell model for permeability studies. </w:t>
      </w:r>
      <w:r w:rsidRPr="001220A4">
        <w:rPr>
          <w:rFonts w:asciiTheme="minorHAnsi" w:hAnsiTheme="minorHAnsi" w:cstheme="minorHAnsi"/>
          <w:i/>
          <w:iCs/>
          <w:noProof/>
        </w:rPr>
        <w:t>International Journal of Pharmaceutics</w:t>
      </w:r>
      <w:r w:rsidRPr="001220A4">
        <w:rPr>
          <w:rFonts w:asciiTheme="minorHAnsi" w:hAnsiTheme="minorHAnsi" w:cstheme="minorHAnsi"/>
          <w:noProof/>
        </w:rPr>
        <w:t xml:space="preserve">. </w:t>
      </w:r>
      <w:r w:rsidRPr="007679BB">
        <w:rPr>
          <w:rFonts w:asciiTheme="minorHAnsi" w:hAnsiTheme="minorHAnsi" w:cstheme="minorHAnsi"/>
          <w:b/>
          <w:noProof/>
        </w:rPr>
        <w:t>458</w:t>
      </w:r>
      <w:r w:rsidR="00E75682" w:rsidRPr="001220A4">
        <w:rPr>
          <w:rFonts w:asciiTheme="minorHAnsi" w:hAnsiTheme="minorHAnsi" w:cstheme="minorHAnsi"/>
          <w:noProof/>
        </w:rPr>
        <w:t xml:space="preserve"> (1), 128–134</w:t>
      </w:r>
      <w:r w:rsidR="007679BB">
        <w:rPr>
          <w:rFonts w:asciiTheme="minorHAnsi" w:hAnsiTheme="minorHAnsi" w:cstheme="minorHAnsi"/>
          <w:noProof/>
        </w:rPr>
        <w:t xml:space="preserve"> (</w:t>
      </w:r>
      <w:r w:rsidRPr="001220A4">
        <w:rPr>
          <w:rFonts w:asciiTheme="minorHAnsi" w:hAnsiTheme="minorHAnsi" w:cstheme="minorHAnsi"/>
          <w:noProof/>
        </w:rPr>
        <w:t>2013).</w:t>
      </w:r>
    </w:p>
    <w:p w14:paraId="57FB6799" w14:textId="58E92651"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22.</w:t>
      </w:r>
      <w:r w:rsidRPr="001220A4">
        <w:rPr>
          <w:rFonts w:asciiTheme="minorHAnsi" w:hAnsiTheme="minorHAnsi" w:cstheme="minorHAnsi"/>
          <w:noProof/>
        </w:rPr>
        <w:tab/>
        <w:t xml:space="preserve">Cadena-Herrera, D. </w:t>
      </w:r>
      <w:r w:rsidR="00B2719E" w:rsidRPr="00B2719E">
        <w:rPr>
          <w:rFonts w:asciiTheme="minorHAnsi" w:hAnsiTheme="minorHAnsi" w:cstheme="minorHAnsi"/>
          <w:noProof/>
        </w:rPr>
        <w:t>et al.</w:t>
      </w:r>
      <w:r w:rsidRPr="001220A4">
        <w:rPr>
          <w:rFonts w:asciiTheme="minorHAnsi" w:hAnsiTheme="minorHAnsi" w:cstheme="minorHAnsi"/>
          <w:noProof/>
        </w:rPr>
        <w:t xml:space="preserve"> Validation of three viable-cell counting methods: Manual, semi-automated, and automated. </w:t>
      </w:r>
      <w:r w:rsidRPr="001220A4">
        <w:rPr>
          <w:rFonts w:asciiTheme="minorHAnsi" w:hAnsiTheme="minorHAnsi" w:cstheme="minorHAnsi"/>
          <w:i/>
          <w:iCs/>
          <w:noProof/>
        </w:rPr>
        <w:t>Biotechnology Reports</w:t>
      </w:r>
      <w:r w:rsidRPr="001220A4">
        <w:rPr>
          <w:rFonts w:asciiTheme="minorHAnsi" w:hAnsiTheme="minorHAnsi" w:cstheme="minorHAnsi"/>
          <w:noProof/>
        </w:rPr>
        <w:t xml:space="preserve">. </w:t>
      </w:r>
      <w:r w:rsidRPr="007679BB">
        <w:rPr>
          <w:rFonts w:asciiTheme="minorHAnsi" w:hAnsiTheme="minorHAnsi" w:cstheme="minorHAnsi"/>
          <w:b/>
          <w:noProof/>
        </w:rPr>
        <w:t>7</w:t>
      </w:r>
      <w:r w:rsidR="00E75682" w:rsidRPr="001220A4">
        <w:rPr>
          <w:rFonts w:asciiTheme="minorHAnsi" w:hAnsiTheme="minorHAnsi" w:cstheme="minorHAnsi"/>
          <w:noProof/>
        </w:rPr>
        <w:t>, 9–16</w:t>
      </w:r>
      <w:r w:rsidR="007679BB">
        <w:rPr>
          <w:rFonts w:asciiTheme="minorHAnsi" w:hAnsiTheme="minorHAnsi" w:cstheme="minorHAnsi"/>
          <w:noProof/>
        </w:rPr>
        <w:t xml:space="preserve"> (</w:t>
      </w:r>
      <w:r w:rsidRPr="001220A4">
        <w:rPr>
          <w:rFonts w:asciiTheme="minorHAnsi" w:hAnsiTheme="minorHAnsi" w:cstheme="minorHAnsi"/>
          <w:noProof/>
        </w:rPr>
        <w:t>2015).</w:t>
      </w:r>
    </w:p>
    <w:p w14:paraId="62C24EE4" w14:textId="77777777"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23.</w:t>
      </w:r>
      <w:r w:rsidRPr="001220A4">
        <w:rPr>
          <w:rFonts w:asciiTheme="minorHAnsi" w:hAnsiTheme="minorHAnsi" w:cstheme="minorHAnsi"/>
          <w:noProof/>
        </w:rPr>
        <w:tab/>
        <w:t>Millipore, M. User Guide Millicell® ERS-2 Electrical Resistance System. 6–10, at &lt;http://www.merckmillipore.com/BR/pt/life-science-research/cell-culture-systems/cell-analysis/millicell-ers-2-voltohmmeter/FiSb.qB.LDgAAAFBdMhb3.r5,nav&gt; (2016).</w:t>
      </w:r>
    </w:p>
    <w:p w14:paraId="535979C3" w14:textId="75624404"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24.</w:t>
      </w:r>
      <w:r w:rsidRPr="001220A4">
        <w:rPr>
          <w:rFonts w:asciiTheme="minorHAnsi" w:hAnsiTheme="minorHAnsi" w:cstheme="minorHAnsi"/>
          <w:noProof/>
        </w:rPr>
        <w:tab/>
        <w:t xml:space="preserve">Gripon, P. </w:t>
      </w:r>
      <w:r w:rsidR="00B2719E" w:rsidRPr="00B2719E">
        <w:rPr>
          <w:rFonts w:asciiTheme="minorHAnsi" w:hAnsiTheme="minorHAnsi" w:cstheme="minorHAnsi"/>
          <w:noProof/>
        </w:rPr>
        <w:t>et al.</w:t>
      </w:r>
      <w:r w:rsidRPr="001220A4">
        <w:rPr>
          <w:rFonts w:asciiTheme="minorHAnsi" w:hAnsiTheme="minorHAnsi" w:cstheme="minorHAnsi"/>
          <w:noProof/>
        </w:rPr>
        <w:t xml:space="preserve"> Infection of a human hepatoma cell line by hepatitis B virus. </w:t>
      </w:r>
      <w:r w:rsidRPr="001220A4">
        <w:rPr>
          <w:rFonts w:asciiTheme="minorHAnsi" w:hAnsiTheme="minorHAnsi" w:cstheme="minorHAnsi"/>
          <w:i/>
          <w:iCs/>
          <w:noProof/>
        </w:rPr>
        <w:t>Proceedings of the National Academy of Sciences of the United States of America</w:t>
      </w:r>
      <w:r w:rsidRPr="001220A4">
        <w:rPr>
          <w:rFonts w:asciiTheme="minorHAnsi" w:hAnsiTheme="minorHAnsi" w:cstheme="minorHAnsi"/>
          <w:noProof/>
        </w:rPr>
        <w:t xml:space="preserve">. </w:t>
      </w:r>
      <w:r w:rsidRPr="004A1AD3">
        <w:rPr>
          <w:rFonts w:asciiTheme="minorHAnsi" w:hAnsiTheme="minorHAnsi" w:cstheme="minorHAnsi"/>
          <w:b/>
          <w:noProof/>
        </w:rPr>
        <w:t>99</w:t>
      </w:r>
      <w:r w:rsidRPr="001220A4">
        <w:rPr>
          <w:rFonts w:asciiTheme="minorHAnsi" w:hAnsiTheme="minorHAnsi" w:cstheme="minorHAnsi"/>
          <w:noProof/>
        </w:rPr>
        <w:t xml:space="preserve"> </w:t>
      </w:r>
      <w:r w:rsidR="00E75682" w:rsidRPr="001220A4">
        <w:rPr>
          <w:rFonts w:asciiTheme="minorHAnsi" w:hAnsiTheme="minorHAnsi" w:cstheme="minorHAnsi"/>
          <w:noProof/>
        </w:rPr>
        <w:t>(24), 15655–15660</w:t>
      </w:r>
      <w:r w:rsidR="007679BB">
        <w:rPr>
          <w:rFonts w:asciiTheme="minorHAnsi" w:hAnsiTheme="minorHAnsi" w:cstheme="minorHAnsi"/>
          <w:noProof/>
        </w:rPr>
        <w:t xml:space="preserve"> (</w:t>
      </w:r>
      <w:r w:rsidRPr="001220A4">
        <w:rPr>
          <w:rFonts w:asciiTheme="minorHAnsi" w:hAnsiTheme="minorHAnsi" w:cstheme="minorHAnsi"/>
          <w:noProof/>
        </w:rPr>
        <w:t>2002).</w:t>
      </w:r>
    </w:p>
    <w:p w14:paraId="2AA10E20" w14:textId="7236A742"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25.</w:t>
      </w:r>
      <w:r w:rsidRPr="001220A4">
        <w:rPr>
          <w:rFonts w:asciiTheme="minorHAnsi" w:hAnsiTheme="minorHAnsi" w:cstheme="minorHAnsi"/>
          <w:noProof/>
        </w:rPr>
        <w:tab/>
        <w:t>Guillouzo, A</w:t>
      </w:r>
      <w:r w:rsidR="00B2719E" w:rsidRPr="001220A4">
        <w:rPr>
          <w:rFonts w:asciiTheme="minorHAnsi" w:hAnsiTheme="minorHAnsi" w:cstheme="minorHAnsi"/>
          <w:noProof/>
        </w:rPr>
        <w:t xml:space="preserve">. </w:t>
      </w:r>
      <w:r w:rsidR="00B2719E" w:rsidRPr="00B2719E">
        <w:rPr>
          <w:rFonts w:asciiTheme="minorHAnsi" w:hAnsiTheme="minorHAnsi" w:cstheme="minorHAnsi"/>
          <w:noProof/>
        </w:rPr>
        <w:t>et al.</w:t>
      </w:r>
      <w:r w:rsidR="00B2719E">
        <w:rPr>
          <w:rFonts w:asciiTheme="minorHAnsi" w:hAnsiTheme="minorHAnsi" w:cstheme="minorHAnsi"/>
          <w:noProof/>
        </w:rPr>
        <w:t xml:space="preserve"> </w:t>
      </w:r>
      <w:r w:rsidRPr="001220A4">
        <w:rPr>
          <w:rFonts w:asciiTheme="minorHAnsi" w:hAnsiTheme="minorHAnsi" w:cstheme="minorHAnsi"/>
          <w:noProof/>
        </w:rPr>
        <w:t xml:space="preserve">The human hepatoma HepaRG cells: A highly differentiated model for studies of liver metabolism and toxicity of xenobiotics. </w:t>
      </w:r>
      <w:r w:rsidR="00B2719E">
        <w:rPr>
          <w:rFonts w:asciiTheme="minorHAnsi" w:hAnsiTheme="minorHAnsi" w:cstheme="minorHAnsi"/>
          <w:i/>
          <w:iCs/>
          <w:noProof/>
        </w:rPr>
        <w:t>Chemico-Biological Interactions</w:t>
      </w:r>
      <w:r w:rsidRPr="001220A4">
        <w:rPr>
          <w:rFonts w:asciiTheme="minorHAnsi" w:hAnsiTheme="minorHAnsi" w:cstheme="minorHAnsi"/>
          <w:i/>
          <w:iCs/>
          <w:noProof/>
        </w:rPr>
        <w:t>.</w:t>
      </w:r>
      <w:r w:rsidRPr="001220A4">
        <w:rPr>
          <w:rFonts w:asciiTheme="minorHAnsi" w:hAnsiTheme="minorHAnsi" w:cstheme="minorHAnsi"/>
          <w:noProof/>
        </w:rPr>
        <w:t xml:space="preserve"> </w:t>
      </w:r>
      <w:r w:rsidRPr="004A1AD3">
        <w:rPr>
          <w:rFonts w:asciiTheme="minorHAnsi" w:hAnsiTheme="minorHAnsi" w:cstheme="minorHAnsi"/>
          <w:b/>
          <w:noProof/>
        </w:rPr>
        <w:t>168</w:t>
      </w:r>
      <w:r w:rsidR="00E75682" w:rsidRPr="001220A4">
        <w:rPr>
          <w:rFonts w:asciiTheme="minorHAnsi" w:hAnsiTheme="minorHAnsi" w:cstheme="minorHAnsi"/>
          <w:noProof/>
        </w:rPr>
        <w:t xml:space="preserve"> (1), 66–73</w:t>
      </w:r>
      <w:r w:rsidR="007679BB">
        <w:rPr>
          <w:rFonts w:asciiTheme="minorHAnsi" w:hAnsiTheme="minorHAnsi" w:cstheme="minorHAnsi"/>
          <w:noProof/>
        </w:rPr>
        <w:t xml:space="preserve"> (</w:t>
      </w:r>
      <w:r w:rsidRPr="001220A4">
        <w:rPr>
          <w:rFonts w:asciiTheme="minorHAnsi" w:hAnsiTheme="minorHAnsi" w:cstheme="minorHAnsi"/>
          <w:noProof/>
        </w:rPr>
        <w:t>2007).</w:t>
      </w:r>
    </w:p>
    <w:p w14:paraId="7FA7A4C2" w14:textId="63E071F4"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26.</w:t>
      </w:r>
      <w:r w:rsidRPr="001220A4">
        <w:rPr>
          <w:rFonts w:asciiTheme="minorHAnsi" w:hAnsiTheme="minorHAnsi" w:cstheme="minorHAnsi"/>
          <w:noProof/>
        </w:rPr>
        <w:tab/>
        <w:t xml:space="preserve">Wagner, I. </w:t>
      </w:r>
      <w:r w:rsidR="00B2719E" w:rsidRPr="00B2719E">
        <w:rPr>
          <w:rFonts w:asciiTheme="minorHAnsi" w:hAnsiTheme="minorHAnsi" w:cstheme="minorHAnsi"/>
          <w:noProof/>
        </w:rPr>
        <w:t>et al.</w:t>
      </w:r>
      <w:r w:rsidRPr="001220A4">
        <w:rPr>
          <w:rFonts w:asciiTheme="minorHAnsi" w:hAnsiTheme="minorHAnsi" w:cstheme="minorHAnsi"/>
          <w:noProof/>
        </w:rPr>
        <w:t xml:space="preserve"> A dynamic multi-organ-chip for long-term cultivation and substance testing proven by 3D human liver and skin tissue co-culture. </w:t>
      </w:r>
      <w:r w:rsidRPr="001220A4">
        <w:rPr>
          <w:rFonts w:asciiTheme="minorHAnsi" w:hAnsiTheme="minorHAnsi" w:cstheme="minorHAnsi"/>
          <w:i/>
          <w:iCs/>
          <w:noProof/>
        </w:rPr>
        <w:t>Lab on a Chip</w:t>
      </w:r>
      <w:r w:rsidRPr="001220A4">
        <w:rPr>
          <w:rFonts w:asciiTheme="minorHAnsi" w:hAnsiTheme="minorHAnsi" w:cstheme="minorHAnsi"/>
          <w:noProof/>
        </w:rPr>
        <w:t xml:space="preserve">. </w:t>
      </w:r>
      <w:r w:rsidRPr="004A1AD3">
        <w:rPr>
          <w:rFonts w:asciiTheme="minorHAnsi" w:hAnsiTheme="minorHAnsi" w:cstheme="minorHAnsi"/>
          <w:b/>
          <w:noProof/>
        </w:rPr>
        <w:t>13</w:t>
      </w:r>
      <w:r w:rsidRPr="001220A4">
        <w:rPr>
          <w:rFonts w:asciiTheme="minorHAnsi" w:hAnsiTheme="minorHAnsi" w:cstheme="minorHAnsi"/>
          <w:noProof/>
        </w:rPr>
        <w:t xml:space="preserve"> (18), 353</w:t>
      </w:r>
      <w:r w:rsidR="00E75682" w:rsidRPr="001220A4">
        <w:rPr>
          <w:rFonts w:asciiTheme="minorHAnsi" w:hAnsiTheme="minorHAnsi" w:cstheme="minorHAnsi"/>
          <w:noProof/>
        </w:rPr>
        <w:t>8–3547</w:t>
      </w:r>
      <w:r w:rsidR="007679BB">
        <w:rPr>
          <w:rFonts w:asciiTheme="minorHAnsi" w:hAnsiTheme="minorHAnsi" w:cstheme="minorHAnsi"/>
          <w:noProof/>
        </w:rPr>
        <w:t xml:space="preserve"> (</w:t>
      </w:r>
      <w:r w:rsidRPr="001220A4">
        <w:rPr>
          <w:rFonts w:asciiTheme="minorHAnsi" w:hAnsiTheme="minorHAnsi" w:cstheme="minorHAnsi"/>
          <w:noProof/>
        </w:rPr>
        <w:t>2013).</w:t>
      </w:r>
    </w:p>
    <w:p w14:paraId="5D689D16" w14:textId="740446EE"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27.</w:t>
      </w:r>
      <w:r w:rsidRPr="001220A4">
        <w:rPr>
          <w:rFonts w:asciiTheme="minorHAnsi" w:hAnsiTheme="minorHAnsi" w:cstheme="minorHAnsi"/>
          <w:noProof/>
        </w:rPr>
        <w:tab/>
        <w:t xml:space="preserve">Forrest, J.A.H., Clements, J.A., Prescott, L.F. Clinical Pharmacokinetics of Paracetamol. </w:t>
      </w:r>
      <w:r w:rsidRPr="001220A4">
        <w:rPr>
          <w:rFonts w:asciiTheme="minorHAnsi" w:hAnsiTheme="minorHAnsi" w:cstheme="minorHAnsi"/>
          <w:i/>
          <w:iCs/>
          <w:noProof/>
        </w:rPr>
        <w:t>Clinical Pharmacokinetics</w:t>
      </w:r>
      <w:r w:rsidRPr="001220A4">
        <w:rPr>
          <w:rFonts w:asciiTheme="minorHAnsi" w:hAnsiTheme="minorHAnsi" w:cstheme="minorHAnsi"/>
          <w:noProof/>
        </w:rPr>
        <w:t xml:space="preserve">. </w:t>
      </w:r>
      <w:r w:rsidRPr="004A1AD3">
        <w:rPr>
          <w:rFonts w:asciiTheme="minorHAnsi" w:hAnsiTheme="minorHAnsi" w:cstheme="minorHAnsi"/>
          <w:b/>
          <w:noProof/>
        </w:rPr>
        <w:t>7</w:t>
      </w:r>
      <w:r w:rsidR="00E75682" w:rsidRPr="004A1AD3">
        <w:rPr>
          <w:rFonts w:asciiTheme="minorHAnsi" w:hAnsiTheme="minorHAnsi" w:cstheme="minorHAnsi"/>
          <w:b/>
          <w:noProof/>
        </w:rPr>
        <w:t xml:space="preserve"> </w:t>
      </w:r>
      <w:r w:rsidR="00E75682" w:rsidRPr="001220A4">
        <w:rPr>
          <w:rFonts w:asciiTheme="minorHAnsi" w:hAnsiTheme="minorHAnsi" w:cstheme="minorHAnsi"/>
          <w:noProof/>
        </w:rPr>
        <w:t>(2), 93–107</w:t>
      </w:r>
      <w:r w:rsidR="007679BB">
        <w:rPr>
          <w:rFonts w:asciiTheme="minorHAnsi" w:hAnsiTheme="minorHAnsi" w:cstheme="minorHAnsi"/>
          <w:noProof/>
        </w:rPr>
        <w:t xml:space="preserve"> (</w:t>
      </w:r>
      <w:r w:rsidRPr="001220A4">
        <w:rPr>
          <w:rFonts w:asciiTheme="minorHAnsi" w:hAnsiTheme="minorHAnsi" w:cstheme="minorHAnsi"/>
          <w:noProof/>
        </w:rPr>
        <w:t>1982).</w:t>
      </w:r>
    </w:p>
    <w:p w14:paraId="115F4384" w14:textId="77777777"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28.</w:t>
      </w:r>
      <w:r w:rsidRPr="001220A4">
        <w:rPr>
          <w:rFonts w:asciiTheme="minorHAnsi" w:hAnsiTheme="minorHAnsi" w:cstheme="minorHAnsi"/>
          <w:noProof/>
        </w:rPr>
        <w:tab/>
        <w:t xml:space="preserve">Dollery, C. </w:t>
      </w:r>
      <w:r w:rsidRPr="001220A4">
        <w:rPr>
          <w:rFonts w:asciiTheme="minorHAnsi" w:hAnsiTheme="minorHAnsi" w:cstheme="minorHAnsi"/>
          <w:i/>
          <w:iCs/>
          <w:noProof/>
        </w:rPr>
        <w:t>Therapeutic Drugs</w:t>
      </w:r>
      <w:r w:rsidRPr="001220A4">
        <w:rPr>
          <w:rFonts w:asciiTheme="minorHAnsi" w:hAnsiTheme="minorHAnsi" w:cstheme="minorHAnsi"/>
          <w:noProof/>
        </w:rPr>
        <w:t>. Churchill Livingstone. London. (1999).</w:t>
      </w:r>
    </w:p>
    <w:p w14:paraId="0EADCF5C" w14:textId="0963C3D8"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29.</w:t>
      </w:r>
      <w:r w:rsidRPr="001220A4">
        <w:rPr>
          <w:rFonts w:asciiTheme="minorHAnsi" w:hAnsiTheme="minorHAnsi" w:cstheme="minorHAnsi"/>
          <w:noProof/>
        </w:rPr>
        <w:tab/>
        <w:t xml:space="preserve">FDA, F. and D.A., Food and Drug Administration </w:t>
      </w:r>
      <w:r w:rsidRPr="001220A4">
        <w:rPr>
          <w:rFonts w:asciiTheme="minorHAnsi" w:hAnsiTheme="minorHAnsi" w:cstheme="minorHAnsi"/>
          <w:i/>
          <w:iCs/>
          <w:noProof/>
        </w:rPr>
        <w:t>Guidance for Industry: Bioanalytical method validation.</w:t>
      </w:r>
      <w:r w:rsidRPr="001220A4">
        <w:rPr>
          <w:rFonts w:asciiTheme="minorHAnsi" w:hAnsiTheme="minorHAnsi" w:cstheme="minorHAnsi"/>
          <w:noProof/>
        </w:rPr>
        <w:t xml:space="preserve"> </w:t>
      </w:r>
      <w:r w:rsidRPr="001220A4">
        <w:rPr>
          <w:rFonts w:asciiTheme="minorHAnsi" w:hAnsiTheme="minorHAnsi" w:cstheme="minorHAnsi"/>
          <w:i/>
          <w:iCs/>
          <w:noProof/>
        </w:rPr>
        <w:t>U.S. Department of Health and Human Services</w:t>
      </w:r>
      <w:r w:rsidR="00E75682" w:rsidRPr="001220A4">
        <w:rPr>
          <w:rFonts w:asciiTheme="minorHAnsi" w:hAnsiTheme="minorHAnsi" w:cstheme="minorHAnsi"/>
          <w:noProof/>
        </w:rPr>
        <w:t>.</w:t>
      </w:r>
      <w:r w:rsidRPr="001220A4">
        <w:rPr>
          <w:rFonts w:asciiTheme="minorHAnsi" w:hAnsiTheme="minorHAnsi" w:cstheme="minorHAnsi"/>
          <w:noProof/>
        </w:rPr>
        <w:t xml:space="preserve"> http://www.labcompliance.de/documents/FDA/FDA-Others/Laboratory/f-507-bioanalytical-4252fnl.pdf. (2013).</w:t>
      </w:r>
    </w:p>
    <w:p w14:paraId="3CF8BCF0" w14:textId="440666B8"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30.</w:t>
      </w:r>
      <w:r w:rsidRPr="001220A4">
        <w:rPr>
          <w:rFonts w:asciiTheme="minorHAnsi" w:hAnsiTheme="minorHAnsi" w:cstheme="minorHAnsi"/>
          <w:noProof/>
        </w:rPr>
        <w:tab/>
        <w:t xml:space="preserve">Shah, V.P. </w:t>
      </w:r>
      <w:r w:rsidR="00B2719E" w:rsidRPr="00B2719E">
        <w:rPr>
          <w:rFonts w:asciiTheme="minorHAnsi" w:hAnsiTheme="minorHAnsi" w:cstheme="minorHAnsi"/>
          <w:noProof/>
        </w:rPr>
        <w:t>et al.</w:t>
      </w:r>
      <w:r w:rsidRPr="001220A4">
        <w:rPr>
          <w:rFonts w:asciiTheme="minorHAnsi" w:hAnsiTheme="minorHAnsi" w:cstheme="minorHAnsi"/>
          <w:noProof/>
        </w:rPr>
        <w:t xml:space="preserve"> Bioanalytical method validation-a revisit with a decade of progress. </w:t>
      </w:r>
      <w:r w:rsidRPr="001220A4">
        <w:rPr>
          <w:rFonts w:asciiTheme="minorHAnsi" w:hAnsiTheme="minorHAnsi" w:cstheme="minorHAnsi"/>
          <w:i/>
          <w:iCs/>
          <w:noProof/>
        </w:rPr>
        <w:t>Pharmaceutical research</w:t>
      </w:r>
      <w:r w:rsidRPr="001220A4">
        <w:rPr>
          <w:rFonts w:asciiTheme="minorHAnsi" w:hAnsiTheme="minorHAnsi" w:cstheme="minorHAnsi"/>
          <w:noProof/>
        </w:rPr>
        <w:t xml:space="preserve">. </w:t>
      </w:r>
      <w:r w:rsidRPr="004A1AD3">
        <w:rPr>
          <w:rFonts w:asciiTheme="minorHAnsi" w:hAnsiTheme="minorHAnsi" w:cstheme="minorHAnsi"/>
          <w:b/>
          <w:noProof/>
        </w:rPr>
        <w:t>17</w:t>
      </w:r>
      <w:r w:rsidRPr="001220A4">
        <w:rPr>
          <w:rFonts w:asciiTheme="minorHAnsi" w:hAnsiTheme="minorHAnsi" w:cstheme="minorHAnsi"/>
          <w:noProof/>
        </w:rPr>
        <w:t xml:space="preserve"> (12), 1551–155</w:t>
      </w:r>
      <w:r w:rsidR="00E75682" w:rsidRPr="001220A4">
        <w:rPr>
          <w:rFonts w:asciiTheme="minorHAnsi" w:hAnsiTheme="minorHAnsi" w:cstheme="minorHAnsi"/>
          <w:noProof/>
        </w:rPr>
        <w:t>7</w:t>
      </w:r>
      <w:r w:rsidR="007679BB">
        <w:rPr>
          <w:rFonts w:asciiTheme="minorHAnsi" w:hAnsiTheme="minorHAnsi" w:cstheme="minorHAnsi"/>
          <w:noProof/>
        </w:rPr>
        <w:t xml:space="preserve"> (</w:t>
      </w:r>
      <w:r w:rsidRPr="001220A4">
        <w:rPr>
          <w:rFonts w:asciiTheme="minorHAnsi" w:hAnsiTheme="minorHAnsi" w:cstheme="minorHAnsi"/>
          <w:noProof/>
        </w:rPr>
        <w:t>2000).</w:t>
      </w:r>
    </w:p>
    <w:p w14:paraId="2D7505BA" w14:textId="36BC2B88"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31.</w:t>
      </w:r>
      <w:r w:rsidRPr="001220A4">
        <w:rPr>
          <w:rFonts w:asciiTheme="minorHAnsi" w:hAnsiTheme="minorHAnsi" w:cstheme="minorHAnsi"/>
          <w:noProof/>
        </w:rPr>
        <w:tab/>
        <w:t xml:space="preserve">Marin, T.M. </w:t>
      </w:r>
      <w:r w:rsidR="00B2719E" w:rsidRPr="00B2719E">
        <w:rPr>
          <w:rFonts w:asciiTheme="minorHAnsi" w:hAnsiTheme="minorHAnsi" w:cstheme="minorHAnsi"/>
          <w:noProof/>
        </w:rPr>
        <w:t>et al.</w:t>
      </w:r>
      <w:r w:rsidRPr="001220A4">
        <w:rPr>
          <w:rFonts w:asciiTheme="minorHAnsi" w:hAnsiTheme="minorHAnsi" w:cstheme="minorHAnsi"/>
          <w:noProof/>
        </w:rPr>
        <w:t xml:space="preserve"> Shp2 negatively regulates growth in cardiomyocytes by controlling focal adhesion kinase/src and mTOR pathways. </w:t>
      </w:r>
      <w:r w:rsidRPr="001220A4">
        <w:rPr>
          <w:rFonts w:asciiTheme="minorHAnsi" w:hAnsiTheme="minorHAnsi" w:cstheme="minorHAnsi"/>
          <w:i/>
          <w:iCs/>
          <w:noProof/>
        </w:rPr>
        <w:t>Circulation Research</w:t>
      </w:r>
      <w:r w:rsidRPr="001220A4">
        <w:rPr>
          <w:rFonts w:asciiTheme="minorHAnsi" w:hAnsiTheme="minorHAnsi" w:cstheme="minorHAnsi"/>
          <w:noProof/>
        </w:rPr>
        <w:t xml:space="preserve">. </w:t>
      </w:r>
      <w:r w:rsidRPr="004A1AD3">
        <w:rPr>
          <w:rFonts w:asciiTheme="minorHAnsi" w:hAnsiTheme="minorHAnsi" w:cstheme="minorHAnsi"/>
          <w:b/>
          <w:noProof/>
        </w:rPr>
        <w:t>103</w:t>
      </w:r>
      <w:r w:rsidR="00E75682" w:rsidRPr="001220A4">
        <w:rPr>
          <w:rFonts w:asciiTheme="minorHAnsi" w:hAnsiTheme="minorHAnsi" w:cstheme="minorHAnsi"/>
          <w:noProof/>
        </w:rPr>
        <w:t xml:space="preserve"> (8), 813–824</w:t>
      </w:r>
      <w:r w:rsidR="007679BB">
        <w:rPr>
          <w:rFonts w:asciiTheme="minorHAnsi" w:hAnsiTheme="minorHAnsi" w:cstheme="minorHAnsi"/>
          <w:noProof/>
        </w:rPr>
        <w:t xml:space="preserve"> (</w:t>
      </w:r>
      <w:r w:rsidRPr="001220A4">
        <w:rPr>
          <w:rFonts w:asciiTheme="minorHAnsi" w:hAnsiTheme="minorHAnsi" w:cstheme="minorHAnsi"/>
          <w:noProof/>
        </w:rPr>
        <w:t>2008).</w:t>
      </w:r>
    </w:p>
    <w:p w14:paraId="7D696F6F" w14:textId="5B3744CC"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lastRenderedPageBreak/>
        <w:t>32.</w:t>
      </w:r>
      <w:r w:rsidRPr="001220A4">
        <w:rPr>
          <w:rFonts w:asciiTheme="minorHAnsi" w:hAnsiTheme="minorHAnsi" w:cstheme="minorHAnsi"/>
          <w:noProof/>
        </w:rPr>
        <w:tab/>
        <w:t xml:space="preserve">Linkert, M. </w:t>
      </w:r>
      <w:r w:rsidR="00B2719E" w:rsidRPr="00B2719E">
        <w:rPr>
          <w:rFonts w:asciiTheme="minorHAnsi" w:hAnsiTheme="minorHAnsi" w:cstheme="minorHAnsi"/>
          <w:noProof/>
        </w:rPr>
        <w:t>et al.</w:t>
      </w:r>
      <w:r w:rsidRPr="001220A4">
        <w:rPr>
          <w:rFonts w:asciiTheme="minorHAnsi" w:hAnsiTheme="minorHAnsi" w:cstheme="minorHAnsi"/>
          <w:noProof/>
        </w:rPr>
        <w:t xml:space="preserve"> Metadata matters: Access to image data in the real world. </w:t>
      </w:r>
      <w:r w:rsidRPr="001220A4">
        <w:rPr>
          <w:rFonts w:asciiTheme="minorHAnsi" w:hAnsiTheme="minorHAnsi" w:cstheme="minorHAnsi"/>
          <w:i/>
          <w:iCs/>
          <w:noProof/>
        </w:rPr>
        <w:t>Journal of Cell Biology</w:t>
      </w:r>
      <w:r w:rsidRPr="001220A4">
        <w:rPr>
          <w:rFonts w:asciiTheme="minorHAnsi" w:hAnsiTheme="minorHAnsi" w:cstheme="minorHAnsi"/>
          <w:noProof/>
        </w:rPr>
        <w:t xml:space="preserve">. </w:t>
      </w:r>
      <w:r w:rsidRPr="004A1AD3">
        <w:rPr>
          <w:rFonts w:asciiTheme="minorHAnsi" w:hAnsiTheme="minorHAnsi" w:cstheme="minorHAnsi"/>
          <w:b/>
          <w:noProof/>
        </w:rPr>
        <w:t>189</w:t>
      </w:r>
      <w:r w:rsidRPr="001220A4">
        <w:rPr>
          <w:rFonts w:asciiTheme="minorHAnsi" w:hAnsiTheme="minorHAnsi" w:cstheme="minorHAnsi"/>
          <w:noProof/>
        </w:rPr>
        <w:t xml:space="preserve"> (5), 777–</w:t>
      </w:r>
      <w:r w:rsidR="00E75682" w:rsidRPr="001220A4">
        <w:rPr>
          <w:rFonts w:asciiTheme="minorHAnsi" w:hAnsiTheme="minorHAnsi" w:cstheme="minorHAnsi"/>
          <w:noProof/>
        </w:rPr>
        <w:t>782</w:t>
      </w:r>
      <w:r w:rsidR="007679BB">
        <w:rPr>
          <w:rFonts w:asciiTheme="minorHAnsi" w:hAnsiTheme="minorHAnsi" w:cstheme="minorHAnsi"/>
          <w:noProof/>
        </w:rPr>
        <w:t xml:space="preserve"> (</w:t>
      </w:r>
      <w:r w:rsidRPr="001220A4">
        <w:rPr>
          <w:rFonts w:asciiTheme="minorHAnsi" w:hAnsiTheme="minorHAnsi" w:cstheme="minorHAnsi"/>
          <w:noProof/>
        </w:rPr>
        <w:t>2010).</w:t>
      </w:r>
    </w:p>
    <w:p w14:paraId="50E4DE5F" w14:textId="25277950"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33.</w:t>
      </w:r>
      <w:r w:rsidRPr="001220A4">
        <w:rPr>
          <w:rFonts w:asciiTheme="minorHAnsi" w:hAnsiTheme="minorHAnsi" w:cstheme="minorHAnsi"/>
          <w:noProof/>
        </w:rPr>
        <w:tab/>
        <w:t xml:space="preserve">OECD OECD TG 491 - Short Time Exposure </w:t>
      </w:r>
      <w:r w:rsidR="00194937" w:rsidRPr="00194937">
        <w:rPr>
          <w:rFonts w:asciiTheme="minorHAnsi" w:hAnsiTheme="minorHAnsi" w:cstheme="minorHAnsi"/>
          <w:noProof/>
        </w:rPr>
        <w:t>In vitro</w:t>
      </w:r>
      <w:r w:rsidRPr="001220A4">
        <w:rPr>
          <w:rFonts w:asciiTheme="minorHAnsi" w:hAnsiTheme="minorHAnsi" w:cstheme="minorHAnsi"/>
          <w:noProof/>
        </w:rPr>
        <w:t xml:space="preserve"> Test Method for Identifying i) Chemicals Inducing Serious Eye Damage and ii) Chemicals Not Requiring Classification for Eye Irritation or Serious Eye Damage. </w:t>
      </w:r>
      <w:r w:rsidRPr="001220A4">
        <w:rPr>
          <w:rFonts w:asciiTheme="minorHAnsi" w:hAnsiTheme="minorHAnsi" w:cstheme="minorHAnsi"/>
          <w:i/>
          <w:iCs/>
          <w:noProof/>
        </w:rPr>
        <w:t>OECD guidelines for the testing of chemicals</w:t>
      </w:r>
      <w:r w:rsidRPr="001220A4">
        <w:rPr>
          <w:rFonts w:asciiTheme="minorHAnsi" w:hAnsiTheme="minorHAnsi" w:cstheme="minorHAnsi"/>
          <w:noProof/>
        </w:rPr>
        <w:t xml:space="preserve">. </w:t>
      </w:r>
      <w:r w:rsidRPr="004A1AD3">
        <w:rPr>
          <w:rFonts w:asciiTheme="minorHAnsi" w:hAnsiTheme="minorHAnsi" w:cstheme="minorHAnsi"/>
          <w:b/>
          <w:noProof/>
        </w:rPr>
        <w:t>14</w:t>
      </w:r>
      <w:r w:rsidRPr="001220A4">
        <w:rPr>
          <w:rFonts w:asciiTheme="minorHAnsi" w:hAnsiTheme="minorHAnsi" w:cstheme="minorHAnsi"/>
          <w:noProof/>
        </w:rPr>
        <w:t>, doi: https://doi.org/10.1787/9789264242432-en. (2018).</w:t>
      </w:r>
    </w:p>
    <w:p w14:paraId="7733D5D3" w14:textId="360D3D13"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34.</w:t>
      </w:r>
      <w:r w:rsidRPr="001220A4">
        <w:rPr>
          <w:rFonts w:asciiTheme="minorHAnsi" w:hAnsiTheme="minorHAnsi" w:cstheme="minorHAnsi"/>
          <w:noProof/>
        </w:rPr>
        <w:tab/>
        <w:t xml:space="preserve">Fernandes, M.B., Gonçalves, J.E., Tavares, L.C., Storpirtis, S. Caco-2 cells permeability evaluation of nifuroxazide derivatives with potential activity against methicillin-resistant Staphylococcus aureus (MRSA). </w:t>
      </w:r>
      <w:r w:rsidRPr="001220A4">
        <w:rPr>
          <w:rFonts w:asciiTheme="minorHAnsi" w:hAnsiTheme="minorHAnsi" w:cstheme="minorHAnsi"/>
          <w:i/>
          <w:iCs/>
          <w:noProof/>
        </w:rPr>
        <w:t>Drug Development and Industrial Pharmacy</w:t>
      </w:r>
      <w:r w:rsidRPr="001220A4">
        <w:rPr>
          <w:rFonts w:asciiTheme="minorHAnsi" w:hAnsiTheme="minorHAnsi" w:cstheme="minorHAnsi"/>
          <w:noProof/>
        </w:rPr>
        <w:t xml:space="preserve">. </w:t>
      </w:r>
      <w:r w:rsidRPr="004A1AD3">
        <w:rPr>
          <w:rFonts w:asciiTheme="minorHAnsi" w:hAnsiTheme="minorHAnsi" w:cstheme="minorHAnsi"/>
          <w:b/>
          <w:noProof/>
        </w:rPr>
        <w:t>41</w:t>
      </w:r>
      <w:r w:rsidR="00E75682" w:rsidRPr="001220A4">
        <w:rPr>
          <w:rFonts w:asciiTheme="minorHAnsi" w:hAnsiTheme="minorHAnsi" w:cstheme="minorHAnsi"/>
          <w:noProof/>
        </w:rPr>
        <w:t xml:space="preserve"> (7), 1066–1072</w:t>
      </w:r>
      <w:r w:rsidR="007679BB">
        <w:rPr>
          <w:rFonts w:asciiTheme="minorHAnsi" w:hAnsiTheme="minorHAnsi" w:cstheme="minorHAnsi"/>
          <w:noProof/>
        </w:rPr>
        <w:t xml:space="preserve"> (</w:t>
      </w:r>
      <w:r w:rsidRPr="001220A4">
        <w:rPr>
          <w:rFonts w:asciiTheme="minorHAnsi" w:hAnsiTheme="minorHAnsi" w:cstheme="minorHAnsi"/>
          <w:noProof/>
        </w:rPr>
        <w:t>2015).</w:t>
      </w:r>
    </w:p>
    <w:p w14:paraId="1A9EEE66" w14:textId="28D219A4"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35.</w:t>
      </w:r>
      <w:r w:rsidRPr="001220A4">
        <w:rPr>
          <w:rFonts w:asciiTheme="minorHAnsi" w:hAnsiTheme="minorHAnsi" w:cstheme="minorHAnsi"/>
          <w:noProof/>
        </w:rPr>
        <w:tab/>
        <w:t xml:space="preserve">OECD OECD TG 492 - Reconstructed human Cornea-like Epithelium (RhCE) test method for identifying chemicals not requiring classification and labelling for eye irritation or serious eye damage. </w:t>
      </w:r>
      <w:r w:rsidRPr="001220A4">
        <w:rPr>
          <w:rFonts w:asciiTheme="minorHAnsi" w:hAnsiTheme="minorHAnsi" w:cstheme="minorHAnsi"/>
          <w:i/>
          <w:iCs/>
          <w:noProof/>
        </w:rPr>
        <w:t>OECD guidelines for the testing of chemicals</w:t>
      </w:r>
      <w:r w:rsidRPr="001220A4">
        <w:rPr>
          <w:rFonts w:asciiTheme="minorHAnsi" w:hAnsiTheme="minorHAnsi" w:cstheme="minorHAnsi"/>
          <w:noProof/>
        </w:rPr>
        <w:t xml:space="preserve">. </w:t>
      </w:r>
      <w:r w:rsidRPr="004A1AD3">
        <w:rPr>
          <w:rFonts w:asciiTheme="minorHAnsi" w:hAnsiTheme="minorHAnsi" w:cstheme="minorHAnsi"/>
          <w:b/>
          <w:noProof/>
        </w:rPr>
        <w:t>35</w:t>
      </w:r>
      <w:r w:rsidRPr="001220A4">
        <w:rPr>
          <w:rFonts w:asciiTheme="minorHAnsi" w:hAnsiTheme="minorHAnsi" w:cstheme="minorHAnsi"/>
          <w:noProof/>
        </w:rPr>
        <w:t xml:space="preserve"> (2018).</w:t>
      </w:r>
    </w:p>
    <w:p w14:paraId="5E2C8483" w14:textId="272FA134"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36.</w:t>
      </w:r>
      <w:r w:rsidRPr="001220A4">
        <w:rPr>
          <w:rFonts w:asciiTheme="minorHAnsi" w:hAnsiTheme="minorHAnsi" w:cstheme="minorHAnsi"/>
          <w:noProof/>
        </w:rPr>
        <w:tab/>
        <w:t xml:space="preserve">OECD OECD TG 431 - </w:t>
      </w:r>
      <w:r w:rsidR="00194937" w:rsidRPr="00194937">
        <w:rPr>
          <w:rFonts w:asciiTheme="minorHAnsi" w:hAnsiTheme="minorHAnsi" w:cstheme="minorHAnsi"/>
          <w:noProof/>
        </w:rPr>
        <w:t>In vitro</w:t>
      </w:r>
      <w:r w:rsidRPr="001220A4">
        <w:rPr>
          <w:rFonts w:asciiTheme="minorHAnsi" w:hAnsiTheme="minorHAnsi" w:cstheme="minorHAnsi"/>
          <w:noProof/>
        </w:rPr>
        <w:t xml:space="preserve"> skin corrosion: reconstructed human epidermis (RHE) test method. </w:t>
      </w:r>
      <w:r w:rsidRPr="001220A4">
        <w:rPr>
          <w:rFonts w:asciiTheme="minorHAnsi" w:hAnsiTheme="minorHAnsi" w:cstheme="minorHAnsi"/>
          <w:i/>
          <w:iCs/>
          <w:noProof/>
        </w:rPr>
        <w:t>OECD guidelines for the testing of chemicals</w:t>
      </w:r>
      <w:r w:rsidRPr="001220A4">
        <w:rPr>
          <w:rFonts w:asciiTheme="minorHAnsi" w:hAnsiTheme="minorHAnsi" w:cstheme="minorHAnsi"/>
          <w:noProof/>
        </w:rPr>
        <w:t xml:space="preserve">. </w:t>
      </w:r>
      <w:r w:rsidRPr="004A1AD3">
        <w:rPr>
          <w:rFonts w:asciiTheme="minorHAnsi" w:hAnsiTheme="minorHAnsi" w:cstheme="minorHAnsi"/>
          <w:b/>
          <w:noProof/>
        </w:rPr>
        <w:t>8</w:t>
      </w:r>
      <w:r w:rsidRPr="001220A4">
        <w:rPr>
          <w:rFonts w:asciiTheme="minorHAnsi" w:hAnsiTheme="minorHAnsi" w:cstheme="minorHAnsi"/>
          <w:noProof/>
        </w:rPr>
        <w:t xml:space="preserve"> (2016).</w:t>
      </w:r>
    </w:p>
    <w:p w14:paraId="6CE47E0A" w14:textId="44CFCE7A"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37.</w:t>
      </w:r>
      <w:r w:rsidRPr="001220A4">
        <w:rPr>
          <w:rFonts w:asciiTheme="minorHAnsi" w:hAnsiTheme="minorHAnsi" w:cstheme="minorHAnsi"/>
          <w:noProof/>
        </w:rPr>
        <w:tab/>
        <w:t xml:space="preserve">OECD OECD TG 439 - </w:t>
      </w:r>
      <w:r w:rsidR="00194937" w:rsidRPr="00194937">
        <w:rPr>
          <w:rFonts w:asciiTheme="minorHAnsi" w:hAnsiTheme="minorHAnsi" w:cstheme="minorHAnsi"/>
          <w:noProof/>
        </w:rPr>
        <w:t>In vitro</w:t>
      </w:r>
      <w:r w:rsidRPr="001220A4">
        <w:rPr>
          <w:rFonts w:asciiTheme="minorHAnsi" w:hAnsiTheme="minorHAnsi" w:cstheme="minorHAnsi"/>
          <w:noProof/>
        </w:rPr>
        <w:t xml:space="preserve"> Skin Irritation: Reconstructed Human Epidermis Test Method. </w:t>
      </w:r>
      <w:r w:rsidRPr="001220A4">
        <w:rPr>
          <w:rFonts w:asciiTheme="minorHAnsi" w:hAnsiTheme="minorHAnsi" w:cstheme="minorHAnsi"/>
          <w:i/>
          <w:iCs/>
          <w:noProof/>
        </w:rPr>
        <w:t>OECD guidelines for the testing of chemicals</w:t>
      </w:r>
      <w:r w:rsidRPr="001220A4">
        <w:rPr>
          <w:rFonts w:asciiTheme="minorHAnsi" w:hAnsiTheme="minorHAnsi" w:cstheme="minorHAnsi"/>
          <w:noProof/>
        </w:rPr>
        <w:t xml:space="preserve">. </w:t>
      </w:r>
      <w:r w:rsidRPr="004A1AD3">
        <w:rPr>
          <w:rFonts w:asciiTheme="minorHAnsi" w:hAnsiTheme="minorHAnsi" w:cstheme="minorHAnsi"/>
          <w:b/>
          <w:noProof/>
        </w:rPr>
        <w:t>21</w:t>
      </w:r>
      <w:r w:rsidRPr="001220A4">
        <w:rPr>
          <w:rFonts w:asciiTheme="minorHAnsi" w:hAnsiTheme="minorHAnsi" w:cstheme="minorHAnsi"/>
          <w:noProof/>
        </w:rPr>
        <w:t xml:space="preserve"> (2015).</w:t>
      </w:r>
    </w:p>
    <w:p w14:paraId="14C4276B" w14:textId="13C7BB13"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38.</w:t>
      </w:r>
      <w:r w:rsidRPr="001220A4">
        <w:rPr>
          <w:rFonts w:asciiTheme="minorHAnsi" w:hAnsiTheme="minorHAnsi" w:cstheme="minorHAnsi"/>
          <w:noProof/>
        </w:rPr>
        <w:tab/>
        <w:t xml:space="preserve">Marin, T.M. </w:t>
      </w:r>
      <w:r w:rsidR="00B2719E" w:rsidRPr="00B2719E">
        <w:rPr>
          <w:rFonts w:asciiTheme="minorHAnsi" w:hAnsiTheme="minorHAnsi" w:cstheme="minorHAnsi"/>
          <w:noProof/>
        </w:rPr>
        <w:t>et al.</w:t>
      </w:r>
      <w:r w:rsidRPr="001220A4">
        <w:rPr>
          <w:rFonts w:asciiTheme="minorHAnsi" w:hAnsiTheme="minorHAnsi" w:cstheme="minorHAnsi"/>
          <w:noProof/>
        </w:rPr>
        <w:t xml:space="preserve"> Acetaminophen absorption and metabolism in an intestine/liver microphysiological system. </w:t>
      </w:r>
      <w:r w:rsidRPr="001220A4">
        <w:rPr>
          <w:rFonts w:asciiTheme="minorHAnsi" w:hAnsiTheme="minorHAnsi" w:cstheme="minorHAnsi"/>
          <w:i/>
          <w:iCs/>
          <w:noProof/>
        </w:rPr>
        <w:t>Chemico-Biological Interactions</w:t>
      </w:r>
      <w:r w:rsidRPr="001220A4">
        <w:rPr>
          <w:rFonts w:asciiTheme="minorHAnsi" w:hAnsiTheme="minorHAnsi" w:cstheme="minorHAnsi"/>
          <w:noProof/>
        </w:rPr>
        <w:t xml:space="preserve">. </w:t>
      </w:r>
      <w:r w:rsidRPr="004A1AD3">
        <w:rPr>
          <w:rFonts w:asciiTheme="minorHAnsi" w:hAnsiTheme="minorHAnsi" w:cstheme="minorHAnsi"/>
          <w:b/>
          <w:noProof/>
        </w:rPr>
        <w:t>299</w:t>
      </w:r>
      <w:r w:rsidRPr="001220A4">
        <w:rPr>
          <w:rFonts w:asciiTheme="minorHAnsi" w:hAnsiTheme="minorHAnsi" w:cstheme="minorHAnsi"/>
          <w:noProof/>
        </w:rPr>
        <w:t>, 59–76</w:t>
      </w:r>
      <w:r w:rsidR="007679BB">
        <w:rPr>
          <w:rFonts w:asciiTheme="minorHAnsi" w:hAnsiTheme="minorHAnsi" w:cstheme="minorHAnsi"/>
          <w:noProof/>
        </w:rPr>
        <w:t xml:space="preserve"> (</w:t>
      </w:r>
      <w:r w:rsidRPr="001220A4">
        <w:rPr>
          <w:rFonts w:asciiTheme="minorHAnsi" w:hAnsiTheme="minorHAnsi" w:cstheme="minorHAnsi"/>
          <w:noProof/>
        </w:rPr>
        <w:t>2019).</w:t>
      </w:r>
    </w:p>
    <w:p w14:paraId="4428E8FF" w14:textId="38F94C2D"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39.</w:t>
      </w:r>
      <w:r w:rsidRPr="001220A4">
        <w:rPr>
          <w:rFonts w:asciiTheme="minorHAnsi" w:hAnsiTheme="minorHAnsi" w:cstheme="minorHAnsi"/>
          <w:noProof/>
        </w:rPr>
        <w:tab/>
        <w:t xml:space="preserve">Maass, C., Stokes, C.L., Griffith, L.G., Cirit, M. Multi-functional scaling methodology for translational pharmacokinetic and pharmacodynamic applications using integrated microphysiological systems (MPS). </w:t>
      </w:r>
      <w:r w:rsidRPr="001220A4">
        <w:rPr>
          <w:rFonts w:asciiTheme="minorHAnsi" w:hAnsiTheme="minorHAnsi" w:cstheme="minorHAnsi"/>
          <w:i/>
          <w:iCs/>
          <w:noProof/>
        </w:rPr>
        <w:t>Integrative Biology (United Kingdom)</w:t>
      </w:r>
      <w:r w:rsidRPr="001220A4">
        <w:rPr>
          <w:rFonts w:asciiTheme="minorHAnsi" w:hAnsiTheme="minorHAnsi" w:cstheme="minorHAnsi"/>
          <w:noProof/>
        </w:rPr>
        <w:t xml:space="preserve">. </w:t>
      </w:r>
      <w:r w:rsidRPr="004A1AD3">
        <w:rPr>
          <w:rFonts w:asciiTheme="minorHAnsi" w:hAnsiTheme="minorHAnsi" w:cstheme="minorHAnsi"/>
          <w:b/>
          <w:noProof/>
        </w:rPr>
        <w:t>9</w:t>
      </w:r>
      <w:r w:rsidRPr="001220A4">
        <w:rPr>
          <w:rFonts w:asciiTheme="minorHAnsi" w:hAnsiTheme="minorHAnsi" w:cstheme="minorHAnsi"/>
          <w:noProof/>
        </w:rPr>
        <w:t xml:space="preserve"> (4), 290–3</w:t>
      </w:r>
      <w:r w:rsidR="00E75682" w:rsidRPr="001220A4">
        <w:rPr>
          <w:rFonts w:asciiTheme="minorHAnsi" w:hAnsiTheme="minorHAnsi" w:cstheme="minorHAnsi"/>
          <w:noProof/>
        </w:rPr>
        <w:t>02</w:t>
      </w:r>
      <w:r w:rsidR="007679BB">
        <w:rPr>
          <w:rFonts w:asciiTheme="minorHAnsi" w:hAnsiTheme="minorHAnsi" w:cstheme="minorHAnsi"/>
          <w:noProof/>
        </w:rPr>
        <w:t xml:space="preserve"> (</w:t>
      </w:r>
      <w:r w:rsidRPr="001220A4">
        <w:rPr>
          <w:rFonts w:asciiTheme="minorHAnsi" w:hAnsiTheme="minorHAnsi" w:cstheme="minorHAnsi"/>
          <w:noProof/>
        </w:rPr>
        <w:t>2017).</w:t>
      </w:r>
    </w:p>
    <w:p w14:paraId="707F5028" w14:textId="5339AE09" w:rsidR="00DE664D" w:rsidRPr="001220A4" w:rsidRDefault="00DE664D" w:rsidP="0054535F">
      <w:pPr>
        <w:contextualSpacing/>
        <w:rPr>
          <w:rFonts w:asciiTheme="minorHAnsi" w:hAnsiTheme="minorHAnsi" w:cstheme="minorHAnsi"/>
          <w:noProof/>
        </w:rPr>
      </w:pPr>
      <w:r w:rsidRPr="001220A4">
        <w:rPr>
          <w:rFonts w:asciiTheme="minorHAnsi" w:hAnsiTheme="minorHAnsi" w:cstheme="minorHAnsi"/>
          <w:noProof/>
        </w:rPr>
        <w:t>40.</w:t>
      </w:r>
      <w:r w:rsidRPr="001220A4">
        <w:rPr>
          <w:rFonts w:asciiTheme="minorHAnsi" w:hAnsiTheme="minorHAnsi" w:cstheme="minorHAnsi"/>
          <w:noProof/>
        </w:rPr>
        <w:tab/>
        <w:t xml:space="preserve">Sung, J.H., Wang, Y., Shuler, M.L. Strategies for using mathematical modeling approaches to design and interpret multi-organ microphysiological systems (MPS). </w:t>
      </w:r>
      <w:r w:rsidRPr="001220A4">
        <w:rPr>
          <w:rFonts w:asciiTheme="minorHAnsi" w:hAnsiTheme="minorHAnsi" w:cstheme="minorHAnsi"/>
          <w:i/>
          <w:iCs/>
          <w:noProof/>
        </w:rPr>
        <w:t>APL Bioengineering</w:t>
      </w:r>
      <w:r w:rsidRPr="001220A4">
        <w:rPr>
          <w:rFonts w:asciiTheme="minorHAnsi" w:hAnsiTheme="minorHAnsi" w:cstheme="minorHAnsi"/>
          <w:noProof/>
        </w:rPr>
        <w:t xml:space="preserve">. </w:t>
      </w:r>
      <w:r w:rsidRPr="004A1AD3">
        <w:rPr>
          <w:rFonts w:asciiTheme="minorHAnsi" w:hAnsiTheme="minorHAnsi" w:cstheme="minorHAnsi"/>
          <w:b/>
          <w:noProof/>
        </w:rPr>
        <w:t>3</w:t>
      </w:r>
      <w:r w:rsidRPr="001220A4">
        <w:rPr>
          <w:rFonts w:asciiTheme="minorHAnsi" w:hAnsiTheme="minorHAnsi" w:cstheme="minorHAnsi"/>
          <w:noProof/>
        </w:rPr>
        <w:t xml:space="preserve"> (2)</w:t>
      </w:r>
      <w:r w:rsidR="00E75682" w:rsidRPr="001220A4">
        <w:rPr>
          <w:rFonts w:asciiTheme="minorHAnsi" w:hAnsiTheme="minorHAnsi" w:cstheme="minorHAnsi"/>
          <w:noProof/>
        </w:rPr>
        <w:t>, 021501</w:t>
      </w:r>
      <w:r w:rsidR="007679BB">
        <w:rPr>
          <w:rFonts w:asciiTheme="minorHAnsi" w:hAnsiTheme="minorHAnsi" w:cstheme="minorHAnsi"/>
          <w:noProof/>
        </w:rPr>
        <w:t xml:space="preserve"> (</w:t>
      </w:r>
      <w:r w:rsidRPr="001220A4">
        <w:rPr>
          <w:rFonts w:asciiTheme="minorHAnsi" w:hAnsiTheme="minorHAnsi" w:cstheme="minorHAnsi"/>
          <w:noProof/>
        </w:rPr>
        <w:t>2019).</w:t>
      </w:r>
    </w:p>
    <w:p w14:paraId="3D15F7B7" w14:textId="493A3F4E" w:rsidR="001D4997" w:rsidRPr="00CA1BC4" w:rsidRDefault="00260CB3" w:rsidP="0054535F">
      <w:pPr>
        <w:ind w:right="4"/>
        <w:contextualSpacing/>
        <w:rPr>
          <w:rFonts w:asciiTheme="minorHAnsi" w:hAnsiTheme="minorHAnsi" w:cstheme="minorHAnsi"/>
          <w:color w:val="808080" w:themeColor="background1" w:themeShade="80"/>
        </w:rPr>
      </w:pPr>
      <w:r w:rsidRPr="001220A4">
        <w:rPr>
          <w:rFonts w:asciiTheme="minorHAnsi" w:hAnsiTheme="minorHAnsi" w:cstheme="minorHAnsi"/>
          <w:color w:val="000000" w:themeColor="text1"/>
        </w:rPr>
        <w:fldChar w:fldCharType="end"/>
      </w:r>
    </w:p>
    <w:sectPr w:rsidR="001D4997" w:rsidRPr="00CA1BC4" w:rsidSect="008E4F90">
      <w:headerReference w:type="default" r:id="rId12"/>
      <w:footerReference w:type="first" r:id="rId13"/>
      <w:pgSz w:w="12240" w:h="15840"/>
      <w:pgMar w:top="1440" w:right="1440" w:bottom="1440" w:left="1440" w:header="720" w:footer="607"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BE2D4" w14:textId="77777777" w:rsidR="00AF7E7F" w:rsidRDefault="00AF7E7F" w:rsidP="00621C4E">
      <w:r>
        <w:separator/>
      </w:r>
    </w:p>
  </w:endnote>
  <w:endnote w:type="continuationSeparator" w:id="0">
    <w:p w14:paraId="1E86DFE4" w14:textId="77777777" w:rsidR="00AF7E7F" w:rsidRDefault="00AF7E7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erck Sans Serif Pro">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1D574E" w:rsidRPr="00263F42" w:rsidRDefault="001D574E" w:rsidP="003108E5">
    <w:pPr>
      <w:rPr>
        <w:color w:val="000000" w:themeColor="text1"/>
      </w:rPr>
    </w:pPr>
    <w:r w:rsidRPr="00263F42">
      <w:rPr>
        <w:color w:val="000000" w:themeColor="text1"/>
      </w:rPr>
      <w:tab/>
    </w:r>
    <w:r w:rsidRPr="00263F42">
      <w:rPr>
        <w:color w:val="000000" w:themeColor="text1"/>
      </w:rPr>
      <w:tab/>
    </w:r>
    <w:r w:rsidRPr="00263F42">
      <w:rPr>
        <w:color w:val="000000" w:themeColor="text1"/>
      </w:rPr>
      <w:tab/>
    </w:r>
    <w:r w:rsidRPr="00263F42">
      <w:rPr>
        <w:color w:val="000000" w:themeColor="text1"/>
      </w:rPr>
      <w:tab/>
    </w:r>
    <w:r w:rsidRPr="00263F42">
      <w:rPr>
        <w:color w:val="000000" w:themeColor="text1"/>
      </w:rPr>
      <w:tab/>
    </w:r>
    <w:r w:rsidRPr="00263F42">
      <w:rPr>
        <w:color w:val="000000" w:themeColor="text1"/>
      </w:rPr>
      <w:tab/>
    </w:r>
    <w:r w:rsidRPr="00263F42">
      <w:rPr>
        <w:color w:val="000000" w:themeColor="text1"/>
      </w:rPr>
      <w:tab/>
    </w:r>
    <w:r w:rsidRPr="00263F42">
      <w:rPr>
        <w:color w:val="000000" w:themeColor="tex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CDA75" w14:textId="77777777" w:rsidR="00AF7E7F" w:rsidRDefault="00AF7E7F" w:rsidP="00621C4E">
      <w:r>
        <w:separator/>
      </w:r>
    </w:p>
  </w:footnote>
  <w:footnote w:type="continuationSeparator" w:id="0">
    <w:p w14:paraId="4F3D41E8" w14:textId="77777777" w:rsidR="00AF7E7F" w:rsidRDefault="00AF7E7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D574E" w:rsidRPr="006F06E4" w:rsidRDefault="001D574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D2F14"/>
    <w:multiLevelType w:val="multilevel"/>
    <w:tmpl w:val="992EDE1E"/>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E6E19"/>
    <w:multiLevelType w:val="hybridMultilevel"/>
    <w:tmpl w:val="C9CAC824"/>
    <w:lvl w:ilvl="0" w:tplc="BBEA8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F7BC1"/>
    <w:multiLevelType w:val="multilevel"/>
    <w:tmpl w:val="266E9ABC"/>
    <w:lvl w:ilvl="0">
      <w:start w:val="6"/>
      <w:numFmt w:val="decimal"/>
      <w:lvlText w:val="%1.0."/>
      <w:lvlJc w:val="left"/>
      <w:pPr>
        <w:ind w:left="1429" w:hanging="720"/>
      </w:pPr>
      <w:rPr>
        <w:rFonts w:hint="default"/>
      </w:rPr>
    </w:lvl>
    <w:lvl w:ilvl="1">
      <w:start w:val="1"/>
      <w:numFmt w:val="decimal"/>
      <w:lvlText w:val="%1.%2."/>
      <w:lvlJc w:val="left"/>
      <w:pPr>
        <w:ind w:left="2149" w:hanging="720"/>
      </w:pPr>
      <w:rPr>
        <w:rFonts w:hint="default"/>
        <w:b/>
      </w:rPr>
    </w:lvl>
    <w:lvl w:ilvl="2">
      <w:start w:val="1"/>
      <w:numFmt w:val="decimal"/>
      <w:lvlText w:val="%1.%2.%3."/>
      <w:lvlJc w:val="left"/>
      <w:pPr>
        <w:ind w:left="2564" w:hanging="720"/>
      </w:pPr>
      <w:rPr>
        <w:rFonts w:hint="default"/>
        <w:b w:val="0"/>
        <w:color w:val="auto"/>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269" w:hanging="1800"/>
      </w:pPr>
      <w:rPr>
        <w:rFonts w:hint="default"/>
      </w:rPr>
    </w:lvl>
  </w:abstractNum>
  <w:abstractNum w:abstractNumId="9" w15:restartNumberingAfterBreak="0">
    <w:nsid w:val="25851D94"/>
    <w:multiLevelType w:val="multilevel"/>
    <w:tmpl w:val="59627406"/>
    <w:lvl w:ilvl="0">
      <w:start w:val="1"/>
      <w:numFmt w:val="decimal"/>
      <w:lvlText w:val="%1."/>
      <w:lvlJc w:val="left"/>
      <w:pPr>
        <w:ind w:left="1080" w:hanging="360"/>
      </w:pPr>
      <w:rPr>
        <w:rFonts w:hint="default"/>
        <w:b/>
        <w:color w:val="auto"/>
      </w:rPr>
    </w:lvl>
    <w:lvl w:ilvl="1">
      <w:start w:val="1"/>
      <w:numFmt w:val="decimal"/>
      <w:isLgl/>
      <w:lvlText w:val="%1.%2."/>
      <w:lvlJc w:val="left"/>
      <w:pPr>
        <w:ind w:left="360" w:hanging="360"/>
      </w:pPr>
      <w:rPr>
        <w:rFonts w:asciiTheme="minorHAnsi" w:hAnsiTheme="minorHAnsi" w:cstheme="minorHAnsi" w:hint="default"/>
        <w:b w:val="0"/>
        <w:bCs/>
      </w:rPr>
    </w:lvl>
    <w:lvl w:ilvl="2">
      <w:start w:val="1"/>
      <w:numFmt w:val="decimal"/>
      <w:isLgl/>
      <w:lvlText w:val="%1.%2.%3."/>
      <w:lvlJc w:val="left"/>
      <w:pPr>
        <w:ind w:left="2139" w:hanging="720"/>
      </w:pPr>
      <w:rPr>
        <w:rFonts w:asciiTheme="minorHAnsi" w:hAnsiTheme="minorHAnsi" w:cstheme="minorHAnsi" w:hint="default"/>
        <w:b w:val="0"/>
        <w:color w:val="auto"/>
        <w:sz w:val="24"/>
        <w:szCs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335CA6"/>
    <w:multiLevelType w:val="multilevel"/>
    <w:tmpl w:val="C06C8C5C"/>
    <w:lvl w:ilvl="0">
      <w:start w:val="1"/>
      <w:numFmt w:val="decimal"/>
      <w:lvlText w:val="%1."/>
      <w:lvlJc w:val="left"/>
      <w:pPr>
        <w:ind w:left="720" w:hanging="360"/>
      </w:pPr>
      <w:rPr>
        <w:rFonts w:hint="default"/>
      </w:rPr>
    </w:lvl>
    <w:lvl w:ilvl="1">
      <w:start w:val="2"/>
      <w:numFmt w:val="decimal"/>
      <w:isLgl/>
      <w:lvlText w:val="%1.%2."/>
      <w:lvlJc w:val="left"/>
      <w:pPr>
        <w:ind w:left="1288" w:hanging="720"/>
      </w:pPr>
      <w:rPr>
        <w:rFonts w:ascii="Arial" w:hAnsi="Arial" w:cs="Arial"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DF309A8"/>
    <w:multiLevelType w:val="hybridMultilevel"/>
    <w:tmpl w:val="CBB6AA66"/>
    <w:lvl w:ilvl="0" w:tplc="A8F8BF80">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DE33874"/>
    <w:multiLevelType w:val="multilevel"/>
    <w:tmpl w:val="5D447C9E"/>
    <w:lvl w:ilvl="0">
      <w:start w:val="4"/>
      <w:numFmt w:val="decimal"/>
      <w:lvlText w:val="%1."/>
      <w:lvlJc w:val="left"/>
      <w:pPr>
        <w:ind w:left="360" w:hanging="360"/>
      </w:pPr>
      <w:rPr>
        <w:rFonts w:hint="default"/>
        <w:b/>
      </w:rPr>
    </w:lvl>
    <w:lvl w:ilvl="1">
      <w:start w:val="1"/>
      <w:numFmt w:val="decimal"/>
      <w:lvlText w:val="%1.%2."/>
      <w:lvlJc w:val="left"/>
      <w:pPr>
        <w:ind w:left="1288" w:hanging="720"/>
      </w:pPr>
      <w:rPr>
        <w:rFonts w:hint="default"/>
        <w:b w:val="0"/>
        <w:bCs w:val="0"/>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13D99"/>
    <w:multiLevelType w:val="multilevel"/>
    <w:tmpl w:val="938E123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30D4266"/>
    <w:multiLevelType w:val="multilevel"/>
    <w:tmpl w:val="A11675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3C410B"/>
    <w:multiLevelType w:val="multilevel"/>
    <w:tmpl w:val="52CCE8EC"/>
    <w:lvl w:ilvl="0">
      <w:start w:val="3"/>
      <w:numFmt w:val="decimal"/>
      <w:lvlText w:val="%1."/>
      <w:lvlJc w:val="left"/>
      <w:pPr>
        <w:ind w:left="540" w:hanging="540"/>
      </w:pPr>
      <w:rPr>
        <w:rFonts w:hint="default"/>
        <w:b/>
      </w:rPr>
    </w:lvl>
    <w:lvl w:ilvl="1">
      <w:start w:val="3"/>
      <w:numFmt w:val="decimal"/>
      <w:lvlText w:val="%1.%2."/>
      <w:lvlJc w:val="left"/>
      <w:pPr>
        <w:ind w:left="1074" w:hanging="72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632" w:hanging="1800"/>
      </w:pPr>
      <w:rPr>
        <w:rFonts w:hint="default"/>
        <w:b w:val="0"/>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8064B"/>
    <w:multiLevelType w:val="multilevel"/>
    <w:tmpl w:val="558A195A"/>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BA3D4C"/>
    <w:multiLevelType w:val="multilevel"/>
    <w:tmpl w:val="5CBAE13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asciiTheme="minorHAnsi" w:hAnsiTheme="minorHAnsi" w:cstheme="minorHAnsi" w:hint="default"/>
        <w:b w:val="0"/>
        <w:color w:val="auto"/>
        <w:sz w:val="24"/>
        <w:szCs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5"/>
  </w:num>
  <w:num w:numId="3">
    <w:abstractNumId w:val="6"/>
  </w:num>
  <w:num w:numId="4">
    <w:abstractNumId w:val="23"/>
  </w:num>
  <w:num w:numId="5">
    <w:abstractNumId w:val="15"/>
  </w:num>
  <w:num w:numId="6">
    <w:abstractNumId w:val="22"/>
  </w:num>
  <w:num w:numId="7">
    <w:abstractNumId w:val="0"/>
  </w:num>
  <w:num w:numId="8">
    <w:abstractNumId w:val="16"/>
  </w:num>
  <w:num w:numId="9">
    <w:abstractNumId w:val="17"/>
  </w:num>
  <w:num w:numId="10">
    <w:abstractNumId w:val="24"/>
  </w:num>
  <w:num w:numId="11">
    <w:abstractNumId w:val="30"/>
  </w:num>
  <w:num w:numId="12">
    <w:abstractNumId w:val="3"/>
  </w:num>
  <w:num w:numId="13">
    <w:abstractNumId w:val="26"/>
  </w:num>
  <w:num w:numId="14">
    <w:abstractNumId w:val="36"/>
  </w:num>
  <w:num w:numId="15">
    <w:abstractNumId w:val="18"/>
  </w:num>
  <w:num w:numId="16">
    <w:abstractNumId w:val="14"/>
  </w:num>
  <w:num w:numId="17">
    <w:abstractNumId w:val="28"/>
  </w:num>
  <w:num w:numId="18">
    <w:abstractNumId w:val="19"/>
  </w:num>
  <w:num w:numId="19">
    <w:abstractNumId w:val="33"/>
  </w:num>
  <w:num w:numId="20">
    <w:abstractNumId w:val="4"/>
  </w:num>
  <w:num w:numId="21">
    <w:abstractNumId w:val="35"/>
  </w:num>
  <w:num w:numId="22">
    <w:abstractNumId w:val="32"/>
  </w:num>
  <w:num w:numId="23">
    <w:abstractNumId w:val="20"/>
  </w:num>
  <w:num w:numId="24">
    <w:abstractNumId w:val="38"/>
  </w:num>
  <w:num w:numId="25">
    <w:abstractNumId w:val="12"/>
  </w:num>
  <w:num w:numId="26">
    <w:abstractNumId w:val="2"/>
  </w:num>
  <w:num w:numId="27">
    <w:abstractNumId w:val="10"/>
  </w:num>
  <w:num w:numId="28">
    <w:abstractNumId w:val="39"/>
  </w:num>
  <w:num w:numId="29">
    <w:abstractNumId w:val="34"/>
  </w:num>
  <w:num w:numId="30">
    <w:abstractNumId w:val="5"/>
  </w:num>
  <w:num w:numId="31">
    <w:abstractNumId w:val="9"/>
  </w:num>
  <w:num w:numId="32">
    <w:abstractNumId w:val="29"/>
  </w:num>
  <w:num w:numId="33">
    <w:abstractNumId w:val="11"/>
  </w:num>
  <w:num w:numId="34">
    <w:abstractNumId w:val="37"/>
  </w:num>
  <w:num w:numId="35">
    <w:abstractNumId w:val="1"/>
  </w:num>
  <w:num w:numId="36">
    <w:abstractNumId w:val="27"/>
  </w:num>
  <w:num w:numId="37">
    <w:abstractNumId w:val="31"/>
  </w:num>
  <w:num w:numId="38">
    <w:abstractNumId w:val="21"/>
  </w:num>
  <w:num w:numId="39">
    <w:abstractNumId w:val="8"/>
  </w:num>
  <w:num w:numId="4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1tDQ0NjcxtDQwtzBV0lEKTi0uzszPAykwNK8FAEum07stAAAA"/>
  </w:docVars>
  <w:rsids>
    <w:rsidRoot w:val="00EE705F"/>
    <w:rsid w:val="00001169"/>
    <w:rsid w:val="00001806"/>
    <w:rsid w:val="00005815"/>
    <w:rsid w:val="00006E68"/>
    <w:rsid w:val="00007DBC"/>
    <w:rsid w:val="00007EA1"/>
    <w:rsid w:val="000100F0"/>
    <w:rsid w:val="00012280"/>
    <w:rsid w:val="000129B2"/>
    <w:rsid w:val="00012D45"/>
    <w:rsid w:val="00012FF9"/>
    <w:rsid w:val="0001389C"/>
    <w:rsid w:val="00014314"/>
    <w:rsid w:val="00017BD1"/>
    <w:rsid w:val="00021177"/>
    <w:rsid w:val="000211BB"/>
    <w:rsid w:val="000212AE"/>
    <w:rsid w:val="00021434"/>
    <w:rsid w:val="00021774"/>
    <w:rsid w:val="00021DF3"/>
    <w:rsid w:val="00023869"/>
    <w:rsid w:val="00024598"/>
    <w:rsid w:val="00026458"/>
    <w:rsid w:val="00026EA8"/>
    <w:rsid w:val="000279B0"/>
    <w:rsid w:val="000308C8"/>
    <w:rsid w:val="00031CEF"/>
    <w:rsid w:val="00032769"/>
    <w:rsid w:val="00032EE8"/>
    <w:rsid w:val="0003311E"/>
    <w:rsid w:val="000333F3"/>
    <w:rsid w:val="000355C5"/>
    <w:rsid w:val="00037B58"/>
    <w:rsid w:val="000416BE"/>
    <w:rsid w:val="000431DB"/>
    <w:rsid w:val="00046574"/>
    <w:rsid w:val="00047513"/>
    <w:rsid w:val="00050044"/>
    <w:rsid w:val="00051B73"/>
    <w:rsid w:val="00052264"/>
    <w:rsid w:val="0005333E"/>
    <w:rsid w:val="000575CF"/>
    <w:rsid w:val="00060ABE"/>
    <w:rsid w:val="00061A50"/>
    <w:rsid w:val="0006361B"/>
    <w:rsid w:val="00064104"/>
    <w:rsid w:val="00064C4A"/>
    <w:rsid w:val="00064F32"/>
    <w:rsid w:val="000652E3"/>
    <w:rsid w:val="00066025"/>
    <w:rsid w:val="00066BA4"/>
    <w:rsid w:val="00067A66"/>
    <w:rsid w:val="00067A8F"/>
    <w:rsid w:val="000701D1"/>
    <w:rsid w:val="00072AEE"/>
    <w:rsid w:val="00080A20"/>
    <w:rsid w:val="00081EE0"/>
    <w:rsid w:val="00082796"/>
    <w:rsid w:val="00082DF4"/>
    <w:rsid w:val="00086B13"/>
    <w:rsid w:val="00086FF5"/>
    <w:rsid w:val="000879B0"/>
    <w:rsid w:val="00087C0A"/>
    <w:rsid w:val="00091788"/>
    <w:rsid w:val="00092CF2"/>
    <w:rsid w:val="00093575"/>
    <w:rsid w:val="00093B99"/>
    <w:rsid w:val="00093BC4"/>
    <w:rsid w:val="000943E6"/>
    <w:rsid w:val="00097929"/>
    <w:rsid w:val="000A0500"/>
    <w:rsid w:val="000A1B42"/>
    <w:rsid w:val="000A1E80"/>
    <w:rsid w:val="000A23BA"/>
    <w:rsid w:val="000A243B"/>
    <w:rsid w:val="000A33B5"/>
    <w:rsid w:val="000A38D2"/>
    <w:rsid w:val="000A3B70"/>
    <w:rsid w:val="000A5153"/>
    <w:rsid w:val="000B10AE"/>
    <w:rsid w:val="000B2584"/>
    <w:rsid w:val="000B30BF"/>
    <w:rsid w:val="000B37BF"/>
    <w:rsid w:val="000B3A3E"/>
    <w:rsid w:val="000B5236"/>
    <w:rsid w:val="000B566B"/>
    <w:rsid w:val="000B595C"/>
    <w:rsid w:val="000B662E"/>
    <w:rsid w:val="000B7294"/>
    <w:rsid w:val="000B75D0"/>
    <w:rsid w:val="000C072E"/>
    <w:rsid w:val="000C1CF8"/>
    <w:rsid w:val="000C49CF"/>
    <w:rsid w:val="000C52E9"/>
    <w:rsid w:val="000C5965"/>
    <w:rsid w:val="000C5B8B"/>
    <w:rsid w:val="000C5CDC"/>
    <w:rsid w:val="000C5F80"/>
    <w:rsid w:val="000C65DC"/>
    <w:rsid w:val="000C66F3"/>
    <w:rsid w:val="000C6900"/>
    <w:rsid w:val="000C6AA6"/>
    <w:rsid w:val="000C7235"/>
    <w:rsid w:val="000C72CD"/>
    <w:rsid w:val="000C7FEE"/>
    <w:rsid w:val="000D0E39"/>
    <w:rsid w:val="000D28BF"/>
    <w:rsid w:val="000D31E8"/>
    <w:rsid w:val="000D3BE6"/>
    <w:rsid w:val="000D5273"/>
    <w:rsid w:val="000D54FE"/>
    <w:rsid w:val="000D611A"/>
    <w:rsid w:val="000D76E4"/>
    <w:rsid w:val="000E109B"/>
    <w:rsid w:val="000E18EE"/>
    <w:rsid w:val="000E3816"/>
    <w:rsid w:val="000E4F77"/>
    <w:rsid w:val="000E521E"/>
    <w:rsid w:val="000F2143"/>
    <w:rsid w:val="000F23A5"/>
    <w:rsid w:val="000F265C"/>
    <w:rsid w:val="000F3AFA"/>
    <w:rsid w:val="000F4AD4"/>
    <w:rsid w:val="000F5712"/>
    <w:rsid w:val="000F60A6"/>
    <w:rsid w:val="000F6611"/>
    <w:rsid w:val="000F7E22"/>
    <w:rsid w:val="001017B5"/>
    <w:rsid w:val="00102BCD"/>
    <w:rsid w:val="00103C1D"/>
    <w:rsid w:val="00104174"/>
    <w:rsid w:val="00107315"/>
    <w:rsid w:val="00107554"/>
    <w:rsid w:val="001075E9"/>
    <w:rsid w:val="0010765A"/>
    <w:rsid w:val="001104F3"/>
    <w:rsid w:val="00112EEB"/>
    <w:rsid w:val="001132C8"/>
    <w:rsid w:val="001173FF"/>
    <w:rsid w:val="0011798C"/>
    <w:rsid w:val="001220A4"/>
    <w:rsid w:val="00122322"/>
    <w:rsid w:val="001246E7"/>
    <w:rsid w:val="0012563A"/>
    <w:rsid w:val="001260CE"/>
    <w:rsid w:val="001264DE"/>
    <w:rsid w:val="00126BB3"/>
    <w:rsid w:val="001313A7"/>
    <w:rsid w:val="0013206E"/>
    <w:rsid w:val="0013276F"/>
    <w:rsid w:val="001327A2"/>
    <w:rsid w:val="00133F78"/>
    <w:rsid w:val="001342B5"/>
    <w:rsid w:val="0013621E"/>
    <w:rsid w:val="0013642E"/>
    <w:rsid w:val="00140179"/>
    <w:rsid w:val="00142EFE"/>
    <w:rsid w:val="00144997"/>
    <w:rsid w:val="00146C08"/>
    <w:rsid w:val="001475C5"/>
    <w:rsid w:val="00152A23"/>
    <w:rsid w:val="0015382D"/>
    <w:rsid w:val="00156B11"/>
    <w:rsid w:val="00161A66"/>
    <w:rsid w:val="0016220A"/>
    <w:rsid w:val="00162CB7"/>
    <w:rsid w:val="00163E7E"/>
    <w:rsid w:val="001650A7"/>
    <w:rsid w:val="001665C9"/>
    <w:rsid w:val="001669E7"/>
    <w:rsid w:val="00166F32"/>
    <w:rsid w:val="001718C0"/>
    <w:rsid w:val="00171E5B"/>
    <w:rsid w:val="00171F94"/>
    <w:rsid w:val="00175D4E"/>
    <w:rsid w:val="0017668A"/>
    <w:rsid w:val="001766FE"/>
    <w:rsid w:val="001771E7"/>
    <w:rsid w:val="00181092"/>
    <w:rsid w:val="00181DB8"/>
    <w:rsid w:val="00182D70"/>
    <w:rsid w:val="00183BBF"/>
    <w:rsid w:val="0018413F"/>
    <w:rsid w:val="001845A6"/>
    <w:rsid w:val="00185E04"/>
    <w:rsid w:val="001872C3"/>
    <w:rsid w:val="00187C0D"/>
    <w:rsid w:val="001900E6"/>
    <w:rsid w:val="001911FF"/>
    <w:rsid w:val="00192006"/>
    <w:rsid w:val="00193180"/>
    <w:rsid w:val="00193624"/>
    <w:rsid w:val="00194937"/>
    <w:rsid w:val="0019530C"/>
    <w:rsid w:val="00196792"/>
    <w:rsid w:val="00196CEE"/>
    <w:rsid w:val="001A2AFF"/>
    <w:rsid w:val="001A36FD"/>
    <w:rsid w:val="001A393B"/>
    <w:rsid w:val="001A6E76"/>
    <w:rsid w:val="001A76E5"/>
    <w:rsid w:val="001A7B22"/>
    <w:rsid w:val="001B0469"/>
    <w:rsid w:val="001B1519"/>
    <w:rsid w:val="001B2302"/>
    <w:rsid w:val="001B2E2D"/>
    <w:rsid w:val="001B5CD2"/>
    <w:rsid w:val="001B66B8"/>
    <w:rsid w:val="001B6A87"/>
    <w:rsid w:val="001B7D0B"/>
    <w:rsid w:val="001C0BEE"/>
    <w:rsid w:val="001C1090"/>
    <w:rsid w:val="001C1BFD"/>
    <w:rsid w:val="001C1E49"/>
    <w:rsid w:val="001C27C1"/>
    <w:rsid w:val="001C2A98"/>
    <w:rsid w:val="001C3289"/>
    <w:rsid w:val="001C3B86"/>
    <w:rsid w:val="001C443B"/>
    <w:rsid w:val="001C4D95"/>
    <w:rsid w:val="001C5045"/>
    <w:rsid w:val="001C7435"/>
    <w:rsid w:val="001D0589"/>
    <w:rsid w:val="001D164A"/>
    <w:rsid w:val="001D19F4"/>
    <w:rsid w:val="001D25D1"/>
    <w:rsid w:val="001D3432"/>
    <w:rsid w:val="001D3D7D"/>
    <w:rsid w:val="001D3FFF"/>
    <w:rsid w:val="001D4997"/>
    <w:rsid w:val="001D52E2"/>
    <w:rsid w:val="001D574E"/>
    <w:rsid w:val="001D625F"/>
    <w:rsid w:val="001D68A4"/>
    <w:rsid w:val="001D734C"/>
    <w:rsid w:val="001D7576"/>
    <w:rsid w:val="001E0714"/>
    <w:rsid w:val="001E0BDA"/>
    <w:rsid w:val="001E0E3F"/>
    <w:rsid w:val="001E14A0"/>
    <w:rsid w:val="001E14AB"/>
    <w:rsid w:val="001E3F61"/>
    <w:rsid w:val="001E45CF"/>
    <w:rsid w:val="001E4A71"/>
    <w:rsid w:val="001E5F2F"/>
    <w:rsid w:val="001E7376"/>
    <w:rsid w:val="001E7716"/>
    <w:rsid w:val="001F225C"/>
    <w:rsid w:val="001F54B4"/>
    <w:rsid w:val="001F6160"/>
    <w:rsid w:val="00200792"/>
    <w:rsid w:val="00201CFA"/>
    <w:rsid w:val="0020220D"/>
    <w:rsid w:val="00202448"/>
    <w:rsid w:val="00202D15"/>
    <w:rsid w:val="00202E2F"/>
    <w:rsid w:val="0020476B"/>
    <w:rsid w:val="00204C3B"/>
    <w:rsid w:val="00204C65"/>
    <w:rsid w:val="002050CC"/>
    <w:rsid w:val="002057FE"/>
    <w:rsid w:val="00205B3F"/>
    <w:rsid w:val="002077EE"/>
    <w:rsid w:val="00210857"/>
    <w:rsid w:val="00211B92"/>
    <w:rsid w:val="00212EAE"/>
    <w:rsid w:val="00213273"/>
    <w:rsid w:val="00213A5D"/>
    <w:rsid w:val="00214BEE"/>
    <w:rsid w:val="00216D28"/>
    <w:rsid w:val="002205B8"/>
    <w:rsid w:val="0022243B"/>
    <w:rsid w:val="00222943"/>
    <w:rsid w:val="00224036"/>
    <w:rsid w:val="0022543F"/>
    <w:rsid w:val="00225720"/>
    <w:rsid w:val="002259E5"/>
    <w:rsid w:val="00226140"/>
    <w:rsid w:val="002274F3"/>
    <w:rsid w:val="00227E71"/>
    <w:rsid w:val="0023094C"/>
    <w:rsid w:val="00233484"/>
    <w:rsid w:val="00234025"/>
    <w:rsid w:val="00234303"/>
    <w:rsid w:val="00234BE3"/>
    <w:rsid w:val="002356F6"/>
    <w:rsid w:val="00235A90"/>
    <w:rsid w:val="0023624F"/>
    <w:rsid w:val="0023641E"/>
    <w:rsid w:val="0023783D"/>
    <w:rsid w:val="00241280"/>
    <w:rsid w:val="00241BED"/>
    <w:rsid w:val="00241E48"/>
    <w:rsid w:val="0024214E"/>
    <w:rsid w:val="00242623"/>
    <w:rsid w:val="00250558"/>
    <w:rsid w:val="002530E9"/>
    <w:rsid w:val="0025357C"/>
    <w:rsid w:val="00256230"/>
    <w:rsid w:val="0025796B"/>
    <w:rsid w:val="002605D1"/>
    <w:rsid w:val="00260652"/>
    <w:rsid w:val="00260CB3"/>
    <w:rsid w:val="00260F9D"/>
    <w:rsid w:val="00261F25"/>
    <w:rsid w:val="00263572"/>
    <w:rsid w:val="00263F42"/>
    <w:rsid w:val="002648A9"/>
    <w:rsid w:val="0026536F"/>
    <w:rsid w:val="0026553C"/>
    <w:rsid w:val="002661A0"/>
    <w:rsid w:val="00266F49"/>
    <w:rsid w:val="0026754F"/>
    <w:rsid w:val="0026790A"/>
    <w:rsid w:val="00267DD5"/>
    <w:rsid w:val="00267E1E"/>
    <w:rsid w:val="00273132"/>
    <w:rsid w:val="002739E8"/>
    <w:rsid w:val="002744DB"/>
    <w:rsid w:val="00274A0A"/>
    <w:rsid w:val="0027730D"/>
    <w:rsid w:val="00277593"/>
    <w:rsid w:val="00280909"/>
    <w:rsid w:val="00280918"/>
    <w:rsid w:val="00282AF6"/>
    <w:rsid w:val="00282EFA"/>
    <w:rsid w:val="00283D73"/>
    <w:rsid w:val="002847C7"/>
    <w:rsid w:val="0028596A"/>
    <w:rsid w:val="00287085"/>
    <w:rsid w:val="00287DC0"/>
    <w:rsid w:val="00290AF9"/>
    <w:rsid w:val="00291131"/>
    <w:rsid w:val="00291BE3"/>
    <w:rsid w:val="0029486E"/>
    <w:rsid w:val="00295094"/>
    <w:rsid w:val="002967CF"/>
    <w:rsid w:val="00297788"/>
    <w:rsid w:val="002A3285"/>
    <w:rsid w:val="002A33DA"/>
    <w:rsid w:val="002A34F9"/>
    <w:rsid w:val="002A3F91"/>
    <w:rsid w:val="002A484B"/>
    <w:rsid w:val="002A62E7"/>
    <w:rsid w:val="002A640D"/>
    <w:rsid w:val="002A64A6"/>
    <w:rsid w:val="002A7664"/>
    <w:rsid w:val="002B1FE3"/>
    <w:rsid w:val="002B3301"/>
    <w:rsid w:val="002B33F0"/>
    <w:rsid w:val="002B467C"/>
    <w:rsid w:val="002B6052"/>
    <w:rsid w:val="002B6B92"/>
    <w:rsid w:val="002B71C9"/>
    <w:rsid w:val="002C1445"/>
    <w:rsid w:val="002C2D05"/>
    <w:rsid w:val="002C3C2E"/>
    <w:rsid w:val="002C47D4"/>
    <w:rsid w:val="002C76F0"/>
    <w:rsid w:val="002D083A"/>
    <w:rsid w:val="002D0F38"/>
    <w:rsid w:val="002D215B"/>
    <w:rsid w:val="002D555A"/>
    <w:rsid w:val="002D7678"/>
    <w:rsid w:val="002D77E3"/>
    <w:rsid w:val="002D7F05"/>
    <w:rsid w:val="002E703E"/>
    <w:rsid w:val="002E79C9"/>
    <w:rsid w:val="002F0F79"/>
    <w:rsid w:val="002F2859"/>
    <w:rsid w:val="002F42B9"/>
    <w:rsid w:val="002F4AAA"/>
    <w:rsid w:val="002F4FD9"/>
    <w:rsid w:val="002F5844"/>
    <w:rsid w:val="002F6E3C"/>
    <w:rsid w:val="002F76B9"/>
    <w:rsid w:val="0030117D"/>
    <w:rsid w:val="00301F30"/>
    <w:rsid w:val="003027A8"/>
    <w:rsid w:val="00302DE6"/>
    <w:rsid w:val="003038FD"/>
    <w:rsid w:val="00303C87"/>
    <w:rsid w:val="003078F3"/>
    <w:rsid w:val="00307B89"/>
    <w:rsid w:val="003108E5"/>
    <w:rsid w:val="003115A8"/>
    <w:rsid w:val="003120CB"/>
    <w:rsid w:val="00313F55"/>
    <w:rsid w:val="00316278"/>
    <w:rsid w:val="003176B9"/>
    <w:rsid w:val="00320153"/>
    <w:rsid w:val="00320367"/>
    <w:rsid w:val="0032286F"/>
    <w:rsid w:val="00322871"/>
    <w:rsid w:val="00323F23"/>
    <w:rsid w:val="003248B7"/>
    <w:rsid w:val="00326FB3"/>
    <w:rsid w:val="00327514"/>
    <w:rsid w:val="003308A7"/>
    <w:rsid w:val="00330932"/>
    <w:rsid w:val="003316D4"/>
    <w:rsid w:val="003321B2"/>
    <w:rsid w:val="00332427"/>
    <w:rsid w:val="00332BBE"/>
    <w:rsid w:val="00333822"/>
    <w:rsid w:val="00336715"/>
    <w:rsid w:val="003372B7"/>
    <w:rsid w:val="003401EC"/>
    <w:rsid w:val="00340DFD"/>
    <w:rsid w:val="00341DA6"/>
    <w:rsid w:val="00342585"/>
    <w:rsid w:val="003431D5"/>
    <w:rsid w:val="00344954"/>
    <w:rsid w:val="003457B9"/>
    <w:rsid w:val="00350CD7"/>
    <w:rsid w:val="003513FD"/>
    <w:rsid w:val="0035546F"/>
    <w:rsid w:val="00360C17"/>
    <w:rsid w:val="003621C6"/>
    <w:rsid w:val="003622B8"/>
    <w:rsid w:val="00362800"/>
    <w:rsid w:val="00364DE7"/>
    <w:rsid w:val="00366B76"/>
    <w:rsid w:val="003704FA"/>
    <w:rsid w:val="00373051"/>
    <w:rsid w:val="00373B8F"/>
    <w:rsid w:val="0037613F"/>
    <w:rsid w:val="00376D95"/>
    <w:rsid w:val="00377FBB"/>
    <w:rsid w:val="003818F7"/>
    <w:rsid w:val="003839BB"/>
    <w:rsid w:val="00383A87"/>
    <w:rsid w:val="00385140"/>
    <w:rsid w:val="00386334"/>
    <w:rsid w:val="00393CC7"/>
    <w:rsid w:val="00396302"/>
    <w:rsid w:val="003971F7"/>
    <w:rsid w:val="003978D3"/>
    <w:rsid w:val="003A025C"/>
    <w:rsid w:val="003A16FC"/>
    <w:rsid w:val="003A2C8A"/>
    <w:rsid w:val="003A43E7"/>
    <w:rsid w:val="003A477E"/>
    <w:rsid w:val="003A4A08"/>
    <w:rsid w:val="003A4FCD"/>
    <w:rsid w:val="003A5F4B"/>
    <w:rsid w:val="003A641C"/>
    <w:rsid w:val="003B0944"/>
    <w:rsid w:val="003B1032"/>
    <w:rsid w:val="003B1593"/>
    <w:rsid w:val="003B23EC"/>
    <w:rsid w:val="003B4136"/>
    <w:rsid w:val="003B4381"/>
    <w:rsid w:val="003C1043"/>
    <w:rsid w:val="003C1A30"/>
    <w:rsid w:val="003C4967"/>
    <w:rsid w:val="003C61A3"/>
    <w:rsid w:val="003C6779"/>
    <w:rsid w:val="003C71BE"/>
    <w:rsid w:val="003D033C"/>
    <w:rsid w:val="003D1FE8"/>
    <w:rsid w:val="003D295E"/>
    <w:rsid w:val="003D2998"/>
    <w:rsid w:val="003D2F0A"/>
    <w:rsid w:val="003D3891"/>
    <w:rsid w:val="003D3FE9"/>
    <w:rsid w:val="003D5D84"/>
    <w:rsid w:val="003D659A"/>
    <w:rsid w:val="003D7B54"/>
    <w:rsid w:val="003E0294"/>
    <w:rsid w:val="003E05A7"/>
    <w:rsid w:val="003E0F4F"/>
    <w:rsid w:val="003E18AC"/>
    <w:rsid w:val="003E210B"/>
    <w:rsid w:val="003E23D7"/>
    <w:rsid w:val="003E26A4"/>
    <w:rsid w:val="003E2A12"/>
    <w:rsid w:val="003E3384"/>
    <w:rsid w:val="003E3CA4"/>
    <w:rsid w:val="003E548E"/>
    <w:rsid w:val="003E6700"/>
    <w:rsid w:val="003E7C41"/>
    <w:rsid w:val="003E7EB0"/>
    <w:rsid w:val="003F1CBB"/>
    <w:rsid w:val="003F40A2"/>
    <w:rsid w:val="003F4860"/>
    <w:rsid w:val="003F71E3"/>
    <w:rsid w:val="0040013E"/>
    <w:rsid w:val="00400523"/>
    <w:rsid w:val="00403C01"/>
    <w:rsid w:val="00404B33"/>
    <w:rsid w:val="00407EC8"/>
    <w:rsid w:val="0041110A"/>
    <w:rsid w:val="00411624"/>
    <w:rsid w:val="00412D38"/>
    <w:rsid w:val="00412D6A"/>
    <w:rsid w:val="0041411D"/>
    <w:rsid w:val="004148E1"/>
    <w:rsid w:val="00414CFA"/>
    <w:rsid w:val="00414DFD"/>
    <w:rsid w:val="00415480"/>
    <w:rsid w:val="00415EC0"/>
    <w:rsid w:val="00417D71"/>
    <w:rsid w:val="00420BE9"/>
    <w:rsid w:val="00423AD8"/>
    <w:rsid w:val="00423FDD"/>
    <w:rsid w:val="00424C85"/>
    <w:rsid w:val="004260BD"/>
    <w:rsid w:val="00426718"/>
    <w:rsid w:val="00426894"/>
    <w:rsid w:val="00426D34"/>
    <w:rsid w:val="00427D96"/>
    <w:rsid w:val="0043012F"/>
    <w:rsid w:val="00430F1F"/>
    <w:rsid w:val="00430F6B"/>
    <w:rsid w:val="00431198"/>
    <w:rsid w:val="00431BD3"/>
    <w:rsid w:val="00432563"/>
    <w:rsid w:val="004326EA"/>
    <w:rsid w:val="00434D03"/>
    <w:rsid w:val="00437B8C"/>
    <w:rsid w:val="00440CB1"/>
    <w:rsid w:val="00440D3E"/>
    <w:rsid w:val="00441A29"/>
    <w:rsid w:val="0044434C"/>
    <w:rsid w:val="0044456B"/>
    <w:rsid w:val="0044580C"/>
    <w:rsid w:val="00445BA4"/>
    <w:rsid w:val="0044798A"/>
    <w:rsid w:val="00447BD1"/>
    <w:rsid w:val="004507F3"/>
    <w:rsid w:val="00450AF4"/>
    <w:rsid w:val="004535DC"/>
    <w:rsid w:val="004536B2"/>
    <w:rsid w:val="0045570B"/>
    <w:rsid w:val="00456A57"/>
    <w:rsid w:val="00460377"/>
    <w:rsid w:val="004607DE"/>
    <w:rsid w:val="00462A91"/>
    <w:rsid w:val="0046509C"/>
    <w:rsid w:val="00466475"/>
    <w:rsid w:val="004671C7"/>
    <w:rsid w:val="00471638"/>
    <w:rsid w:val="00472F2A"/>
    <w:rsid w:val="00472F4D"/>
    <w:rsid w:val="004730BF"/>
    <w:rsid w:val="00474541"/>
    <w:rsid w:val="00474DCB"/>
    <w:rsid w:val="0047535C"/>
    <w:rsid w:val="004762F6"/>
    <w:rsid w:val="0048347E"/>
    <w:rsid w:val="00483E31"/>
    <w:rsid w:val="00483F04"/>
    <w:rsid w:val="0048449F"/>
    <w:rsid w:val="00485076"/>
    <w:rsid w:val="00485870"/>
    <w:rsid w:val="00485FE8"/>
    <w:rsid w:val="004867D9"/>
    <w:rsid w:val="00487151"/>
    <w:rsid w:val="00487E1D"/>
    <w:rsid w:val="004909A6"/>
    <w:rsid w:val="00492473"/>
    <w:rsid w:val="00492EB5"/>
    <w:rsid w:val="00492F7D"/>
    <w:rsid w:val="004933C4"/>
    <w:rsid w:val="004942E6"/>
    <w:rsid w:val="00494F77"/>
    <w:rsid w:val="0049539B"/>
    <w:rsid w:val="00497721"/>
    <w:rsid w:val="004A0229"/>
    <w:rsid w:val="004A1475"/>
    <w:rsid w:val="004A175A"/>
    <w:rsid w:val="004A1AD3"/>
    <w:rsid w:val="004A30A8"/>
    <w:rsid w:val="004A35D2"/>
    <w:rsid w:val="004A41DD"/>
    <w:rsid w:val="004A5B19"/>
    <w:rsid w:val="004A5D8E"/>
    <w:rsid w:val="004A71E4"/>
    <w:rsid w:val="004B17B0"/>
    <w:rsid w:val="004B25D6"/>
    <w:rsid w:val="004B29E8"/>
    <w:rsid w:val="004B2F00"/>
    <w:rsid w:val="004B667A"/>
    <w:rsid w:val="004B6E31"/>
    <w:rsid w:val="004C1D66"/>
    <w:rsid w:val="004C28A2"/>
    <w:rsid w:val="004C31D7"/>
    <w:rsid w:val="004C4AD2"/>
    <w:rsid w:val="004C4E15"/>
    <w:rsid w:val="004C6981"/>
    <w:rsid w:val="004D1F21"/>
    <w:rsid w:val="004D268C"/>
    <w:rsid w:val="004D2DBD"/>
    <w:rsid w:val="004D59D8"/>
    <w:rsid w:val="004D5DA1"/>
    <w:rsid w:val="004D7910"/>
    <w:rsid w:val="004E150F"/>
    <w:rsid w:val="004E1DCA"/>
    <w:rsid w:val="004E23A1"/>
    <w:rsid w:val="004E3489"/>
    <w:rsid w:val="004E34C4"/>
    <w:rsid w:val="004E358A"/>
    <w:rsid w:val="004E3AFA"/>
    <w:rsid w:val="004E3E36"/>
    <w:rsid w:val="004E40B3"/>
    <w:rsid w:val="004E6588"/>
    <w:rsid w:val="004E700C"/>
    <w:rsid w:val="004F2742"/>
    <w:rsid w:val="004F2938"/>
    <w:rsid w:val="004F350F"/>
    <w:rsid w:val="004F4606"/>
    <w:rsid w:val="004F5D6F"/>
    <w:rsid w:val="004F75D3"/>
    <w:rsid w:val="00500210"/>
    <w:rsid w:val="00502A0A"/>
    <w:rsid w:val="00503EE3"/>
    <w:rsid w:val="00507BF9"/>
    <w:rsid w:val="00507C50"/>
    <w:rsid w:val="00514D40"/>
    <w:rsid w:val="0051561E"/>
    <w:rsid w:val="005170B8"/>
    <w:rsid w:val="00517C3A"/>
    <w:rsid w:val="0052130B"/>
    <w:rsid w:val="005222C1"/>
    <w:rsid w:val="00522534"/>
    <w:rsid w:val="00522CDF"/>
    <w:rsid w:val="005267D1"/>
    <w:rsid w:val="005274CE"/>
    <w:rsid w:val="00527905"/>
    <w:rsid w:val="00527BF4"/>
    <w:rsid w:val="005324BE"/>
    <w:rsid w:val="005335DC"/>
    <w:rsid w:val="00534F6C"/>
    <w:rsid w:val="00535994"/>
    <w:rsid w:val="0053646D"/>
    <w:rsid w:val="00536D67"/>
    <w:rsid w:val="00537028"/>
    <w:rsid w:val="00540AAD"/>
    <w:rsid w:val="00542FCA"/>
    <w:rsid w:val="00543EC1"/>
    <w:rsid w:val="0054535F"/>
    <w:rsid w:val="00546458"/>
    <w:rsid w:val="00546672"/>
    <w:rsid w:val="00550058"/>
    <w:rsid w:val="0055087C"/>
    <w:rsid w:val="00551350"/>
    <w:rsid w:val="00553413"/>
    <w:rsid w:val="005550FA"/>
    <w:rsid w:val="00555983"/>
    <w:rsid w:val="00557F75"/>
    <w:rsid w:val="00560E31"/>
    <w:rsid w:val="00561BC9"/>
    <w:rsid w:val="00561BDA"/>
    <w:rsid w:val="00563139"/>
    <w:rsid w:val="00563793"/>
    <w:rsid w:val="005637AE"/>
    <w:rsid w:val="00567DBF"/>
    <w:rsid w:val="00570CA8"/>
    <w:rsid w:val="005721AB"/>
    <w:rsid w:val="0057608D"/>
    <w:rsid w:val="005761F8"/>
    <w:rsid w:val="00577694"/>
    <w:rsid w:val="00577E49"/>
    <w:rsid w:val="0058122C"/>
    <w:rsid w:val="00581B23"/>
    <w:rsid w:val="0058219C"/>
    <w:rsid w:val="005821BC"/>
    <w:rsid w:val="00582C47"/>
    <w:rsid w:val="00584312"/>
    <w:rsid w:val="0058458C"/>
    <w:rsid w:val="00585B1E"/>
    <w:rsid w:val="0058707F"/>
    <w:rsid w:val="005917B3"/>
    <w:rsid w:val="00591DBD"/>
    <w:rsid w:val="005931FE"/>
    <w:rsid w:val="00593B72"/>
    <w:rsid w:val="005A0028"/>
    <w:rsid w:val="005A0141"/>
    <w:rsid w:val="005A0ACC"/>
    <w:rsid w:val="005A2F7A"/>
    <w:rsid w:val="005A4DDD"/>
    <w:rsid w:val="005A6A56"/>
    <w:rsid w:val="005B0072"/>
    <w:rsid w:val="005B0732"/>
    <w:rsid w:val="005B2EB3"/>
    <w:rsid w:val="005B2FC3"/>
    <w:rsid w:val="005B38A0"/>
    <w:rsid w:val="005B491C"/>
    <w:rsid w:val="005B4DBF"/>
    <w:rsid w:val="005B5DE2"/>
    <w:rsid w:val="005B674C"/>
    <w:rsid w:val="005B68A7"/>
    <w:rsid w:val="005B7F33"/>
    <w:rsid w:val="005C116A"/>
    <w:rsid w:val="005C24F2"/>
    <w:rsid w:val="005C7442"/>
    <w:rsid w:val="005C7561"/>
    <w:rsid w:val="005D1A23"/>
    <w:rsid w:val="005D1BE6"/>
    <w:rsid w:val="005D1E57"/>
    <w:rsid w:val="005D2F57"/>
    <w:rsid w:val="005D34F6"/>
    <w:rsid w:val="005D3BBD"/>
    <w:rsid w:val="005D4758"/>
    <w:rsid w:val="005D4F1A"/>
    <w:rsid w:val="005E1583"/>
    <w:rsid w:val="005E1884"/>
    <w:rsid w:val="005E2188"/>
    <w:rsid w:val="005E754F"/>
    <w:rsid w:val="005F058B"/>
    <w:rsid w:val="005F0C9E"/>
    <w:rsid w:val="005F373A"/>
    <w:rsid w:val="005F38FF"/>
    <w:rsid w:val="005F4F87"/>
    <w:rsid w:val="005F6B0E"/>
    <w:rsid w:val="005F6BC9"/>
    <w:rsid w:val="005F760E"/>
    <w:rsid w:val="005F7B1D"/>
    <w:rsid w:val="006000BC"/>
    <w:rsid w:val="00601535"/>
    <w:rsid w:val="0060222A"/>
    <w:rsid w:val="00602D8F"/>
    <w:rsid w:val="006070C4"/>
    <w:rsid w:val="006070D1"/>
    <w:rsid w:val="00610526"/>
    <w:rsid w:val="00610C21"/>
    <w:rsid w:val="00611907"/>
    <w:rsid w:val="00613116"/>
    <w:rsid w:val="006143E8"/>
    <w:rsid w:val="00614D70"/>
    <w:rsid w:val="00616332"/>
    <w:rsid w:val="0061694F"/>
    <w:rsid w:val="006202A6"/>
    <w:rsid w:val="0062054B"/>
    <w:rsid w:val="00620926"/>
    <w:rsid w:val="00621C4E"/>
    <w:rsid w:val="006220CE"/>
    <w:rsid w:val="006223DC"/>
    <w:rsid w:val="006228B9"/>
    <w:rsid w:val="00623EBC"/>
    <w:rsid w:val="00624B8B"/>
    <w:rsid w:val="00624EAE"/>
    <w:rsid w:val="00624F13"/>
    <w:rsid w:val="006257D0"/>
    <w:rsid w:val="00625E93"/>
    <w:rsid w:val="006305D7"/>
    <w:rsid w:val="00631A08"/>
    <w:rsid w:val="006320CB"/>
    <w:rsid w:val="00632F63"/>
    <w:rsid w:val="00633A01"/>
    <w:rsid w:val="00633B97"/>
    <w:rsid w:val="006341F7"/>
    <w:rsid w:val="00634585"/>
    <w:rsid w:val="00635014"/>
    <w:rsid w:val="00635945"/>
    <w:rsid w:val="006369CE"/>
    <w:rsid w:val="00636E55"/>
    <w:rsid w:val="00637132"/>
    <w:rsid w:val="006377FE"/>
    <w:rsid w:val="006379C0"/>
    <w:rsid w:val="006411CA"/>
    <w:rsid w:val="00643B6A"/>
    <w:rsid w:val="00644E88"/>
    <w:rsid w:val="006450C9"/>
    <w:rsid w:val="00645C21"/>
    <w:rsid w:val="0064605E"/>
    <w:rsid w:val="00646C34"/>
    <w:rsid w:val="00650837"/>
    <w:rsid w:val="00657BC4"/>
    <w:rsid w:val="006618A8"/>
    <w:rsid w:val="006619C8"/>
    <w:rsid w:val="006652C2"/>
    <w:rsid w:val="00670321"/>
    <w:rsid w:val="00671710"/>
    <w:rsid w:val="00673414"/>
    <w:rsid w:val="00675923"/>
    <w:rsid w:val="00676079"/>
    <w:rsid w:val="006766D3"/>
    <w:rsid w:val="00676ECD"/>
    <w:rsid w:val="0067725D"/>
    <w:rsid w:val="00677864"/>
    <w:rsid w:val="00677D0A"/>
    <w:rsid w:val="00677ED4"/>
    <w:rsid w:val="0068185F"/>
    <w:rsid w:val="006840C6"/>
    <w:rsid w:val="006847CC"/>
    <w:rsid w:val="00686AC6"/>
    <w:rsid w:val="006925F4"/>
    <w:rsid w:val="00692F6C"/>
    <w:rsid w:val="0069403D"/>
    <w:rsid w:val="00694AC7"/>
    <w:rsid w:val="00695C18"/>
    <w:rsid w:val="00695D5D"/>
    <w:rsid w:val="00697195"/>
    <w:rsid w:val="006A01CF"/>
    <w:rsid w:val="006A0AB9"/>
    <w:rsid w:val="006A2490"/>
    <w:rsid w:val="006A5CA5"/>
    <w:rsid w:val="006A60DD"/>
    <w:rsid w:val="006B0679"/>
    <w:rsid w:val="006B074C"/>
    <w:rsid w:val="006B0C75"/>
    <w:rsid w:val="006B1B4A"/>
    <w:rsid w:val="006B2F49"/>
    <w:rsid w:val="006B352F"/>
    <w:rsid w:val="006B3B84"/>
    <w:rsid w:val="006B3B8A"/>
    <w:rsid w:val="006B4E7C"/>
    <w:rsid w:val="006B5D8C"/>
    <w:rsid w:val="006B6BC8"/>
    <w:rsid w:val="006B6D43"/>
    <w:rsid w:val="006B72D4"/>
    <w:rsid w:val="006C11CC"/>
    <w:rsid w:val="006C1AEB"/>
    <w:rsid w:val="006C2C4E"/>
    <w:rsid w:val="006C57FE"/>
    <w:rsid w:val="006C668E"/>
    <w:rsid w:val="006D0D62"/>
    <w:rsid w:val="006D1869"/>
    <w:rsid w:val="006D5436"/>
    <w:rsid w:val="006D749F"/>
    <w:rsid w:val="006E4B63"/>
    <w:rsid w:val="006E6B20"/>
    <w:rsid w:val="006F06E4"/>
    <w:rsid w:val="006F223F"/>
    <w:rsid w:val="006F27B3"/>
    <w:rsid w:val="006F32F5"/>
    <w:rsid w:val="006F4CFD"/>
    <w:rsid w:val="006F7B1A"/>
    <w:rsid w:val="006F7B41"/>
    <w:rsid w:val="00702B5D"/>
    <w:rsid w:val="00703ED2"/>
    <w:rsid w:val="00705E49"/>
    <w:rsid w:val="00706210"/>
    <w:rsid w:val="00707B8D"/>
    <w:rsid w:val="00707CC3"/>
    <w:rsid w:val="007109CB"/>
    <w:rsid w:val="00713494"/>
    <w:rsid w:val="00713636"/>
    <w:rsid w:val="00713E55"/>
    <w:rsid w:val="00714B8C"/>
    <w:rsid w:val="00714F97"/>
    <w:rsid w:val="0071675D"/>
    <w:rsid w:val="00717736"/>
    <w:rsid w:val="0072229C"/>
    <w:rsid w:val="00724BE2"/>
    <w:rsid w:val="00732B47"/>
    <w:rsid w:val="00733AE7"/>
    <w:rsid w:val="00733BDE"/>
    <w:rsid w:val="00735CF5"/>
    <w:rsid w:val="00735E2C"/>
    <w:rsid w:val="0073740A"/>
    <w:rsid w:val="0074063A"/>
    <w:rsid w:val="00740EB6"/>
    <w:rsid w:val="007419A7"/>
    <w:rsid w:val="00742081"/>
    <w:rsid w:val="00742AA4"/>
    <w:rsid w:val="00743919"/>
    <w:rsid w:val="00743BA1"/>
    <w:rsid w:val="00745D01"/>
    <w:rsid w:val="00745D27"/>
    <w:rsid w:val="00745F1E"/>
    <w:rsid w:val="0074702E"/>
    <w:rsid w:val="00750F8A"/>
    <w:rsid w:val="007515FE"/>
    <w:rsid w:val="0075653B"/>
    <w:rsid w:val="007601D0"/>
    <w:rsid w:val="007603BB"/>
    <w:rsid w:val="0076109D"/>
    <w:rsid w:val="00764119"/>
    <w:rsid w:val="00764389"/>
    <w:rsid w:val="0076459C"/>
    <w:rsid w:val="00766B8F"/>
    <w:rsid w:val="00767107"/>
    <w:rsid w:val="007679BB"/>
    <w:rsid w:val="007712B7"/>
    <w:rsid w:val="007721BF"/>
    <w:rsid w:val="007727CA"/>
    <w:rsid w:val="0077280B"/>
    <w:rsid w:val="00773617"/>
    <w:rsid w:val="00773BFD"/>
    <w:rsid w:val="007743B3"/>
    <w:rsid w:val="00774490"/>
    <w:rsid w:val="0077581E"/>
    <w:rsid w:val="00780D8B"/>
    <w:rsid w:val="007819FF"/>
    <w:rsid w:val="0078360C"/>
    <w:rsid w:val="0078485F"/>
    <w:rsid w:val="00784A4C"/>
    <w:rsid w:val="00784BC6"/>
    <w:rsid w:val="0078523D"/>
    <w:rsid w:val="00790D45"/>
    <w:rsid w:val="007917F2"/>
    <w:rsid w:val="007931DF"/>
    <w:rsid w:val="007A0172"/>
    <w:rsid w:val="007A1747"/>
    <w:rsid w:val="007A1804"/>
    <w:rsid w:val="007A215A"/>
    <w:rsid w:val="007A2511"/>
    <w:rsid w:val="007A260E"/>
    <w:rsid w:val="007A2E3D"/>
    <w:rsid w:val="007A4CF1"/>
    <w:rsid w:val="007A4D4C"/>
    <w:rsid w:val="007A4DD6"/>
    <w:rsid w:val="007A4EB3"/>
    <w:rsid w:val="007A51E3"/>
    <w:rsid w:val="007A5CB9"/>
    <w:rsid w:val="007A6B03"/>
    <w:rsid w:val="007B15CE"/>
    <w:rsid w:val="007B20AE"/>
    <w:rsid w:val="007B6B07"/>
    <w:rsid w:val="007B6D43"/>
    <w:rsid w:val="007B749A"/>
    <w:rsid w:val="007B7C6E"/>
    <w:rsid w:val="007B7DE2"/>
    <w:rsid w:val="007C1B3A"/>
    <w:rsid w:val="007C2055"/>
    <w:rsid w:val="007C3E7D"/>
    <w:rsid w:val="007C4C20"/>
    <w:rsid w:val="007C58E8"/>
    <w:rsid w:val="007C6FB9"/>
    <w:rsid w:val="007C73BF"/>
    <w:rsid w:val="007D20B4"/>
    <w:rsid w:val="007D44D7"/>
    <w:rsid w:val="007D621A"/>
    <w:rsid w:val="007E058A"/>
    <w:rsid w:val="007E2887"/>
    <w:rsid w:val="007E3486"/>
    <w:rsid w:val="007E3D94"/>
    <w:rsid w:val="007E5278"/>
    <w:rsid w:val="007E749C"/>
    <w:rsid w:val="007F1B5C"/>
    <w:rsid w:val="007F3C23"/>
    <w:rsid w:val="007F56E2"/>
    <w:rsid w:val="007F64E7"/>
    <w:rsid w:val="007F77C5"/>
    <w:rsid w:val="00800A33"/>
    <w:rsid w:val="00801257"/>
    <w:rsid w:val="008026A5"/>
    <w:rsid w:val="00803B0A"/>
    <w:rsid w:val="00803C3D"/>
    <w:rsid w:val="00804DED"/>
    <w:rsid w:val="00805B96"/>
    <w:rsid w:val="00807CF6"/>
    <w:rsid w:val="00810265"/>
    <w:rsid w:val="008105BE"/>
    <w:rsid w:val="008115A5"/>
    <w:rsid w:val="00811CF8"/>
    <w:rsid w:val="00811D46"/>
    <w:rsid w:val="00813AE5"/>
    <w:rsid w:val="0081415D"/>
    <w:rsid w:val="00815A6C"/>
    <w:rsid w:val="00816987"/>
    <w:rsid w:val="008173B3"/>
    <w:rsid w:val="00820229"/>
    <w:rsid w:val="008216AA"/>
    <w:rsid w:val="008216FA"/>
    <w:rsid w:val="00822448"/>
    <w:rsid w:val="00822928"/>
    <w:rsid w:val="00822ABE"/>
    <w:rsid w:val="008244D1"/>
    <w:rsid w:val="00825D3F"/>
    <w:rsid w:val="00827F51"/>
    <w:rsid w:val="0083104E"/>
    <w:rsid w:val="008343BE"/>
    <w:rsid w:val="00835131"/>
    <w:rsid w:val="008355CD"/>
    <w:rsid w:val="00836535"/>
    <w:rsid w:val="00837A42"/>
    <w:rsid w:val="008400D8"/>
    <w:rsid w:val="00840FB4"/>
    <w:rsid w:val="008410B2"/>
    <w:rsid w:val="00841287"/>
    <w:rsid w:val="00841780"/>
    <w:rsid w:val="0084189E"/>
    <w:rsid w:val="008421B2"/>
    <w:rsid w:val="0084266D"/>
    <w:rsid w:val="008432F7"/>
    <w:rsid w:val="008465BC"/>
    <w:rsid w:val="0084688D"/>
    <w:rsid w:val="008477CE"/>
    <w:rsid w:val="008500A0"/>
    <w:rsid w:val="008524E5"/>
    <w:rsid w:val="0085351C"/>
    <w:rsid w:val="0085435A"/>
    <w:rsid w:val="008549CA"/>
    <w:rsid w:val="008556C3"/>
    <w:rsid w:val="0085687C"/>
    <w:rsid w:val="00861150"/>
    <w:rsid w:val="008611C1"/>
    <w:rsid w:val="008624DD"/>
    <w:rsid w:val="008706C5"/>
    <w:rsid w:val="00873707"/>
    <w:rsid w:val="00874523"/>
    <w:rsid w:val="00874B20"/>
    <w:rsid w:val="008757C6"/>
    <w:rsid w:val="00875A77"/>
    <w:rsid w:val="008763E1"/>
    <w:rsid w:val="0087775C"/>
    <w:rsid w:val="00877EC8"/>
    <w:rsid w:val="00880F36"/>
    <w:rsid w:val="0088236D"/>
    <w:rsid w:val="00885530"/>
    <w:rsid w:val="00890F89"/>
    <w:rsid w:val="008910D1"/>
    <w:rsid w:val="0089296C"/>
    <w:rsid w:val="00892AE0"/>
    <w:rsid w:val="00895162"/>
    <w:rsid w:val="00896ABD"/>
    <w:rsid w:val="00897AB6"/>
    <w:rsid w:val="00897DA8"/>
    <w:rsid w:val="008A110B"/>
    <w:rsid w:val="008A11AE"/>
    <w:rsid w:val="008A3380"/>
    <w:rsid w:val="008A388B"/>
    <w:rsid w:val="008A7A9C"/>
    <w:rsid w:val="008B0F45"/>
    <w:rsid w:val="008B5218"/>
    <w:rsid w:val="008B7102"/>
    <w:rsid w:val="008B71E7"/>
    <w:rsid w:val="008C26CC"/>
    <w:rsid w:val="008C3B7D"/>
    <w:rsid w:val="008C6533"/>
    <w:rsid w:val="008C66DA"/>
    <w:rsid w:val="008D0F90"/>
    <w:rsid w:val="008D3715"/>
    <w:rsid w:val="008D5465"/>
    <w:rsid w:val="008D5E61"/>
    <w:rsid w:val="008D68F3"/>
    <w:rsid w:val="008D7EB7"/>
    <w:rsid w:val="008D7EC5"/>
    <w:rsid w:val="008E3684"/>
    <w:rsid w:val="008E3C23"/>
    <w:rsid w:val="008E4055"/>
    <w:rsid w:val="008E41BD"/>
    <w:rsid w:val="008E4F90"/>
    <w:rsid w:val="008E57F5"/>
    <w:rsid w:val="008E593A"/>
    <w:rsid w:val="008E5A63"/>
    <w:rsid w:val="008E6F2D"/>
    <w:rsid w:val="008E7606"/>
    <w:rsid w:val="008F1DAA"/>
    <w:rsid w:val="008F3EBD"/>
    <w:rsid w:val="008F6044"/>
    <w:rsid w:val="008F60B2"/>
    <w:rsid w:val="008F7C41"/>
    <w:rsid w:val="00900783"/>
    <w:rsid w:val="009031E2"/>
    <w:rsid w:val="00904725"/>
    <w:rsid w:val="009071F7"/>
    <w:rsid w:val="0091276C"/>
    <w:rsid w:val="00912EDF"/>
    <w:rsid w:val="009132E1"/>
    <w:rsid w:val="009145BE"/>
    <w:rsid w:val="00914678"/>
    <w:rsid w:val="00914AEF"/>
    <w:rsid w:val="009165AC"/>
    <w:rsid w:val="00916FFC"/>
    <w:rsid w:val="0092053F"/>
    <w:rsid w:val="0092340A"/>
    <w:rsid w:val="00923DF9"/>
    <w:rsid w:val="00930C80"/>
    <w:rsid w:val="009313D9"/>
    <w:rsid w:val="00932061"/>
    <w:rsid w:val="009326DF"/>
    <w:rsid w:val="00932EC1"/>
    <w:rsid w:val="00934F69"/>
    <w:rsid w:val="00935B7F"/>
    <w:rsid w:val="009369DB"/>
    <w:rsid w:val="00941293"/>
    <w:rsid w:val="00942AB2"/>
    <w:rsid w:val="00944725"/>
    <w:rsid w:val="00944AAA"/>
    <w:rsid w:val="00946372"/>
    <w:rsid w:val="00946CAD"/>
    <w:rsid w:val="0095032B"/>
    <w:rsid w:val="00950B13"/>
    <w:rsid w:val="00950C17"/>
    <w:rsid w:val="00951FAF"/>
    <w:rsid w:val="00954740"/>
    <w:rsid w:val="009557BC"/>
    <w:rsid w:val="00955AE5"/>
    <w:rsid w:val="00960A49"/>
    <w:rsid w:val="00962E71"/>
    <w:rsid w:val="00963736"/>
    <w:rsid w:val="00963ABC"/>
    <w:rsid w:val="00965BC8"/>
    <w:rsid w:val="00965C6B"/>
    <w:rsid w:val="00965D21"/>
    <w:rsid w:val="00967764"/>
    <w:rsid w:val="00970B0E"/>
    <w:rsid w:val="00970BB9"/>
    <w:rsid w:val="0097112D"/>
    <w:rsid w:val="009726EE"/>
    <w:rsid w:val="00972CDE"/>
    <w:rsid w:val="009733DD"/>
    <w:rsid w:val="0097482B"/>
    <w:rsid w:val="00975573"/>
    <w:rsid w:val="00976D03"/>
    <w:rsid w:val="00977B30"/>
    <w:rsid w:val="00977DF5"/>
    <w:rsid w:val="009802C9"/>
    <w:rsid w:val="00982F41"/>
    <w:rsid w:val="00985090"/>
    <w:rsid w:val="00987431"/>
    <w:rsid w:val="00987710"/>
    <w:rsid w:val="009904AB"/>
    <w:rsid w:val="00992604"/>
    <w:rsid w:val="00992822"/>
    <w:rsid w:val="00992C00"/>
    <w:rsid w:val="00992E52"/>
    <w:rsid w:val="00992F54"/>
    <w:rsid w:val="00994EBB"/>
    <w:rsid w:val="00995688"/>
    <w:rsid w:val="009958A6"/>
    <w:rsid w:val="00995F54"/>
    <w:rsid w:val="00996456"/>
    <w:rsid w:val="009A04F5"/>
    <w:rsid w:val="009A15EF"/>
    <w:rsid w:val="009A38A5"/>
    <w:rsid w:val="009A4C3D"/>
    <w:rsid w:val="009A5B73"/>
    <w:rsid w:val="009B015A"/>
    <w:rsid w:val="009B118B"/>
    <w:rsid w:val="009B142D"/>
    <w:rsid w:val="009B1737"/>
    <w:rsid w:val="009B17C7"/>
    <w:rsid w:val="009B2554"/>
    <w:rsid w:val="009B3D4B"/>
    <w:rsid w:val="009B4E63"/>
    <w:rsid w:val="009B5B99"/>
    <w:rsid w:val="009B5C29"/>
    <w:rsid w:val="009B6EFC"/>
    <w:rsid w:val="009C05C6"/>
    <w:rsid w:val="009C1804"/>
    <w:rsid w:val="009C1FD0"/>
    <w:rsid w:val="009C28A2"/>
    <w:rsid w:val="009C2DF8"/>
    <w:rsid w:val="009C31BF"/>
    <w:rsid w:val="009C4957"/>
    <w:rsid w:val="009C68B7"/>
    <w:rsid w:val="009D0834"/>
    <w:rsid w:val="009D095A"/>
    <w:rsid w:val="009D0A1E"/>
    <w:rsid w:val="009D2A88"/>
    <w:rsid w:val="009D2AE3"/>
    <w:rsid w:val="009D2D79"/>
    <w:rsid w:val="009D52BC"/>
    <w:rsid w:val="009D5FE8"/>
    <w:rsid w:val="009D6A74"/>
    <w:rsid w:val="009D7084"/>
    <w:rsid w:val="009D7D0A"/>
    <w:rsid w:val="009E09D9"/>
    <w:rsid w:val="009E185C"/>
    <w:rsid w:val="009F005F"/>
    <w:rsid w:val="009F01B1"/>
    <w:rsid w:val="009F0DBB"/>
    <w:rsid w:val="009F19E8"/>
    <w:rsid w:val="009F3887"/>
    <w:rsid w:val="009F40DC"/>
    <w:rsid w:val="009F659A"/>
    <w:rsid w:val="009F732B"/>
    <w:rsid w:val="00A00800"/>
    <w:rsid w:val="00A01FE0"/>
    <w:rsid w:val="00A06945"/>
    <w:rsid w:val="00A07409"/>
    <w:rsid w:val="00A07A68"/>
    <w:rsid w:val="00A105E2"/>
    <w:rsid w:val="00A10656"/>
    <w:rsid w:val="00A113C0"/>
    <w:rsid w:val="00A12FA6"/>
    <w:rsid w:val="00A1339B"/>
    <w:rsid w:val="00A14ABA"/>
    <w:rsid w:val="00A16A69"/>
    <w:rsid w:val="00A21FFF"/>
    <w:rsid w:val="00A2306B"/>
    <w:rsid w:val="00A234D3"/>
    <w:rsid w:val="00A23A75"/>
    <w:rsid w:val="00A24CB6"/>
    <w:rsid w:val="00A25865"/>
    <w:rsid w:val="00A25EB5"/>
    <w:rsid w:val="00A2617C"/>
    <w:rsid w:val="00A26CD2"/>
    <w:rsid w:val="00A27667"/>
    <w:rsid w:val="00A27692"/>
    <w:rsid w:val="00A27A80"/>
    <w:rsid w:val="00A318F1"/>
    <w:rsid w:val="00A32979"/>
    <w:rsid w:val="00A34A67"/>
    <w:rsid w:val="00A36009"/>
    <w:rsid w:val="00A37462"/>
    <w:rsid w:val="00A40C0F"/>
    <w:rsid w:val="00A41F09"/>
    <w:rsid w:val="00A437F1"/>
    <w:rsid w:val="00A43FBF"/>
    <w:rsid w:val="00A44D66"/>
    <w:rsid w:val="00A451D4"/>
    <w:rsid w:val="00A459E1"/>
    <w:rsid w:val="00A463D6"/>
    <w:rsid w:val="00A46AC4"/>
    <w:rsid w:val="00A478A5"/>
    <w:rsid w:val="00A50B81"/>
    <w:rsid w:val="00A52296"/>
    <w:rsid w:val="00A5436E"/>
    <w:rsid w:val="00A55661"/>
    <w:rsid w:val="00A56163"/>
    <w:rsid w:val="00A5674B"/>
    <w:rsid w:val="00A60D9B"/>
    <w:rsid w:val="00A61B70"/>
    <w:rsid w:val="00A61FA8"/>
    <w:rsid w:val="00A637F4"/>
    <w:rsid w:val="00A64DF2"/>
    <w:rsid w:val="00A65485"/>
    <w:rsid w:val="00A66B10"/>
    <w:rsid w:val="00A66E05"/>
    <w:rsid w:val="00A674A4"/>
    <w:rsid w:val="00A67655"/>
    <w:rsid w:val="00A70753"/>
    <w:rsid w:val="00A712D2"/>
    <w:rsid w:val="00A754ED"/>
    <w:rsid w:val="00A75A42"/>
    <w:rsid w:val="00A82C8A"/>
    <w:rsid w:val="00A8346B"/>
    <w:rsid w:val="00A84106"/>
    <w:rsid w:val="00A852FF"/>
    <w:rsid w:val="00A87337"/>
    <w:rsid w:val="00A908CA"/>
    <w:rsid w:val="00A90C97"/>
    <w:rsid w:val="00A92025"/>
    <w:rsid w:val="00A92DDC"/>
    <w:rsid w:val="00A960C8"/>
    <w:rsid w:val="00A96604"/>
    <w:rsid w:val="00A96C66"/>
    <w:rsid w:val="00A97F20"/>
    <w:rsid w:val="00AA03DF"/>
    <w:rsid w:val="00AA1B4F"/>
    <w:rsid w:val="00AA21D8"/>
    <w:rsid w:val="00AA271A"/>
    <w:rsid w:val="00AA2BE8"/>
    <w:rsid w:val="00AA3270"/>
    <w:rsid w:val="00AA375A"/>
    <w:rsid w:val="00AA37F2"/>
    <w:rsid w:val="00AA44E0"/>
    <w:rsid w:val="00AA54F3"/>
    <w:rsid w:val="00AA6B43"/>
    <w:rsid w:val="00AA720D"/>
    <w:rsid w:val="00AA725E"/>
    <w:rsid w:val="00AA74CC"/>
    <w:rsid w:val="00AA7B1F"/>
    <w:rsid w:val="00AB2486"/>
    <w:rsid w:val="00AB2686"/>
    <w:rsid w:val="00AB3145"/>
    <w:rsid w:val="00AB367A"/>
    <w:rsid w:val="00AB7BF8"/>
    <w:rsid w:val="00AC01D1"/>
    <w:rsid w:val="00AC0AB2"/>
    <w:rsid w:val="00AC0E9F"/>
    <w:rsid w:val="00AC371C"/>
    <w:rsid w:val="00AC52A5"/>
    <w:rsid w:val="00AC6EFD"/>
    <w:rsid w:val="00AC7151"/>
    <w:rsid w:val="00AD3749"/>
    <w:rsid w:val="00AD460A"/>
    <w:rsid w:val="00AD6A05"/>
    <w:rsid w:val="00AD7DB8"/>
    <w:rsid w:val="00AE118B"/>
    <w:rsid w:val="00AE272B"/>
    <w:rsid w:val="00AE3922"/>
    <w:rsid w:val="00AE3D5F"/>
    <w:rsid w:val="00AE3E3A"/>
    <w:rsid w:val="00AE4137"/>
    <w:rsid w:val="00AE494B"/>
    <w:rsid w:val="00AE4AFC"/>
    <w:rsid w:val="00AE7408"/>
    <w:rsid w:val="00AE77B4"/>
    <w:rsid w:val="00AE7C1A"/>
    <w:rsid w:val="00AE7DF8"/>
    <w:rsid w:val="00AF0D9C"/>
    <w:rsid w:val="00AF13AB"/>
    <w:rsid w:val="00AF1D36"/>
    <w:rsid w:val="00AF280B"/>
    <w:rsid w:val="00AF3AB1"/>
    <w:rsid w:val="00AF5EE5"/>
    <w:rsid w:val="00AF5F75"/>
    <w:rsid w:val="00AF6001"/>
    <w:rsid w:val="00AF7E7F"/>
    <w:rsid w:val="00B01A16"/>
    <w:rsid w:val="00B07E11"/>
    <w:rsid w:val="00B07F45"/>
    <w:rsid w:val="00B1021A"/>
    <w:rsid w:val="00B10271"/>
    <w:rsid w:val="00B11781"/>
    <w:rsid w:val="00B140D9"/>
    <w:rsid w:val="00B1481A"/>
    <w:rsid w:val="00B15A1F"/>
    <w:rsid w:val="00B15FE9"/>
    <w:rsid w:val="00B166AE"/>
    <w:rsid w:val="00B2148A"/>
    <w:rsid w:val="00B21939"/>
    <w:rsid w:val="00B220C2"/>
    <w:rsid w:val="00B2276E"/>
    <w:rsid w:val="00B22C4A"/>
    <w:rsid w:val="00B24C09"/>
    <w:rsid w:val="00B2505B"/>
    <w:rsid w:val="00B25B32"/>
    <w:rsid w:val="00B2719E"/>
    <w:rsid w:val="00B27683"/>
    <w:rsid w:val="00B279A6"/>
    <w:rsid w:val="00B32616"/>
    <w:rsid w:val="00B32875"/>
    <w:rsid w:val="00B33160"/>
    <w:rsid w:val="00B33298"/>
    <w:rsid w:val="00B36AF0"/>
    <w:rsid w:val="00B36C42"/>
    <w:rsid w:val="00B37393"/>
    <w:rsid w:val="00B374C0"/>
    <w:rsid w:val="00B40F85"/>
    <w:rsid w:val="00B42EA7"/>
    <w:rsid w:val="00B43F40"/>
    <w:rsid w:val="00B51845"/>
    <w:rsid w:val="00B51923"/>
    <w:rsid w:val="00B51EA6"/>
    <w:rsid w:val="00B5317F"/>
    <w:rsid w:val="00B5337C"/>
    <w:rsid w:val="00B53FB5"/>
    <w:rsid w:val="00B53FDE"/>
    <w:rsid w:val="00B56397"/>
    <w:rsid w:val="00B571DA"/>
    <w:rsid w:val="00B6027B"/>
    <w:rsid w:val="00B61224"/>
    <w:rsid w:val="00B636C8"/>
    <w:rsid w:val="00B65EDB"/>
    <w:rsid w:val="00B66F95"/>
    <w:rsid w:val="00B67AFF"/>
    <w:rsid w:val="00B67C41"/>
    <w:rsid w:val="00B70B59"/>
    <w:rsid w:val="00B7257B"/>
    <w:rsid w:val="00B73657"/>
    <w:rsid w:val="00B739B3"/>
    <w:rsid w:val="00B75642"/>
    <w:rsid w:val="00B75798"/>
    <w:rsid w:val="00B81B15"/>
    <w:rsid w:val="00B8499B"/>
    <w:rsid w:val="00B87AB5"/>
    <w:rsid w:val="00B90F69"/>
    <w:rsid w:val="00B915AE"/>
    <w:rsid w:val="00B92B23"/>
    <w:rsid w:val="00B93ECA"/>
    <w:rsid w:val="00B94181"/>
    <w:rsid w:val="00B9636B"/>
    <w:rsid w:val="00B966DC"/>
    <w:rsid w:val="00BA09A2"/>
    <w:rsid w:val="00BA1735"/>
    <w:rsid w:val="00BA19FA"/>
    <w:rsid w:val="00BA3473"/>
    <w:rsid w:val="00BA3985"/>
    <w:rsid w:val="00BA4288"/>
    <w:rsid w:val="00BB0902"/>
    <w:rsid w:val="00BB1F9C"/>
    <w:rsid w:val="00BB438D"/>
    <w:rsid w:val="00BB48E5"/>
    <w:rsid w:val="00BB5607"/>
    <w:rsid w:val="00BB5ACA"/>
    <w:rsid w:val="00BB627F"/>
    <w:rsid w:val="00BC0C17"/>
    <w:rsid w:val="00BC1552"/>
    <w:rsid w:val="00BC1D72"/>
    <w:rsid w:val="00BC3823"/>
    <w:rsid w:val="00BC419F"/>
    <w:rsid w:val="00BC48A9"/>
    <w:rsid w:val="00BC4AF3"/>
    <w:rsid w:val="00BC53EB"/>
    <w:rsid w:val="00BC5841"/>
    <w:rsid w:val="00BC5CCA"/>
    <w:rsid w:val="00BC5E38"/>
    <w:rsid w:val="00BD201A"/>
    <w:rsid w:val="00BD2DC4"/>
    <w:rsid w:val="00BD2EF0"/>
    <w:rsid w:val="00BD3FE4"/>
    <w:rsid w:val="00BD49EB"/>
    <w:rsid w:val="00BD56F8"/>
    <w:rsid w:val="00BD5881"/>
    <w:rsid w:val="00BD60A0"/>
    <w:rsid w:val="00BD60B4"/>
    <w:rsid w:val="00BD632D"/>
    <w:rsid w:val="00BD796B"/>
    <w:rsid w:val="00BE0E0B"/>
    <w:rsid w:val="00BE40C0"/>
    <w:rsid w:val="00BE445C"/>
    <w:rsid w:val="00BE5112"/>
    <w:rsid w:val="00BE56AB"/>
    <w:rsid w:val="00BE5D60"/>
    <w:rsid w:val="00BE5F4A"/>
    <w:rsid w:val="00BE7AEF"/>
    <w:rsid w:val="00BF09B0"/>
    <w:rsid w:val="00BF1544"/>
    <w:rsid w:val="00BF1B53"/>
    <w:rsid w:val="00BF246D"/>
    <w:rsid w:val="00BF2682"/>
    <w:rsid w:val="00BF7306"/>
    <w:rsid w:val="00C0058E"/>
    <w:rsid w:val="00C02347"/>
    <w:rsid w:val="00C02915"/>
    <w:rsid w:val="00C06F06"/>
    <w:rsid w:val="00C11B11"/>
    <w:rsid w:val="00C12825"/>
    <w:rsid w:val="00C163CE"/>
    <w:rsid w:val="00C17BFF"/>
    <w:rsid w:val="00C17C9C"/>
    <w:rsid w:val="00C20FAD"/>
    <w:rsid w:val="00C2375F"/>
    <w:rsid w:val="00C247CB"/>
    <w:rsid w:val="00C260CF"/>
    <w:rsid w:val="00C32E66"/>
    <w:rsid w:val="00C3355F"/>
    <w:rsid w:val="00C33A04"/>
    <w:rsid w:val="00C33A19"/>
    <w:rsid w:val="00C3569A"/>
    <w:rsid w:val="00C430EF"/>
    <w:rsid w:val="00C43F48"/>
    <w:rsid w:val="00C448FF"/>
    <w:rsid w:val="00C45C37"/>
    <w:rsid w:val="00C45E57"/>
    <w:rsid w:val="00C50BAC"/>
    <w:rsid w:val="00C52F29"/>
    <w:rsid w:val="00C53247"/>
    <w:rsid w:val="00C54D16"/>
    <w:rsid w:val="00C56CE6"/>
    <w:rsid w:val="00C5745F"/>
    <w:rsid w:val="00C60005"/>
    <w:rsid w:val="00C60BFF"/>
    <w:rsid w:val="00C61A98"/>
    <w:rsid w:val="00C63201"/>
    <w:rsid w:val="00C6323A"/>
    <w:rsid w:val="00C64687"/>
    <w:rsid w:val="00C64E62"/>
    <w:rsid w:val="00C651D5"/>
    <w:rsid w:val="00C65CCC"/>
    <w:rsid w:val="00C65DA9"/>
    <w:rsid w:val="00C66026"/>
    <w:rsid w:val="00C70A80"/>
    <w:rsid w:val="00C72736"/>
    <w:rsid w:val="00C7618F"/>
    <w:rsid w:val="00C765A9"/>
    <w:rsid w:val="00C80DC9"/>
    <w:rsid w:val="00C81157"/>
    <w:rsid w:val="00C8125C"/>
    <w:rsid w:val="00C8162D"/>
    <w:rsid w:val="00C830BB"/>
    <w:rsid w:val="00C83A0B"/>
    <w:rsid w:val="00C842D0"/>
    <w:rsid w:val="00C8496F"/>
    <w:rsid w:val="00C84ED1"/>
    <w:rsid w:val="00C863CC"/>
    <w:rsid w:val="00C86BCC"/>
    <w:rsid w:val="00C87920"/>
    <w:rsid w:val="00C90157"/>
    <w:rsid w:val="00C9026C"/>
    <w:rsid w:val="00C9038F"/>
    <w:rsid w:val="00C92AAB"/>
    <w:rsid w:val="00C93C76"/>
    <w:rsid w:val="00C95D4C"/>
    <w:rsid w:val="00C9637F"/>
    <w:rsid w:val="00C9708A"/>
    <w:rsid w:val="00C97717"/>
    <w:rsid w:val="00CA139D"/>
    <w:rsid w:val="00CA1500"/>
    <w:rsid w:val="00CA155F"/>
    <w:rsid w:val="00CA1BC4"/>
    <w:rsid w:val="00CA2435"/>
    <w:rsid w:val="00CA3EE6"/>
    <w:rsid w:val="00CA4068"/>
    <w:rsid w:val="00CA59BF"/>
    <w:rsid w:val="00CA67F4"/>
    <w:rsid w:val="00CB15B3"/>
    <w:rsid w:val="00CB37F8"/>
    <w:rsid w:val="00CB4307"/>
    <w:rsid w:val="00CB6B9B"/>
    <w:rsid w:val="00CB7DC3"/>
    <w:rsid w:val="00CC0667"/>
    <w:rsid w:val="00CC0A45"/>
    <w:rsid w:val="00CC4FA8"/>
    <w:rsid w:val="00CC5BE1"/>
    <w:rsid w:val="00CC74D3"/>
    <w:rsid w:val="00CC75A2"/>
    <w:rsid w:val="00CC7A18"/>
    <w:rsid w:val="00CD0E2F"/>
    <w:rsid w:val="00CD1D49"/>
    <w:rsid w:val="00CD2D2C"/>
    <w:rsid w:val="00CD2F20"/>
    <w:rsid w:val="00CD6B20"/>
    <w:rsid w:val="00CD7A2A"/>
    <w:rsid w:val="00CD7BC8"/>
    <w:rsid w:val="00CE0341"/>
    <w:rsid w:val="00CE1339"/>
    <w:rsid w:val="00CE61CC"/>
    <w:rsid w:val="00CE6AC5"/>
    <w:rsid w:val="00CE6E42"/>
    <w:rsid w:val="00CF08A2"/>
    <w:rsid w:val="00CF20B7"/>
    <w:rsid w:val="00CF283B"/>
    <w:rsid w:val="00CF29F7"/>
    <w:rsid w:val="00CF5B74"/>
    <w:rsid w:val="00CF64D0"/>
    <w:rsid w:val="00CF6692"/>
    <w:rsid w:val="00CF7441"/>
    <w:rsid w:val="00D00D16"/>
    <w:rsid w:val="00D03C6C"/>
    <w:rsid w:val="00D04760"/>
    <w:rsid w:val="00D04A42"/>
    <w:rsid w:val="00D04A95"/>
    <w:rsid w:val="00D06288"/>
    <w:rsid w:val="00D068C7"/>
    <w:rsid w:val="00D11DE1"/>
    <w:rsid w:val="00D128A4"/>
    <w:rsid w:val="00D1351B"/>
    <w:rsid w:val="00D147C8"/>
    <w:rsid w:val="00D15131"/>
    <w:rsid w:val="00D16CBE"/>
    <w:rsid w:val="00D16CCD"/>
    <w:rsid w:val="00D16FA2"/>
    <w:rsid w:val="00D20954"/>
    <w:rsid w:val="00D20C8C"/>
    <w:rsid w:val="00D21C39"/>
    <w:rsid w:val="00D21FC6"/>
    <w:rsid w:val="00D2243A"/>
    <w:rsid w:val="00D22C80"/>
    <w:rsid w:val="00D23D82"/>
    <w:rsid w:val="00D24DE0"/>
    <w:rsid w:val="00D26A88"/>
    <w:rsid w:val="00D27814"/>
    <w:rsid w:val="00D33393"/>
    <w:rsid w:val="00D33D36"/>
    <w:rsid w:val="00D34D94"/>
    <w:rsid w:val="00D409E2"/>
    <w:rsid w:val="00D427D7"/>
    <w:rsid w:val="00D44E62"/>
    <w:rsid w:val="00D46AE3"/>
    <w:rsid w:val="00D50AA0"/>
    <w:rsid w:val="00D51570"/>
    <w:rsid w:val="00D518D4"/>
    <w:rsid w:val="00D556AD"/>
    <w:rsid w:val="00D579F5"/>
    <w:rsid w:val="00D60381"/>
    <w:rsid w:val="00D605C3"/>
    <w:rsid w:val="00D616DE"/>
    <w:rsid w:val="00D62201"/>
    <w:rsid w:val="00D62215"/>
    <w:rsid w:val="00D651D1"/>
    <w:rsid w:val="00D717BB"/>
    <w:rsid w:val="00D7209A"/>
    <w:rsid w:val="00D7226B"/>
    <w:rsid w:val="00D72707"/>
    <w:rsid w:val="00D730F8"/>
    <w:rsid w:val="00D7348D"/>
    <w:rsid w:val="00D7354B"/>
    <w:rsid w:val="00D7434A"/>
    <w:rsid w:val="00D755CA"/>
    <w:rsid w:val="00D75A9C"/>
    <w:rsid w:val="00D75CB4"/>
    <w:rsid w:val="00D77435"/>
    <w:rsid w:val="00D80F47"/>
    <w:rsid w:val="00D82413"/>
    <w:rsid w:val="00D829C8"/>
    <w:rsid w:val="00D843AA"/>
    <w:rsid w:val="00D86BEF"/>
    <w:rsid w:val="00D87917"/>
    <w:rsid w:val="00D90871"/>
    <w:rsid w:val="00D9155F"/>
    <w:rsid w:val="00D92D91"/>
    <w:rsid w:val="00D9403F"/>
    <w:rsid w:val="00D959B4"/>
    <w:rsid w:val="00D97DDF"/>
    <w:rsid w:val="00D97ED9"/>
    <w:rsid w:val="00DA343C"/>
    <w:rsid w:val="00DA44DE"/>
    <w:rsid w:val="00DA592C"/>
    <w:rsid w:val="00DA750B"/>
    <w:rsid w:val="00DB1245"/>
    <w:rsid w:val="00DB1D25"/>
    <w:rsid w:val="00DB2832"/>
    <w:rsid w:val="00DB2B18"/>
    <w:rsid w:val="00DB387F"/>
    <w:rsid w:val="00DB3983"/>
    <w:rsid w:val="00DB41F2"/>
    <w:rsid w:val="00DB456E"/>
    <w:rsid w:val="00DB4977"/>
    <w:rsid w:val="00DB6035"/>
    <w:rsid w:val="00DB620A"/>
    <w:rsid w:val="00DC2C8A"/>
    <w:rsid w:val="00DC2FED"/>
    <w:rsid w:val="00DC3832"/>
    <w:rsid w:val="00DC3CDC"/>
    <w:rsid w:val="00DC6629"/>
    <w:rsid w:val="00DC7A51"/>
    <w:rsid w:val="00DD05F9"/>
    <w:rsid w:val="00DD10A3"/>
    <w:rsid w:val="00DD3B1E"/>
    <w:rsid w:val="00DD4EEE"/>
    <w:rsid w:val="00DE06B2"/>
    <w:rsid w:val="00DE44B4"/>
    <w:rsid w:val="00DE44B9"/>
    <w:rsid w:val="00DE5B5F"/>
    <w:rsid w:val="00DE5EE5"/>
    <w:rsid w:val="00DE664D"/>
    <w:rsid w:val="00DE7CE1"/>
    <w:rsid w:val="00DE7F81"/>
    <w:rsid w:val="00DF06B4"/>
    <w:rsid w:val="00DF3C7F"/>
    <w:rsid w:val="00DF614E"/>
    <w:rsid w:val="00DF6E1D"/>
    <w:rsid w:val="00DF74E4"/>
    <w:rsid w:val="00E00696"/>
    <w:rsid w:val="00E032D2"/>
    <w:rsid w:val="00E033EE"/>
    <w:rsid w:val="00E03651"/>
    <w:rsid w:val="00E03808"/>
    <w:rsid w:val="00E04309"/>
    <w:rsid w:val="00E05E34"/>
    <w:rsid w:val="00E060C2"/>
    <w:rsid w:val="00E06324"/>
    <w:rsid w:val="00E07B81"/>
    <w:rsid w:val="00E10AFD"/>
    <w:rsid w:val="00E11021"/>
    <w:rsid w:val="00E12B11"/>
    <w:rsid w:val="00E12FB0"/>
    <w:rsid w:val="00E130B0"/>
    <w:rsid w:val="00E14814"/>
    <w:rsid w:val="00E14DF2"/>
    <w:rsid w:val="00E1591B"/>
    <w:rsid w:val="00E16941"/>
    <w:rsid w:val="00E16A50"/>
    <w:rsid w:val="00E222E9"/>
    <w:rsid w:val="00E23ECF"/>
    <w:rsid w:val="00E23FC4"/>
    <w:rsid w:val="00E249D5"/>
    <w:rsid w:val="00E25017"/>
    <w:rsid w:val="00E25AFD"/>
    <w:rsid w:val="00E267DB"/>
    <w:rsid w:val="00E26BB1"/>
    <w:rsid w:val="00E26F73"/>
    <w:rsid w:val="00E30005"/>
    <w:rsid w:val="00E30A34"/>
    <w:rsid w:val="00E30FFD"/>
    <w:rsid w:val="00E328BD"/>
    <w:rsid w:val="00E33C68"/>
    <w:rsid w:val="00E341DA"/>
    <w:rsid w:val="00E34EEB"/>
    <w:rsid w:val="00E3687C"/>
    <w:rsid w:val="00E40984"/>
    <w:rsid w:val="00E42FF2"/>
    <w:rsid w:val="00E44EB9"/>
    <w:rsid w:val="00E45BDC"/>
    <w:rsid w:val="00E460B7"/>
    <w:rsid w:val="00E46358"/>
    <w:rsid w:val="00E471DC"/>
    <w:rsid w:val="00E50EB4"/>
    <w:rsid w:val="00E5239B"/>
    <w:rsid w:val="00E532FC"/>
    <w:rsid w:val="00E551B5"/>
    <w:rsid w:val="00E55304"/>
    <w:rsid w:val="00E559B4"/>
    <w:rsid w:val="00E55BB0"/>
    <w:rsid w:val="00E5670B"/>
    <w:rsid w:val="00E57B04"/>
    <w:rsid w:val="00E57DB9"/>
    <w:rsid w:val="00E609E5"/>
    <w:rsid w:val="00E60F27"/>
    <w:rsid w:val="00E612D7"/>
    <w:rsid w:val="00E62186"/>
    <w:rsid w:val="00E64D93"/>
    <w:rsid w:val="00E65EDB"/>
    <w:rsid w:val="00E66927"/>
    <w:rsid w:val="00E66D89"/>
    <w:rsid w:val="00E677B8"/>
    <w:rsid w:val="00E67E9E"/>
    <w:rsid w:val="00E67FA1"/>
    <w:rsid w:val="00E7115E"/>
    <w:rsid w:val="00E718E5"/>
    <w:rsid w:val="00E71C4F"/>
    <w:rsid w:val="00E71FE8"/>
    <w:rsid w:val="00E72A2B"/>
    <w:rsid w:val="00E72A6A"/>
    <w:rsid w:val="00E7387D"/>
    <w:rsid w:val="00E739C1"/>
    <w:rsid w:val="00E73D53"/>
    <w:rsid w:val="00E75111"/>
    <w:rsid w:val="00E75682"/>
    <w:rsid w:val="00E75AF1"/>
    <w:rsid w:val="00E7620D"/>
    <w:rsid w:val="00E77296"/>
    <w:rsid w:val="00E77305"/>
    <w:rsid w:val="00E8245D"/>
    <w:rsid w:val="00E87527"/>
    <w:rsid w:val="00E87EF7"/>
    <w:rsid w:val="00E93334"/>
    <w:rsid w:val="00E93702"/>
    <w:rsid w:val="00E93763"/>
    <w:rsid w:val="00E94EC5"/>
    <w:rsid w:val="00E9512A"/>
    <w:rsid w:val="00E953F8"/>
    <w:rsid w:val="00E9697F"/>
    <w:rsid w:val="00E96C4C"/>
    <w:rsid w:val="00EA081C"/>
    <w:rsid w:val="00EA1297"/>
    <w:rsid w:val="00EA1346"/>
    <w:rsid w:val="00EA1B43"/>
    <w:rsid w:val="00EA2AAE"/>
    <w:rsid w:val="00EA2CF5"/>
    <w:rsid w:val="00EA2EC0"/>
    <w:rsid w:val="00EA33A6"/>
    <w:rsid w:val="00EA427A"/>
    <w:rsid w:val="00EA4469"/>
    <w:rsid w:val="00EA5A3C"/>
    <w:rsid w:val="00EA67B0"/>
    <w:rsid w:val="00EA6BF3"/>
    <w:rsid w:val="00EA723B"/>
    <w:rsid w:val="00EB3004"/>
    <w:rsid w:val="00EB3198"/>
    <w:rsid w:val="00EB3951"/>
    <w:rsid w:val="00EB5214"/>
    <w:rsid w:val="00EB6350"/>
    <w:rsid w:val="00EB687A"/>
    <w:rsid w:val="00EC1049"/>
    <w:rsid w:val="00EC2F62"/>
    <w:rsid w:val="00EC4C94"/>
    <w:rsid w:val="00EC51DB"/>
    <w:rsid w:val="00EC62EB"/>
    <w:rsid w:val="00EC6E9F"/>
    <w:rsid w:val="00EC7797"/>
    <w:rsid w:val="00EC7DD7"/>
    <w:rsid w:val="00ED0538"/>
    <w:rsid w:val="00ED0D50"/>
    <w:rsid w:val="00ED44F0"/>
    <w:rsid w:val="00ED4B33"/>
    <w:rsid w:val="00ED5993"/>
    <w:rsid w:val="00ED67E3"/>
    <w:rsid w:val="00ED7BD1"/>
    <w:rsid w:val="00ED7DD6"/>
    <w:rsid w:val="00EE060B"/>
    <w:rsid w:val="00EE15A1"/>
    <w:rsid w:val="00EE2A7C"/>
    <w:rsid w:val="00EE2C42"/>
    <w:rsid w:val="00EE341B"/>
    <w:rsid w:val="00EE360A"/>
    <w:rsid w:val="00EE4453"/>
    <w:rsid w:val="00EE5FCE"/>
    <w:rsid w:val="00EE6BBD"/>
    <w:rsid w:val="00EE6E1E"/>
    <w:rsid w:val="00EE705F"/>
    <w:rsid w:val="00EF1462"/>
    <w:rsid w:val="00EF33D0"/>
    <w:rsid w:val="00EF3C87"/>
    <w:rsid w:val="00EF54FD"/>
    <w:rsid w:val="00EF6D3D"/>
    <w:rsid w:val="00EF77C7"/>
    <w:rsid w:val="00F0205D"/>
    <w:rsid w:val="00F03ADE"/>
    <w:rsid w:val="00F03C23"/>
    <w:rsid w:val="00F060B2"/>
    <w:rsid w:val="00F07F0D"/>
    <w:rsid w:val="00F11E2E"/>
    <w:rsid w:val="00F13112"/>
    <w:rsid w:val="00F14A48"/>
    <w:rsid w:val="00F153E5"/>
    <w:rsid w:val="00F16FE6"/>
    <w:rsid w:val="00F21A0B"/>
    <w:rsid w:val="00F238BD"/>
    <w:rsid w:val="00F24992"/>
    <w:rsid w:val="00F25414"/>
    <w:rsid w:val="00F25C86"/>
    <w:rsid w:val="00F2707A"/>
    <w:rsid w:val="00F32F2F"/>
    <w:rsid w:val="00F33F3F"/>
    <w:rsid w:val="00F34366"/>
    <w:rsid w:val="00F35BDD"/>
    <w:rsid w:val="00F35EF0"/>
    <w:rsid w:val="00F3781F"/>
    <w:rsid w:val="00F403FD"/>
    <w:rsid w:val="00F40860"/>
    <w:rsid w:val="00F41E72"/>
    <w:rsid w:val="00F44550"/>
    <w:rsid w:val="00F45BDF"/>
    <w:rsid w:val="00F50300"/>
    <w:rsid w:val="00F51B9C"/>
    <w:rsid w:val="00F5268D"/>
    <w:rsid w:val="00F52C34"/>
    <w:rsid w:val="00F5414B"/>
    <w:rsid w:val="00F552F6"/>
    <w:rsid w:val="00F5601F"/>
    <w:rsid w:val="00F56997"/>
    <w:rsid w:val="00F56E39"/>
    <w:rsid w:val="00F623E9"/>
    <w:rsid w:val="00F6270F"/>
    <w:rsid w:val="00F634A5"/>
    <w:rsid w:val="00F63951"/>
    <w:rsid w:val="00F63C86"/>
    <w:rsid w:val="00F65F12"/>
    <w:rsid w:val="00F67521"/>
    <w:rsid w:val="00F725B4"/>
    <w:rsid w:val="00F75BEC"/>
    <w:rsid w:val="00F766BE"/>
    <w:rsid w:val="00F7740E"/>
    <w:rsid w:val="00F77EB9"/>
    <w:rsid w:val="00F80635"/>
    <w:rsid w:val="00F8115F"/>
    <w:rsid w:val="00F815D1"/>
    <w:rsid w:val="00F81A46"/>
    <w:rsid w:val="00F81E7E"/>
    <w:rsid w:val="00F81F0F"/>
    <w:rsid w:val="00F81F93"/>
    <w:rsid w:val="00F825F4"/>
    <w:rsid w:val="00F8281E"/>
    <w:rsid w:val="00F83556"/>
    <w:rsid w:val="00F838DF"/>
    <w:rsid w:val="00F85599"/>
    <w:rsid w:val="00F86A41"/>
    <w:rsid w:val="00F87061"/>
    <w:rsid w:val="00F92AA1"/>
    <w:rsid w:val="00F92BAF"/>
    <w:rsid w:val="00F932DE"/>
    <w:rsid w:val="00F96163"/>
    <w:rsid w:val="00F963DD"/>
    <w:rsid w:val="00F9641A"/>
    <w:rsid w:val="00F97004"/>
    <w:rsid w:val="00F9792C"/>
    <w:rsid w:val="00FA067D"/>
    <w:rsid w:val="00FA2045"/>
    <w:rsid w:val="00FA2263"/>
    <w:rsid w:val="00FA4395"/>
    <w:rsid w:val="00FA5CAB"/>
    <w:rsid w:val="00FA7A66"/>
    <w:rsid w:val="00FB0773"/>
    <w:rsid w:val="00FB1AA9"/>
    <w:rsid w:val="00FB3A89"/>
    <w:rsid w:val="00FB4B5A"/>
    <w:rsid w:val="00FB519D"/>
    <w:rsid w:val="00FB5963"/>
    <w:rsid w:val="00FB5DAA"/>
    <w:rsid w:val="00FB64E8"/>
    <w:rsid w:val="00FC04B9"/>
    <w:rsid w:val="00FC0C5A"/>
    <w:rsid w:val="00FC161A"/>
    <w:rsid w:val="00FC23D5"/>
    <w:rsid w:val="00FC4337"/>
    <w:rsid w:val="00FC4C1A"/>
    <w:rsid w:val="00FC628F"/>
    <w:rsid w:val="00FC6468"/>
    <w:rsid w:val="00FC6A8B"/>
    <w:rsid w:val="00FC6D49"/>
    <w:rsid w:val="00FD1CF7"/>
    <w:rsid w:val="00FD3E51"/>
    <w:rsid w:val="00FD42C7"/>
    <w:rsid w:val="00FD4922"/>
    <w:rsid w:val="00FD5741"/>
    <w:rsid w:val="00FD58AD"/>
    <w:rsid w:val="00FD5DC9"/>
    <w:rsid w:val="00FD6461"/>
    <w:rsid w:val="00FD6A25"/>
    <w:rsid w:val="00FD7D8B"/>
    <w:rsid w:val="00FE0281"/>
    <w:rsid w:val="00FE6E0F"/>
    <w:rsid w:val="00FE7083"/>
    <w:rsid w:val="00FF019F"/>
    <w:rsid w:val="00FF1B2A"/>
    <w:rsid w:val="00FF2160"/>
    <w:rsid w:val="00FF2E31"/>
    <w:rsid w:val="00FF30DE"/>
    <w:rsid w:val="00FF43DE"/>
    <w:rsid w:val="00FF48D1"/>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22C"/>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oPendente1">
    <w:name w:val="Menção Pendente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F82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DefaultParagraphFont"/>
    <w:uiPriority w:val="99"/>
    <w:semiHidden/>
    <w:unhideWhenUsed/>
    <w:rsid w:val="0078485F"/>
    <w:rPr>
      <w:color w:val="605E5C"/>
      <w:shd w:val="clear" w:color="auto" w:fill="E1DFDD"/>
    </w:rPr>
  </w:style>
  <w:style w:type="table" w:styleId="PlainTable1">
    <w:name w:val="Plain Table 1"/>
    <w:basedOn w:val="TableNormal"/>
    <w:uiPriority w:val="99"/>
    <w:rsid w:val="00570CA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733AE7"/>
    <w:pPr>
      <w:autoSpaceDE w:val="0"/>
      <w:autoSpaceDN w:val="0"/>
      <w:adjustRightInd w:val="0"/>
    </w:pPr>
    <w:rPr>
      <w:rFonts w:ascii="Merck Sans Serif Pro" w:hAnsi="Merck Sans Serif Pro" w:cs="Merck Sans Serif Pro"/>
      <w:color w:val="000000"/>
      <w:sz w:val="24"/>
      <w:szCs w:val="24"/>
    </w:rPr>
  </w:style>
  <w:style w:type="character" w:customStyle="1" w:styleId="MenoPendente3">
    <w:name w:val="Menção Pendente3"/>
    <w:basedOn w:val="DefaultParagraphFont"/>
    <w:uiPriority w:val="99"/>
    <w:semiHidden/>
    <w:unhideWhenUsed/>
    <w:rsid w:val="007C58E8"/>
    <w:rPr>
      <w:color w:val="605E5C"/>
      <w:shd w:val="clear" w:color="auto" w:fill="E1DFDD"/>
    </w:rPr>
  </w:style>
  <w:style w:type="paragraph" w:styleId="NoSpacing">
    <w:name w:val="No Spacing"/>
    <w:uiPriority w:val="1"/>
    <w:qFormat/>
    <w:rsid w:val="00646C34"/>
    <w:rPr>
      <w:rFonts w:asciiTheme="minorHAnsi" w:eastAsiaTheme="minorHAnsi" w:hAnsiTheme="minorHAnsi" w:cstheme="minorBidi"/>
      <w:sz w:val="22"/>
      <w:szCs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liaindolfo@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lia.dias@lnbio.cnpem.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urilo.carvalho@lnbio.cnpem.br" TargetMode="External"/><Relationship Id="rId4" Type="http://schemas.openxmlformats.org/officeDocument/2006/relationships/settings" Target="settings.xml"/><Relationship Id="rId9" Type="http://schemas.openxmlformats.org/officeDocument/2006/relationships/hyperlink" Target="mailto:silvana.rocco@lnbio.cnpem.b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BCE18-36DE-4A0E-8751-11459EC8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30742</Words>
  <Characters>175235</Characters>
  <Application>Microsoft Office Word</Application>
  <DocSecurity>0</DocSecurity>
  <Lines>1460</Lines>
  <Paragraphs>411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205566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2020-08-18T00:25:00Z</dcterms:created>
  <dcterms:modified xsi:type="dcterms:W3CDTF">2020-08-26T18:00:00Z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58bca230-8aff-3aa1-86ba-cf2844e0b49f</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http://www.zotero.org/styles/journal-of-visualized-experiments</vt:lpwstr>
  </property>
  <property fmtid="{D5CDD505-2E9C-101B-9397-08002B2CF9AE}" pid="17" name="Mendeley Recent Style Name 6_1">
    <vt:lpwstr>Journal of Visualized Experiments</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http://www.zotero.org/styles/journal-of-visualized-experiments</vt:lpwstr>
  </property>
</Properties>
</file>