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E2C" w:rsidRDefault="00686E2C" w:rsidP="00686E2C">
      <w:pPr>
        <w:spacing w:after="0" w:line="240" w:lineRule="auto"/>
        <w:rPr>
          <w:rStyle w:val="Strong"/>
        </w:rPr>
      </w:pPr>
      <w:r>
        <w:rPr>
          <w:rStyle w:val="Strong"/>
        </w:rPr>
        <w:t>Response to Review</w:t>
      </w:r>
    </w:p>
    <w:p w:rsidR="00686E2C" w:rsidRDefault="005A5A39" w:rsidP="00686E2C">
      <w:pPr>
        <w:spacing w:after="0" w:line="240" w:lineRule="auto"/>
      </w:pPr>
      <w:r>
        <w:rPr>
          <w:rStyle w:val="Strong"/>
        </w:rPr>
        <w:t>Editorial comments</w:t>
      </w:r>
      <w:proofErr w:type="gramStart"/>
      <w:r>
        <w:rPr>
          <w:rStyle w:val="Strong"/>
        </w:rPr>
        <w:t>:</w:t>
      </w:r>
      <w:proofErr w:type="gramEnd"/>
      <w:r>
        <w:br/>
        <w:t xml:space="preserve">1. Please take this opportunity to thoroughly proofread the manuscript to ensure that there are no spelling or grammar issues. The </w:t>
      </w:r>
      <w:proofErr w:type="spellStart"/>
      <w:r>
        <w:t>JoVE</w:t>
      </w:r>
      <w:proofErr w:type="spellEnd"/>
      <w:r>
        <w:t xml:space="preserve"> editor will not copy-edit your manuscript and any errors in the submitted revision may be present in the published version.</w:t>
      </w:r>
    </w:p>
    <w:p w:rsidR="00686E2C" w:rsidRDefault="00686E2C" w:rsidP="00686E2C">
      <w:pPr>
        <w:spacing w:after="0" w:line="240" w:lineRule="auto"/>
      </w:pPr>
      <w:r w:rsidRPr="00686E2C">
        <w:rPr>
          <w:color w:val="FF0000"/>
        </w:rPr>
        <w:t>- Manuscript has been proofread</w:t>
      </w:r>
      <w:r w:rsidR="005A5A39">
        <w:br/>
        <w:t>2. Authors and affiliations: Please provide an email address for each author.</w:t>
      </w:r>
    </w:p>
    <w:p w:rsidR="00686E2C" w:rsidRDefault="00686E2C" w:rsidP="00686E2C">
      <w:pPr>
        <w:spacing w:after="0" w:line="240" w:lineRule="auto"/>
      </w:pPr>
      <w:r w:rsidRPr="00686E2C">
        <w:rPr>
          <w:color w:val="FF0000"/>
        </w:rPr>
        <w:t>- Now provided on cover page</w:t>
      </w:r>
      <w:r w:rsidR="005A5A39">
        <w:br/>
        <w:t>3. Keywords: Please provide at least 6 keywords or phrases.</w:t>
      </w:r>
    </w:p>
    <w:p w:rsidR="00686E2C" w:rsidRDefault="00686E2C" w:rsidP="00686E2C">
      <w:pPr>
        <w:spacing w:after="0" w:line="240" w:lineRule="auto"/>
      </w:pPr>
      <w:r w:rsidRPr="00686E2C">
        <w:rPr>
          <w:color w:val="FF0000"/>
        </w:rPr>
        <w:t>- 6</w:t>
      </w:r>
      <w:r w:rsidRPr="00686E2C">
        <w:rPr>
          <w:color w:val="FF0000"/>
          <w:vertAlign w:val="superscript"/>
        </w:rPr>
        <w:t>th</w:t>
      </w:r>
      <w:r w:rsidRPr="00686E2C">
        <w:rPr>
          <w:color w:val="FF0000"/>
        </w:rPr>
        <w:t xml:space="preserve"> keyword added</w:t>
      </w:r>
      <w:r w:rsidR="005A5A39">
        <w:br/>
        <w:t>4. Please use SI abbreviations for all units: L, mL, µL, h, min, s, etc. Please use the micro symbol µ instead of u and abbreviate liters to L (L, mL, µL) to avoid confusion.</w:t>
      </w:r>
    </w:p>
    <w:p w:rsidR="00686E2C" w:rsidRDefault="00686E2C" w:rsidP="00686E2C">
      <w:pPr>
        <w:spacing w:after="0" w:line="240" w:lineRule="auto"/>
      </w:pPr>
      <w:r w:rsidRPr="00686E2C">
        <w:rPr>
          <w:color w:val="FF0000"/>
        </w:rPr>
        <w:t xml:space="preserve">- SI </w:t>
      </w:r>
      <w:proofErr w:type="gramStart"/>
      <w:r w:rsidRPr="00686E2C">
        <w:rPr>
          <w:color w:val="FF0000"/>
        </w:rPr>
        <w:t>abbreviations  edited</w:t>
      </w:r>
      <w:proofErr w:type="gramEnd"/>
      <w:r w:rsidR="005A5A39">
        <w:br/>
        <w:t>5. Please include a space between all numbers and the corresponding unit: 15 mL, 5 g, 7 cm, 37 °C, 60 s, 24 h, etc.</w:t>
      </w:r>
    </w:p>
    <w:p w:rsidR="00686E2C" w:rsidRDefault="00686E2C" w:rsidP="00686E2C">
      <w:pPr>
        <w:spacing w:after="0" w:line="240" w:lineRule="auto"/>
      </w:pPr>
      <w:r w:rsidRPr="00686E2C">
        <w:rPr>
          <w:color w:val="FF0000"/>
        </w:rPr>
        <w:t xml:space="preserve">- </w:t>
      </w:r>
      <w:proofErr w:type="gramStart"/>
      <w:r w:rsidRPr="00686E2C">
        <w:rPr>
          <w:color w:val="FF0000"/>
        </w:rPr>
        <w:t>units</w:t>
      </w:r>
      <w:proofErr w:type="gramEnd"/>
      <w:r w:rsidRPr="00686E2C">
        <w:rPr>
          <w:color w:val="FF0000"/>
        </w:rPr>
        <w:t xml:space="preserve"> edited</w:t>
      </w:r>
      <w:r w:rsidR="005A5A39">
        <w:br/>
        <w:t xml:space="preserve">6. Please adjust the numbering of the Protocol to follow the </w:t>
      </w:r>
      <w:proofErr w:type="spellStart"/>
      <w:r w:rsidR="005A5A39">
        <w:t>JoVE</w:t>
      </w:r>
      <w:proofErr w:type="spellEnd"/>
      <w:r w:rsidR="005A5A39">
        <w:t xml:space="preserve"> Instructions for Authors. Step 1 followed by 1.1, followed by 1.1.1, etc. Each step should include 1−2 actions and contain 2−3 sentences. Use subheadings and </w:t>
      </w:r>
      <w:proofErr w:type="spellStart"/>
      <w:r w:rsidR="005A5A39">
        <w:t>substeps</w:t>
      </w:r>
      <w:proofErr w:type="spellEnd"/>
      <w:r w:rsidR="005A5A39">
        <w:t xml:space="preserve"> for clarity if there are discrete stages in the protocol. Please refrain from using bullets, dashes, or indentations.</w:t>
      </w:r>
    </w:p>
    <w:p w:rsidR="00686E2C" w:rsidRDefault="00686E2C" w:rsidP="00686E2C">
      <w:pPr>
        <w:spacing w:after="0" w:line="240" w:lineRule="auto"/>
      </w:pPr>
      <w:r w:rsidRPr="00686E2C">
        <w:rPr>
          <w:color w:val="FF0000"/>
        </w:rPr>
        <w:t>- numbering edited and detail added</w:t>
      </w:r>
      <w:r w:rsidR="005A5A39" w:rsidRPr="00686E2C">
        <w:br/>
      </w:r>
      <w:r w:rsidR="005A5A39">
        <w:t>7. All methods that involve the use of human or vertebrate subjects and/or tissue sampling must include an ethics statement. Please provide an ethics statement at the beginning of the protocol section indicating that the protocol follows the guidelines of your institution.</w:t>
      </w:r>
    </w:p>
    <w:p w:rsidR="00686E2C" w:rsidRDefault="00686E2C" w:rsidP="00686E2C">
      <w:pPr>
        <w:spacing w:after="0" w:line="240" w:lineRule="auto"/>
      </w:pPr>
      <w:r w:rsidRPr="00686E2C">
        <w:rPr>
          <w:color w:val="FF0000"/>
        </w:rPr>
        <w:t xml:space="preserve">- </w:t>
      </w:r>
      <w:proofErr w:type="gramStart"/>
      <w:r w:rsidRPr="00686E2C">
        <w:rPr>
          <w:color w:val="FF0000"/>
        </w:rPr>
        <w:t>ethics</w:t>
      </w:r>
      <w:proofErr w:type="gramEnd"/>
      <w:r w:rsidRPr="00686E2C">
        <w:rPr>
          <w:color w:val="FF0000"/>
        </w:rPr>
        <w:t xml:space="preserve"> statement added</w:t>
      </w:r>
      <w:r w:rsidR="005A5A39">
        <w:br/>
        <w:t xml:space="preserve">8. </w:t>
      </w:r>
      <w:proofErr w:type="spellStart"/>
      <w:proofErr w:type="gramStart"/>
      <w:r w:rsidR="005A5A39">
        <w:t>JoVE</w:t>
      </w:r>
      <w:proofErr w:type="spellEnd"/>
      <w:proofErr w:type="gramEnd"/>
      <w:r w:rsidR="005A5A39">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You may use the generic term followed by “(Table of Materials)” to draw the readers’ attention to specific commercial names. Examples of commercial sounding language in your manuscript are: </w:t>
      </w:r>
      <w:proofErr w:type="spellStart"/>
      <w:r w:rsidR="005A5A39">
        <w:t>Kimwipe</w:t>
      </w:r>
      <w:proofErr w:type="spellEnd"/>
      <w:r w:rsidR="005A5A39">
        <w:t xml:space="preserve">, EZ-Link™, ThermoFisher, </w:t>
      </w:r>
      <w:proofErr w:type="spellStart"/>
      <w:r w:rsidR="005A5A39">
        <w:t>FluoSpheres</w:t>
      </w:r>
      <w:proofErr w:type="spellEnd"/>
      <w:r w:rsidR="005A5A39">
        <w:t>® NeutrAvidin®, LSR Fortessa, etc.</w:t>
      </w:r>
    </w:p>
    <w:p w:rsidR="00686E2C" w:rsidRDefault="00686E2C" w:rsidP="00686E2C">
      <w:pPr>
        <w:spacing w:after="0" w:line="240" w:lineRule="auto"/>
      </w:pPr>
      <w:r w:rsidRPr="00686E2C">
        <w:rPr>
          <w:color w:val="FF0000"/>
        </w:rPr>
        <w:t xml:space="preserve">- </w:t>
      </w:r>
      <w:proofErr w:type="gramStart"/>
      <w:r w:rsidRPr="00686E2C">
        <w:rPr>
          <w:color w:val="FF0000"/>
        </w:rPr>
        <w:t>commercial</w:t>
      </w:r>
      <w:proofErr w:type="gramEnd"/>
      <w:r w:rsidRPr="00686E2C">
        <w:rPr>
          <w:color w:val="FF0000"/>
        </w:rPr>
        <w:t xml:space="preserve"> language removed</w:t>
      </w:r>
      <w:r w:rsidR="005A5A39">
        <w:br/>
        <w:t>9. 1.2: What volume of milk is used?</w:t>
      </w:r>
    </w:p>
    <w:p w:rsidR="00686E2C" w:rsidRDefault="00686E2C" w:rsidP="00686E2C">
      <w:pPr>
        <w:spacing w:after="0" w:line="240" w:lineRule="auto"/>
      </w:pPr>
      <w:r w:rsidRPr="00686E2C">
        <w:rPr>
          <w:color w:val="FF0000"/>
        </w:rPr>
        <w:t xml:space="preserve">- </w:t>
      </w:r>
      <w:proofErr w:type="gramStart"/>
      <w:r w:rsidRPr="00686E2C">
        <w:rPr>
          <w:color w:val="FF0000"/>
        </w:rPr>
        <w:t>volume</w:t>
      </w:r>
      <w:proofErr w:type="gramEnd"/>
      <w:r w:rsidRPr="00686E2C">
        <w:rPr>
          <w:color w:val="FF0000"/>
        </w:rPr>
        <w:t xml:space="preserve"> added to protocol</w:t>
      </w:r>
      <w:r w:rsidR="005A5A39">
        <w:br/>
        <w:t>10. 2.3: Please describe how.</w:t>
      </w:r>
    </w:p>
    <w:p w:rsidR="00686E2C" w:rsidRDefault="00686E2C" w:rsidP="00686E2C">
      <w:pPr>
        <w:spacing w:after="0" w:line="240" w:lineRule="auto"/>
      </w:pPr>
      <w:r>
        <w:rPr>
          <w:color w:val="FF0000"/>
        </w:rPr>
        <w:t xml:space="preserve">- </w:t>
      </w:r>
      <w:proofErr w:type="gramStart"/>
      <w:r>
        <w:rPr>
          <w:color w:val="FF0000"/>
        </w:rPr>
        <w:t>more</w:t>
      </w:r>
      <w:proofErr w:type="gramEnd"/>
      <w:r>
        <w:rPr>
          <w:color w:val="FF0000"/>
        </w:rPr>
        <w:t xml:space="preserve"> description added to protocol for this section</w:t>
      </w:r>
      <w:r w:rsidR="005A5A39">
        <w:br/>
        <w:t>11. 3.1: Please describe how initial gating is done.</w:t>
      </w:r>
    </w:p>
    <w:p w:rsidR="00686E2C" w:rsidRDefault="00686E2C" w:rsidP="00686E2C">
      <w:pPr>
        <w:spacing w:after="0" w:line="240" w:lineRule="auto"/>
      </w:pPr>
      <w:r>
        <w:rPr>
          <w:color w:val="FF0000"/>
        </w:rPr>
        <w:t>- gating is now described in more detail and figure 1 is expanded</w:t>
      </w:r>
      <w:r w:rsidR="005A5A39">
        <w:br/>
        <w:t>12. Section 3: Please write the text in the imperative tense. Any text that cannot be written in the imperative tense may be added as a “NOTE”.</w:t>
      </w:r>
    </w:p>
    <w:p w:rsidR="00686E2C" w:rsidRDefault="00686E2C" w:rsidP="00686E2C">
      <w:pPr>
        <w:spacing w:after="0" w:line="240" w:lineRule="auto"/>
      </w:pPr>
      <w:r>
        <w:rPr>
          <w:color w:val="FF0000"/>
        </w:rPr>
        <w:t xml:space="preserve">- </w:t>
      </w:r>
      <w:proofErr w:type="gramStart"/>
      <w:r>
        <w:rPr>
          <w:color w:val="FF0000"/>
        </w:rPr>
        <w:t>tense</w:t>
      </w:r>
      <w:proofErr w:type="gramEnd"/>
      <w:r>
        <w:rPr>
          <w:color w:val="FF0000"/>
        </w:rPr>
        <w:t xml:space="preserve"> edited </w:t>
      </w:r>
      <w:r w:rsidR="005A5A39">
        <w:br/>
        <w:t>13. 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rsidR="005A5A39">
        <w:t>docx</w:t>
      </w:r>
      <w:proofErr w:type="spellEnd"/>
      <w:r w:rsidR="005A5A39">
        <w:t xml:space="preserve"> file to your Editorial Manager account. The Figure must be cited appropriately in the Figure Legend, i.e. “This figure has been modified from [citation].”</w:t>
      </w:r>
    </w:p>
    <w:p w:rsidR="00686E2C" w:rsidRDefault="00686E2C" w:rsidP="00686E2C">
      <w:pPr>
        <w:spacing w:after="0" w:line="240" w:lineRule="auto"/>
      </w:pPr>
      <w:r>
        <w:rPr>
          <w:color w:val="FF0000"/>
        </w:rPr>
        <w:lastRenderedPageBreak/>
        <w:t xml:space="preserve">- </w:t>
      </w:r>
      <w:proofErr w:type="gramStart"/>
      <w:r>
        <w:rPr>
          <w:color w:val="FF0000"/>
        </w:rPr>
        <w:t>please</w:t>
      </w:r>
      <w:proofErr w:type="gramEnd"/>
      <w:r>
        <w:rPr>
          <w:color w:val="FF0000"/>
        </w:rPr>
        <w:t xml:space="preserve"> note that the figures have now been changed and are new figures, not reproductions or alterations of those included in a previous publication</w:t>
      </w:r>
      <w:r w:rsidR="005A5A39">
        <w:br/>
        <w:t>14. Figure 2: Please use the micro symbol µ instead of u and include a space between all numbers and the corresponding unit (1 µg/mL).</w:t>
      </w:r>
    </w:p>
    <w:p w:rsidR="00686E2C" w:rsidRDefault="00686E2C" w:rsidP="00686E2C">
      <w:pPr>
        <w:spacing w:after="0" w:line="240" w:lineRule="auto"/>
      </w:pPr>
      <w:r>
        <w:rPr>
          <w:color w:val="FF0000"/>
        </w:rPr>
        <w:t xml:space="preserve">- </w:t>
      </w:r>
      <w:proofErr w:type="gramStart"/>
      <w:r>
        <w:rPr>
          <w:color w:val="FF0000"/>
        </w:rPr>
        <w:t>figure</w:t>
      </w:r>
      <w:proofErr w:type="gramEnd"/>
      <w:r>
        <w:rPr>
          <w:color w:val="FF0000"/>
        </w:rPr>
        <w:t xml:space="preserve"> has been altered.</w:t>
      </w:r>
      <w:r w:rsidR="005A5A39">
        <w:br/>
        <w:t>15. Supplemental Table 1: Please upload it to your Editorial Manager account as an .</w:t>
      </w:r>
      <w:proofErr w:type="spellStart"/>
      <w:r w:rsidR="005A5A39">
        <w:t>xlsx</w:t>
      </w:r>
      <w:proofErr w:type="spellEnd"/>
      <w:r w:rsidR="005A5A39">
        <w:t xml:space="preserve"> file.</w:t>
      </w:r>
    </w:p>
    <w:p w:rsidR="00686E2C" w:rsidRDefault="00686E2C" w:rsidP="00686E2C">
      <w:pPr>
        <w:spacing w:after="0" w:line="240" w:lineRule="auto"/>
      </w:pPr>
      <w:r>
        <w:rPr>
          <w:color w:val="FF0000"/>
        </w:rPr>
        <w:t xml:space="preserve">- </w:t>
      </w:r>
      <w:proofErr w:type="gramStart"/>
      <w:r>
        <w:rPr>
          <w:color w:val="FF0000"/>
        </w:rPr>
        <w:t>tables</w:t>
      </w:r>
      <w:proofErr w:type="gramEnd"/>
      <w:r>
        <w:rPr>
          <w:color w:val="FF0000"/>
        </w:rPr>
        <w:t xml:space="preserve"> are now in </w:t>
      </w:r>
      <w:proofErr w:type="spellStart"/>
      <w:r>
        <w:rPr>
          <w:color w:val="FF0000"/>
        </w:rPr>
        <w:t>xlx</w:t>
      </w:r>
      <w:proofErr w:type="spellEnd"/>
      <w:r>
        <w:rPr>
          <w:color w:val="FF0000"/>
        </w:rPr>
        <w:t xml:space="preserve"> form </w:t>
      </w:r>
      <w:r w:rsidR="005A5A39">
        <w:br/>
        <w:t>16. Please remove the embedded Table of Materials.</w:t>
      </w:r>
    </w:p>
    <w:p w:rsidR="00686E2C" w:rsidRDefault="00686E2C" w:rsidP="00686E2C">
      <w:pPr>
        <w:spacing w:after="0" w:line="240" w:lineRule="auto"/>
      </w:pPr>
      <w:r>
        <w:rPr>
          <w:color w:val="FF0000"/>
        </w:rPr>
        <w:t>- removed</w:t>
      </w:r>
      <w:r w:rsidR="005A5A39">
        <w:br/>
        <w:t>17. Table of Materials: Please ensure that it has information on all relevant supplies, reagents, equipment and software used, especially those mentioned in the Protocol. Please remove trademark (™) and registered (®) symbols. Please sort the items in alphabetical order according to the name of material/equipment.</w:t>
      </w:r>
    </w:p>
    <w:p w:rsidR="00107CD8" w:rsidRDefault="00686E2C" w:rsidP="00686E2C">
      <w:pPr>
        <w:spacing w:after="0" w:line="240" w:lineRule="auto"/>
      </w:pPr>
      <w:r>
        <w:rPr>
          <w:color w:val="FF0000"/>
        </w:rPr>
        <w:t xml:space="preserve">- </w:t>
      </w:r>
      <w:proofErr w:type="gramStart"/>
      <w:r>
        <w:rPr>
          <w:color w:val="FF0000"/>
        </w:rPr>
        <w:t>table</w:t>
      </w:r>
      <w:proofErr w:type="gramEnd"/>
      <w:r>
        <w:rPr>
          <w:color w:val="FF0000"/>
        </w:rPr>
        <w:t xml:space="preserve"> has been expanded and alphabetized</w:t>
      </w:r>
      <w:r w:rsidR="005A5A39">
        <w:br/>
        <w:t>18. References: Please do not abbreviate journal titles; use full journal name.</w:t>
      </w:r>
    </w:p>
    <w:p w:rsidR="00686E2C" w:rsidRPr="00686E2C" w:rsidRDefault="00686E2C" w:rsidP="00686E2C">
      <w:pPr>
        <w:spacing w:after="0" w:line="240" w:lineRule="auto"/>
        <w:rPr>
          <w:color w:val="FF0000"/>
        </w:rPr>
      </w:pPr>
      <w:r>
        <w:rPr>
          <w:color w:val="FF0000"/>
        </w:rPr>
        <w:t xml:space="preserve">- </w:t>
      </w:r>
      <w:proofErr w:type="gramStart"/>
      <w:r>
        <w:rPr>
          <w:color w:val="FF0000"/>
        </w:rPr>
        <w:t>the</w:t>
      </w:r>
      <w:proofErr w:type="gramEnd"/>
      <w:r>
        <w:rPr>
          <w:color w:val="FF0000"/>
        </w:rPr>
        <w:t xml:space="preserve"> Jove endnote file online does not appear to allow this? I can’t seem to get the full titles to display.</w:t>
      </w:r>
    </w:p>
    <w:p w:rsidR="005A5A39" w:rsidRDefault="005A5A39" w:rsidP="00686E2C">
      <w:pPr>
        <w:spacing w:after="0" w:line="240" w:lineRule="auto"/>
        <w:rPr>
          <w:b/>
          <w:bCs/>
        </w:rPr>
      </w:pPr>
      <w:r>
        <w:rPr>
          <w:b/>
          <w:bCs/>
        </w:rPr>
        <w:t>Reviewer #1:</w:t>
      </w:r>
    </w:p>
    <w:p w:rsidR="00686E2C" w:rsidRDefault="005A5A39" w:rsidP="00686E2C">
      <w:pPr>
        <w:spacing w:after="0" w:line="240" w:lineRule="auto"/>
      </w:pPr>
      <w:r>
        <w:t>Major Concerns</w:t>
      </w:r>
      <w:proofErr w:type="gramStart"/>
      <w:r>
        <w:t>:</w:t>
      </w:r>
      <w:proofErr w:type="gramEnd"/>
      <w:r>
        <w:br/>
        <w:t>1. Show the entire gating strategy in a stepwise manner showing the gated population that is used in the preceding analysis by using arrows. Include doublets, debris and dead cells. From the gates shown in figure 1 it is not clear what populations are being analyzed and how the gating was done.</w:t>
      </w:r>
    </w:p>
    <w:p w:rsidR="00686E2C" w:rsidRDefault="00686E2C" w:rsidP="00686E2C">
      <w:pPr>
        <w:spacing w:after="0" w:line="240" w:lineRule="auto"/>
      </w:pPr>
      <w:r w:rsidRPr="00686E2C">
        <w:rPr>
          <w:color w:val="FF0000"/>
        </w:rPr>
        <w:t>- figure 1 has been expanded to show detailed gating strategy</w:t>
      </w:r>
      <w:r w:rsidR="005A5A39">
        <w:br/>
        <w:t>2. Please show staining with epithelial cell antibodies or citation demonstrating the gate marked E in Figure 1A does correspond to epithelial cells. In the graph shown, this gate looks like a classic lymphocyte gate.</w:t>
      </w:r>
    </w:p>
    <w:p w:rsidR="00DF40EC" w:rsidRDefault="00686E2C" w:rsidP="00686E2C">
      <w:pPr>
        <w:spacing w:after="0" w:line="240" w:lineRule="auto"/>
      </w:pPr>
      <w:r>
        <w:rPr>
          <w:color w:val="FF0000"/>
        </w:rPr>
        <w:t xml:space="preserve">- in the </w:t>
      </w:r>
      <w:r w:rsidR="00BA2A43">
        <w:rPr>
          <w:color w:val="FF0000"/>
        </w:rPr>
        <w:t>altered</w:t>
      </w:r>
      <w:r>
        <w:rPr>
          <w:color w:val="FF0000"/>
        </w:rPr>
        <w:t xml:space="preserve"> figure, it is now made more clear where the lymphocytes fall in the SSC v FSC plot, based off of back-gating from the SSC v CD45+ plot. We did not repeat this with an epithelial stain but it is clear the population that is not CD45+ </w:t>
      </w:r>
      <w:proofErr w:type="gramStart"/>
      <w:r>
        <w:rPr>
          <w:color w:val="FF0000"/>
        </w:rPr>
        <w:t>are</w:t>
      </w:r>
      <w:proofErr w:type="gramEnd"/>
      <w:r>
        <w:rPr>
          <w:color w:val="FF0000"/>
        </w:rPr>
        <w:t xml:space="preserve"> not lymphocytes.</w:t>
      </w:r>
      <w:r w:rsidR="005A5A39">
        <w:br/>
        <w:t>3. Relying solely on FSC and SSC for the determination of cell populations is not rigorous to claim that a certain population was responsible for the effect. From the gating strategy all that can be said is that CD45lo, medium and high populations had differences in ADCP. It can be suggested that these correspond to granulocytes, monocytes and lymphocytes, but not stated as such, unless lineage specific antibodies are used e.g. CD14, CD3.</w:t>
      </w:r>
    </w:p>
    <w:p w:rsidR="00DF40EC" w:rsidRDefault="00DF40EC" w:rsidP="00686E2C">
      <w:pPr>
        <w:spacing w:after="0" w:line="240" w:lineRule="auto"/>
      </w:pPr>
      <w:r>
        <w:rPr>
          <w:color w:val="FF0000"/>
        </w:rPr>
        <w:t xml:space="preserve">- </w:t>
      </w:r>
      <w:proofErr w:type="gramStart"/>
      <w:r>
        <w:rPr>
          <w:color w:val="FF0000"/>
        </w:rPr>
        <w:t>throughout</w:t>
      </w:r>
      <w:proofErr w:type="gramEnd"/>
      <w:r>
        <w:rPr>
          <w:color w:val="FF0000"/>
        </w:rPr>
        <w:t xml:space="preserve"> the text and figure legends we have now emphasized that this cell identification is only purported or suggestive and that lineage-specific markers would need to be used to confirm identity. We also cite other studies that have shown these SSC v CD45 populations to correspond with particular cell types.</w:t>
      </w:r>
      <w:r w:rsidR="005A5A39">
        <w:br/>
        <w:t xml:space="preserve">4. Show individual histograms (as in Fig 2a) for ADCP activity, comparing the activity of the 830A antibody, </w:t>
      </w:r>
      <w:proofErr w:type="spellStart"/>
      <w:r w:rsidR="005A5A39">
        <w:t>FcBlock</w:t>
      </w:r>
      <w:proofErr w:type="spellEnd"/>
      <w:r w:rsidR="005A5A39">
        <w:t xml:space="preserve">, </w:t>
      </w:r>
      <w:proofErr w:type="spellStart"/>
      <w:r w:rsidR="005A5A39">
        <w:t>CytoD</w:t>
      </w:r>
      <w:proofErr w:type="spellEnd"/>
      <w:r w:rsidR="005A5A39">
        <w:t>, 3865 Ab, etc. so that readers can see the shifts in the peaks and understand what is being measured.</w:t>
      </w:r>
    </w:p>
    <w:p w:rsidR="00DF40EC" w:rsidRDefault="00DF40EC" w:rsidP="00686E2C">
      <w:pPr>
        <w:spacing w:after="0" w:line="240" w:lineRule="auto"/>
      </w:pPr>
      <w:r>
        <w:rPr>
          <w:color w:val="FF0000"/>
        </w:rPr>
        <w:t xml:space="preserve">- </w:t>
      </w:r>
      <w:proofErr w:type="gramStart"/>
      <w:r>
        <w:rPr>
          <w:color w:val="FF0000"/>
        </w:rPr>
        <w:t>figure</w:t>
      </w:r>
      <w:proofErr w:type="gramEnd"/>
      <w:r>
        <w:rPr>
          <w:color w:val="FF0000"/>
        </w:rPr>
        <w:t xml:space="preserve"> 2 has been changed to now include histograms of each experiment</w:t>
      </w:r>
      <w:r w:rsidR="005A5A39">
        <w:br/>
        <w:t xml:space="preserve">5. Clarify how ADCP score is </w:t>
      </w:r>
      <w:proofErr w:type="gramStart"/>
      <w:r w:rsidR="005A5A39">
        <w:t>calculated,</w:t>
      </w:r>
      <w:proofErr w:type="gramEnd"/>
      <w:r w:rsidR="005A5A39">
        <w:t xml:space="preserve"> it is not clear what is meant by % CD45 cells in the positive population. In the Ackerman et al. manuscript the calculation is as follows: % bead+ cells x MFI of Bead+ cells. Showing and labelling the populations used for this calculation in the histogram (Figure 2a) would be helpful to readers.</w:t>
      </w:r>
    </w:p>
    <w:p w:rsidR="00DF40EC" w:rsidRDefault="00DF40EC" w:rsidP="00686E2C">
      <w:pPr>
        <w:spacing w:after="0" w:line="240" w:lineRule="auto"/>
      </w:pPr>
      <w:r>
        <w:rPr>
          <w:color w:val="FF0000"/>
        </w:rPr>
        <w:t xml:space="preserve">- figure 2a now includes the numbers for the percent of total CD45+ cells and the MFI given in the FACS analysis so that the reader might better understand how to calculate ADCP score. We are using the same calculation as Ackerman </w:t>
      </w:r>
      <w:proofErr w:type="gramStart"/>
      <w:r>
        <w:rPr>
          <w:color w:val="FF0000"/>
        </w:rPr>
        <w:t>et</w:t>
      </w:r>
      <w:proofErr w:type="gramEnd"/>
      <w:r>
        <w:rPr>
          <w:color w:val="FF0000"/>
        </w:rPr>
        <w:t xml:space="preserve">. al, but for leukocyte subsets we use percent of CD45+ cell rather than </w:t>
      </w:r>
      <w:r>
        <w:rPr>
          <w:color w:val="FF0000"/>
        </w:rPr>
        <w:lastRenderedPageBreak/>
        <w:t xml:space="preserve">percent of total cells to account for the relative activities of the different cell types in the milk. </w:t>
      </w:r>
      <w:r w:rsidR="005A5A39">
        <w:br/>
        <w:t xml:space="preserve">6. What </w:t>
      </w:r>
      <w:proofErr w:type="gramStart"/>
      <w:r w:rsidR="005A5A39">
        <w:t>is the criteria</w:t>
      </w:r>
      <w:proofErr w:type="gramEnd"/>
      <w:r w:rsidR="005A5A39">
        <w:t xml:space="preserve"> for a "positive" ADCP value relative to the negative controls? Is there background ADCP that is too high that would suggest assay is not reliable? Showing the data for lymphocytes would also be helpful since these do not show ADCP activity and ex vivo unstimulated lymphocytes should not express FcR. Using a cell line that does not express FcR should be used as a negative control as well.</w:t>
      </w:r>
    </w:p>
    <w:p w:rsidR="006D7D8D" w:rsidRDefault="00DF40EC" w:rsidP="00686E2C">
      <w:pPr>
        <w:spacing w:after="0" w:line="240" w:lineRule="auto"/>
      </w:pPr>
      <w:r>
        <w:rPr>
          <w:color w:val="FF0000"/>
        </w:rPr>
        <w:t xml:space="preserve">- we have now included in the protocol and sample results that </w:t>
      </w:r>
      <w:r w:rsidRPr="00DF40EC">
        <w:rPr>
          <w:color w:val="FF0000"/>
        </w:rPr>
        <w:t xml:space="preserve">ADCP is considered positive if the AUC is greater than 3x standard deviation of the ADCP score AUC of a non-specific negative control </w:t>
      </w:r>
      <w:proofErr w:type="spellStart"/>
      <w:r w:rsidRPr="00DF40EC">
        <w:rPr>
          <w:color w:val="FF0000"/>
        </w:rPr>
        <w:t>mAb</w:t>
      </w:r>
      <w:proofErr w:type="spellEnd"/>
      <w:r w:rsidRPr="00DF40EC">
        <w:rPr>
          <w:color w:val="FF0000"/>
        </w:rPr>
        <w:t xml:space="preserve"> (in this case, 3865).</w:t>
      </w:r>
      <w:r>
        <w:rPr>
          <w:color w:val="FF0000"/>
        </w:rPr>
        <w:t xml:space="preserve"> We have not included the lymphocyte data but hope that the amended figure 2 will help illustrate what a negative histogram might look like.</w:t>
      </w:r>
      <w:r w:rsidR="005A5A39">
        <w:br/>
        <w:t xml:space="preserve">7. In Figure 2B it is not clear from the scale what the concentration of </w:t>
      </w:r>
      <w:proofErr w:type="spellStart"/>
      <w:r w:rsidR="005A5A39">
        <w:t>mAb</w:t>
      </w:r>
      <w:proofErr w:type="spellEnd"/>
      <w:r w:rsidR="005A5A39">
        <w:t xml:space="preserve"> was used. If started at 50ug/ml and then did 5 fold dilutions, it would correspond </w:t>
      </w:r>
      <w:proofErr w:type="gramStart"/>
      <w:r w:rsidR="005A5A39">
        <w:t>to 10 ug/ml</w:t>
      </w:r>
      <w:proofErr w:type="gramEnd"/>
      <w:r w:rsidR="005A5A39">
        <w:t xml:space="preserve"> and 2 ug/ml is that correct? The scale does not appear in the right place for 10 and figure 2a shows data for 1ug/ml, please clarify.</w:t>
      </w:r>
    </w:p>
    <w:p w:rsidR="006D7D8D" w:rsidRDefault="006D7D8D" w:rsidP="00686E2C">
      <w:pPr>
        <w:spacing w:after="0" w:line="240" w:lineRule="auto"/>
      </w:pPr>
      <w:r>
        <w:rPr>
          <w:color w:val="FF0000"/>
        </w:rPr>
        <w:t xml:space="preserve">- </w:t>
      </w:r>
      <w:proofErr w:type="gramStart"/>
      <w:r>
        <w:rPr>
          <w:color w:val="FF0000"/>
        </w:rPr>
        <w:t>figures</w:t>
      </w:r>
      <w:proofErr w:type="gramEnd"/>
      <w:r>
        <w:rPr>
          <w:color w:val="FF0000"/>
        </w:rPr>
        <w:t xml:space="preserve"> have been amended</w:t>
      </w:r>
      <w:r w:rsidR="005A5A39">
        <w:br/>
        <w:t xml:space="preserve">8. In Figure 2B addition of the </w:t>
      </w:r>
      <w:proofErr w:type="spellStart"/>
      <w:r w:rsidR="005A5A39">
        <w:t>the</w:t>
      </w:r>
      <w:proofErr w:type="spellEnd"/>
      <w:r w:rsidR="005A5A39">
        <w:t xml:space="preserve"> </w:t>
      </w:r>
      <w:proofErr w:type="spellStart"/>
      <w:r w:rsidR="005A5A39">
        <w:t>mAb</w:t>
      </w:r>
      <w:proofErr w:type="spellEnd"/>
      <w:r w:rsidR="005A5A39">
        <w:t xml:space="preserve"> does not show a dose response and the ADCP for 830A never approaches that of the negative controls suggesting a non-specific effect. Can you show a positive control, with a dose response, demonstrating the assay is working? Can you titrate antibody further do demonstrate activity is reduced with diminishing Ab concentration?</w:t>
      </w:r>
    </w:p>
    <w:p w:rsidR="00F03B19" w:rsidRDefault="00F03B19" w:rsidP="00686E2C">
      <w:pPr>
        <w:spacing w:after="0" w:line="240" w:lineRule="auto"/>
      </w:pPr>
      <w:r>
        <w:rPr>
          <w:color w:val="FF0000"/>
        </w:rPr>
        <w:t>- as the figure has been amended to now show AUC, this issue isn’t apparent anymore, however we do agree that the mAbs would need to be further diluted to show that ADCP scores do indeed drop down to background. We do not typically have enough cells to do this, although it could be planned for. We have data with other conditions and mAbs that show a decrease in activity down to zero but it doesn’t match up with the described protocol so we chose to leave it out of the current manuscript at this time.</w:t>
      </w:r>
      <w:r w:rsidR="005A5A39">
        <w:br/>
        <w:t>9. How does the ADCP activity from breast milk isolated cells compare to that seen in PBMC using your samples? How does this compare to published studies?</w:t>
      </w:r>
    </w:p>
    <w:p w:rsidR="00376816" w:rsidRDefault="00F03B19" w:rsidP="00686E2C">
      <w:pPr>
        <w:spacing w:after="0" w:line="240" w:lineRule="auto"/>
      </w:pPr>
      <w:r>
        <w:rPr>
          <w:color w:val="FF0000"/>
        </w:rPr>
        <w:t>- we do not know the answer to this, as the number of cells used and the targets vary in the literature tremendously; as well, there is a paucity of data with primary cells.</w:t>
      </w:r>
      <w:r w:rsidR="005A5A39">
        <w:br/>
      </w:r>
      <w:r w:rsidR="005A5A39">
        <w:br/>
        <w:t>Minor Concerns</w:t>
      </w:r>
      <w:proofErr w:type="gramStart"/>
      <w:r w:rsidR="005A5A39">
        <w:t>:</w:t>
      </w:r>
      <w:proofErr w:type="gramEnd"/>
      <w:r w:rsidR="005A5A39">
        <w:br/>
        <w:t>1. Methods need to be a bit more specific so that others can reproduce:</w:t>
      </w:r>
      <w:r w:rsidR="005A5A39">
        <w:br/>
        <w:t xml:space="preserve">a. How much breast milk volume is usually collected? You should at least give a range so someone who has never worked with breast milk knows what </w:t>
      </w:r>
      <w:proofErr w:type="gramStart"/>
      <w:r w:rsidR="005A5A39">
        <w:t>are reasonable volumes from which cells can be obtained</w:t>
      </w:r>
      <w:proofErr w:type="gramEnd"/>
      <w:r w:rsidR="005A5A39">
        <w:t xml:space="preserve">. If process between 5-10 </w:t>
      </w:r>
      <w:proofErr w:type="spellStart"/>
      <w:r w:rsidR="005A5A39">
        <w:t>mls</w:t>
      </w:r>
      <w:proofErr w:type="spellEnd"/>
      <w:r w:rsidR="005A5A39">
        <w:t xml:space="preserve"> of breast milk should centrifuge in 15 ml conical tube.</w:t>
      </w:r>
    </w:p>
    <w:p w:rsidR="00376816" w:rsidRDefault="00376816" w:rsidP="00686E2C">
      <w:pPr>
        <w:spacing w:after="0" w:line="240" w:lineRule="auto"/>
      </w:pPr>
      <w:r>
        <w:rPr>
          <w:color w:val="FF0000"/>
        </w:rPr>
        <w:t xml:space="preserve">- </w:t>
      </w:r>
      <w:proofErr w:type="gramStart"/>
      <w:r>
        <w:rPr>
          <w:color w:val="FF0000"/>
        </w:rPr>
        <w:t>this</w:t>
      </w:r>
      <w:proofErr w:type="gramEnd"/>
      <w:r>
        <w:rPr>
          <w:color w:val="FF0000"/>
        </w:rPr>
        <w:t xml:space="preserve"> has now been included</w:t>
      </w:r>
      <w:r w:rsidR="005A5A39">
        <w:br/>
        <w:t xml:space="preserve">b. Other manuscripts including Trend </w:t>
      </w:r>
      <w:proofErr w:type="gramStart"/>
      <w:r w:rsidR="005A5A39">
        <w:t>et</w:t>
      </w:r>
      <w:proofErr w:type="gramEnd"/>
      <w:r w:rsidR="005A5A39">
        <w:t xml:space="preserve">. </w:t>
      </w:r>
      <w:proofErr w:type="gramStart"/>
      <w:r w:rsidR="005A5A39">
        <w:t>al</w:t>
      </w:r>
      <w:proofErr w:type="gramEnd"/>
      <w:r w:rsidR="005A5A39">
        <w:t>. leave milk at 4</w:t>
      </w:r>
      <w:r w:rsidR="005A5A39">
        <w:sym w:font="Symbol" w:char="F0B0"/>
      </w:r>
      <w:r w:rsidR="005A5A39">
        <w:t>C . What is these authors experience? This is important in the case where samples may take longer to process.</w:t>
      </w:r>
    </w:p>
    <w:p w:rsidR="00376816" w:rsidRDefault="00376816" w:rsidP="00686E2C">
      <w:pPr>
        <w:spacing w:after="0" w:line="240" w:lineRule="auto"/>
      </w:pPr>
      <w:r>
        <w:rPr>
          <w:color w:val="FF0000"/>
        </w:rPr>
        <w:t xml:space="preserve">- </w:t>
      </w:r>
      <w:proofErr w:type="gramStart"/>
      <w:r>
        <w:rPr>
          <w:color w:val="FF0000"/>
        </w:rPr>
        <w:t>we</w:t>
      </w:r>
      <w:proofErr w:type="gramEnd"/>
      <w:r>
        <w:rPr>
          <w:color w:val="FF0000"/>
        </w:rPr>
        <w:t xml:space="preserve"> have now noted temperature concerns more clearly at the beginning of the protocol and results</w:t>
      </w:r>
      <w:r w:rsidR="005A5A39">
        <w:br/>
        <w:t>c. Do you determine cell viability before performing assay? Usually if viability is not at least 80% results from functional assays are not reliable.</w:t>
      </w:r>
    </w:p>
    <w:p w:rsidR="005403D2" w:rsidRDefault="00376816" w:rsidP="00686E2C">
      <w:pPr>
        <w:spacing w:after="0" w:line="240" w:lineRule="auto"/>
      </w:pPr>
      <w:r>
        <w:rPr>
          <w:color w:val="FF0000"/>
        </w:rPr>
        <w:t>- yes we get a viability reading in the cell counter but since much time passes after cells are counted and some cell death can occur we rely on the viability staining.</w:t>
      </w:r>
      <w:r w:rsidR="005403D2">
        <w:rPr>
          <w:color w:val="FF0000"/>
        </w:rPr>
        <w:t xml:space="preserve"> We have added that to step 1.2</w:t>
      </w:r>
      <w:r w:rsidR="005A5A39">
        <w:br/>
        <w:t>d. Need concentration used for CD45 antibody, not just volume.</w:t>
      </w:r>
    </w:p>
    <w:p w:rsidR="005403D2" w:rsidRDefault="005403D2" w:rsidP="00686E2C">
      <w:pPr>
        <w:spacing w:after="0" w:line="240" w:lineRule="auto"/>
      </w:pPr>
      <w:r>
        <w:t xml:space="preserve">- </w:t>
      </w:r>
      <w:proofErr w:type="gramStart"/>
      <w:r w:rsidRPr="005403D2">
        <w:rPr>
          <w:color w:val="FF0000"/>
        </w:rPr>
        <w:t>this</w:t>
      </w:r>
      <w:proofErr w:type="gramEnd"/>
      <w:r w:rsidRPr="005403D2">
        <w:rPr>
          <w:color w:val="FF0000"/>
        </w:rPr>
        <w:t xml:space="preserve"> has been edited</w:t>
      </w:r>
      <w:r w:rsidR="005A5A39">
        <w:br/>
        <w:t>e. Should mention fat may sometimes not pour off and will need to scoop out with sterile spatula.</w:t>
      </w:r>
    </w:p>
    <w:p w:rsidR="005403D2" w:rsidRDefault="005403D2" w:rsidP="00686E2C">
      <w:pPr>
        <w:spacing w:after="0" w:line="240" w:lineRule="auto"/>
      </w:pPr>
      <w:r>
        <w:rPr>
          <w:color w:val="FF0000"/>
        </w:rPr>
        <w:t>- we find that pouring off followed by wiping the tube works well, as described</w:t>
      </w:r>
      <w:r w:rsidR="005A5A39">
        <w:br/>
        <w:t xml:space="preserve">f. </w:t>
      </w:r>
      <w:proofErr w:type="spellStart"/>
      <w:r w:rsidR="005A5A39">
        <w:t>Kimwipes</w:t>
      </w:r>
      <w:proofErr w:type="spellEnd"/>
      <w:r w:rsidR="005A5A39">
        <w:t xml:space="preserve"> are usually not sterile, please clarify what you mean by "sterile".</w:t>
      </w:r>
    </w:p>
    <w:p w:rsidR="005403D2" w:rsidRDefault="005403D2" w:rsidP="00686E2C">
      <w:pPr>
        <w:spacing w:after="0" w:line="240" w:lineRule="auto"/>
      </w:pPr>
      <w:r>
        <w:rPr>
          <w:color w:val="FF0000"/>
        </w:rPr>
        <w:t xml:space="preserve">- </w:t>
      </w:r>
      <w:proofErr w:type="gramStart"/>
      <w:r>
        <w:rPr>
          <w:color w:val="FF0000"/>
        </w:rPr>
        <w:t>the</w:t>
      </w:r>
      <w:proofErr w:type="gramEnd"/>
      <w:r>
        <w:rPr>
          <w:color w:val="FF0000"/>
        </w:rPr>
        <w:t xml:space="preserve"> word sterile has been removed</w:t>
      </w:r>
      <w:r w:rsidR="005A5A39">
        <w:br/>
        <w:t>g. Provide manufacturer for 3K spin columns.</w:t>
      </w:r>
    </w:p>
    <w:p w:rsidR="005403D2" w:rsidRDefault="005403D2" w:rsidP="00686E2C">
      <w:pPr>
        <w:spacing w:after="0" w:line="240" w:lineRule="auto"/>
      </w:pPr>
      <w:r>
        <w:rPr>
          <w:color w:val="FF0000"/>
        </w:rPr>
        <w:lastRenderedPageBreak/>
        <w:t>- added</w:t>
      </w:r>
      <w:r w:rsidR="005A5A39">
        <w:br/>
        <w:t>2. Give percentages of the gated populations on the histograms in Figure 1 and 2A, this helps orient reader.</w:t>
      </w:r>
    </w:p>
    <w:p w:rsidR="00E143FF" w:rsidRDefault="00E143FF" w:rsidP="00686E2C">
      <w:pPr>
        <w:spacing w:after="0" w:line="240" w:lineRule="auto"/>
      </w:pPr>
      <w:r>
        <w:rPr>
          <w:color w:val="FF0000"/>
        </w:rPr>
        <w:t xml:space="preserve">- </w:t>
      </w:r>
      <w:proofErr w:type="gramStart"/>
      <w:r>
        <w:rPr>
          <w:color w:val="FF0000"/>
        </w:rPr>
        <w:t>the</w:t>
      </w:r>
      <w:proofErr w:type="gramEnd"/>
      <w:r>
        <w:rPr>
          <w:color w:val="FF0000"/>
        </w:rPr>
        <w:t xml:space="preserve"> figures have now been amended and we hope that the gating is more clear with the added detail. We have refrained from including percentages because every sample is so variable that we do not want to give a sense that what the person following the protocol might see would be wrong even if it is not similar to what is shown in the example. Percentages of leukocyte subsets for the 5 samples tested in the pilot study are shown in Table 1.</w:t>
      </w:r>
      <w:r w:rsidR="005A5A39">
        <w:br/>
        <w:t>3. For Figure 2B, I would make the symbols larger and possibly use open symbols as well so that data is easier to read.</w:t>
      </w:r>
    </w:p>
    <w:p w:rsidR="005A5A39" w:rsidRDefault="00E143FF" w:rsidP="00E143FF">
      <w:pPr>
        <w:spacing w:after="0" w:line="240" w:lineRule="auto"/>
      </w:pPr>
      <w:r w:rsidRPr="00E143FF">
        <w:rPr>
          <w:color w:val="FF0000"/>
        </w:rPr>
        <w:t>-</w:t>
      </w:r>
      <w:r>
        <w:rPr>
          <w:color w:val="FF0000"/>
        </w:rPr>
        <w:t xml:space="preserve"> </w:t>
      </w:r>
      <w:r w:rsidRPr="00E143FF">
        <w:rPr>
          <w:color w:val="FF0000"/>
        </w:rPr>
        <w:t>Figure has been amended</w:t>
      </w:r>
      <w:r w:rsidR="005A5A39">
        <w:br/>
      </w:r>
      <w:r w:rsidR="005A5A39">
        <w:br/>
      </w:r>
      <w:r w:rsidR="005A5A39">
        <w:br/>
      </w:r>
      <w:r w:rsidR="005A5A39" w:rsidRPr="00E143FF">
        <w:rPr>
          <w:b/>
          <w:bCs/>
        </w:rPr>
        <w:t>Reviewer #2</w:t>
      </w:r>
      <w:proofErr w:type="gramStart"/>
      <w:r w:rsidR="005A5A39" w:rsidRPr="00E143FF">
        <w:rPr>
          <w:b/>
          <w:bCs/>
        </w:rPr>
        <w:t>:</w:t>
      </w:r>
      <w:proofErr w:type="gramEnd"/>
      <w:r w:rsidR="005A5A39">
        <w:br/>
        <w:t>The authors do not address how long they are able to keep their biotinylated antigen in culture before use.</w:t>
      </w:r>
    </w:p>
    <w:p w:rsidR="005D0958" w:rsidRPr="005D0958" w:rsidRDefault="005D0958" w:rsidP="00E143FF">
      <w:pPr>
        <w:spacing w:after="0" w:line="240" w:lineRule="auto"/>
        <w:rPr>
          <w:color w:val="FF0000"/>
        </w:rPr>
      </w:pPr>
      <w:r>
        <w:rPr>
          <w:color w:val="FF0000"/>
        </w:rPr>
        <w:t>-it is now noted in the protocol that protein should be frozen in aliquots</w:t>
      </w:r>
    </w:p>
    <w:p w:rsidR="005A5A39" w:rsidRDefault="005A5A39" w:rsidP="00686E2C">
      <w:pPr>
        <w:spacing w:after="0" w:line="240" w:lineRule="auto"/>
      </w:pPr>
      <w:r>
        <w:t>It might be helpful to show the calculations with the representative data to make it clearer as to how ADCP scores are generated.</w:t>
      </w:r>
    </w:p>
    <w:p w:rsidR="005D0958" w:rsidRPr="005D0958" w:rsidRDefault="005D0958" w:rsidP="00686E2C">
      <w:pPr>
        <w:spacing w:after="0" w:line="240" w:lineRule="auto"/>
        <w:rPr>
          <w:color w:val="FF0000"/>
        </w:rPr>
      </w:pPr>
      <w:r>
        <w:rPr>
          <w:color w:val="FF0000"/>
        </w:rPr>
        <w:t>-numbers for calculation are now included in Figure 2a, first panel as an example</w:t>
      </w:r>
    </w:p>
    <w:p w:rsidR="005A5A39" w:rsidRDefault="005D0958" w:rsidP="00686E2C">
      <w:pPr>
        <w:spacing w:after="0" w:line="240" w:lineRule="auto"/>
      </w:pPr>
      <w:r>
        <w:t>*note that other comments were addressed in the response to the Editor or reviewer</w:t>
      </w:r>
      <w:bookmarkStart w:id="0" w:name="_GoBack"/>
      <w:bookmarkEnd w:id="0"/>
      <w:r>
        <w:t xml:space="preserve"> 1.</w:t>
      </w:r>
    </w:p>
    <w:sectPr w:rsidR="005A5A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93F53"/>
    <w:multiLevelType w:val="hybridMultilevel"/>
    <w:tmpl w:val="AD66A69A"/>
    <w:lvl w:ilvl="0" w:tplc="08E81DA6">
      <w:start w:val="6"/>
      <w:numFmt w:val="bullet"/>
      <w:lvlText w:val="-"/>
      <w:lvlJc w:val="left"/>
      <w:pPr>
        <w:ind w:left="360" w:hanging="360"/>
      </w:pPr>
      <w:rPr>
        <w:rFonts w:ascii="Calibri" w:eastAsiaTheme="minorHAnsi" w:hAnsi="Calibri" w:cstheme="minorBidi"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B916F94"/>
    <w:multiLevelType w:val="hybridMultilevel"/>
    <w:tmpl w:val="775C8DA4"/>
    <w:lvl w:ilvl="0" w:tplc="62AE13D0">
      <w:start w:val="6"/>
      <w:numFmt w:val="bullet"/>
      <w:lvlText w:val="-"/>
      <w:lvlJc w:val="left"/>
      <w:pPr>
        <w:ind w:left="720" w:hanging="360"/>
      </w:pPr>
      <w:rPr>
        <w:rFonts w:ascii="Calibri" w:eastAsiaTheme="minorHAnsi" w:hAnsi="Calibri" w:cstheme="minorBidi"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7C78C5"/>
    <w:multiLevelType w:val="hybridMultilevel"/>
    <w:tmpl w:val="BA283642"/>
    <w:lvl w:ilvl="0" w:tplc="49ACCC86">
      <w:start w:val="1"/>
      <w:numFmt w:val="bullet"/>
      <w:lvlText w:val="-"/>
      <w:lvlJc w:val="left"/>
      <w:pPr>
        <w:ind w:left="360" w:hanging="360"/>
      </w:pPr>
      <w:rPr>
        <w:rFonts w:ascii="Calibri" w:eastAsiaTheme="minorHAnsi" w:hAnsi="Calibri" w:cstheme="minorBidi"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7D25563"/>
    <w:multiLevelType w:val="hybridMultilevel"/>
    <w:tmpl w:val="BEC4ED42"/>
    <w:lvl w:ilvl="0" w:tplc="9F3658EC">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F7F434D"/>
    <w:multiLevelType w:val="hybridMultilevel"/>
    <w:tmpl w:val="AA285EA0"/>
    <w:lvl w:ilvl="0" w:tplc="A60457C6">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36B493A"/>
    <w:multiLevelType w:val="hybridMultilevel"/>
    <w:tmpl w:val="7FB47AD2"/>
    <w:lvl w:ilvl="0" w:tplc="1C544C0A">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A39"/>
    <w:rsid w:val="00107CD8"/>
    <w:rsid w:val="00376816"/>
    <w:rsid w:val="005403D2"/>
    <w:rsid w:val="005A5A39"/>
    <w:rsid w:val="005D0958"/>
    <w:rsid w:val="00686E2C"/>
    <w:rsid w:val="006D7D8D"/>
    <w:rsid w:val="00BA2A43"/>
    <w:rsid w:val="00DF40EC"/>
    <w:rsid w:val="00E143FF"/>
    <w:rsid w:val="00F03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A5A39"/>
    <w:rPr>
      <w:b/>
      <w:bCs/>
    </w:rPr>
  </w:style>
  <w:style w:type="paragraph" w:styleId="ListParagraph">
    <w:name w:val="List Paragraph"/>
    <w:basedOn w:val="Normal"/>
    <w:uiPriority w:val="34"/>
    <w:qFormat/>
    <w:rsid w:val="00686E2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A5A39"/>
    <w:rPr>
      <w:b/>
      <w:bCs/>
    </w:rPr>
  </w:style>
  <w:style w:type="paragraph" w:styleId="ListParagraph">
    <w:name w:val="List Paragraph"/>
    <w:basedOn w:val="Normal"/>
    <w:uiPriority w:val="34"/>
    <w:qFormat/>
    <w:rsid w:val="00686E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86056-2DD9-433B-A832-257238E9E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4</Pages>
  <Words>1794</Words>
  <Characters>9959</Characters>
  <Application>Microsoft Office Word</Application>
  <DocSecurity>0</DocSecurity>
  <Lines>136</Lines>
  <Paragraphs>22</Paragraphs>
  <ScaleCrop>false</ScaleCrop>
  <Company>Mount Sinai Hospital</Company>
  <LinksUpToDate>false</LinksUpToDate>
  <CharactersWithSpaces>11731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Powell</dc:creator>
  <cp:lastModifiedBy>Rebecca Powell</cp:lastModifiedBy>
  <cp:revision>10</cp:revision>
  <dcterms:created xsi:type="dcterms:W3CDTF">2019-06-07T16:59:00Z</dcterms:created>
  <dcterms:modified xsi:type="dcterms:W3CDTF">2019-06-10T19:35:00Z</dcterms:modified>
</cp:coreProperties>
</file>