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Immunoglobulin G N-Glycan Analysis by Ultra-Performance Liquid Chromatography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Xizhu Xu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Yuejin Li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Jie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XiaoyuZhang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Qihuan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Haifeng Hou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Dong Li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Wei Wang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Youxin Wang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Beijing Key Laboratory of Clinical Epidemiology, School of Public Health, Capital Medical University, Beijing,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Public Health, Shandong First Medical University &amp;amp; Shandong Academy of Medical Sciences, Taian, Shandong Province,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School of Medical and Health Sciences, Edith Cowan University, Perth, Australia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Youxin Wang </w:t>
        <w:tab/>
        <w:tab/>
        <w:t xml:space="preserve">(wangy@ccmu.edu.cn</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glycomics, immunoglobulin 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ultra-performance liquid chromatography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Immunoglobulin G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is characterized using hydrophilic interaction chromatography UPLC. In addition, the structure of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is clearly separated. Presented here is an introduction to this experimental method so that it can be widely used in research settings.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Glycomics is a new subspecialty in omics system research that offers significant potential in discovering next-generation biomarkers for disease susceptibility, drug target discovery, and precision medicine. Alternative</w:t>
      </w:r>
      <w:r>
        <w:rPr>
          <w:rFonts w:ascii="Calibri" w:hAnsi="Calibri" w:cs="Calibri" w:eastAsia="Calibri"/>
          <w:color w:val="000000"/>
          <w:spacing w:val="0"/>
          <w:position w:val="0"/>
          <w:sz w:val="24"/>
          <w:shd w:fill="auto" w:val="clear"/>
        </w:rPr>
        <w:t xml:space="preserve">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have been reported in several common chronic diseases and suggested to have great potential in clinical applications (i.e., biomarkers for diagnosis and prediction of diseases).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are widely characterized using the method of hydrophilic interaction chromatography (HILIC) ultra-performance liquid chromatography (UPLC). UPLC is a stable detection technology with good reproducibility and high relative quantitative accuracy. In addition, the structure of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is clearly separated, and glycan composition and relative abundance in plasma are characterized.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-glycosylation of human proteins is a common and essential post-translational modification</w:t>
      </w:r>
      <w:r>
        <w:rPr>
          <w:rFonts w:ascii="Calibri" w:hAnsi="Calibri" w:cs="Calibri" w:eastAsia="Calibri"/>
          <w:color w:val="08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may help predict the occurrence and development of diseases relatively accurately. Due to the complexity of its structure, it is expected that there are more than 5,000 glycan structures, providing great potential as diagnostic and predictive biomarkers for diseases</w:t>
      </w:r>
      <w:r>
        <w:rPr>
          <w:rFonts w:ascii="Calibri" w:hAnsi="Calibri" w:cs="Calibri" w:eastAsia="Calibri"/>
          <w:color w:val="08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attached to immunoglobulin G (IgG) have been shown to be essential for IgG’s function, and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-glycosylation participates in the balance between the </w:t>
      </w:r>
      <w:r>
        <w:rPr>
          <w:rFonts w:ascii="Calibri" w:hAnsi="Calibri" w:cs="Calibri" w:eastAsia="Calibri"/>
          <w:color w:val="000000"/>
          <w:spacing w:val="0"/>
          <w:position w:val="0"/>
          <w:sz w:val="24"/>
          <w:shd w:fill="FFFFFF" w:val="clear"/>
        </w:rPr>
        <w:t xml:space="preserve">pro- and anti-inflammatory systems</w:t>
      </w:r>
      <w:r>
        <w:rPr>
          <w:rFonts w:ascii="Calibri" w:hAnsi="Calibri" w:cs="Calibri" w:eastAsia="Calibri"/>
          <w:color w:val="08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Differential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-glycosylation is involved in disease development and progression, representing both a predisposition and functional mechanism involved in disease pathology. The inflammatory role of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-glycosylation has been associated with aging, inflammatory diseases, autoimmune diseases, and cancer</w:t>
      </w:r>
      <w:r>
        <w:rPr>
          <w:rFonts w:ascii="Calibri" w:hAnsi="Calibri" w:cs="Calibri" w:eastAsia="Calibri"/>
          <w:color w:val="08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development of detection technology, the following methods are most widely used in high throughput glycomics: hydrophilic interaction chromatography (HILIC) ultra-performance liquid chromatography with fluorescence detection (UPLC-FLR), multiplex capillary gel electrophoresis with laser induced fluorescence detection (xCGE-LIF), matrix-assisted laser desorption/ionization time-of-flight mass spectrometry (MALDI-TOF-MS), and liquid chromatography electrospray mass spectrometry (LC-ESI-MS). These methods have overcome previous shortcomings of low flux, unstable results, and poor sensitivity specificity</w:t>
      </w:r>
      <w:r>
        <w:rPr>
          <w:rFonts w:ascii="Calibri" w:hAnsi="Calibri" w:cs="Calibri" w:eastAsia="Calibri"/>
          <w:color w:val="08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UPLC is widely used to explore the association between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-glycosylation and certain diseases (i.e., ageing</w:t>
      </w:r>
      <w:r>
        <w:rPr>
          <w:rFonts w:ascii="Calibri" w:hAnsi="Calibri" w:cs="Calibri" w:eastAsia="Calibri"/>
          <w:color w:val="08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obesity</w:t>
      </w:r>
      <w:r>
        <w:rPr>
          <w:rFonts w:ascii="Calibri" w:hAnsi="Calibri" w:cs="Calibri" w:eastAsia="Calibri"/>
          <w:color w:val="08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dyslipidemia</w:t>
      </w:r>
      <w:r>
        <w:rPr>
          <w:rFonts w:ascii="Calibri" w:hAnsi="Calibri" w:cs="Calibri" w:eastAsia="Calibri"/>
          <w:color w:val="08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type II diabetes</w:t>
      </w:r>
      <w:r>
        <w:rPr>
          <w:rFonts w:ascii="Calibri" w:hAnsi="Calibri" w:cs="Calibri" w:eastAsia="Calibri"/>
          <w:color w:val="08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hypertension</w:t>
      </w:r>
      <w:r>
        <w:rPr>
          <w:rFonts w:ascii="Calibri" w:hAnsi="Calibri" w:cs="Calibri" w:eastAsia="Calibri"/>
          <w:color w:val="08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ischemic stroke</w:t>
      </w:r>
      <w:r>
        <w:rPr>
          <w:rFonts w:ascii="Calibri" w:hAnsi="Calibri" w:cs="Calibri" w:eastAsia="Calibri"/>
          <w:color w:val="08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Parkinson’s disease</w:t>
      </w:r>
      <w:r>
        <w:rPr>
          <w:rFonts w:ascii="Calibri" w:hAnsi="Calibri" w:cs="Calibri" w:eastAsia="Calibri"/>
          <w:color w:val="08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Compared to the other three abovementioned methods, UPLC has the following advantages</w:t>
      </w:r>
      <w:r>
        <w:rPr>
          <w:rFonts w:ascii="Calibri" w:hAnsi="Calibri" w:cs="Calibri" w:eastAsia="Calibri"/>
          <w:color w:val="080000"/>
          <w:spacing w:val="0"/>
          <w:position w:val="0"/>
          <w:sz w:val="24"/>
          <w:shd w:fill="auto" w:val="clear"/>
          <w:vertAlign w:val="superscript"/>
        </w:rPr>
        <w:t xml:space="preserve">5,14</w:t>
      </w:r>
      <w:r>
        <w:rPr>
          <w:rFonts w:ascii="Calibri" w:hAnsi="Calibri" w:cs="Calibri" w:eastAsia="Calibri"/>
          <w:color w:val="000000"/>
          <w:spacing w:val="0"/>
          <w:position w:val="0"/>
          <w:sz w:val="24"/>
          <w:shd w:fill="auto" w:val="clear"/>
        </w:rPr>
        <w:t xml:space="preserve">. First, it provides a relative quantitative analysis method, and the data analysis that involves total area normalization improves the comparability of each sample. Second, the cost of equipment and required expertise are relatively low, which makes it easier to implement and transform glycosylation biomarkers into clinical applications. Presented here is an introduction to UPLC so it can be more widely used.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subjects included in the protocol have been approved by the Ethics Committee of the Capital Medical University, Beijing, China</w:t>
      </w:r>
      <w:r>
        <w:rPr>
          <w:rFonts w:ascii="Calibri" w:hAnsi="Calibri" w:cs="Calibri" w:eastAsia="Calibri"/>
          <w:color w:val="08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Written informed consent was obtained from each subject at the beginning of the study.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IgG isolation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chemicals including binding buffer (phosphate buffered saline, PBS): 1x PBS (pH = 7.4), neutralizing buffer: 10x PBS (pH = 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eluent: 0.1 M formic acid (pH = 2.5), neutralizing solution for eluent: 1 M ammonium bicarbonate, stored buffer: 20% ethanol + 20 mM Tris + 0.1 M NaCl (pH = 7.4), cleaning solution for protein G: 0.1 M NaOH + 30% propan-2-ol.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level of pH is critical in this protocol. The elution of IgG requires a very low pH, and there is a risk of the loss of sialic acids due to acid hydrolysis. Therefore, elution occurs within seconds, and the pH is quickly restored to neutrality, preserving the integrity of IgG and the sialic acids.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Prepare the samples: thaw the frozen plasma sample then centrifuge at 80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and leave the protein G monolithic plate and the abovementioned chemicals for 30 min at room temperature (RT).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Transfer a 100 &amp;#181;L sample (which can be used to detect 2x to prevent the first failure) into a 2 mL collection plate (here, a total of six standard samples, one control sample [ultra-pure water], and 89 plasma samples were designed for 96 well plates and randomly assigned to the plate).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Dilute the samples with 1x PBS by 1:7 (v/v).</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Clean a 0.45 &amp;#181;m </w:t>
      </w:r>
      <w:r>
        <w:rPr>
          <w:rFonts w:ascii="Calibri" w:hAnsi="Calibri" w:cs="Calibri" w:eastAsia="Calibri"/>
          <w:color w:val="000000"/>
          <w:spacing w:val="0"/>
          <w:position w:val="0"/>
          <w:sz w:val="24"/>
          <w:shd w:fill="FFFFFF" w:val="clear"/>
        </w:rPr>
        <w:t xml:space="preserve">hydrophilic polypropylene</w:t>
      </w:r>
      <w:r>
        <w:rPr>
          <w:rFonts w:ascii="Calibri" w:hAnsi="Calibri" w:cs="Calibri" w:eastAsia="Calibri"/>
          <w:color w:val="000000"/>
          <w:spacing w:val="0"/>
          <w:position w:val="0"/>
          <w:sz w:val="24"/>
          <w:shd w:fill="FFFF00" w:val="clear"/>
        </w:rPr>
        <w:t xml:space="preserve"> (GHP) filter plate with 200 &amp;#181;L of ultra-pure water (repeat 2x).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Transfer the diluted samples into the filter plate and filter the samples into the collection plate using a vacuum pump (control vacuum pressure at 266.6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399.9 Pa).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Preparation of the protein G monolithic plates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1.7.1. Discard the storage buffer.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1.7.2 Clean the monolithic plates with 2 mL of ultra-pure water, 2 mL of 1x PBS, 1 mL of 0.1 M formic acid, 2 mL of 10x PBS, 2 mL of 1x PBS (sequentially), and remove flowing liquid using a vacuum pump.</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Transfer the filtered samples to the protein G monolithic plate for IgG binding and cleaning, then clean the monolithic plates with 2 mL of 1x PBS (repeat the cleaning 2x).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Elute IgG with 1 mL of 0.1 M formic acid and filter the samples into the collection plate by vacuum pump, then add 170 &amp;#181;L of 1 M ammonium bicarbonate into the collection plate.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Detect IgG concentration using an absorption spectrophotometer (optimal wavelength = 280 nm).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1.10.1. Open the software and select the protein-CY3 mode.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1.10.2. Draw 2 &amp;#181;L of ultra-pure water and load it into the screen, then click </w:t>
      </w:r>
      <w:r>
        <w:rPr>
          <w:rFonts w:ascii="Calibri" w:hAnsi="Calibri" w:cs="Calibri" w:eastAsia="Calibri"/>
          <w:b/>
          <w:color w:val="000000"/>
          <w:spacing w:val="0"/>
          <w:position w:val="0"/>
          <w:sz w:val="24"/>
          <w:shd w:fill="auto" w:val="clear"/>
        </w:rPr>
        <w:t xml:space="preserve">Blank</w:t>
      </w:r>
      <w:r>
        <w:rPr>
          <w:rFonts w:ascii="Calibri" w:hAnsi="Calibri" w:cs="Calibri" w:eastAsia="Calibri"/>
          <w:color w:val="000000"/>
          <w:spacing w:val="0"/>
          <w:position w:val="0"/>
          <w:sz w:val="24"/>
          <w:shd w:fill="auto" w:val="clear"/>
        </w:rPr>
        <w:t xml:space="preserve"> in the software to clear the screen (repeat 1x).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1.10.3. Draw 2 &amp;#181;L of ultra-pure water and load it into the screen, then click </w:t>
      </w:r>
      <w:r>
        <w:rPr>
          <w:rFonts w:ascii="Calibri" w:hAnsi="Calibri" w:cs="Calibri" w:eastAsia="Calibri"/>
          <w:b/>
          <w:color w:val="000000"/>
          <w:spacing w:val="0"/>
          <w:position w:val="0"/>
          <w:sz w:val="24"/>
          <w:shd w:fill="auto" w:val="clear"/>
        </w:rPr>
        <w:t xml:space="preserve">Sample</w:t>
      </w:r>
      <w:r>
        <w:rPr>
          <w:rFonts w:ascii="Calibri" w:hAnsi="Calibri" w:cs="Calibri" w:eastAsia="Calibri"/>
          <w:color w:val="000000"/>
          <w:spacing w:val="0"/>
          <w:position w:val="0"/>
          <w:sz w:val="24"/>
          <w:shd w:fill="auto" w:val="clear"/>
        </w:rPr>
        <w:t xml:space="preserve"> in the software to detect the ultra-pure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1.10.4. Draw 2 &amp;#181;L of IgG sample and load it into the screen, then click </w:t>
      </w:r>
      <w:r>
        <w:rPr>
          <w:rFonts w:ascii="Calibri" w:hAnsi="Calibri" w:cs="Calibri" w:eastAsia="Calibri"/>
          <w:b/>
          <w:color w:val="000000"/>
          <w:spacing w:val="0"/>
          <w:position w:val="0"/>
          <w:sz w:val="24"/>
          <w:shd w:fill="auto" w:val="clear"/>
        </w:rPr>
        <w:t xml:space="preserve">Sample</w:t>
      </w:r>
      <w:r>
        <w:rPr>
          <w:rFonts w:ascii="Calibri" w:hAnsi="Calibri" w:cs="Calibri" w:eastAsia="Calibri"/>
          <w:color w:val="000000"/>
          <w:spacing w:val="0"/>
          <w:position w:val="0"/>
          <w:sz w:val="24"/>
          <w:shd w:fill="auto" w:val="clear"/>
        </w:rPr>
        <w:t xml:space="preserve"> in the software to detect the sample.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1.10.5. Draw 2 &amp;#181;L of ultra-pure water and load it into the screen, then click </w:t>
      </w:r>
      <w:r>
        <w:rPr>
          <w:rFonts w:ascii="Calibri" w:hAnsi="Calibri" w:cs="Calibri" w:eastAsia="Calibri"/>
          <w:b/>
          <w:color w:val="000000"/>
          <w:spacing w:val="0"/>
          <w:position w:val="0"/>
          <w:sz w:val="24"/>
          <w:shd w:fill="auto" w:val="clear"/>
        </w:rPr>
        <w:t xml:space="preserve">Blank</w:t>
      </w:r>
      <w:r>
        <w:rPr>
          <w:rFonts w:ascii="Calibri" w:hAnsi="Calibri" w:cs="Calibri" w:eastAsia="Calibri"/>
          <w:color w:val="000000"/>
          <w:spacing w:val="0"/>
          <w:position w:val="0"/>
          <w:sz w:val="24"/>
          <w:shd w:fill="auto" w:val="clear"/>
        </w:rPr>
        <w:t xml:space="preserve"> in the software to clear the screen.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1.10.6 Close the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formula for calculating IgG concentration is as follows: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IgG </w:t>
      </w:r>
      <w:r>
        <w:rPr>
          <w:rFonts w:ascii="Calibri" w:hAnsi="Calibri" w:cs="Calibri" w:eastAsia="Calibri"/>
          <w:color w:val="000000"/>
          <w:spacing w:val="0"/>
          <w:position w:val="0"/>
          <w:sz w:val="24"/>
          <w:shd w:fill="auto" w:val="clear"/>
        </w:rPr>
        <w:t xml:space="preserve">= absorbance x extinction coefficient (13.7) x 1000 &amp;#181;g/mL</w:t>
      </w:r>
    </w:p>
    <w:p>
      <w:pPr>
        <w:spacing w:before="0" w:after="0" w:line="240"/>
        <w:ind w:right="0" w:left="0" w:firstLine="0"/>
        <w:jc w:val="left"/>
        <w:rPr>
          <w:rFonts w:ascii="Calibri" w:hAnsi="Calibri" w:cs="Calibri" w:eastAsia="Calibri"/>
          <w:color w:val="000000"/>
          <w:spacing w:val="0"/>
          <w:position w:val="0"/>
          <w:sz w:val="24"/>
          <w:shd w:fill="auto" w:val="clear"/>
          <w:vertAlign w:val="sub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1.11 Put the extracted IgG to dry in an oven at 6 0&amp;#176;C and preserve the extracted IgG (300 &amp;#181;L extracted IgG for 4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Remove 300 &amp;#181;L of extracted IgG if the concentration is greater than 1,000 &amp;#181;g/mL.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Remove 350 &amp;#181;L of extracted IgG if the concentration is between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&amp;#181;g/mL.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Remove 400 &amp;#181;L of extracted IgG if the concentration is between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&amp;#181;g/mL.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 Remove 600 &amp;#181;L of extracted IgG if the concentration is smaller than 200 &amp;#181;g/mL.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 of IgG should be preferably &amp;gt;200 &amp;#181;g/mL for subsequent detection. The average amount of IgG should be preferably &amp;gt;1,200 &amp;#181;g, which can be tested 2x in case the first test fails.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Cleaning the protein G monolithic plate for reuse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Wash the plate with 2 mL of ultra-pure water, 1 mL of 0.1 M NaOH (for removing precipitated proteins), 4 mL of ultra-pure water, and 4 mL of 1x PBS (sequentially), then remove flowing liquid using a vacuum pump.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Wash the plate with 2 mL of ultra-pure water, 2 mL of 30% propan-2-ol (for removing bound hydrophobic proteins), 2 mL of ultra-pure water, and 4 mL of 1x PBS (sequentially), then remove flowing liquid using a vacuum pump.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 Wash the plate with 1 mL of buffer (20% ethanol + 20 Mm Tris + 0.1 M NaCl) and add 1 mL of buffer (20% ethanol + 20 Mm Tris + 0.1 M NaCl) to the plate, then leave the plate at 4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Glycan release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the dried IgG and store the chemicals including 1.33% SDS, 4% Igepal (store away from light), and 5x PBS at 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PNGase F enzyme by diluting 250 U enzyme with 250 &amp;#181;L of ultra-pure water.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Denaturation of IgG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Add 30 &amp;#181;L of 1.33% SDS and mix by vortexing, transfer the sample into a 65 &amp;#176;C oven for 10 min, then remove it from the oven and let rest for 15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Add 10 &amp;#181;L of 4% Igepal and place it on the shaking incubator for 5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Removal and release of glycans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Add 20 &amp;#181;L of 5x PBS and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35 &amp;#181;L of 0.1 mol/L NaOH to regulate a pH of 8.0, and mix by vortexing. Add 4 &amp;#181;L of PNGase F enzyme and mix by vortexing. Then, incubate for 18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h in a 37 &amp;#176;C water bath.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Put the released glycans to dry in an oven at 60 &amp;#176;C for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Save the released glycans at -80 &amp;#176;C until further measurement.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critical. The key to glycan release is improving the activity of the PNGase F enzyme to maximize its efficiency.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Glycan labeling and purification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the 2-aminobenzamide (2-AB) labeling reagent with 0.70 mg of 2-AB, 10.50 &amp;#181;L of acetic acid, 6 mg of sodium cyanoborohydride (NaBH3CN), and 24.50 &amp;#181;L of dimethyl sulfoxide (DMSO) (total volume = 35 &amp;#181;L). Then, add acetic acid, 2-AB, and NaBH3CN into the DMSO in order.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Label the glycans using 35 &amp;#181;L of 2-AB labeling reagent, transfer the labeled glycans to the oscillator for 5 min, transfer to the oven for 3 h at 65 &amp;#176;C, then transfer to RT for 30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entire glycan labeling step must be performed while protected from light.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Pretreat a 0.2 &amp;#181;m GHP filter plate with 200 &amp;#181;L of 70% ethanol, 200 &amp;#181;L of ultra-pure water, and 200 &amp;#181;L of 96% acetonitrile (4 &amp;#176;C), then remove waste using a vacuum pump.</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Purification of 2-AB labeled glycan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Add 700 &amp;#181;L of 100% acetonitrile to the 2-AB labeled glycan and transfer to a shaking incubator for 5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Centrifuge at 134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(4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Transfer the sample to a 0.2 &amp;#181;m GHP filter plate for 2 min and remove the filtrate (flowing liquid) using a vacuum pump.</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Wash 2-AB labeled glycan with 200 &amp;#181;L of 96% acetonitrile (4 &amp;#176;C) and remove the filtrate (flowing liquid) using a vacuum pump 5x</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Elute 2-AB labeled glycan with 100 &amp;#181;L of ultra-pure water 3x.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Transfer the 2-AB labeled glycan into an oven to dry at 60 &amp;#176;C for 3.5 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Save the labeled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-glycans at -80 &amp;#176;C until further measurement.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Hydrophilic interaction chromatography and analysis of glycans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Conditioning of UPLC instruments and preparation of mobile phases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Prepare mobile phases including solvent A: 100 mM ammonium formate (pH = 4.4), solvent B: 100% acetonitrile, solvent C: 90% ultra-pure water (10% methanol), and solvent D: 50% methanol (ultra-pure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Open the software to control the mobile phases.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Wash UPLC instruments at flow rate of 0.2 mL/min (50% solvent B and 50% solvent C) balancing for 30 min, then at a flow rate of 0.2 mL/min (25% solvent A and 75% solvent B) balancing for 20 min, then a flow rate of 0.4 mL/min balancing.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Dissolve the labeled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-glycans with 25 &amp;#181;L of a mixture of 100% acetonitrile and ultra-pure water at a 2:1 ratio (v/v). Then, centrifuge at 134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(4 &amp;#176;C) and load 10 &amp;#181;L of the labeled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-glycans into the UPLC instruments.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Separate the labeled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-glycans at flow rate of 0.4 mL/min with a linear gradient of 75% to 62% acetonitrile for 25 min. Then, perform an analytical run by dextran calibration ladder/glycopeptide column on a UPLC at 60 &amp;#176;C (here, samples were kept at 4 &amp;#176;C prior to injection).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Detect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-glycan fluorescence at excitation and emission wave lengths of 330 nm and 420 nm,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Integrate the glycans based on peak position and retention time.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Calculate the relative value of each Glycan Peak (GP)/ all Glycan Peaks (GPs) (percentage, %) as follows: GP1: GP1/GPs*100, GP2: GP2/GPs*100, GP3: GP3/GPs*100, etc.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were analyzed into 24 initial IgG glycan peaks (GPs) based on peak position and retention time. The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structures are available through mass spectrometry detection according to a previous study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ensure that the results were comparable, total area normalization was applied, in which the amount of glycans in each peak was expressed as a percentage of the total integrated area.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the repeatability and stability of the method, the standard sample was tested in parallel six times. As shown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coefficient of variation (CV) of 24 GPs ranged from 1.84%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16.73%, 15 (62.50%) of which were below 10%. GPs with relatively small proportions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showed high measurement errors (more than 10% of CV). In addition, the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profiles combined from 76 individuals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indicated that the position of GP was stable, shape of GP was similar, and integration for the samples maintained the same intervals. The above results indicate that the method is stable and repeatable.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an additional 36 derived traits describing the relative abundances of galactosylation, sialylation, bisecting GlcNAc, and core fucosylation were calculated by the remaining 24 directly measured glycans. For example, G2/G0 (GP12/GP2) reflected the level of galactosylation (di-/a-) without core fucosylation and bisecting GlcNAc. G2/G1 (GP14/[GP8 + GP9]) reflected the level of galactosylation (di-/mono-) with core fucosylation and without bisecting GlcNAc. Finally, G1/G0 ([GP10 + GP11]/GP6) reflected the level of galactosylation (mono-/a-) with core fucosylation and bisecting GlcNAc. These calculations of derived glycans follow a principle, to see the change of only one glycosylation trait.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UPLC chromatogram of one individual.</w:t>
      </w:r>
      <w:r>
        <w:rPr>
          <w:rFonts w:ascii="Calibri" w:hAnsi="Calibri" w:cs="Calibri" w:eastAsia="Calibri"/>
          <w:color w:val="000000"/>
          <w:spacing w:val="0"/>
          <w:position w:val="0"/>
          <w:sz w:val="24"/>
          <w:shd w:fill="auto" w:val="clear"/>
        </w:rPr>
        <w:t xml:space="preserve">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were analyzed into 24 initial IgG glycan peaks (GPs) based on peak position and retention time. GP8 represents the sum of GP 8a and GP 8b. GP16 represents the sum of GP 16a and GP 16b. </w:t>
      </w:r>
      <w:r>
        <w:rPr>
          <w:rFonts w:ascii="Calibri" w:hAnsi="Calibri" w:cs="Calibri" w:eastAsia="Calibri"/>
          <w:color w:val="auto"/>
          <w:spacing w:val="0"/>
          <w:position w:val="0"/>
          <w:sz w:val="24"/>
          <w:shd w:fill="auto" w:val="clear"/>
        </w:rPr>
        <w:t xml:space="preserve">The structure of glycans in each chromatographic peak and the average percentage of individual structures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UPLC chromatogram of 76 individuals.</w:t>
      </w:r>
      <w:r>
        <w:rPr>
          <w:rFonts w:ascii="Calibri" w:hAnsi="Calibri" w:cs="Calibri" w:eastAsia="Calibri"/>
          <w:color w:val="000000"/>
          <w:spacing w:val="0"/>
          <w:position w:val="0"/>
          <w:sz w:val="24"/>
          <w:shd w:fill="auto" w:val="clear"/>
        </w:rPr>
        <w:t xml:space="preserve"> The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profiles were combined from 76 individuals to demonstrate the repeatability and stability of the method.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Structure of the 24 initial IgG glycans.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Precision of the method.</w:t>
      </w:r>
      <w:r>
        <w:rPr>
          <w:rFonts w:ascii="Calibri" w:hAnsi="Calibri" w:cs="Calibri" w:eastAsia="Calibri"/>
          <w:color w:val="000000"/>
          <w:spacing w:val="0"/>
          <w:position w:val="0"/>
          <w:sz w:val="24"/>
          <w:shd w:fill="auto" w:val="clear"/>
        </w:rPr>
        <w:t xml:space="preserve"> The standard sample is tested in parallel six times to assess the repeatability and stability of the method.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Calculation of the derived glycans.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UPLC serves as a relative quantitative analysis method</w:t>
      </w:r>
      <w:r>
        <w:rPr>
          <w:rFonts w:ascii="Calibri" w:hAnsi="Calibri" w:cs="Calibri" w:eastAsia="Calibri"/>
          <w:color w:val="080000"/>
          <w:spacing w:val="0"/>
          <w:position w:val="0"/>
          <w:sz w:val="24"/>
          <w:shd w:fill="auto" w:val="clear"/>
          <w:vertAlign w:val="superscript"/>
        </w:rPr>
        <w:t xml:space="preserve">5,15</w:t>
      </w:r>
      <w:r>
        <w:rPr>
          <w:rFonts w:ascii="Calibri" w:hAnsi="Calibri" w:cs="Calibri" w:eastAsia="Calibri"/>
          <w:color w:val="000000"/>
          <w:spacing w:val="0"/>
          <w:position w:val="0"/>
          <w:sz w:val="24"/>
          <w:shd w:fill="auto" w:val="clear"/>
        </w:rPr>
        <w:t xml:space="preserve">. The results indicate that UPLC is a stable detection technology with good reproducibility and relative quantitative accuracy. The amount of glycans in each peak is expressed as a percentage of the total integrated area using UPLC, which is the relative value. The relative quantification improves the comparability of test samples. In addition, 96 well protein G plates are used to purify IgG with 96 samples at one time for high throughput detection. The ability of protein G to bind IgG is greater than that of protein A, as described in previous studies</w:t>
      </w:r>
      <w:r>
        <w:rPr>
          <w:rFonts w:ascii="Calibri" w:hAnsi="Calibri" w:cs="Calibri" w:eastAsia="Calibri"/>
          <w:color w:val="08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the structures of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 are clearly separated. The derived IgG glycans describe the level of galactosylation, sialylation, bisecting GlcNAc, and core fucosylation, which are calculated by the initial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In a previous study, some derived glycans (FB</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FBG0</w:t>
      </w:r>
      <w:r>
        <w:rPr>
          <w:rFonts w:ascii="Calibri" w:hAnsi="Calibri" w:cs="Calibri" w:eastAsia="Calibri"/>
          <w:color w:val="000000"/>
          <w:spacing w:val="0"/>
          <w:position w:val="0"/>
          <w:sz w:val="24"/>
          <w:shd w:fill="auto" w:val="clear"/>
          <w:vertAlign w:val="superscript"/>
        </w:rPr>
        <w:t xml:space="preserve">n </w:t>
      </w:r>
      <w:r>
        <w:rPr>
          <w:rFonts w:ascii="Calibri" w:hAnsi="Calibri" w:cs="Calibri" w:eastAsia="Calibri"/>
          <w:color w:val="000000"/>
          <w:spacing w:val="0"/>
          <w:position w:val="0"/>
          <w:sz w:val="24"/>
          <w:shd w:fill="auto" w:val="clear"/>
        </w:rPr>
        <w:t xml:space="preserve">/ G0</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FB</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0"/>
          <w:position w:val="0"/>
          <w:sz w:val="24"/>
          <w:shd w:fill="auto" w:val="clear"/>
          <w:vertAlign w:val="superscript"/>
        </w:rPr>
        <w:t xml:space="preserve">ntotal</w:t>
      </w:r>
      <w:r>
        <w:rPr>
          <w:rFonts w:ascii="Calibri" w:hAnsi="Calibri" w:cs="Calibri" w:eastAsia="Calibri"/>
          <w:color w:val="000000"/>
          <w:spacing w:val="0"/>
          <w:position w:val="0"/>
          <w:sz w:val="24"/>
          <w:shd w:fill="auto" w:val="clear"/>
        </w:rPr>
        <w:t xml:space="preserve">, B</w:t>
      </w:r>
      <w:r>
        <w:rPr>
          <w:rFonts w:ascii="Calibri" w:hAnsi="Calibri" w:cs="Calibri" w:eastAsia="Calibri"/>
          <w:color w:val="000000"/>
          <w:spacing w:val="0"/>
          <w:position w:val="0"/>
          <w:sz w:val="24"/>
          <w:shd w:fill="auto" w:val="clear"/>
          <w:vertAlign w:val="superscript"/>
        </w:rPr>
        <w:t xml:space="preserve">n </w:t>
      </w:r>
      <w:r>
        <w:rPr>
          <w:rFonts w:ascii="Calibri" w:hAnsi="Calibri" w:cs="Calibri" w:eastAsia="Calibri"/>
          <w:color w:val="000000"/>
          <w:spacing w:val="0"/>
          <w:position w:val="0"/>
          <w:sz w:val="24"/>
          <w:shd w:fill="auto" w:val="clear"/>
        </w:rPr>
        <w:t xml:space="preserve">/ (F</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 FB</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FBG2</w:t>
      </w:r>
      <w:r>
        <w:rPr>
          <w:rFonts w:ascii="Calibri" w:hAnsi="Calibri" w:cs="Calibri" w:eastAsia="Calibri"/>
          <w:color w:val="000000"/>
          <w:spacing w:val="0"/>
          <w:position w:val="0"/>
          <w:sz w:val="24"/>
          <w:shd w:fill="auto" w:val="clear"/>
          <w:vertAlign w:val="superscript"/>
        </w:rPr>
        <w:t xml:space="preserve">n </w:t>
      </w:r>
      <w:r>
        <w:rPr>
          <w:rFonts w:ascii="Calibri" w:hAnsi="Calibri" w:cs="Calibri" w:eastAsia="Calibri"/>
          <w:color w:val="000000"/>
          <w:spacing w:val="0"/>
          <w:position w:val="0"/>
          <w:sz w:val="24"/>
          <w:shd w:fill="auto" w:val="clear"/>
        </w:rPr>
        <w:t xml:space="preserve">/ FG2</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FG2</w:t>
      </w:r>
      <w:r>
        <w:rPr>
          <w:rFonts w:ascii="Calibri" w:hAnsi="Calibri" w:cs="Calibri" w:eastAsia="Calibri"/>
          <w:color w:val="000000"/>
          <w:spacing w:val="0"/>
          <w:position w:val="0"/>
          <w:sz w:val="24"/>
          <w:shd w:fill="auto" w:val="clear"/>
          <w:vertAlign w:val="superscript"/>
        </w:rPr>
        <w:t xml:space="preserve">n </w:t>
      </w:r>
      <w:r>
        <w:rPr>
          <w:rFonts w:ascii="Calibri" w:hAnsi="Calibri" w:cs="Calibri" w:eastAsia="Calibri"/>
          <w:color w:val="000000"/>
          <w:spacing w:val="0"/>
          <w:position w:val="0"/>
          <w:sz w:val="24"/>
          <w:shd w:fill="auto" w:val="clear"/>
        </w:rPr>
        <w:t xml:space="preserve">/ (BG2</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 FBG2</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 BG2</w:t>
      </w:r>
      <w:r>
        <w:rPr>
          <w:rFonts w:ascii="Calibri" w:hAnsi="Calibri" w:cs="Calibri" w:eastAsia="Calibri"/>
          <w:color w:val="000000"/>
          <w:spacing w:val="0"/>
          <w:position w:val="0"/>
          <w:sz w:val="24"/>
          <w:shd w:fill="auto" w:val="clear"/>
          <w:vertAlign w:val="superscript"/>
        </w:rPr>
        <w:t xml:space="preserve">n </w:t>
      </w:r>
      <w:r>
        <w:rPr>
          <w:rFonts w:ascii="Calibri" w:hAnsi="Calibri" w:cs="Calibri" w:eastAsia="Calibri"/>
          <w:color w:val="000000"/>
          <w:spacing w:val="0"/>
          <w:position w:val="0"/>
          <w:sz w:val="24"/>
          <w:shd w:fill="auto" w:val="clear"/>
        </w:rPr>
        <w:t xml:space="preserve">/ (FG2</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 FBG2</w:t>
      </w:r>
      <w:r>
        <w:rPr>
          <w:rFonts w:ascii="Calibri" w:hAnsi="Calibri" w:cs="Calibri" w:eastAsia="Calibri"/>
          <w:color w:val="000000"/>
          <w:spacing w:val="0"/>
          <w:position w:val="0"/>
          <w:sz w:val="24"/>
          <w:shd w:fill="auto" w:val="clear"/>
          <w:vertAlign w:val="superscript"/>
        </w:rPr>
        <w:t xml:space="preserve">n</w:t>
      </w:r>
      <w:r>
        <w:rPr>
          <w:rFonts w:ascii="Calibri" w:hAnsi="Calibri" w:cs="Calibri" w:eastAsia="Calibri"/>
          <w:color w:val="000000"/>
          <w:spacing w:val="0"/>
          <w:position w:val="0"/>
          <w:sz w:val="24"/>
          <w:shd w:fill="auto" w:val="clear"/>
        </w:rPr>
        <w:t xml:space="preserve">)) could reflect the change in multiple glycosylation levels but did not reflect the level of specific glycosylation</w:t>
      </w:r>
      <w:r>
        <w:rPr>
          <w:rFonts w:ascii="Calibri" w:hAnsi="Calibri" w:cs="Calibri" w:eastAsia="Calibri"/>
          <w:color w:val="08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 large-scale study showed that IgG galactosylation (referred to as Gal-ratio) can serve as a promising biomarker for cancer screening in multiple cancer types</w:t>
      </w:r>
      <w:r>
        <w:rPr>
          <w:rFonts w:ascii="Calibri" w:hAnsi="Calibri" w:cs="Calibri" w:eastAsia="Calibri"/>
          <w:color w:val="08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distribution of IgG galactosylation is measured by calculating the relative intensities of agalactosylated (G0)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monogalactosylated (G1) and digalactosylated (G2)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according to the formula (G0/[G1 + G2 x 2]). The Gal-ratio reflects the level of galactosylation with core fucosylation and without bisecting GlcNAc. Therefore, multiple initial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were combined with a derived glycan, representing the level of a specific glycosylation trait. The calculations of derived glycans follow a principle that explores the changes in only one glycosylation trait fixed over other glycosylation trait.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protocol, pH is important for maintaining the stability of IgG and glycan structures, especially for stabilizing terminal sialylation. Therefore, the pH value of the solution must be strictly controlled, and the pH of the solution exposed to IgG must be restored as well as glycans kept at a neutral pH level. In addition, the glycan release step is critical in this protocol. The key to glycan release is improving the activity of the PNGase F enzyme to maximize its efficiency. For example, it was found that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h is optimal for PNGaseF digestion. This step needs to be fully reacted.</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2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There are some limitations of this technique. </w:t>
      </w:r>
      <w:r>
        <w:rPr>
          <w:rFonts w:ascii="Calibri" w:hAnsi="Calibri" w:cs="Calibri" w:eastAsia="Calibri"/>
          <w:color w:val="000000"/>
          <w:spacing w:val="0"/>
          <w:position w:val="0"/>
          <w:sz w:val="24"/>
          <w:shd w:fill="auto" w:val="clear"/>
        </w:rPr>
        <w:t xml:space="preserve">The method used cannot differentiate glycans released from the Fab and the Fc portions of IgG. Glycans from Fab and Fc are known to be different. With the developments in glycoproteomics, detection techniques can measure the levels of IgG combining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to explore the role of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and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-glycosylation in diseases. The cost of equipment is relatively low; however, the cost per sample is rather high.</w:t>
      </w:r>
    </w:p>
    <w:p>
      <w:pPr>
        <w:tabs>
          <w:tab w:val="left" w:pos="223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23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introduces UPLC so that it can be widely used. Comprehensive valuation and standardization of the analytical methods are needed before significant amounts of time and resources are invested in large-scale studies. As UPLC becomes more widely used, the effects of IgG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-glycans and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-glycosylation on certain diseases can be more accurately determined, and glycosylation biomarkers can be used for clinical applications.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from National Natural Science Foundation of China (81673247 &amp;amp; 81872682) and Australian-China Collaborative Grant (NH &amp;amp; MRC - APP1112767 -NSFC 81561128020).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ab/>
        <w:t xml:space="preserve">Kolarich, D., Lepenies, B., Seeberger, P. H. Glycomics, glycoproteomics and the immune system. </w:t>
      </w:r>
      <w:r>
        <w:rPr>
          <w:rFonts w:ascii="Calibri" w:hAnsi="Calibri" w:cs="Calibri" w:eastAsia="Calibri"/>
          <w:i/>
          <w:color w:val="000000"/>
          <w:spacing w:val="0"/>
          <w:position w:val="0"/>
          <w:sz w:val="24"/>
          <w:shd w:fill="auto" w:val="clear"/>
        </w:rPr>
        <w:t xml:space="preserve">Current Opinion in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214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ab/>
        <w:t xml:space="preserve">Cummings, R., Pierce, J. M. The Challenge and Promise of Glycomics. </w:t>
      </w:r>
      <w:r>
        <w:rPr>
          <w:rFonts w:ascii="Calibri" w:hAnsi="Calibri" w:cs="Calibri" w:eastAsia="Calibri"/>
          <w:i/>
          <w:color w:val="000000"/>
          <w:spacing w:val="0"/>
          <w:position w:val="0"/>
          <w:sz w:val="24"/>
          <w:shd w:fill="auto" w:val="clear"/>
        </w:rPr>
        <w:t xml:space="preserve">Chemistry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ab/>
        <w:t xml:space="preserve">Shade, K. T. C., Anthony, R. M. Antibody Glycosylation and Inflammation. </w:t>
      </w:r>
      <w:r>
        <w:rPr>
          <w:rFonts w:ascii="Calibri" w:hAnsi="Calibri" w:cs="Calibri" w:eastAsia="Calibri"/>
          <w:i/>
          <w:color w:val="000000"/>
          <w:spacing w:val="0"/>
          <w:position w:val="0"/>
          <w:sz w:val="24"/>
          <w:shd w:fill="auto" w:val="clear"/>
        </w:rPr>
        <w:t xml:space="preserve">Antibodies.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392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ab/>
        <w:t xml:space="preserve">Gudelj, I., Lauc, G., Pezer, M. Immunoglobulin G glycosylation in aging and diseases. </w:t>
      </w:r>
      <w:r>
        <w:rPr>
          <w:rFonts w:ascii="Calibri" w:hAnsi="Calibri" w:cs="Calibri" w:eastAsia="Calibri"/>
          <w:i/>
          <w:color w:val="000000"/>
          <w:spacing w:val="0"/>
          <w:position w:val="0"/>
          <w:sz w:val="24"/>
          <w:shd w:fill="auto" w:val="clear"/>
        </w:rPr>
        <w:t xml:space="preserve">Cellular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333</w:t>
      </w:r>
      <w:r>
        <w:rPr>
          <w:rFonts w:ascii="Calibri" w:hAnsi="Calibri" w:cs="Calibri" w:eastAsia="Calibri"/>
          <w:color w:val="000000"/>
          <w:spacing w:val="0"/>
          <w:position w:val="0"/>
          <w:sz w:val="24"/>
          <w:shd w:fill="auto" w:val="clear"/>
        </w:rPr>
        <w:t xml:space="preserve">, 65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ab/>
        <w:t xml:space="preserve">Huffman,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Comparative performance of four methods for high-throughput glycosylation analysis of immunoglobulin G in genetic and epidemiological research. </w:t>
      </w:r>
      <w:r>
        <w:rPr>
          <w:rFonts w:ascii="Calibri" w:hAnsi="Calibri" w:cs="Calibri" w:eastAsia="Calibri"/>
          <w:i/>
          <w:color w:val="000000"/>
          <w:spacing w:val="0"/>
          <w:position w:val="0"/>
          <w:sz w:val="24"/>
          <w:shd w:fill="auto" w:val="clear"/>
        </w:rPr>
        <w:t xml:space="preserve">Mloecular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1598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ab/>
        <w:t xml:space="preserve">Stockmann, H., Adamczyk, B., Hayes, J., Rudd, P. M. Automated, high-throughput IgG-antibody glycoprofiling platform.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8841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ab/>
        <w:t xml:space="preserve">Kristic,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Glycans are a novel biomarker of chronological and biological ages. </w:t>
      </w:r>
      <w:r>
        <w:rPr>
          <w:rFonts w:ascii="Calibri" w:hAnsi="Calibri" w:cs="Calibri" w:eastAsia="Calibri"/>
          <w:i/>
          <w:color w:val="000000"/>
          <w:spacing w:val="0"/>
          <w:position w:val="0"/>
          <w:sz w:val="24"/>
          <w:shd w:fill="auto" w:val="clear"/>
        </w:rPr>
        <w:t xml:space="preserve">Jouranls of Gerontology. Series A, Biological Sciences Medical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779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ab/>
        <w:t xml:space="preserve">Nikolac, P.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association between galactosylation of immunoglobulin G and body mass index. </w:t>
      </w:r>
      <w:r>
        <w:rPr>
          <w:rFonts w:ascii="Calibri" w:hAnsi="Calibri" w:cs="Calibri" w:eastAsia="Calibri"/>
          <w:i/>
          <w:color w:val="000000"/>
          <w:spacing w:val="0"/>
          <w:position w:val="0"/>
          <w:sz w:val="24"/>
          <w:shd w:fill="auto" w:val="clear"/>
        </w:rPr>
        <w:t xml:space="preserve">Progress in Neuropsychopharmacology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ab/>
        <w:t xml:space="preserve">Liu,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changes of immunoglobulin G N-glycosylation in blood lipids and dyslipidaemia. </w:t>
      </w:r>
      <w:r>
        <w:rPr>
          <w:rFonts w:ascii="Calibri" w:hAnsi="Calibri" w:cs="Calibri" w:eastAsia="Calibri"/>
          <w:i/>
          <w:color w:val="000000"/>
          <w:spacing w:val="0"/>
          <w:position w:val="0"/>
          <w:sz w:val="24"/>
          <w:shd w:fill="auto" w:val="clear"/>
        </w:rPr>
        <w:t xml:space="preserve">Journal of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ab/>
        <w:t xml:space="preserve">Lemmers,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IgG glycan patterns are associated with type 2 diabetes in independent European populations. </w:t>
      </w:r>
      <w:r>
        <w:rPr>
          <w:rFonts w:ascii="Calibri" w:hAnsi="Calibri" w:cs="Calibri" w:eastAsia="Calibri"/>
          <w:i/>
          <w:color w:val="000000"/>
          <w:spacing w:val="0"/>
          <w:position w:val="0"/>
          <w:sz w:val="24"/>
          <w:shd w:fill="auto" w:val="clear"/>
        </w:rPr>
        <w:t xml:space="preserve">Biochimica Biophysica Acta General Subjects.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1861</w:t>
      </w:r>
      <w:r>
        <w:rPr>
          <w:rFonts w:ascii="Calibri" w:hAnsi="Calibri" w:cs="Calibri" w:eastAsia="Calibri"/>
          <w:color w:val="000000"/>
          <w:spacing w:val="0"/>
          <w:position w:val="0"/>
          <w:sz w:val="24"/>
          <w:shd w:fill="auto" w:val="clear"/>
        </w:rPr>
        <w:t xml:space="preserve">, 2240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t xml:space="preserve">Wang,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Association Between Glycosylation of Immunoglobulin G and Hypertension: A Multiple Ethnic Cross-Sectional Study. </w:t>
      </w:r>
      <w:r>
        <w:rPr>
          <w:rFonts w:ascii="Calibri" w:hAnsi="Calibri" w:cs="Calibri" w:eastAsia="Calibri"/>
          <w:i/>
          <w:color w:val="000000"/>
          <w:spacing w:val="0"/>
          <w:position w:val="0"/>
          <w:sz w:val="24"/>
          <w:shd w:fill="auto" w:val="clear"/>
        </w:rPr>
        <w:t xml:space="preserve">Medicine (Baltimore).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e3379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t xml:space="preserve">Liu,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Ischemic stroke is associated with the pro-inflammatory potential of N -glycosylated immunoglobulin G. </w:t>
      </w:r>
      <w:r>
        <w:rPr>
          <w:rFonts w:ascii="Calibri" w:hAnsi="Calibri" w:cs="Calibri" w:eastAsia="Calibri"/>
          <w:i/>
          <w:color w:val="000000"/>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t xml:space="preserve">Russell, A.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N-glycosylation of immunoglobulin G as a novel biomarker of Parkinson's disease. </w:t>
      </w:r>
      <w:r>
        <w:rPr>
          <w:rFonts w:ascii="Calibri" w:hAnsi="Calibri" w:cs="Calibri" w:eastAsia="Calibri"/>
          <w:i/>
          <w:color w:val="000000"/>
          <w:spacing w:val="0"/>
          <w:position w:val="0"/>
          <w:sz w:val="24"/>
          <w:shd w:fill="auto" w:val="clear"/>
        </w:rPr>
        <w:t xml:space="preserve">GLYCOBIOLOGY.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501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t xml:space="preserve">Bones, J., Mittermayr, S., O'Donoghue, N., Guttman, A., Rudd, P. M. Ultra performance liquid chromatographic profiling of serum N-glycans for fast and efficient identification of cancer associated alterations in glycosylation.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10208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t xml:space="preserve">Pucic,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 throughput isolation and glycosylation analysis of IgG-variability and heritability of the IgG glycome in three isolated human populations. </w:t>
      </w:r>
      <w:r>
        <w:rPr>
          <w:rFonts w:ascii="Calibri" w:hAnsi="Calibri" w:cs="Calibri" w:eastAsia="Calibri"/>
          <w:i/>
          <w:color w:val="000000"/>
          <w:spacing w:val="0"/>
          <w:position w:val="0"/>
          <w:sz w:val="24"/>
          <w:shd w:fill="auto" w:val="clear"/>
        </w:rPr>
        <w:t xml:space="preserve">Molecular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M111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t xml:space="preserve">Berruex, L. G., Freitag, R., Tennikova, T. B. Comparison of antibody binding to immobilized group specific affinity ligands in high performance monolith affinity chromatography. </w:t>
      </w:r>
      <w:r>
        <w:rPr>
          <w:rFonts w:ascii="Calibri" w:hAnsi="Calibri" w:cs="Calibri" w:eastAsia="Calibri"/>
          <w:i/>
          <w:color w:val="000000"/>
          <w:spacing w:val="0"/>
          <w:position w:val="0"/>
          <w:sz w:val="24"/>
          <w:shd w:fill="auto" w:val="clear"/>
        </w:rPr>
        <w:t xml:space="preserve">Journal of Pharmaceutical and Biomedical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95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t xml:space="preserve">Ren,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Distribution of IgG galactosylation as a promising biomarker for cancer screening in multiple cancer types.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963 (2016).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