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High-Resolution Complexome Profiling by Cryoslicing BN-MS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Catrin Swantje M&amp;#252;ller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Wolfgang Bildl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Norbert Klugbauer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Alexander Haupt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Bernd Fakler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Uwe Schulte</w:t>
      </w:r>
      <w:r>
        <w:rPr>
          <w:rFonts w:ascii="Calibri" w:hAnsi="Calibri" w:cs="Calibri" w:eastAsia="Calibri"/>
          <w:color w:val="000000"/>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Physiology, Faculty of Medicine, Albert-Ludwigs-University, Freiburg,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Experimental and Clinical Pharmacology and Toxicology, Faculty of Medicine, Albert-Ludwigs-University, Freiburg,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Signalling Research Centres BIOSS and CIBSS, Freiburg,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Logopharm GmbH, Schlo&amp;#223;str. 14, 79232 March-Buchheim,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tabs>
          <w:tab w:val="left" w:pos="1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Uwe Schulte</w:t>
        <w:tab/>
        <w:tab/>
        <w:tab/>
        <w:t xml:space="preserve">(uwe.schulte@physiologie.uni-freiburg.de)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Catrin Swantje M&amp;#252;ller</w:t>
        <w:tab/>
        <w:tab/>
        <w:t xml:space="preserve">(catrin.mueller@physiologie.uni-freiburg.de)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Wolfgang Bildl</w:t>
        <w:tab/>
        <w:tab/>
        <w:tab/>
        <w:t xml:space="preserve">(wolfgang.bildl@physiologie.uni-freiburg.de)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Norbert Klugbauer </w:t>
        <w:tab/>
        <w:tab/>
        <w:tab/>
        <w:t xml:space="preserve">(n.klugbauer@pharmakol.uni-freiburg.de)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Haupt </w:t>
        <w:tab/>
        <w:tab/>
        <w:tab/>
        <w:t xml:space="preserve">(alexander.haupt@physiologie.uni-freiburg.de)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Bernd Fakler </w:t>
        <w:tab/>
        <w:tab/>
        <w:tab/>
        <w:tab/>
        <w:t xml:space="preserve">(bernd.fakler@physiologie.uni-freiburg.de)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complexome profiling, protein complex, protein-protein interactions, native gel electrophoresis, functional proteomics, membrane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versatile cryoslicing BN-MS protocol using a microtome is presented for high-resolution complexome profiling.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Proteins generally exert biological functions through interactions with other proteins, either in dynamic protein assemblies or as a part of stably formed complexes. The latter can be elegantly resolved according to molecular size using native polyacrylamide gel electrophoresis (BN-PAGE). Coupling of such separations to sensitive mass spectrometry (BN-MS) has been well-established and theoretically allows for exhaustive assessment of the extractable complexome in biological samples. However, this approach is rather laborious and provides limited complex size resolution and sensitivity. Also, its application has remained restricted to abundant mitochondrial and plastid proteins. Thus, for a majority of proteins, information regarding integration into stable protein complexes is still lacking. Presented here is an optimized approach for complexome profiling comprising preparative-scale BN-PAGE separation, sub-millimeter sampling of broad gel lanes by cryomicrotome slicing, and mass spectrometric analysis with label-free protein quantification. The procedures and tools for critical steps are described in detail. As an application, the report describes complexome analysis of a solubilized endosome-enriched membrane fraction from mouse kidneys, with 2,545 proteins profiled in total. The results demonstrate identification of uniform, low-abundance membrane proteins such as intracellular ion channels as well as high resolution, complex protein assembly patterns, including glycosylation isoforms. The results are in agreement with independent biochemical analyses. In summary, this methodology allows for comprehensive and unbiased identification of protein (super)complexes and their subunit composition, providing a basis for investigating stoichiometry, assembly, and interaction dynamics of protein complexes in any biological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BN-PAGE separation was first directly coupled to LC-MS analysis (BN-MS) by the Majeran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Wessels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research groups using manual slicing of BN-PAGE gel lanes. Their analyses identified a number of abundant membrane protein complexes with known subunit composition from plant plastids and HEK cell mitochondria, respectively. However, these analyses were far from comprehensive and did not allow for unbiased identification of novel assemblies. Performance of mass spectrometers and label-free quantification methods has considerably improved since then, which has enabled comprehensive BN-MS analyses. This has coined the term “complexome profiling”. For example, Heide and coworkers analyzed rat heart mitochondria identifying and clustering 464 mitochondrial proteins, thereby confirming many known assemblies. In addition, they found TMEM126B to be a novel and crucial subunit of a specific assembly complex</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Comparable results (with 437 mitochondrial protein profiles) were obtained in a parallel study of HEK cell mitochondria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these improvements, several issues have remained that restrain the full potential of BN-MS for complexome profiling. A major limitation is the effective size resolution of complexes that is determined by two factors: the (i) quality of the BN-PAGE separation, which depends on the uniformity of the gel matrix pore gradient as well as the stability/solubility of the sample complexes, and (ii) step size of gel sampling, which is at best 1 mm when using conventional manual slicing</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Poor size resolution not only misses subtle complex isoforms and heterogeneities, but it also negatively impacts the dynamic range and confidence of unbiased, de novo subunit assignment and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challenges include the precision of protein quantification and coverage of the actual dynamic range of protein abundances in the sample by mass spectrometric analysis. Therefore, application of BN-MS complexome profiling has remained largely restricted to biological samples with lower complexity, high expression of target complexes, and favorable solubilization properties (i.e., plastids, mitochondria, and microorganisms)</w:t>
      </w:r>
      <w:r>
        <w:rPr>
          <w:rFonts w:ascii="Calibri" w:hAnsi="Calibri" w:cs="Calibri" w:eastAsia="Calibri"/>
          <w:color w:val="000000"/>
          <w:spacing w:val="0"/>
          <w:position w:val="0"/>
          <w:sz w:val="24"/>
          <w:shd w:fill="auto" w:val="clear"/>
          <w:vertAlign w:val="superscript"/>
        </w:rPr>
        <w:t xml:space="preserve">6,7,8,9,10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recently introduced cryomicrotome slicing-assisted BN-MS (csBN-MS), which combines precise sub-millimeter sampling of BN-PAGE gel lanes with comprehensive MS analysis and elaborate MS data processing for determination of protein profiles with high confidence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Application to a mitochondrial membrane preparation from rat brains demonstrated previously unmet effective complex size resolution and maximum coverage of oxidative respiratory chain complex (OXPHOS) subunits (i.e., 90 of 90 MS-accessible). This example also identified a number of novel protein assemblies.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are optimized procedures for preparative scale BN-PAGE separation of protein complexes (not restricted to a particular biological source), casting of large preparative BN-PAGE gels, cryomicrotome slicing of broad gel lanes, and MS data processing. Performance of high resolution profiling is demonstrated for a protein complex preparation from mouse kidney endosome-enriched membranes. Finally, the benefits from increasing resolution and precision of mass spectrometric quantification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Preparative BN-PAGE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Gel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Use a middle-to-large format vertical gel electrophoresis system (&amp;gt;10 cm gel separation distance; 14 cm x 11 cm, 1.5 mm spacer) with effective cooling set to 10 &amp;#176;C.</w:t>
        <w:br/>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Cast linear or hyperbolic pore gradient gel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mm spacers) using a stirring two-chamber gradient mixer driven by a pump (see </w:t>
      </w:r>
      <w:r>
        <w:rPr>
          <w:rFonts w:ascii="Calibri" w:hAnsi="Calibri" w:cs="Calibri" w:eastAsia="Calibri"/>
          <w:b/>
          <w:color w:val="000000"/>
          <w:spacing w:val="0"/>
          <w:position w:val="0"/>
          <w:sz w:val="24"/>
          <w:shd w:fill="FFFF00" w:val="clear"/>
        </w:rPr>
        <w:t xml:space="preserve">Table of Materials and Reagents</w:t>
      </w:r>
      <w:r>
        <w:rPr>
          <w:rFonts w:ascii="Calibri" w:hAnsi="Calibri" w:cs="Calibri" w:eastAsia="Calibri"/>
          <w:color w:val="000000"/>
          <w:spacing w:val="0"/>
          <w:position w:val="0"/>
          <w:sz w:val="24"/>
          <w:shd w:fill="FFFF00" w:val="clear"/>
        </w:rPr>
        <w:t xml:space="preserve">). In the presented example (linear gradient gel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1.1.2.1</w:t>
        <w:tab/>
        <w:t xml:space="preserve">Produce a 13 mL solution for the front (mixing) chamber consisting of: 13% acrylamide (from 30% stock solution, 37.5:1.0 acrylamide:bisacrylamide), 0.75 M aminocaproic acid, 50 mM Bis-Tris (pH = 7.0), and 10% glycerol.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1.1.2.2</w:t>
        <w:tab/>
        <w:t xml:space="preserve">Produce a 10 mL solution for the reservoir chamber consisting of: 1% acrylamide (from 30% stock solution, 37.5:1.0 acrylamide:bisacrylamide), 0.75 M aminocaproic acid, 50 mM Bis-Tris (pH = 7.0), and 0.2% CL-47 detergent.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Start the stirrer and add 30 &amp;#181;L of APS (ammonium peroxo disulfate, 10% stock solution) and 2.5 &amp;#181;L of TEMED (N,N,N',N'-tetramethyl ethylenediamine) to the solution in the front chamber, and 90 &amp;#181;L of APS and 5 &amp;#181;L of TEMED to the solution in the reservoir chamber. Then, open the front valve, start the pump (flow should be adjusted to complete casting in 10 min), and open the chamber connection.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Allow the gel to polymerize slowly but thoroughly for at least 24 h at room temperature (RT) to generate a homogenous pore size gradient. When kept moist, the polymerized gel can be stored upright at 4 &amp;#176;C for up to 1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Intentionally, the top of the gel will have a soft/slimy consistency. This will later be removed but allows for smooth entry of proteins into the gel, with minimal risk of protein precipitation that may otherwise lead to migration artifacts (i.e., streaking or protein precipitation).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Sample preparation and loading: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Prepare loading slots by inserting appropriate spacers (e.g., silicon tubes) between the glass plates for separating 0.5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mg of protein. The slots should be made at least 3 cm wide (or better,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 cm wide).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Solubilize ~2.5 mg of membrane (mouse kidney endosome-enriched preparation) in 2 mL of solubilization buffer containing 1% (w/v) non-denaturing detergent (ComplexioLyte CL-47) for 30 min on ice. Ultracentrifugate (sedimentation cut-off = 200 S or less; 120,000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/10 min is 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Concentrate the solubilisate on a short 50%/20% (w/v, 0.3 ml each) sucrose step gradient by ultracentrifugation for 1 h at 400,000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The final protein yield should be at least 1 mg.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Add 0.05% (w/v) Coomassie G-250 to the solubilisate and load the sample on the gel. Limit the protein load to a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&amp;#181;g/mm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gel lane cross-section to obtain high resolution and avoid artifacts resulting from protein precipitation.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BN-PAGE running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For running buffers, prepare a standard cathode buffer consisting of 50 mM tricine, 15 mM Bis-Tris, and 0.01% Coomassie G-250. Prepare a standard anode buffer consisting of 50 mM Bis-Tris (pH = 7.0).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Run a preparative BN-PAGE at 10 &amp;#176;C overnight using a three-step voltage protocol</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consisting of: an equilibration phase for 30 min at 100 V, then a slow (3 h) ramp to maximum voltage (40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V/cm gel length) that is finally maintained for at least 6 h for endpoint focusing of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pause electrophoresis when the migration front has reached the middle of the gel and exchange the cathode buffer for fresh buffer without Coomassie G250. This helps to avoid precipitation artifacts in the gel resulting from local collapse of the matrix pore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Gel sampling and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Excision of gel lanes: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After the run, scan the gels for documentation purposes while keeping it between the glass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Disassemble the plates and excise the lane section(s) of interest. Fix them for at least 30 min (twice) with 30% (v/v) ethanol and 15% (v/v) acetic acid.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Take a sample strip of the lane and analyze by 2D BN/SDS-PAGE and protein staining or western blotting (as shown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to determine regions of interest, effective complex size resolution, and protein abundance.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T2.2.3</w:t>
        <w:tab/>
        <w:t xml:space="preserve">ransfer the sample to embedding medium and allow it to soak and equilibrate for at least 2 h at 4 &amp;#176;C, while keeping the gel slab in slow motion on an orbital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gel separation should be carefully inspected for overall separation quality and migration artifacts. Gel bands representing dominant proteins should be distortion-free and homogeneous in intensity. Local artifacts on the gel should be excised or left out of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Embedding and cryomicrotome slicing</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an improved version of the embedding procedure described and photo-documented previously that allows for embedding and slicing of broader gel lanes of up to 8 cm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First, cut fixed gel lanes into sections (here, 3 cm) exactly parallel to the protein migration front/band pattern. For easier handling, place each section on a plastic film support with equal dimensions.</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Transfer the lanes into an open tube with stoppers (closed on the bottom, centrally perforated on the top, both precisely aligned with the upper and lower ends of gel section).</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Dip the cylinder briefly into liquid nitrogen to rapidly initiate the solidification. The transparent embedding medium solidifies within seconds and becomes white in color.</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Fill the cavity with embedding medium and freeze the cylinder at -20 &amp;#176;C for several hours.</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Cooling the cylinder rapidly by dipping it into liquid nitrogen helps to avoid displacement of the gel slab within the tube. Distortion should be avoided to ensure high resolution in the following MS analysis.</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After disassembly, remove the plastic film and transfer the block with the embedded gel section to a cooled, larger in diameter, metal cylinder placed on a flat support (i.e., Petri dish) and sealed with embedding medium on the outside of the cylinder. Fill the cylinder with embedding medium and freeze thoroughly.</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Repeat this procedure with the other side of the cylinder to obtain a solid block with a coplanar bottom surface.</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w:t>
        <w:tab/>
        <w:t xml:space="preserve">Remove the block from the cylinder, glue it with embedding medium on a precooled metal holder, and insert the holder into the cryoslicing machine (cryotome) that is carefully aligned with respect to the slicing plane. Allow it to equilibrate at the optimum temperature for the slicing process (here, 13 &amp;#176;C).</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slowly progressing manual slicing cycle of 0.1 mm step size until hitting the surface of the embedded gel section to ensure correct positioning.</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2.2.8</w:t>
        <w:tab/>
        <w:t xml:space="preserve">Harvest the gel slices one after another, with a final desired thickness of 0.25 mm step size, and transfer them individually to reaction tubes with low protein binding properties.</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set-up, uniform gel slices can be readily obtained as thin as 0.1 mm and as thick as 0.5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Tryptic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Perform in-gel tryptic digestion after extensive washing of the gel slices (at least three additional rounds of washing are recommended to remove polymeric components of the embedding medium) following a standard procedure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Vacuum-dry eluted peptides and redissolve in 0.5% (v/v) trifluoroacetic acid by shaking at 37 &amp;#176;C (10 min) followed by bath sonication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Mass spectrometry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nanoHPLC and MS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Load digested samples onto a C18 precolumn (particle size = 5 &amp;#181;m; diameter = 300 &amp;#181;m) with 0.05% (v/v) trifluoroacetic acid using a (split-free) nano-HPLC coupled to a mass spectrometer with high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Elute captured peptides with an aqueous-organic gradient (eluent A): 5 min 3% B, 120 min from 3% B to 30% B, 20 min from 30% B to 99% B, 5 min 99% B, 5 min from 99% B to 3% B, 15 min 3% B (flow rate = 300 nL/min).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csBN-MS gel slices typically result in samples with low to intermediate peptide abundance and a limited degree of complexity. nanoLC-MS/MS analysis should therefore be performed with a set-up providing reasonable sensitivity and sequencing speed, high mass resolution (&amp;gt;100,000) and maximum dynamic range (effectively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orders of magnitude). However, it does not require long column dimensions or elution gradients extended beyond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Separate eluted peptides in an emitter (i.d. 75 &amp;#181;m; tip = 8 &amp;#181;m) manually packed approximately 10 cm with C18 material (particle size = 3 &amp;#181;m). Electrospray the samples at 2.3 kV (positive ion mode) into the heated transfer capillary (250 &amp;#176;C) of the mass spectrometer.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Perform analyses with the following instrument settings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maximum MS/MS injection time = 400 ms; exclusion duration = 60 s; minimum signal threshold = 5,000 counts, top 10 precursors fragmented; isolation width = 1.0 m/z).</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To facilitate calibration of mass, retention time, and assignment of peptide signals in a large number of datasets or measurements, it is recommended to perform respective MS measurement series without interruptions or changes in parameters and hardware (i.e., on the same C18 column/emitter).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Protein identification (MS data evaluated as described previously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Extract peak lists from fragment ion spectra using the “msconvert.exe” tool (part of ProteoWizard).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Shift all precursor m/z values for each dataset by the median m/z offset of all peptides assigned to proteins in a preliminary database search with 50 ppm peptide mass tolerance.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Search the corrected peak lists with a suitable search engine (here, Mascot 2.6.2) against all mouse entries of the UniProtKB/Swiss-Prot database (release 2018_11).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Select “Acetyl (Protein N-term)”, “Carbamidomethyl (C)”, “Gln | pyro-Glu (N-term Q), Glu | pyro-Glu (N-term E)”, “Oxidation (M)”, and “Propionamide (C)” as variable modifications.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Set peptide and fragment mass tolerance to &amp;plusmn; 5 ppm and &amp;plusmn; 0.8 Da, respectively, and allow one missed tryptic cleavage. Set the expect value cut-off for peptide identification to 0.5 or less. Use a decoy database search to determine the false positive discovery rate (FDR). Set the FDR to 1% or apply additional quality criteria to ensure reliable identification.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presented experiment identified more than 3,500 proteins, with an average peptide FDR of 4.4 &amp;plusmn; 0.77% (n = 101 slice samples), or 3,000 proteins when peptide FDR was set to 1%. Importantly, more stringent criteria were used for the selection of profiled proteins (2,568). It included all proteins that were identified with at least two peptides, at least one of them being protein-specific, in at least one of the 101 slice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Protein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Use peptide signal intensities (peak volumes [PVs]) for protein quantification that are obtained from FT full scans and correct for retention time and mass shifts using appropriate software (here, MaxQuant v1.6.3).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Align MS datasets one-by-one to reference (total average) peptide elution times using LOESS regression. Assign PVs to peptides either directly (MS/MS-based identification) or indirectly (i.e., based on their matching m/z and elution time within very narrow tolerances).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uses in-house software for assignment of the “inserted” termed peptides. Set parameters result in effective m/z and elution time matching tolerances of &amp;plusmn; 2 ppm and &amp;plusmn; 1 min, respectively (see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Correct for systematic run-to-run variations in peptide load and ionization efficiency by peptide intensity rescaling calculated from the median differences of relative peptide intensities between neighboring slice samples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Filter PV data for outliers and remaining false-positive assignments identified by internal PV consistency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Normalize PVs of each peptide to their maximum values over all slice datasets yielding relative peptide profiles.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w:t>
        <w:tab/>
        <w:t xml:space="preserve">Finally, calculate relative protein abundance profiles as averages of at least two (and up to six or 50%, whichever value is greater) of the best correlating peptide profiles over a window of three consecutive slices. This allows bridging of missing PV values and reducing noise.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This finally resulted in 2,545 (of 2,568 preselected) protein profiles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Characterization of protein complexes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Analyze protein profiles by first performing peak detection using the local maxima method, and consecutively fit normal distributions to these peaks, yielding the position (i.e., slice index or apparent complex size) of their maxima and FWHM (full width at half-maximal intensity) values (inset of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dataset, profiles are analyzed automatically using custom scripts. The smallest FWHM values are indicative of the effective size resolution of the approach (here, 6 x 0.25 = 1.5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Use reference protein complex peaks with defined molecular mass (as reported in the UniProtKB/Swiss-Prot database) for linear regression analysis of the log10(predicted molecular mass) values to convert slice number indices to apparent molecular sizes (i.e., apparent complex size in kDa).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23 marker complexes in the sample were selected in this study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based on (i) monodisperse shapes of profile peaks, (ii) experimental support of molecular weights, and (iii) distributions along the investigated BN-PAGE gel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vast majority of conventional BN-MS studies as well as the recently established high-resolution csBN-MS approach have been applied to mitochondrial and plastid preparations that are (i) readily available, (ii) have limited complexity, and (iii) express target (membrane) protein complexes at high densities. This protocol extends the application of high-resolution complexome profiling to non-mitochondrial membranes expressing low-abundant proteins, about which little information on their integration into complexes is available. For demonstration purposes, we chose an endosome-enriched membrane preparation from mouse kidney obtained by density gradient centrifugation.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Optimization of this preparation has been guided by the marker protein TPC1 that forms intracellular ion channels predominantly localized to early and recycling endosomes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is also highly expressed in renal proximal tubular cells, as shown by immunohistochemical analysis of kidney tissue sections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These membranes were gently solubilized (ComplexioLyte 47 at a low protein:detergent ratio of 1:8) and concentrated on a sucrose cushion by ultracentrifugation. The latter turned out to be an important step for removing excess lower molecular weight components (i.e., detergents, lipids, salts, organic polymers, and metabolites) that tend to negatively impact on resolution of preparative BN-PAGE separations.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Complex separation on a native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(w/v) polyacrylamide gradient gel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middle panel) showed strongly stained protein bands with very little migration artifacts. SDS-PAGE separation of a narrow BN-PAGE gel strip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frame boxed in red) as a second dimension followed by western blot analysis showed a well-resolved pattern of distinct TPC1-associated complex populations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upper panel, marked by red arrows), most likely resulting from association with additional protein subunits and/or posttranslational modifications (such as glycosylation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3 cm section of interest was excised, fixed, and processed for cryomicrotome slicing as described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individual steps of this procedure (in particular, the precise alignment of the broad gel section), which is of critical importance for preserving resolution during sampling, are documented in the accompanying video. The embedded gel section was finally cut into 101 gel slices with a uniform thickness of 0.25 mm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lower panel), which were separately digested and analyzed by high performance LC-coupled mass spectrometry.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size resolution, the quality of protein quantification is key for successful complexome profiling. With the MS set-up and settings used, analysis of the samples was quite comprehensive, resulting in an average identification of more than 1,000 proteins and 10,000 peptides (8,200 of which were protein-specific) per slice, and around 3,000 proteins and 43,000 peptides (38,500 of which were protein-specific) in total. Nevertheless, due to the stochastic nature of data-dependent MS/MS sequencing and its limitations in dynamic range, intensity information was still fragmentary for less abundant proteins. Therefore, an elaborate MS data processing procedure</w:t>
      </w:r>
      <w:r>
        <w:rPr>
          <w:rFonts w:ascii="Calibri" w:hAnsi="Calibri" w:cs="Calibri" w:eastAsia="Calibri"/>
          <w:color w:val="000000"/>
          <w:spacing w:val="0"/>
          <w:position w:val="0"/>
          <w:sz w:val="24"/>
          <w:shd w:fill="auto" w:val="clear"/>
          <w:vertAlign w:val="superscript"/>
        </w:rPr>
        <w:t xml:space="preserve">11 </w:t>
      </w:r>
      <w:r>
        <w:rPr>
          <w:rFonts w:ascii="Calibri" w:hAnsi="Calibri" w:cs="Calibri" w:eastAsia="Calibri"/>
          <w:color w:val="000000"/>
          <w:spacing w:val="0"/>
          <w:position w:val="0"/>
          <w:sz w:val="24"/>
          <w:shd w:fill="auto" w:val="clear"/>
        </w:rPr>
        <w:t xml:space="preserve">was performed that is based on precise assignment of peptide signals (peak volumes [PVs] = peptide-related signal intensities integrated over m/z and time) over the entire series of datasets.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deviations of peptide signals in mass and retention time that remained after calibration were identical for MS sequenced and for indirectly assigned PVs (with very narrow tolerances of &amp;lt;1 ppm and &amp;lt;0.5 min for 95% of the PVs), indicative of a very low rate for false-positive PV assignment. Remaining outliers were filtered based on their consistency with other related PVs. Since all MS measurements were performed consecutively on the same LC-MS set-up without changes in parameters or hardware components, run-to-run variations (determined as the median of all PV intensities in a sample relative to those in the neighboring slices) were small and easily eliminated by rescaling of the PV datasets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resulting peptide intensity information was then used to reconstruct 2,545 protein relative abundance profiles. As shown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more than 75% of these protein profiles were based on at least three independent protein-specific 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the protocol assessed relevance of the step size of BN-PAGE gel sampling for the resolution of protein complexes. For this purpose, slice datasets were joined by summing the PV information from two, three, or four consecutive slices, thus simulating the outcome for step sizes of 0.5 mm, 0.75 mm, and 1 mm (compared to the original sampling of 0.25 mm).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illustrates the resulting abundance profiles for protein TPC1 as an example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At 0.25 mm, relative intensities and size separation of TPC1-associated complex populations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were nicely in agreement with the results from western blot analysis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upper panel); although, the profile showed some noise, mostly resulting from missing values (“gaps”) in the PV matrix used for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Joining of two slices corresponding to 0.5 mm maintained the correct intensities and separation of the TPC1-associated complexes and removed quantification noise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contrast, larger step sizes of 0.75 mm and 1 mm (</w:t>
      </w:r>
      <w:r>
        <w:rPr>
          <w:rFonts w:ascii="Calibri" w:hAnsi="Calibri" w:cs="Calibri" w:eastAsia="Calibri"/>
          <w:b/>
          <w:color w:val="000000"/>
          <w:spacing w:val="0"/>
          <w:position w:val="0"/>
          <w:sz w:val="24"/>
          <w:shd w:fill="auto" w:val="clear"/>
        </w:rPr>
        <w:t xml:space="preserve">Figure 3C,D</w:t>
      </w:r>
      <w:r>
        <w:rPr>
          <w:rFonts w:ascii="Calibri" w:hAnsi="Calibri" w:cs="Calibri" w:eastAsia="Calibri"/>
          <w:color w:val="000000"/>
          <w:spacing w:val="0"/>
          <w:position w:val="0"/>
          <w:sz w:val="24"/>
          <w:shd w:fill="auto" w:val="clear"/>
        </w:rPr>
        <w:t xml:space="preserve">) led to a loss of size resolution and abolished discrimination of TPC1 complex subpopulations. It should be noted that the vast majority of published conventional BN-MS analyses use manually cut 2 mm slices (around 60 to cover the entire gel lane)</w:t>
      </w:r>
      <w:r>
        <w:rPr>
          <w:rFonts w:ascii="Calibri" w:hAnsi="Calibri" w:cs="Calibri" w:eastAsia="Calibri"/>
          <w:color w:val="000000"/>
          <w:spacing w:val="0"/>
          <w:position w:val="0"/>
          <w:sz w:val="24"/>
          <w:shd w:fill="auto" w:val="clear"/>
          <w:vertAlign w:val="superscript"/>
        </w:rPr>
        <w:t xml:space="preserve">7,8,9,10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Conversion of migration distance or slice index to molecular size is generally based on markers, either commercially available native standard proteins or well-characterized endogenous protein complexes with known subunit composition (mostly [super]complexes of the mitochondrial oxidative respiratory chain [OXPHOS])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since BN-PAGE separation is based on the effective molecular cross-section that is determined not only by the molecular mass but also by the 3D structure and number of associated lipids, detergent, and Coomassie molecules, individual proteins may show larger deviations. Therefore, it was chosen to use larger sets of protein complexes as markers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plot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23 selected markers with a representative subunit shown as a black circle, indicating the log10 values of its predicted molecular mass (according to the UniProtKB/Swiss-Prot database)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slice index of the corresponding profile peak maximum. The latter were obtained from automatized Gaussian fits to the relative abundance data, as shown in the inset of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showing the example with chaperone BCS1. Linear regression (red line) provided a function to convert slice index values to apparent molecular sizes, which ranged from 160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630 kDa, along the investigated gel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analysis provided information on well-characterized complexes and demonstrated the existence of novel subunits and complex assemblies. Examples highlighting different aspects of the complexome are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proteins expressed or preferably located in endosomal compartments; 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 complexes from other subcellular localizations). The iron-transporting protein ferritin is known to form complexes from 24 light (FRIL1) and/or heavy (FRIH) subunits, with a total molecular weight of 440 kDa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filled arrow). The subunit profiles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suggest the existence of at least two smaller forms of the complex (with an apparent mass of 360 kDa and 340 kDa; open arrows) with distinct heavy/light chain stoichiometries (better visible after rescaling, inset of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that are abundantly present in endosomes.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nicalin-nomo1 complexes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the gamma-secretase core complex</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the GPI-transamidase machinery</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show fixed abundance ratios of their core subunits over the entire size range and independent from association with additional proteins. This indicates that their subunits are exclusive to each other. Vacuolar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-ATPases are multiprotein complexes assembled from a pool of more than 20 subunits in a modular manner with a total molecular weight of around 900 kDa.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reveals sub-complexes with distinct compositions from at least 17 subunits, either representing biological (dis)assembly intermediates or subcomplexes generated by the experimental conditions, some of which have also been observed in a recent BN-MS study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Another multi-protein complex example is the proteasome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Close inspection of the abundance profiles of the alpha and beta subunits forming the 20S proteasome core suggests two major complex populations with subtle differences in size (590 kDa and 575 kDa, indicated by grey arrows) and integration of three beta subunits.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csBN-MS complexome profiling of endosome-enriched kidney membranes provide comprehensive and detailed results regarding the (i) integration of uniform, low-abundance target proteins into complexes, (ii) general complex subunit composition and stoichiometry, and (iii) complex heterogeneities, substructures, and (dis)assembly intermediates.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Preparative BN-PAGE separation of solubilized endosome-enriched membranes from mouse kidney using intracellular channel TPC1 as a marker.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Immunohistochemical localization of TPC1 protein in renal proximal tubules by confocal microscopy. Green: anti-TPC1 antibody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staining visualized with secondary Cy3-biotinylated goat anti-rabbit IgG; red: biotinylated Lotus tetragonolobus lectin (LTL, 10 &amp;#181;g/mL, FITC-conjugated) marking the luminal surface of proximal tubulus cells. The inset shows staining of a corresponding section from a TPC1-KO kidney as a negative control. White scale bars are 20 &amp;#181;m. Also of note is strong TPC1 expression in intracellular vesicles, known from independent experiments to represent early and recycling endosomes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Preparative BN-PAGE separation of 2.5 mg of solubilized endosome-enriched membranes on a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(w/v) polyacrylamide gradient gel. A narrow lane (framed in red) was cut for subsequent SDS-PAGE/western blot analysis (upper panel), resolving different TPC1-associated complexes and glycosylation patterns (red arrows: anti-TPC1/anti-rabbit HRP/ECL prime; green: positions and predicted masses [MDa] of marker protein complexes identified by total protein staining [SYPRO Ruby blot stain]) of the blot. From right to left: Na+/K+-transporting ATPase, Cytochrome b-c1 complex dimer, ATP synthase, NADH:ubiquinone oxidoreductase. A 3 cm section of interest from the gel lane was excised, embedded in tissue embedding medium, mounted, and sliced into 101 sections (0.25 mm) along the protein migration front using a cryomicrotome (lower panel; see video link).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Key parameters determining accuracy of MS signal assignment and quantification as well as depth of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Distribution of relative mass errors (in ppm) after m/z calibration of MS/MS sequenced (red bars) and indirectly assigned (i.e., based on closely matching mass and retention times, see protocol; blue bars) peptide signals. This suggests a final mass error of &amp;lt;1 ppm (for 95% of the signals/assigned PVs) and very low rate of false positive assignments.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Distribution of nano-HPLC retention time deviations from total average after elution time alignment of peptide signals, using Loess regression (see protocol) and color coding as used in (A). Time error is less than 30 s for &amp;gt;95% of peptide signals/assigned PVs.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Run-to-run variation of total MS intensities plotted relative to the average of the two neighboring samples. These scale factors were applied to the raw PV tables to minimize systematic technical errors.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Peptide information used for calculating relative abundance profiles of proteins. After filtering protein-specific peptides for outliers, poorly scored, or single identifications (see protocol), 2,545 protein abundance profiles were determined, &amp;gt;75% of which were based on at least three peptides with reasonable confidence.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Critical impact of step size in gel sampling on complexome resolution of TPC1.</w:t>
      </w:r>
      <w:r>
        <w:rPr>
          <w:rFonts w:ascii="Calibri" w:hAnsi="Calibri" w:cs="Calibri" w:eastAsia="Calibri"/>
          <w:color w:val="000000"/>
          <w:spacing w:val="0"/>
          <w:position w:val="0"/>
          <w:sz w:val="24"/>
          <w:shd w:fill="auto" w:val="clear"/>
        </w:rPr>
        <w:t xml:space="preserve"> Datasets were joined by summing the signal intensities in groups of 1, 2, 3, and 4 consecutive slices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 respectively) and processed identically to simulate different step sizes in gel slicing as indicated. The TPC1 profile shows some (oversampling) noise at 0.25 mm but good size resolution of three complex populations (see also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which is largely preserved at a 0.5 mm step width. Discrimination of these populations becomes lost as 1 mm is approached.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Determination of apparent molecular weight</w:t>
      </w:r>
      <w:r>
        <w:rPr>
          <w:rFonts w:ascii="Calibri" w:hAnsi="Calibri" w:cs="Calibri" w:eastAsia="Calibri"/>
          <w:color w:val="000000"/>
          <w:spacing w:val="0"/>
          <w:position w:val="0"/>
          <w:sz w:val="24"/>
          <w:shd w:fill="auto" w:val="clear"/>
        </w:rPr>
        <w:t xml:space="preserve">. 23 marker complexes with defined molecular composition (as indicated, according to UniProtKB/Swiss-Prot) were used as size markers. Logarithmic values of their expected molecular weights (in kDa) were plotted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profile peak maximum slice index of the indicated representative protein subunit (filled circles in black). Linear regression fitting to this data (red line) provided a function converting slice index values to apparent molecular weights. Peak maxima were determined by automatized Gaussian fits to protein profile peaks as shown in the inset (right) for the chaperone protein BCS1 (primary data in blue, fit boundaries indicated by orange lines, fit function in red). In addition, these fits determined peak half-maximal widths (green line, 6.5 slices, or 1.6 mm for the example shown) with the sharpest focusing complexes spanning around a 1.5 mm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Examples of protein complex subunit profiles</w:t>
      </w:r>
      <w:r>
        <w:rPr>
          <w:rFonts w:ascii="Calibri" w:hAnsi="Calibri" w:cs="Calibri" w:eastAsia="Calibri"/>
          <w:color w:val="000000"/>
          <w:spacing w:val="0"/>
          <w:position w:val="0"/>
          <w:sz w:val="24"/>
          <w:shd w:fill="auto" w:val="clear"/>
        </w:rPr>
        <w:t xml:space="preserve">. Relative protein abundance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apparent molecular weight plotted for heavy and light chain of ferritin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revealing molecular heterogeneity of ferritin subunit stoichiometry, more clearly visible after rescaling (inset). Filled arrow and open arrows denote the full complex (440 kDa) and two subcomplexes, respectively. The gamma-secretase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subunits quantitatively integrated into a single-core complex population. The subcomplexes of vacuolar 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-ATPases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exhibited multiple assemblies with distinct subunit composition, all expressed in endosomes. The nomo1 and nicalin proteins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formed an exclusive complex (the GPI-transamidase), which is a multi-subunit enzymatic machinery forming several complexes.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20S proteasome core complex showing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subtle subcomplex pattern with two populations indicated by arrows in grey, all originating from other subcellular localizations.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study built on the csBN-MS technique previously benchmarked with a mitochondrial preparation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incorporated improvements in sample preparation, gel processing, and MS data evaluation. Focused analysis of a section of the large-scale separation BN-PAGE gel provided a comprehensive set of data showing quality measures comparable to the study with mitochondrial membranes. Mass and retention time errors as well as run-to-run variations were kept very low and provided the basis for determining reliable protein abundance profiles. Size resolution appeared to be good, with half-maximal peak widths as low as six slices (corresponding to 1.5 mm,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relative size differences of less than 10% resolved (</w:t>
      </w:r>
      <w:r>
        <w:rPr>
          <w:rFonts w:ascii="Calibri" w:hAnsi="Calibri" w:cs="Calibri" w:eastAsia="Calibri"/>
          <w:b/>
          <w:color w:val="000000"/>
          <w:spacing w:val="0"/>
          <w:position w:val="0"/>
          <w:sz w:val="24"/>
          <w:shd w:fill="auto" w:val="clear"/>
        </w:rPr>
        <w:t xml:space="preserve">Figure 3, Figure 5A</w:t>
      </w:r>
      <w:r>
        <w:rPr>
          <w:rFonts w:ascii="Calibri" w:hAnsi="Calibri" w:cs="Calibri" w:eastAsia="Calibri"/>
          <w:color w:val="000000"/>
          <w:spacing w:val="0"/>
          <w:position w:val="0"/>
          <w:sz w:val="24"/>
          <w:shd w:fill="auto" w:val="clear"/>
        </w:rPr>
        <w:t xml:space="preserve">). These values did not fully meet the size resolution quality of the previous csBN-MS analysis of mitochondria (despite the smaller gel sampling step size chosen), but they are significantly better than the performance of conventional BN-MS or size-exclusion MS approaches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that have recently become popular.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importance of a high effective complex size resolution is underlined by the simulation experiment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(using the TPC1-associated complexes) that can hardly be resolved by 2D BN/SDS-PAGE western blot analysis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These results suggest that the 0.25 mm slicing in this case resulted in some oversampling, but it this still proved to be useful for elimination of “quantification noise” without compromising effective size resolution. Thus, in line with previous results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 sampling step size of ~0.3 mm is generally recommendable.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Notably, discrimination of TPC1-associated complexes is completely lost with 1 mm gel sampling, which is the smallest step size provided by manual slicing in conventional BN-MS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This may explain the fact that despite powerful MS technologies being available, very few protein complexes and subunits have been identified de novo by complexome profiling. Besides its good resolving power, csBN-MS offers high versatility. Membrane-bound complexes and soluble protein complexes ranging from 50 kDa to several MDa can be effectively resolved in a single experiment with minimal bias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contrasts with alternative separation techniques used for complexome profiling like size exclusion or ion exchange chromatography, which operate with subsets of soluble proteins with certain size ranges or charge properties. On the downside, csBN-MS is less scalable (maximum load of ~3 mg protein per gel), may be technically challenging, and cannot be automatized.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results demonstrate that csBN-MS-based complexome profiling can be successfully applied to non-mitochondrial targets but also indicate some associated challenges. Thus, efficient extraction and biochemical stability of protein complexes require more optimization, and cleaning steps and may still be limited. Within the investigated size window, the number of well-focused, monodisperse protein complexes was indeed considerably lower (data not shown) compared to a mitochondrial sample. It is also recommended to lower BN-PAGE sample loads to obtain acceptable gel separation. Higher loads may require broader gel lanes that are more difficult to process properly for slicing (see accompanying video). Furthermore, protein complexity of the samples was higher (around two-fold) than the mitochondria-derived slice digests, leading to more missing PV values and a reduced dynamic range. In fact, some small proteins expected to be part of the complexes shown in</w:t>
      </w:r>
      <w:r>
        <w:rPr>
          <w:rFonts w:ascii="Calibri" w:hAnsi="Calibri" w:cs="Calibri" w:eastAsia="Calibri"/>
          <w:b/>
          <w:color w:val="000000"/>
          <w:spacing w:val="0"/>
          <w:position w:val="0"/>
          <w:sz w:val="24"/>
          <w:shd w:fill="auto" w:val="clear"/>
        </w:rPr>
        <w:t xml:space="preserve"> Figure 5 </w:t>
      </w:r>
      <w:r>
        <w:rPr>
          <w:rFonts w:ascii="Calibri" w:hAnsi="Calibri" w:cs="Calibri" w:eastAsia="Calibri"/>
          <w:color w:val="000000"/>
          <w:spacing w:val="0"/>
          <w:position w:val="0"/>
          <w:sz w:val="24"/>
          <w:shd w:fill="auto" w:val="clear"/>
        </w:rPr>
        <w:t xml:space="preserve">were missing in the analyses. These problems can be resolved in the future by using faster and more sensitive MS instruments or data-independent acquisition modes.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is highly critical for protein complex retrieval, stability, and gel separation quality. Parameters and procedures should be optimized for each source tissue, cell lysate, membrane (fraction), and protein complex of interest. The following general recommendations are provided that may help extend applications of csBN-MS: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w:t>
        <w:tab/>
        <w:t xml:space="preserve">Preparing samples fresh and avoiding warming/freezing, strong dilutions, changes in buffer conditions, and unnecessary delays;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(ii)</w:t>
        <w:tab/>
        <w:t xml:space="preserve">Using buffers that are essentially devoid of salts (replace with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750 mM betaine or aminocaproic acid), about a neutral pH, and containing up to 1% (w/v) of non-denaturing detergent (protein:detergent ratio between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for solubilization of membrane protein complexes, no detergent required for soluble protein complexes);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(iii)</w:t>
        <w:tab/>
        <w:t xml:space="preserve">Careful testing and adjusting of detergent conditions by analytical BN-PAGE, since these may strongly impact efficiency of complex solubilization, representation of membrane protein complexes in the sample, stability, and homogeneity of protein-detergent micelles. The latter are prerequisites for proteins to focus as distinct bands/complex populations on BN-PAGE gels. Previous literature offers a broad range of neutral detergents. However, DDM (n-dodecyl &amp;#946;-d-maltoside)</w:t>
      </w:r>
      <w:r>
        <w:rPr>
          <w:rFonts w:ascii="Calibri" w:hAnsi="Calibri" w:cs="Calibri" w:eastAsia="Calibri"/>
          <w:color w:val="000000"/>
          <w:spacing w:val="0"/>
          <w:position w:val="0"/>
          <w:sz w:val="24"/>
          <w:shd w:fill="auto" w:val="clear"/>
          <w:vertAlign w:val="superscript"/>
        </w:rPr>
        <w:t xml:space="preserve">1,2,4,5,6</w:t>
      </w:r>
      <w:r>
        <w:rPr>
          <w:rFonts w:ascii="Calibri" w:hAnsi="Calibri" w:cs="Calibri" w:eastAsia="Calibri"/>
          <w:color w:val="000000"/>
          <w:spacing w:val="0"/>
          <w:position w:val="0"/>
          <w:sz w:val="24"/>
          <w:shd w:fill="auto" w:val="clear"/>
        </w:rPr>
        <w:t xml:space="preserve"> and digitonin</w:t>
      </w:r>
      <w:r>
        <w:rPr>
          <w:rFonts w:ascii="Calibri" w:hAnsi="Calibri" w:cs="Calibri" w:eastAsia="Calibri"/>
          <w:color w:val="000000"/>
          <w:spacing w:val="0"/>
          <w:position w:val="0"/>
          <w:sz w:val="24"/>
          <w:shd w:fill="auto" w:val="clear"/>
          <w:vertAlign w:val="superscript"/>
        </w:rPr>
        <w:t xml:space="preserve">3,5,7,8,9,10,13,18</w:t>
      </w:r>
      <w:r>
        <w:rPr>
          <w:rFonts w:ascii="Calibri" w:hAnsi="Calibri" w:cs="Calibri" w:eastAsia="Calibri"/>
          <w:color w:val="000000"/>
          <w:spacing w:val="0"/>
          <w:position w:val="0"/>
          <w:sz w:val="24"/>
          <w:shd w:fill="auto" w:val="clear"/>
        </w:rPr>
        <w:t xml:space="preserve">  have been the most popular choices for BN-MS analyses so far. It must be emphasized that any detergent condition necessarily represents a compromise between efficiency and preservation of protein interactions and may not be equally suited for all types of target protein and source material;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(iv)</w:t>
        <w:tab/>
        <w:t xml:space="preserve">Removing charged polymers like fibrils, filaments, polylysine, DNA, and abundant lower molecular weight components (i.e., metabolites, lipids, or peptides). This may be accomplished by ultracentrifugation, gel filtration, or dialysis. This is particularly important for total cell or tissue lysates;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w:t>
        <w:tab/>
        <w:t xml:space="preserve">Adding Coomassie G-250 (final concentration 0.05%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and sucrose (to increase density for loading, final concentration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[w/v]) to the sample just prior to loading, to clear by short ultracentrifugation, load the sample without perturbation, and start the run immediately thereafter.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future perspective, csBN-MS-based complexome profiling offers options for multiplexing to study protein complex dynamics or changes related to specific biological conditions. Combined separation of metabolically labelled samples as proposed for size-exclusion based profiling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appears straightforward, but it may be hampered by spontaneous subunit exchange in complexes occurring independently of the used separation method. Alternatively, labelled samples can be resolved in neighboring gel lanes, which can then be co-sliced or combined post-digesting for differential analysis with high sensitivity and robustness.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Uwe Schulte is an employee and shareholder of Logopharm GmbH that produces ComplexioLyte 47 used in this study. The company provides ComplexioLyte reagents to academic institutions on a non-profit basis.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the German Research Foundation (DFG) under Germany's Excellence Strategy (CIBSS - EXC-2189 - Project ID 390939984) and by grants of the DFG (SFB 746, TP 16, Fa 332/9-1, TRR152, P02) to B.F. and (TRR152, P05, SFB 746, TP 20) to U.S. We thank Katja Zappe for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Majeran, W. et al. Consequences of C4 Differentiation for Chloroplast Membrane Proteomes in Maize Mesophyll and Bundle Sheath Cells.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1609-1638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Wessels, H. J. et al. LC-MS/MS as an alternative for SDS-PAGE in blue native analysis of protein complexes.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(17), 4221-4228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Heide, H. et al. Complexome profiling identifies TMEM126B as a component of the mitochondrial complex I assembly complex.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538-549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Wessels, H. J. et al. Analysis of 953 human proteins from a mitochondrial HEK293 fraction by complexome profiling.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e68340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W&amp;#246;hlbrand, L. et al. Analysis of membrane-protein complexes of the marine sulfate reducer Desulfobacula toluolica Tol2 by 1D blue native-PAGE complexome profiling and 2D blue native-/SDS-PAGE.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973-988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Takabayashi, A. et al. PCoM-DB Update: A Protein Co-Migration Database for Photosynthetic Organisms. </w:t>
      </w:r>
      <w:r>
        <w:rPr>
          <w:rFonts w:ascii="Calibri" w:hAnsi="Calibri" w:cs="Calibri" w:eastAsia="Calibri"/>
          <w:i/>
          <w:color w:val="000000"/>
          <w:spacing w:val="0"/>
          <w:position w:val="0"/>
          <w:sz w:val="24"/>
          <w:shd w:fill="auto" w:val="clear"/>
        </w:rPr>
        <w:t xml:space="preserve">Plant and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(1), e10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Senkler, J. et al. The mitochondrial complexome of Arabidopsis thaliana.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(6), 1079-1092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de Almeida, N. M. et al. Membrane-bound electron transport systems of an anammox bacterium: A complexome analysis.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1857</w:t>
      </w:r>
      <w:r>
        <w:rPr>
          <w:rFonts w:ascii="Calibri" w:hAnsi="Calibri" w:cs="Calibri" w:eastAsia="Calibri"/>
          <w:color w:val="000000"/>
          <w:spacing w:val="0"/>
          <w:position w:val="0"/>
          <w:sz w:val="24"/>
          <w:shd w:fill="auto" w:val="clear"/>
        </w:rPr>
        <w:t xml:space="preserve"> (10), 1694-1704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Anand, R., Strecker, V., Urbach, J., Wittig, I., Reichert, A. S. Mic13 Is Essential for Formation of Crista Junctions in Mammalian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e0160258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Eydt, K., Davies, K. M., Behrendt, C., Wittig, I., Reichert, A. S. Cristae architecture is determined by an interplay of the MICOS complex and the F1FO ATP synthase via Mic27 and Mic10.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(8), 259-272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M&amp;#252;ller, C. S. et al. Cryoslicing Blue Native-Mass Spectrometry (csBN-MS), a Novel Technology for High Resolution Complexome Profiling.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669-681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Castonguay, J. et al. The two-pore channel TPC1 is required for efficient protein processing through early and recycling endosomes.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10038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Sch&amp;#228;gger, H., Pfeiffer, K. Supercomplexes in the respiratory chains of yeast and mammalian mitochondria.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 1777-1783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Banyard, S. H., Stammers, D. K., Harrison, P. M. Electron density map of apoferritin at 2.8-A resolution.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271</w:t>
      </w:r>
      <w:r>
        <w:rPr>
          <w:rFonts w:ascii="Calibri" w:hAnsi="Calibri" w:cs="Calibri" w:eastAsia="Calibri"/>
          <w:color w:val="000000"/>
          <w:spacing w:val="0"/>
          <w:position w:val="0"/>
          <w:sz w:val="24"/>
          <w:shd w:fill="auto" w:val="clear"/>
        </w:rPr>
        <w:t xml:space="preserve"> (5642), 282-284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Dettmer, U. et al. Transmembrane protein 147 (TMEM147) is a novel component of the Nicalin-NOMO protein complex.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(34), 26174-26181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Kimberly, W. T. et al. Gamma-secretase is a membrane protein complex comprised of presenilin, nicastrin, Aph-1, and Pen-2.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(11), 6382-6387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Hong, Y. et al. Human PIG-U and yeast Cdc91p are the fifth subunit of GPI transamidase that attaches GPI-anchors to proteins.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1780-1789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Van Damme, T. et al. Mutations in ATP6V1E1 or ATP6V1A Cause Autosomal-Recessive Cutis Laxa. </w:t>
      </w:r>
      <w:r>
        <w:rPr>
          <w:rFonts w:ascii="Calibri" w:hAnsi="Calibri" w:cs="Calibri" w:eastAsia="Calibri"/>
          <w:i/>
          <w:color w:val="000000"/>
          <w:spacing w:val="0"/>
          <w:position w:val="0"/>
          <w:sz w:val="24"/>
          <w:shd w:fill="auto" w:val="clear"/>
        </w:rPr>
        <w:t xml:space="preserve">The American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(2), 216-227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Budenholzer, L., Cheng, C. L., Li, Y., Hochstrasser, M. Proteasome Structure and Assembly.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429 </w:t>
      </w:r>
      <w:r>
        <w:rPr>
          <w:rFonts w:ascii="Calibri" w:hAnsi="Calibri" w:cs="Calibri" w:eastAsia="Calibri"/>
          <w:color w:val="000000"/>
          <w:spacing w:val="0"/>
          <w:position w:val="0"/>
          <w:sz w:val="24"/>
          <w:shd w:fill="auto" w:val="clear"/>
        </w:rPr>
        <w:t xml:space="preserve">(22), 3500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3524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Heusel, M. et al. Complex-centric proteome profiling by SEC-SWATH-MS.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e8438 (2019).</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Kristensen, A. R., Gsponer, J., Forster L. J. A high-throughput approach for measuring temporal changes in the interactome.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(9), 907-919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