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2670D7C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A0AFC">
        <w:rPr>
          <w:rFonts w:ascii="Helvetica" w:hAnsi="Helvetica" w:cs="Arial"/>
          <w:b/>
          <w:i w:val="0"/>
          <w:sz w:val="22"/>
          <w:szCs w:val="22"/>
        </w:rPr>
        <w:t>60057</w:t>
      </w:r>
    </w:p>
    <w:p w14:paraId="15210DC1" w14:textId="6070585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A0AFC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41C32DF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A0AF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6A0AFC" w:rsidRPr="00D90DD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https://www.jove.com/account/file-uploader?src=18317433</w:t>
        </w:r>
      </w:hyperlink>
      <w:r w:rsidR="006A0AFC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D12D32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A0AFC" w:rsidRPr="006A0AFC">
        <w:rPr>
          <w:rFonts w:ascii="Helvetica" w:hAnsi="Helvetica" w:cs="Arial"/>
          <w:b/>
          <w:bCs/>
          <w:sz w:val="28"/>
          <w:szCs w:val="28"/>
        </w:rPr>
        <w:t>Improving the Accuracy of Flow Cytometric Assessment of Mitochondrial Membrane Potential in Hematopoietic Stem and Progenitor Cells through the Inhibition of Efflux Pumps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BA03C0C" w14:textId="77777777" w:rsidR="006A0AFC" w:rsidRPr="006A0AFC" w:rsidRDefault="006A0AFC" w:rsidP="006A0AFC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6A0AFC">
        <w:rPr>
          <w:rFonts w:ascii="Helvetica" w:hAnsi="Helvetica" w:cs="Arial"/>
          <w:bCs/>
          <w:sz w:val="28"/>
          <w:szCs w:val="28"/>
        </w:rPr>
        <w:t>Claudia Morganti</w:t>
      </w:r>
      <w:r w:rsidRPr="006A0AFC">
        <w:rPr>
          <w:rFonts w:ascii="Helvetica" w:hAnsi="Helvetica" w:cs="Arial"/>
          <w:bCs/>
          <w:sz w:val="28"/>
          <w:szCs w:val="28"/>
          <w:vertAlign w:val="superscript"/>
        </w:rPr>
        <w:t>1-3</w:t>
      </w:r>
      <w:r w:rsidRPr="006A0AFC">
        <w:rPr>
          <w:rFonts w:ascii="Helvetica" w:hAnsi="Helvetica" w:cs="Arial"/>
          <w:bCs/>
          <w:sz w:val="28"/>
          <w:szCs w:val="28"/>
        </w:rPr>
        <w:t>, Massimo Bonora</w:t>
      </w:r>
      <w:r w:rsidRPr="006A0AFC">
        <w:rPr>
          <w:rFonts w:ascii="Helvetica" w:hAnsi="Helvetica" w:cs="Arial"/>
          <w:bCs/>
          <w:sz w:val="28"/>
          <w:szCs w:val="28"/>
          <w:vertAlign w:val="superscript"/>
        </w:rPr>
        <w:t>1-3</w:t>
      </w:r>
      <w:r w:rsidRPr="006A0AFC">
        <w:rPr>
          <w:rFonts w:ascii="Helvetica" w:hAnsi="Helvetica" w:cs="Arial"/>
          <w:bCs/>
          <w:sz w:val="28"/>
          <w:szCs w:val="28"/>
        </w:rPr>
        <w:t xml:space="preserve"> and Keisuke Ito</w:t>
      </w:r>
      <w:r w:rsidRPr="006A0AFC">
        <w:rPr>
          <w:rFonts w:ascii="Helvetica" w:hAnsi="Helvetica" w:cs="Arial"/>
          <w:bCs/>
          <w:sz w:val="28"/>
          <w:szCs w:val="28"/>
          <w:vertAlign w:val="superscript"/>
        </w:rPr>
        <w:t>1-4</w:t>
      </w:r>
    </w:p>
    <w:p w14:paraId="7D2C866D" w14:textId="77777777" w:rsidR="006A0AFC" w:rsidRPr="006A0AFC" w:rsidRDefault="006A0AFC" w:rsidP="006A0AFC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02DFD5C" w14:textId="77777777" w:rsidR="006A0AFC" w:rsidRPr="006A0AFC" w:rsidRDefault="006A0AFC" w:rsidP="006A0AF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A0AF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A0AFC">
        <w:rPr>
          <w:rFonts w:ascii="Helvetica" w:hAnsi="Helvetica" w:cs="Arial"/>
          <w:bCs/>
          <w:sz w:val="28"/>
          <w:szCs w:val="28"/>
        </w:rPr>
        <w:t>Ruth L. and David S. Gottesman Institute for Stem Cell and Regenerative Medicine Research, Albert Einstein College of Medicine, Bronx, NY, USA</w:t>
      </w:r>
    </w:p>
    <w:p w14:paraId="6F5D6C57" w14:textId="77777777" w:rsidR="006A0AFC" w:rsidRPr="006A0AFC" w:rsidRDefault="006A0AFC" w:rsidP="006A0AF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A0AF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A0AFC">
        <w:rPr>
          <w:rFonts w:ascii="Helvetica" w:hAnsi="Helvetica" w:cs="Arial"/>
          <w:bCs/>
          <w:sz w:val="28"/>
          <w:szCs w:val="28"/>
        </w:rPr>
        <w:t>Departments of Cell Biology and Stem Cell Institute, Albert Einstein College of Medicine, Bronx, NY, USA</w:t>
      </w:r>
    </w:p>
    <w:p w14:paraId="6E122F1A" w14:textId="77777777" w:rsidR="006A0AFC" w:rsidRPr="006A0AFC" w:rsidRDefault="006A0AFC" w:rsidP="006A0AF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A0AFC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6A0AFC">
        <w:rPr>
          <w:rFonts w:ascii="Helvetica" w:hAnsi="Helvetica" w:cs="Arial"/>
          <w:bCs/>
          <w:sz w:val="28"/>
          <w:szCs w:val="28"/>
        </w:rPr>
        <w:t>Department of Medicine, Albert Einstein College of Medicine, Bronx, NY, USA</w:t>
      </w:r>
    </w:p>
    <w:p w14:paraId="036E667F" w14:textId="4AA5EF0E" w:rsidR="00FA1A9D" w:rsidRPr="00F95819" w:rsidRDefault="006A0AFC" w:rsidP="006A0AF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A0AFC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6A0AFC">
        <w:rPr>
          <w:rFonts w:ascii="Helvetica" w:hAnsi="Helvetica" w:cs="Arial"/>
          <w:bCs/>
          <w:sz w:val="28"/>
          <w:szCs w:val="28"/>
        </w:rPr>
        <w:t>Albert Einstein Cancer Center and Diabetes Research Center, Albert Einstein College of Medicine, Bronx, NY,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60027DEE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AA60CB2" w14:textId="77777777" w:rsidR="006A0AFC" w:rsidRPr="00F95819" w:rsidRDefault="006A0AFC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02EA648" w14:textId="77777777" w:rsidR="006A0AFC" w:rsidRPr="006A0AFC" w:rsidRDefault="006A0AFC" w:rsidP="006A0AFC">
      <w:pPr>
        <w:outlineLvl w:val="0"/>
        <w:rPr>
          <w:rFonts w:ascii="Helvetica" w:hAnsi="Helvetica" w:cs="Arial"/>
          <w:sz w:val="22"/>
          <w:szCs w:val="22"/>
        </w:rPr>
      </w:pPr>
      <w:r w:rsidRPr="006A0AFC">
        <w:rPr>
          <w:rFonts w:ascii="Helvetica" w:hAnsi="Helvetica" w:cs="Arial"/>
          <w:sz w:val="22"/>
          <w:szCs w:val="22"/>
        </w:rPr>
        <w:t xml:space="preserve">Keisuke Ito </w:t>
      </w:r>
    </w:p>
    <w:p w14:paraId="02AACCF9" w14:textId="68ADE39B" w:rsidR="00FA1A9D" w:rsidRDefault="0056748D" w:rsidP="006A0AFC">
      <w:pPr>
        <w:outlineLvl w:val="0"/>
        <w:rPr>
          <w:rFonts w:ascii="Helvetica" w:hAnsi="Helvetica" w:cs="Arial"/>
          <w:sz w:val="22"/>
          <w:szCs w:val="22"/>
        </w:rPr>
      </w:pPr>
      <w:hyperlink r:id="rId8" w:history="1">
        <w:r w:rsidR="006A0AFC" w:rsidRPr="006A0AFC">
          <w:rPr>
            <w:rStyle w:val="Hyperlink"/>
            <w:rFonts w:ascii="Helvetica" w:hAnsi="Helvetica" w:cs="Arial"/>
            <w:bCs/>
            <w:sz w:val="22"/>
            <w:szCs w:val="22"/>
          </w:rPr>
          <w:t>keisuke.ito@einstein.yu.edu</w:t>
        </w:r>
      </w:hyperlink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751CB7" w14:textId="77777777" w:rsidR="006A0AFC" w:rsidRPr="006A0AFC" w:rsidRDefault="006A0AFC" w:rsidP="006A0AFC">
      <w:pPr>
        <w:outlineLvl w:val="0"/>
        <w:rPr>
          <w:rFonts w:ascii="Helvetica" w:hAnsi="Helvetica" w:cs="Arial"/>
          <w:bCs/>
          <w:sz w:val="22"/>
          <w:szCs w:val="22"/>
          <w:lang w:val="it-IT"/>
        </w:rPr>
      </w:pPr>
      <w:r w:rsidRPr="006A0AFC">
        <w:rPr>
          <w:rFonts w:ascii="Helvetica" w:hAnsi="Helvetica" w:cs="Arial"/>
          <w:bCs/>
          <w:sz w:val="22"/>
          <w:szCs w:val="22"/>
          <w:lang w:val="it-IT"/>
        </w:rPr>
        <w:t>Claudia Morganti</w:t>
      </w:r>
      <w:r w:rsidRPr="006A0AFC">
        <w:rPr>
          <w:rFonts w:ascii="Helvetica" w:hAnsi="Helvetica" w:cs="Arial"/>
          <w:sz w:val="22"/>
          <w:szCs w:val="22"/>
          <w:lang w:val="it-IT"/>
        </w:rPr>
        <w:t xml:space="preserve"> </w:t>
      </w:r>
      <w:r w:rsidRPr="006A0AFC">
        <w:rPr>
          <w:rFonts w:ascii="Helvetica" w:hAnsi="Helvetica" w:cs="Arial"/>
          <w:sz w:val="22"/>
          <w:szCs w:val="22"/>
          <w:lang w:val="it-IT"/>
        </w:rPr>
        <w:tab/>
        <w:t>(</w:t>
      </w:r>
      <w:r w:rsidRPr="006A0AFC">
        <w:rPr>
          <w:rFonts w:ascii="Helvetica" w:hAnsi="Helvetica" w:cs="Arial"/>
          <w:bCs/>
          <w:sz w:val="22"/>
          <w:szCs w:val="22"/>
          <w:lang w:val="it-IT"/>
        </w:rPr>
        <w:t>Claudia.Morganti@einstein.yu.edu)</w:t>
      </w:r>
    </w:p>
    <w:p w14:paraId="40DB9802" w14:textId="77777777" w:rsidR="006A0AFC" w:rsidRPr="006A0AFC" w:rsidRDefault="006A0AFC" w:rsidP="006A0AFC">
      <w:pPr>
        <w:outlineLvl w:val="0"/>
        <w:rPr>
          <w:rFonts w:ascii="Helvetica" w:hAnsi="Helvetica" w:cs="Arial"/>
          <w:bCs/>
          <w:sz w:val="22"/>
          <w:szCs w:val="22"/>
          <w:lang w:val="it-IT"/>
        </w:rPr>
      </w:pPr>
      <w:r w:rsidRPr="006A0AFC">
        <w:rPr>
          <w:rFonts w:ascii="Helvetica" w:hAnsi="Helvetica" w:cs="Arial"/>
          <w:bCs/>
          <w:sz w:val="22"/>
          <w:szCs w:val="22"/>
          <w:lang w:val="it-IT"/>
        </w:rPr>
        <w:t>Massimo Bonora</w:t>
      </w:r>
      <w:r w:rsidRPr="006A0AFC">
        <w:rPr>
          <w:rFonts w:ascii="Helvetica" w:hAnsi="Helvetica" w:cs="Arial"/>
          <w:bCs/>
          <w:sz w:val="22"/>
          <w:szCs w:val="22"/>
          <w:lang w:val="it-IT"/>
        </w:rPr>
        <w:tab/>
        <w:t>(massimo.bonora@einstein.yu.edu)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1D4CCB86" w:rsidR="00FE059A" w:rsidRPr="007929A3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663374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BD7041">
        <w:rPr>
          <w:rFonts w:ascii="Helvetica" w:hAnsi="Helvetica"/>
          <w:b/>
          <w:sz w:val="22"/>
        </w:rPr>
        <w:t>No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1DB1925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BD7041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776F655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D7041">
        <w:rPr>
          <w:rFonts w:ascii="Helvetica" w:hAnsi="Helvetica"/>
          <w:b/>
          <w:sz w:val="22"/>
        </w:rPr>
        <w:t>Yes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Pr="00FE17D3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</w:t>
      </w:r>
      <w:r w:rsidRPr="00FE17D3">
        <w:rPr>
          <w:rFonts w:ascii="Helvetica" w:hAnsi="Helvetica"/>
          <w:sz w:val="22"/>
        </w:rPr>
        <w:t>will be screen captured. Please do not list entire sections.)</w:t>
      </w:r>
    </w:p>
    <w:p w14:paraId="2DEE471B" w14:textId="1A5BB225" w:rsidR="008855A0" w:rsidRPr="00FE17D3" w:rsidRDefault="008855A0" w:rsidP="00FA1A9D">
      <w:pPr>
        <w:spacing w:before="120" w:line="360" w:lineRule="auto"/>
        <w:rPr>
          <w:rFonts w:ascii="Helvetica" w:hAnsi="Helvetica"/>
          <w:sz w:val="22"/>
        </w:rPr>
      </w:pPr>
      <w:r w:rsidRPr="00FE17D3">
        <w:rPr>
          <w:rFonts w:ascii="Helvetica" w:hAnsi="Helvetica"/>
          <w:sz w:val="22"/>
        </w:rPr>
        <w:t>2.2., 4.1., 4.2., 5.2., 5.3.</w:t>
      </w:r>
    </w:p>
    <w:p w14:paraId="4ACDE399" w14:textId="77777777" w:rsidR="008437E5" w:rsidRPr="00FE17D3" w:rsidRDefault="008437E5" w:rsidP="00FA1A9D">
      <w:pPr>
        <w:spacing w:before="120" w:line="360" w:lineRule="auto"/>
        <w:rPr>
          <w:rFonts w:ascii="Helvetica" w:hAnsi="Helvetica"/>
          <w:sz w:val="22"/>
        </w:rPr>
      </w:pPr>
    </w:p>
    <w:p w14:paraId="27289167" w14:textId="77777777" w:rsidR="00FA1A9D" w:rsidRPr="00FE17D3" w:rsidRDefault="00FA1A9D" w:rsidP="00FA1A9D">
      <w:pPr>
        <w:spacing w:before="120"/>
        <w:rPr>
          <w:rFonts w:ascii="Helvetica" w:hAnsi="Helvetica"/>
          <w:sz w:val="22"/>
        </w:rPr>
      </w:pPr>
      <w:r w:rsidRPr="00FE17D3">
        <w:rPr>
          <w:rFonts w:ascii="Helvetica" w:hAnsi="Helvetica"/>
          <w:b/>
          <w:sz w:val="22"/>
        </w:rPr>
        <w:t>4.</w:t>
      </w:r>
      <w:r w:rsidRPr="00FE17D3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(Please do not list entire sections.)</w:t>
      </w:r>
    </w:p>
    <w:p w14:paraId="220025A8" w14:textId="73A08A63" w:rsidR="00E24243" w:rsidRPr="00FE17D3" w:rsidRDefault="00E24243" w:rsidP="00FA1A9D">
      <w:pPr>
        <w:spacing w:before="120"/>
        <w:rPr>
          <w:rFonts w:ascii="Helvetica" w:hAnsi="Helvetica"/>
          <w:sz w:val="22"/>
        </w:rPr>
      </w:pPr>
      <w:r w:rsidRPr="00FE17D3">
        <w:rPr>
          <w:rFonts w:ascii="Helvetica" w:hAnsi="Helvetica"/>
          <w:sz w:val="22"/>
        </w:rPr>
        <w:t xml:space="preserve">Step </w:t>
      </w:r>
      <w:r w:rsidR="008855A0" w:rsidRPr="00FE17D3">
        <w:rPr>
          <w:rFonts w:ascii="Helvetica" w:hAnsi="Helvetica"/>
          <w:sz w:val="22"/>
        </w:rPr>
        <w:t>4.1. is cr</w:t>
      </w:r>
      <w:r w:rsidR="006C7448" w:rsidRPr="00FE17D3">
        <w:rPr>
          <w:rFonts w:ascii="Helvetica" w:hAnsi="Helvetica"/>
          <w:sz w:val="22"/>
        </w:rPr>
        <w:t>ucial</w:t>
      </w:r>
      <w:r w:rsidRPr="00FE17D3">
        <w:rPr>
          <w:rFonts w:ascii="Helvetica" w:hAnsi="Helvetica"/>
          <w:sz w:val="22"/>
        </w:rPr>
        <w:t xml:space="preserve">, not for technical difficulty, but because its biological effect. </w:t>
      </w:r>
    </w:p>
    <w:p w14:paraId="05AB3CEB" w14:textId="03488CDA" w:rsidR="008855A0" w:rsidRPr="008855A0" w:rsidRDefault="00E24243" w:rsidP="00E24243">
      <w:pPr>
        <w:rPr>
          <w:rFonts w:ascii="Helvetica" w:hAnsi="Helvetica"/>
          <w:sz w:val="22"/>
        </w:rPr>
      </w:pPr>
      <w:r w:rsidRPr="00FE17D3">
        <w:rPr>
          <w:rFonts w:ascii="Helvetica" w:hAnsi="Helvetica"/>
          <w:sz w:val="22"/>
        </w:rPr>
        <w:t>Indeed only blocking efflux pumps drugs by using Verapamil HSC’s mitochondrial membrane potential can be compared to more mature population’ s one.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4A40A06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D7041">
        <w:rPr>
          <w:rFonts w:ascii="Helvetica" w:hAnsi="Helvetica"/>
          <w:b/>
          <w:sz w:val="22"/>
          <w:szCs w:val="22"/>
        </w:rPr>
        <w:t>Yes</w:t>
      </w:r>
    </w:p>
    <w:p w14:paraId="59BC63BC" w14:textId="48DEA788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BD7041">
        <w:rPr>
          <w:rFonts w:ascii="Helvetica" w:hAnsi="Helvetica"/>
          <w:b/>
          <w:sz w:val="22"/>
          <w:szCs w:val="22"/>
        </w:rPr>
        <w:t>Very close, s</w:t>
      </w:r>
      <w:r w:rsidR="00BD7041" w:rsidRPr="00BD7041">
        <w:rPr>
          <w:rFonts w:ascii="Helvetica" w:hAnsi="Helvetica"/>
          <w:b/>
          <w:sz w:val="22"/>
          <w:szCs w:val="22"/>
        </w:rPr>
        <w:t>ame floor</w:t>
      </w:r>
      <w:r w:rsidR="00BD7041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D263F7" w14:textId="59C4E71B" w:rsidR="00330F1B" w:rsidRDefault="006E01D9" w:rsidP="00F41A1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A1E48">
        <w:rPr>
          <w:rFonts w:ascii="Helvetica" w:hAnsi="Helvetica" w:cs="Arial"/>
          <w:b/>
          <w:sz w:val="22"/>
          <w:szCs w:val="22"/>
        </w:rPr>
        <w:t>Claudia Morganti</w:t>
      </w:r>
      <w:r w:rsidRPr="003A1E48">
        <w:rPr>
          <w:rFonts w:ascii="Helvetica" w:hAnsi="Helvetica" w:cs="Arial"/>
          <w:sz w:val="22"/>
          <w:szCs w:val="22"/>
        </w:rPr>
        <w:t xml:space="preserve">: </w:t>
      </w:r>
      <w:r w:rsidR="00150A2D" w:rsidRPr="003A1E48">
        <w:rPr>
          <w:rFonts w:ascii="Helvetica" w:hAnsi="Helvetica" w:cs="Arial"/>
          <w:sz w:val="22"/>
          <w:szCs w:val="22"/>
        </w:rPr>
        <w:t>M</w:t>
      </w:r>
      <w:r w:rsidR="000A5444" w:rsidRPr="003A1E48">
        <w:rPr>
          <w:rFonts w:ascii="Helvetica" w:hAnsi="Helvetica" w:cs="Arial"/>
          <w:sz w:val="22"/>
          <w:szCs w:val="22"/>
        </w:rPr>
        <w:t xml:space="preserve">itochondrial function is critical to </w:t>
      </w:r>
      <w:r w:rsidR="00150A2D" w:rsidRPr="003A1E48">
        <w:rPr>
          <w:rFonts w:ascii="Helvetica" w:hAnsi="Helvetica" w:cs="Arial"/>
          <w:sz w:val="22"/>
          <w:szCs w:val="22"/>
        </w:rPr>
        <w:t>hematopoietic stem cell</w:t>
      </w:r>
      <w:r w:rsidR="000A5444" w:rsidRPr="003A1E48">
        <w:rPr>
          <w:rFonts w:ascii="Helvetica" w:hAnsi="Helvetica" w:cs="Arial"/>
          <w:sz w:val="22"/>
          <w:szCs w:val="22"/>
        </w:rPr>
        <w:t xml:space="preserve"> self-renewal.</w:t>
      </w:r>
      <w:r w:rsidR="000A5444" w:rsidRPr="003A1E48">
        <w:t xml:space="preserve"> </w:t>
      </w:r>
      <w:r w:rsidR="000A5444" w:rsidRPr="003A1E48">
        <w:rPr>
          <w:rFonts w:ascii="Helvetica" w:hAnsi="Helvetica" w:cs="Arial"/>
          <w:sz w:val="22"/>
          <w:szCs w:val="22"/>
        </w:rPr>
        <w:t xml:space="preserve">Mitochondrial activity levels are reflected in their membrane potentials, which can be measured by TMRM, a </w:t>
      </w:r>
      <w:r w:rsidR="00150A2D" w:rsidRPr="003A1E48">
        <w:rPr>
          <w:rFonts w:ascii="Helvetica" w:hAnsi="Helvetica" w:cs="Arial"/>
          <w:sz w:val="22"/>
          <w:szCs w:val="22"/>
        </w:rPr>
        <w:t>fluorescent cell-permeant cationic dye</w:t>
      </w:r>
      <w:r w:rsidR="000A5444" w:rsidRPr="003A1E48">
        <w:rPr>
          <w:rFonts w:ascii="Helvetica" w:hAnsi="Helvetica" w:cs="Arial"/>
          <w:sz w:val="22"/>
          <w:szCs w:val="22"/>
        </w:rPr>
        <w:t>.</w:t>
      </w:r>
    </w:p>
    <w:p w14:paraId="71E2D54A" w14:textId="77777777" w:rsidR="003A1E48" w:rsidRDefault="003A1E48" w:rsidP="003A1E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221682" w14:textId="77777777" w:rsidR="003A1E48" w:rsidRPr="00B86B76" w:rsidRDefault="003A1E48" w:rsidP="003A1E4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3A1E48" w:rsidRDefault="00330F1B" w:rsidP="003A1E4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B302627" w14:textId="11C4D209" w:rsidR="00150A2D" w:rsidRDefault="006E01D9" w:rsidP="00FB3539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3A1E48">
        <w:rPr>
          <w:rFonts w:ascii="Helvetica" w:hAnsi="Helvetica" w:cs="Helvetica"/>
          <w:b/>
          <w:sz w:val="22"/>
          <w:szCs w:val="22"/>
        </w:rPr>
        <w:t>Claudia Morganti</w:t>
      </w:r>
      <w:r w:rsidRPr="003A1E48">
        <w:rPr>
          <w:rFonts w:ascii="Helvetica" w:hAnsi="Helvetica" w:cs="Helvetica"/>
          <w:sz w:val="22"/>
          <w:szCs w:val="22"/>
        </w:rPr>
        <w:t xml:space="preserve">: </w:t>
      </w:r>
      <w:r w:rsidR="00150A2D" w:rsidRPr="003A1E48">
        <w:rPr>
          <w:rFonts w:ascii="Helvetica" w:hAnsi="Helvetica" w:cs="Helvetica"/>
          <w:sz w:val="22"/>
          <w:szCs w:val="22"/>
        </w:rPr>
        <w:t xml:space="preserve">Xenobiotic efflux pumps are highly active in HSC and cause </w:t>
      </w:r>
      <w:r w:rsidR="001F4CA8" w:rsidRPr="003A1E48">
        <w:rPr>
          <w:rFonts w:ascii="Helvetica" w:hAnsi="Helvetica" w:cs="Helvetica"/>
          <w:sz w:val="22"/>
          <w:szCs w:val="22"/>
        </w:rPr>
        <w:t xml:space="preserve">TMRM </w:t>
      </w:r>
      <w:r w:rsidR="00150A2D" w:rsidRPr="003A1E48">
        <w:rPr>
          <w:rFonts w:ascii="Helvetica" w:hAnsi="Helvetica" w:cs="Helvetica"/>
          <w:sz w:val="22"/>
          <w:szCs w:val="22"/>
        </w:rPr>
        <w:t xml:space="preserve">extrusion. </w:t>
      </w:r>
      <w:r w:rsidR="001F4CA8" w:rsidRPr="003A1E48">
        <w:rPr>
          <w:rFonts w:ascii="Helvetica" w:hAnsi="Helvetica" w:cs="Helvetica"/>
          <w:sz w:val="22"/>
          <w:szCs w:val="22"/>
        </w:rPr>
        <w:t>The major advantage of this protocol is the correction of this effect</w:t>
      </w:r>
      <w:r w:rsidR="00150A2D" w:rsidRPr="003A1E48">
        <w:rPr>
          <w:rFonts w:ascii="Helvetica" w:hAnsi="Helvetica" w:cs="Helvetica"/>
          <w:sz w:val="22"/>
          <w:szCs w:val="22"/>
        </w:rPr>
        <w:t xml:space="preserve"> </w:t>
      </w:r>
      <w:r w:rsidR="00F878B2" w:rsidRPr="003A1E48">
        <w:rPr>
          <w:rFonts w:ascii="Helvetica" w:hAnsi="Helvetica" w:cs="Helvetica"/>
          <w:sz w:val="22"/>
          <w:szCs w:val="22"/>
        </w:rPr>
        <w:t>utilizing Verapamil, an efflux pump inhibitor.</w:t>
      </w:r>
    </w:p>
    <w:p w14:paraId="46BA6641" w14:textId="77777777" w:rsidR="003A1E48" w:rsidRDefault="003A1E48" w:rsidP="003A1E48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4FEA6B6A" w14:textId="77777777" w:rsidR="003A1E48" w:rsidRPr="00B86B76" w:rsidRDefault="003A1E48" w:rsidP="003A1E4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3DC926E" w14:textId="77777777" w:rsidR="003A1E48" w:rsidRPr="003A1E48" w:rsidRDefault="003A1E48" w:rsidP="003A1E48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749FB285" w:rsidR="00336C61" w:rsidRDefault="00EA60D4" w:rsidP="008411CD">
      <w:pPr>
        <w:numPr>
          <w:ilvl w:val="1"/>
          <w:numId w:val="9"/>
        </w:numPr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8411CD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8411CD">
        <w:rPr>
          <w:rFonts w:ascii="Helvetica" w:hAnsi="Helvetica" w:cs="Arial"/>
          <w:sz w:val="22"/>
          <w:szCs w:val="22"/>
        </w:rPr>
        <w:t>)</w:t>
      </w:r>
      <w:r w:rsidR="00B340A8" w:rsidRPr="008411CD">
        <w:rPr>
          <w:rFonts w:ascii="Helvetica" w:hAnsi="Helvetica" w:cs="Arial"/>
          <w:sz w:val="22"/>
          <w:szCs w:val="22"/>
        </w:rPr>
        <w:t xml:space="preserve"> </w:t>
      </w:r>
      <w:r w:rsidR="008411CD" w:rsidRPr="008411CD">
        <w:rPr>
          <w:rFonts w:ascii="Helvetica" w:hAnsi="Helvetica" w:cs="Arial"/>
          <w:sz w:val="22"/>
          <w:szCs w:val="22"/>
        </w:rPr>
        <w:t>of the Albert Einstein College of Medicine.</w:t>
      </w:r>
      <w:r w:rsidR="008411CD">
        <w:rPr>
          <w:rFonts w:ascii="Helvetica" w:hAnsi="Helvetica" w:cs="Arial"/>
          <w:iCs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32B91DB" w:rsidR="00CE10F2" w:rsidRPr="006A6324" w:rsidRDefault="008411C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Bone Marrow Isolation </w:t>
      </w:r>
    </w:p>
    <w:p w14:paraId="3BEA9BD9" w14:textId="13C75B69" w:rsidR="00125924" w:rsidRDefault="008411C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</w:t>
      </w:r>
      <w:r w:rsidR="00CD325D">
        <w:rPr>
          <w:rFonts w:ascii="Helvetica" w:hAnsi="Helvetica" w:cs="Arial"/>
          <w:sz w:val="22"/>
          <w:szCs w:val="22"/>
        </w:rPr>
        <w:t xml:space="preserve">isolating bone marrow from mouse femurs </w:t>
      </w:r>
      <w:r w:rsidR="00CD325D" w:rsidRPr="00C70FAF">
        <w:rPr>
          <w:rFonts w:ascii="Helvetica" w:hAnsi="Helvetica" w:cs="Arial"/>
          <w:b/>
          <w:sz w:val="22"/>
          <w:szCs w:val="22"/>
        </w:rPr>
        <w:t>[1]</w:t>
      </w:r>
      <w:r w:rsidR="00CD325D">
        <w:rPr>
          <w:rFonts w:ascii="Helvetica" w:hAnsi="Helvetica" w:cs="Arial"/>
          <w:sz w:val="22"/>
          <w:szCs w:val="22"/>
        </w:rPr>
        <w:t xml:space="preserve">. Use a pair of forceps and sharp scissors </w:t>
      </w:r>
      <w:r w:rsidR="00CD325D" w:rsidRPr="00A62508">
        <w:rPr>
          <w:rFonts w:ascii="Helvetica" w:hAnsi="Helvetica" w:cs="Arial"/>
          <w:sz w:val="22"/>
          <w:szCs w:val="22"/>
        </w:rPr>
        <w:t xml:space="preserve">to </w:t>
      </w:r>
      <w:r w:rsidR="00484766" w:rsidRPr="00A62508">
        <w:rPr>
          <w:rFonts w:ascii="Helvetica" w:hAnsi="Helvetica" w:cs="Arial"/>
          <w:sz w:val="22"/>
          <w:szCs w:val="22"/>
        </w:rPr>
        <w:t>cut the two posterior paws, than</w:t>
      </w:r>
      <w:r w:rsidR="00484766">
        <w:rPr>
          <w:rFonts w:ascii="Helvetica" w:hAnsi="Helvetica" w:cs="Arial"/>
          <w:sz w:val="22"/>
          <w:szCs w:val="22"/>
        </w:rPr>
        <w:t xml:space="preserve"> </w:t>
      </w:r>
      <w:r w:rsidR="00CD325D">
        <w:rPr>
          <w:rFonts w:ascii="Helvetica" w:hAnsi="Helvetica" w:cs="Arial"/>
          <w:sz w:val="22"/>
          <w:szCs w:val="22"/>
        </w:rPr>
        <w:t>make</w:t>
      </w:r>
      <w:r>
        <w:rPr>
          <w:rFonts w:ascii="Helvetica" w:hAnsi="Helvetica" w:cs="Arial"/>
          <w:sz w:val="22"/>
          <w:szCs w:val="22"/>
        </w:rPr>
        <w:t xml:space="preserve"> a small snip in the ventral skin of the mouse and stretch </w:t>
      </w:r>
      <w:r w:rsidR="00CD325D">
        <w:rPr>
          <w:rFonts w:ascii="Helvetica" w:hAnsi="Helvetica" w:cs="Arial"/>
          <w:sz w:val="22"/>
          <w:szCs w:val="22"/>
        </w:rPr>
        <w:t xml:space="preserve">it </w:t>
      </w:r>
      <w:r w:rsidRPr="00C70FAF">
        <w:rPr>
          <w:rFonts w:ascii="Helvetica" w:hAnsi="Helvetica" w:cs="Arial"/>
          <w:b/>
          <w:sz w:val="22"/>
          <w:szCs w:val="22"/>
        </w:rPr>
        <w:t>[</w:t>
      </w:r>
      <w:r w:rsidR="00CD325D" w:rsidRPr="00C70FAF">
        <w:rPr>
          <w:rFonts w:ascii="Helvetica" w:hAnsi="Helvetica" w:cs="Arial"/>
          <w:b/>
          <w:sz w:val="22"/>
          <w:szCs w:val="22"/>
        </w:rPr>
        <w:t>2</w:t>
      </w:r>
      <w:r w:rsidRPr="00C70FA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Extract the femur and tibia while taking care not to dislodge the heads of the femur and place the bones in a 6-well plate filled with 1.5 milliliters of staining buffer </w:t>
      </w:r>
      <w:r w:rsidRPr="00C70FAF">
        <w:rPr>
          <w:rFonts w:ascii="Helvetica" w:hAnsi="Helvetica" w:cs="Arial"/>
          <w:b/>
          <w:sz w:val="22"/>
          <w:szCs w:val="22"/>
        </w:rPr>
        <w:t>[</w:t>
      </w:r>
      <w:r w:rsidR="00CD325D" w:rsidRPr="00C70FAF">
        <w:rPr>
          <w:rFonts w:ascii="Helvetica" w:hAnsi="Helvetica" w:cs="Arial"/>
          <w:b/>
          <w:sz w:val="22"/>
          <w:szCs w:val="22"/>
        </w:rPr>
        <w:t>3</w:t>
      </w:r>
      <w:r w:rsidRPr="00C70FA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95CFDB3" w14:textId="73055017" w:rsidR="008411CD" w:rsidRDefault="00CD325D" w:rsidP="008411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lab bench. </w:t>
      </w:r>
    </w:p>
    <w:p w14:paraId="2DDE6E07" w14:textId="52CA7456" w:rsidR="00CD325D" w:rsidRDefault="00CD325D" w:rsidP="008411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bookmarkStart w:id="0" w:name="_GoBack"/>
      <w:bookmarkEnd w:id="0"/>
      <w:r w:rsidRPr="00A62508">
        <w:rPr>
          <w:rFonts w:ascii="Helvetica" w:hAnsi="Helvetica" w:cs="Arial"/>
          <w:sz w:val="22"/>
          <w:szCs w:val="22"/>
        </w:rPr>
        <w:t xml:space="preserve">cutting </w:t>
      </w:r>
      <w:r w:rsidR="00871E9E" w:rsidRPr="00A62508">
        <w:rPr>
          <w:rFonts w:ascii="Helvetica" w:hAnsi="Helvetica" w:cs="Arial"/>
          <w:sz w:val="22"/>
          <w:szCs w:val="22"/>
        </w:rPr>
        <w:t xml:space="preserve">the </w:t>
      </w:r>
      <w:r w:rsidR="00484766" w:rsidRPr="00A62508">
        <w:rPr>
          <w:rFonts w:ascii="Helvetica" w:hAnsi="Helvetica" w:cs="Arial"/>
          <w:sz w:val="22"/>
          <w:szCs w:val="22"/>
        </w:rPr>
        <w:t>paws,</w:t>
      </w:r>
      <w:r w:rsidR="00484766">
        <w:rPr>
          <w:rFonts w:ascii="Helvetica" w:hAnsi="Helvetica" w:cs="Arial"/>
          <w:sz w:val="22"/>
          <w:szCs w:val="22"/>
        </w:rPr>
        <w:t xml:space="preserve"> the </w:t>
      </w:r>
      <w:r w:rsidR="00871E9E">
        <w:rPr>
          <w:rFonts w:ascii="Helvetica" w:hAnsi="Helvetica" w:cs="Arial"/>
          <w:sz w:val="22"/>
          <w:szCs w:val="22"/>
        </w:rPr>
        <w:t>skin and stretching it.</w:t>
      </w:r>
    </w:p>
    <w:p w14:paraId="38BC76A8" w14:textId="0923080D" w:rsidR="00871E9E" w:rsidRPr="008411CD" w:rsidRDefault="00871E9E" w:rsidP="008411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extracting bones and putting them in a 6-well plate. </w:t>
      </w:r>
    </w:p>
    <w:p w14:paraId="3269B29E" w14:textId="031B5A9C" w:rsidR="00CE10F2" w:rsidRDefault="00871E9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muscles from the bones and cut the ends of the bones, allowing bone marrow to exit </w:t>
      </w:r>
      <w:r w:rsidRPr="00C70F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cleaned bones in new wells with 1.5 milliliters of staining buffer </w:t>
      </w:r>
      <w:r w:rsidRPr="00C70FA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3418E">
        <w:rPr>
          <w:rFonts w:ascii="Helvetica" w:hAnsi="Helvetica" w:cs="Arial"/>
          <w:sz w:val="22"/>
          <w:szCs w:val="22"/>
        </w:rPr>
        <w:t xml:space="preserve">Then, flush out the bone marrow with a 3-milliliter syringe and a 25-gauge needle until the bone becomes white </w:t>
      </w:r>
      <w:r w:rsidR="0093418E" w:rsidRPr="00C70FAF">
        <w:rPr>
          <w:rFonts w:ascii="Helvetica" w:hAnsi="Helvetica" w:cs="Arial"/>
          <w:b/>
          <w:sz w:val="22"/>
          <w:szCs w:val="22"/>
        </w:rPr>
        <w:t>[3]</w:t>
      </w:r>
      <w:r w:rsidR="0093418E">
        <w:rPr>
          <w:rFonts w:ascii="Helvetica" w:hAnsi="Helvetica" w:cs="Arial"/>
          <w:sz w:val="22"/>
          <w:szCs w:val="22"/>
        </w:rPr>
        <w:t>.</w:t>
      </w:r>
      <w:r w:rsidR="002F10C3" w:rsidRPr="002F10C3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2F10C3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22B59D56" w14:textId="744E1256" w:rsidR="00871E9E" w:rsidRDefault="00871E9E" w:rsidP="00871E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muscles from bones, cutting the ends and draining bone marrow. </w:t>
      </w:r>
    </w:p>
    <w:p w14:paraId="72226DF7" w14:textId="1F9E6926" w:rsidR="00871E9E" w:rsidRDefault="00871E9E" w:rsidP="00871E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cleaned bones in new wells. </w:t>
      </w:r>
    </w:p>
    <w:p w14:paraId="1B34AC9A" w14:textId="596402A7" w:rsidR="0093418E" w:rsidRDefault="0093418E" w:rsidP="00871E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flushing out bone marrow.</w:t>
      </w:r>
    </w:p>
    <w:p w14:paraId="6CC69B8E" w14:textId="77777777" w:rsidR="0093418E" w:rsidRDefault="0093418E" w:rsidP="0093418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F8252E6" w14:textId="1066A784" w:rsidR="00F0657F" w:rsidRDefault="0093418E" w:rsidP="00871E9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all the cells in a 1.5 milliliter tube and centrifuge them for 5 minutes at 180 x g, then discard the supernatant </w:t>
      </w:r>
      <w:r w:rsidRPr="00C70F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0657F">
        <w:rPr>
          <w:rFonts w:ascii="Helvetica" w:hAnsi="Helvetica" w:cs="Arial"/>
          <w:sz w:val="22"/>
          <w:szCs w:val="22"/>
        </w:rPr>
        <w:t>Carefully r</w:t>
      </w:r>
      <w:r>
        <w:rPr>
          <w:rFonts w:ascii="Helvetica" w:hAnsi="Helvetica" w:cs="Arial"/>
          <w:sz w:val="22"/>
          <w:szCs w:val="22"/>
        </w:rPr>
        <w:t>esuspend the pellet in 300 microliters of ice-cold ACK lysing buffer</w:t>
      </w:r>
      <w:r w:rsidR="00F0657F">
        <w:rPr>
          <w:rFonts w:ascii="Helvetica" w:hAnsi="Helvetica" w:cs="Arial"/>
          <w:sz w:val="22"/>
          <w:szCs w:val="22"/>
        </w:rPr>
        <w:t xml:space="preserve"> and put the cells on ice for 1 minute </w:t>
      </w:r>
      <w:r w:rsidR="00F0657F" w:rsidRPr="00C70FAF">
        <w:rPr>
          <w:rFonts w:ascii="Helvetica" w:hAnsi="Helvetica" w:cs="Arial"/>
          <w:b/>
          <w:sz w:val="22"/>
          <w:szCs w:val="22"/>
        </w:rPr>
        <w:t>[2]</w:t>
      </w:r>
      <w:r w:rsidR="00F0657F">
        <w:rPr>
          <w:rFonts w:ascii="Helvetica" w:hAnsi="Helvetica" w:cs="Arial"/>
          <w:sz w:val="22"/>
          <w:szCs w:val="22"/>
        </w:rPr>
        <w:t xml:space="preserve">. Then, immediately deactivate lysis by adding 1 milliliter of staining buffer </w:t>
      </w:r>
      <w:r w:rsidR="00F0657F" w:rsidRPr="00C70FAF">
        <w:rPr>
          <w:rFonts w:ascii="Helvetica" w:hAnsi="Helvetica" w:cs="Arial"/>
          <w:b/>
          <w:sz w:val="22"/>
          <w:szCs w:val="22"/>
        </w:rPr>
        <w:t>[3]</w:t>
      </w:r>
      <w:r w:rsidR="00F0657F">
        <w:rPr>
          <w:rFonts w:ascii="Helvetica" w:hAnsi="Helvetica" w:cs="Arial"/>
          <w:sz w:val="22"/>
          <w:szCs w:val="22"/>
        </w:rPr>
        <w:t>.</w:t>
      </w:r>
    </w:p>
    <w:p w14:paraId="4D3530EB" w14:textId="77777777" w:rsidR="006D6E4B" w:rsidRDefault="006D6E4B" w:rsidP="006D6E4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ADB3CB" w14:textId="77777777" w:rsidR="00F0657F" w:rsidRDefault="00F0657F" w:rsidP="00F065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Cells finishing centrifuging, talent taking them out of the centrifuge and removing the supernatant. </w:t>
      </w:r>
    </w:p>
    <w:p w14:paraId="7105F286" w14:textId="77777777" w:rsidR="00F0657F" w:rsidRDefault="00F0657F" w:rsidP="00F065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cells and putting them on ice.</w:t>
      </w:r>
    </w:p>
    <w:p w14:paraId="4D02F1C9" w14:textId="77777777" w:rsidR="00F0657F" w:rsidRDefault="00F0657F" w:rsidP="00F0657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staining buffer.</w:t>
      </w:r>
    </w:p>
    <w:p w14:paraId="42225681" w14:textId="21655C24" w:rsidR="00871E9E" w:rsidRDefault="00F0657F" w:rsidP="00F0657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cells for 5 minutes at 180 x g </w:t>
      </w:r>
      <w:r w:rsidRPr="00C70F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Resuspend the cell pellet, which should appear white, in 1 milliliter of staining buffer </w:t>
      </w:r>
      <w:r w:rsidRPr="00C70FA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Filter the </w:t>
      </w:r>
      <w:r w:rsidR="00173287">
        <w:rPr>
          <w:rFonts w:ascii="Helvetica" w:hAnsi="Helvetica" w:cs="Arial"/>
          <w:sz w:val="22"/>
          <w:szCs w:val="22"/>
        </w:rPr>
        <w:t xml:space="preserve">cells using a cell-strainer cap with a 35-micrometer nylon mesh to obtain mononuclear cells </w:t>
      </w:r>
      <w:r w:rsidR="00173287" w:rsidRPr="00C70FAF">
        <w:rPr>
          <w:rFonts w:ascii="Helvetica" w:hAnsi="Helvetica" w:cs="Arial"/>
          <w:b/>
          <w:sz w:val="22"/>
          <w:szCs w:val="22"/>
        </w:rPr>
        <w:t>[3-TXT]</w:t>
      </w:r>
      <w:r w:rsidR="00173287">
        <w:rPr>
          <w:rFonts w:ascii="Helvetica" w:hAnsi="Helvetica" w:cs="Arial"/>
          <w:sz w:val="22"/>
          <w:szCs w:val="22"/>
        </w:rPr>
        <w:t>.</w:t>
      </w:r>
    </w:p>
    <w:p w14:paraId="488CA84B" w14:textId="77777777" w:rsidR="009046C8" w:rsidRDefault="009046C8" w:rsidP="009046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65829F" w14:textId="12E4B677" w:rsidR="00173287" w:rsidRDefault="00173287" w:rsidP="001732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Cells centrifuging. </w:t>
      </w:r>
    </w:p>
    <w:p w14:paraId="6B38AFB2" w14:textId="1634F253" w:rsidR="00173287" w:rsidRDefault="00173287" w:rsidP="001732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 pellet. </w:t>
      </w:r>
    </w:p>
    <w:p w14:paraId="1FE7CEA0" w14:textId="53B0B766" w:rsidR="00450B27" w:rsidRPr="00173287" w:rsidRDefault="00173287" w:rsidP="001732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cells. </w:t>
      </w:r>
      <w:r w:rsidRPr="002F10C3">
        <w:rPr>
          <w:rFonts w:ascii="Helvetica" w:hAnsi="Helvetica" w:cs="Arial"/>
          <w:b/>
          <w:bCs/>
          <w:sz w:val="22"/>
          <w:szCs w:val="22"/>
        </w:rPr>
        <w:t>TEXT: Keep sample of ice</w:t>
      </w:r>
    </w:p>
    <w:p w14:paraId="4D8131B4" w14:textId="03979BBA" w:rsidR="00CE10F2" w:rsidRPr="006A6324" w:rsidRDefault="0017328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Immunostaining for Detection of H</w:t>
      </w:r>
      <w:r w:rsidRPr="00173287">
        <w:rPr>
          <w:rFonts w:ascii="Helvetica" w:hAnsi="Helvetica" w:cs="Arial"/>
          <w:b/>
          <w:sz w:val="22"/>
          <w:szCs w:val="22"/>
        </w:rPr>
        <w:t xml:space="preserve">ematopoietic </w:t>
      </w:r>
      <w:r>
        <w:rPr>
          <w:rFonts w:ascii="Helvetica" w:hAnsi="Helvetica" w:cs="Arial"/>
          <w:b/>
          <w:sz w:val="22"/>
          <w:szCs w:val="22"/>
        </w:rPr>
        <w:t>S</w:t>
      </w:r>
      <w:r w:rsidRPr="00173287">
        <w:rPr>
          <w:rFonts w:ascii="Helvetica" w:hAnsi="Helvetica" w:cs="Arial"/>
          <w:b/>
          <w:sz w:val="22"/>
          <w:szCs w:val="22"/>
        </w:rPr>
        <w:t xml:space="preserve">tem </w:t>
      </w:r>
      <w:r>
        <w:rPr>
          <w:rFonts w:ascii="Helvetica" w:hAnsi="Helvetica" w:cs="Arial"/>
          <w:b/>
          <w:sz w:val="22"/>
          <w:szCs w:val="22"/>
        </w:rPr>
        <w:t>C</w:t>
      </w:r>
      <w:r w:rsidRPr="00173287">
        <w:rPr>
          <w:rFonts w:ascii="Helvetica" w:hAnsi="Helvetica" w:cs="Arial"/>
          <w:b/>
          <w:sz w:val="22"/>
          <w:szCs w:val="22"/>
        </w:rPr>
        <w:t>ell</w:t>
      </w:r>
      <w:r>
        <w:rPr>
          <w:rFonts w:ascii="Helvetica" w:hAnsi="Helvetica" w:cs="Arial"/>
          <w:b/>
          <w:sz w:val="22"/>
          <w:szCs w:val="22"/>
        </w:rPr>
        <w:t>s</w:t>
      </w:r>
    </w:p>
    <w:p w14:paraId="705CAD57" w14:textId="58DA778C" w:rsidR="00CE10F2" w:rsidRDefault="0017328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Start by pre</w:t>
      </w:r>
      <w:r w:rsidR="00DC0C2E">
        <w:rPr>
          <w:rFonts w:ascii="Helvetica" w:hAnsi="Helvetica" w:cs="Arial"/>
          <w:sz w:val="22"/>
          <w:szCs w:val="22"/>
        </w:rPr>
        <w:t xml:space="preserve">paring the lineage cocktail and fluorophore conjugated-antibodies according to manuscript directions </w:t>
      </w:r>
      <w:r w:rsidR="00DC0C2E" w:rsidRPr="00C70FAF">
        <w:rPr>
          <w:rFonts w:ascii="Helvetica" w:hAnsi="Helvetica" w:cs="Arial"/>
          <w:b/>
          <w:sz w:val="22"/>
          <w:szCs w:val="22"/>
        </w:rPr>
        <w:t>[1]</w:t>
      </w:r>
      <w:r w:rsidR="00DC0C2E">
        <w:rPr>
          <w:rFonts w:ascii="Helvetica" w:hAnsi="Helvetica" w:cs="Arial"/>
          <w:sz w:val="22"/>
          <w:szCs w:val="22"/>
        </w:rPr>
        <w:t xml:space="preserve">. Keep the antibodies on ice and protected from light </w:t>
      </w:r>
      <w:r w:rsidR="00DC0C2E" w:rsidRPr="00C70FAF">
        <w:rPr>
          <w:rFonts w:ascii="Helvetica" w:hAnsi="Helvetica" w:cs="Arial"/>
          <w:b/>
          <w:sz w:val="22"/>
          <w:szCs w:val="22"/>
        </w:rPr>
        <w:t>[2]</w:t>
      </w:r>
      <w:r w:rsidR="00DC0C2E">
        <w:rPr>
          <w:rFonts w:ascii="Helvetica" w:hAnsi="Helvetica" w:cs="Arial"/>
          <w:sz w:val="22"/>
          <w:szCs w:val="22"/>
        </w:rPr>
        <w:t xml:space="preserve">. Then, centrifuge the sample for 5 minutes at 180 x g and discard the supernatant </w:t>
      </w:r>
      <w:r w:rsidR="00DC0C2E" w:rsidRPr="00C70FAF">
        <w:rPr>
          <w:rFonts w:ascii="Helvetica" w:hAnsi="Helvetica" w:cs="Arial"/>
          <w:b/>
          <w:sz w:val="22"/>
          <w:szCs w:val="22"/>
        </w:rPr>
        <w:t>[3]</w:t>
      </w:r>
      <w:r w:rsidR="00DC0C2E">
        <w:rPr>
          <w:rFonts w:ascii="Helvetica" w:hAnsi="Helvetica" w:cs="Arial"/>
          <w:sz w:val="22"/>
          <w:szCs w:val="22"/>
        </w:rPr>
        <w:t xml:space="preserve">. </w:t>
      </w:r>
    </w:p>
    <w:p w14:paraId="46217878" w14:textId="73ABCAC8" w:rsidR="00DC0C2E" w:rsidRDefault="00DC0C2E" w:rsidP="00DC0C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at the bench preparing lineage cocktail and antibodies. </w:t>
      </w:r>
    </w:p>
    <w:p w14:paraId="3F3709FD" w14:textId="44772AF4" w:rsidR="00DC0C2E" w:rsidRDefault="00DC0C2E" w:rsidP="00DC0C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Antibodies on ice. </w:t>
      </w:r>
    </w:p>
    <w:p w14:paraId="2AB7AE81" w14:textId="20D16055" w:rsidR="00DC0C2E" w:rsidRPr="00DC0C2E" w:rsidRDefault="00DC0C2E" w:rsidP="00DC0C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the sample out of the centrifuge and removing supernatant. </w:t>
      </w:r>
    </w:p>
    <w:p w14:paraId="46127132" w14:textId="482DAAEE" w:rsidR="00DB75CA" w:rsidRDefault="00DC0C2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400 microliters of the lineage cocktail and 4 microliters of CD135-biotynilated antibod</w:t>
      </w:r>
      <w:r w:rsidR="00DB75CA">
        <w:rPr>
          <w:rFonts w:ascii="Helvetica" w:hAnsi="Helvetica" w:cs="Arial"/>
          <w:sz w:val="22"/>
          <w:szCs w:val="22"/>
        </w:rPr>
        <w:t>ies</w:t>
      </w:r>
      <w:r>
        <w:rPr>
          <w:rFonts w:ascii="Helvetica" w:hAnsi="Helvetica" w:cs="Arial"/>
          <w:sz w:val="22"/>
          <w:szCs w:val="22"/>
        </w:rPr>
        <w:t xml:space="preserve"> to the cell pellet and vortex </w:t>
      </w:r>
      <w:r w:rsidR="00DB75CA">
        <w:rPr>
          <w:rFonts w:ascii="Helvetica" w:hAnsi="Helvetica" w:cs="Arial"/>
          <w:sz w:val="22"/>
          <w:szCs w:val="22"/>
        </w:rPr>
        <w:t xml:space="preserve">the mixture </w:t>
      </w:r>
      <w:r w:rsidRPr="00C70F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B75CA">
        <w:rPr>
          <w:rFonts w:ascii="Helvetica" w:hAnsi="Helvetica" w:cs="Arial"/>
          <w:sz w:val="22"/>
          <w:szCs w:val="22"/>
        </w:rPr>
        <w:t xml:space="preserve">Then, incubate it on ice for 30 minutes </w:t>
      </w:r>
      <w:r w:rsidR="00DB75CA" w:rsidRPr="00C70FAF">
        <w:rPr>
          <w:rFonts w:ascii="Helvetica" w:hAnsi="Helvetica" w:cs="Arial"/>
          <w:b/>
          <w:sz w:val="22"/>
          <w:szCs w:val="22"/>
        </w:rPr>
        <w:t>[2]</w:t>
      </w:r>
      <w:r w:rsidR="00DB75CA">
        <w:rPr>
          <w:rFonts w:ascii="Helvetica" w:hAnsi="Helvetica" w:cs="Arial"/>
          <w:sz w:val="22"/>
          <w:szCs w:val="22"/>
        </w:rPr>
        <w:t xml:space="preserve">. </w:t>
      </w:r>
    </w:p>
    <w:p w14:paraId="6793C718" w14:textId="2AADDE99" w:rsidR="00DB75CA" w:rsidRDefault="00DB75CA" w:rsidP="00DB75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lineage cocktail and antibodies to cell pellet and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it. </w:t>
      </w:r>
    </w:p>
    <w:p w14:paraId="75298EE1" w14:textId="19B432E6" w:rsidR="00DB75CA" w:rsidRPr="00DB75CA" w:rsidRDefault="00DB75CA" w:rsidP="00DB75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mixture on ice. </w:t>
      </w:r>
    </w:p>
    <w:p w14:paraId="2E72D27A" w14:textId="77DA46DD" w:rsidR="00CE10F2" w:rsidRDefault="00DB75C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wash the sample by adding 3 milliliters of staining buffer </w:t>
      </w:r>
      <w:r w:rsidRPr="00C70F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spinning it down</w:t>
      </w:r>
      <w:r w:rsidR="006D6E4B">
        <w:rPr>
          <w:rFonts w:ascii="Helvetica" w:hAnsi="Helvetica" w:cs="Arial"/>
          <w:sz w:val="22"/>
          <w:szCs w:val="22"/>
        </w:rPr>
        <w:t xml:space="preserve"> for 5 minutes</w:t>
      </w:r>
      <w:r>
        <w:rPr>
          <w:rFonts w:ascii="Helvetica" w:hAnsi="Helvetica" w:cs="Arial"/>
          <w:sz w:val="22"/>
          <w:szCs w:val="22"/>
        </w:rPr>
        <w:t xml:space="preserve"> at 180 x g </w:t>
      </w:r>
      <w:r w:rsidRPr="00C70FA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discarding the supernatant </w:t>
      </w:r>
      <w:r w:rsidRPr="00C70FAF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DC0C2E">
        <w:rPr>
          <w:rFonts w:ascii="Helvetica" w:hAnsi="Helvetica" w:cs="Arial"/>
          <w:sz w:val="22"/>
          <w:szCs w:val="22"/>
        </w:rPr>
        <w:t xml:space="preserve"> </w:t>
      </w:r>
      <w:r w:rsidR="00D31B46">
        <w:rPr>
          <w:rFonts w:ascii="Helvetica" w:hAnsi="Helvetica" w:cs="Arial"/>
          <w:sz w:val="22"/>
          <w:szCs w:val="22"/>
        </w:rPr>
        <w:t>Then, a</w:t>
      </w:r>
      <w:r>
        <w:rPr>
          <w:rFonts w:ascii="Helvetica" w:hAnsi="Helvetica" w:cs="Arial"/>
          <w:sz w:val="22"/>
          <w:szCs w:val="22"/>
        </w:rPr>
        <w:t xml:space="preserve">dd 400 microliters of antibodies solution and vortex the mixture </w:t>
      </w:r>
      <w:r w:rsidRPr="00C70FAF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 Incubate it on ice for another 30 minutes</w:t>
      </w:r>
      <w:r w:rsidR="00D31B46">
        <w:rPr>
          <w:rFonts w:ascii="Helvetica" w:hAnsi="Helvetica" w:cs="Arial"/>
          <w:sz w:val="22"/>
          <w:szCs w:val="22"/>
        </w:rPr>
        <w:t xml:space="preserve"> and repeat the wash with the staining buffer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70FAF">
        <w:rPr>
          <w:rFonts w:ascii="Helvetica" w:hAnsi="Helvetica" w:cs="Arial"/>
          <w:b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3A6FED0" w14:textId="77777777" w:rsidR="00DB75CA" w:rsidRDefault="00DB75CA" w:rsidP="00DB75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staining buffer. </w:t>
      </w:r>
    </w:p>
    <w:p w14:paraId="2BDCFBA5" w14:textId="0E32DF4D" w:rsidR="00DB75CA" w:rsidRDefault="00DB75CA" w:rsidP="00DB75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centrifuge. </w:t>
      </w:r>
    </w:p>
    <w:p w14:paraId="50AD4817" w14:textId="7186F0FB" w:rsidR="00DB75CA" w:rsidRDefault="00DB75CA" w:rsidP="00DB75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</w:t>
      </w:r>
      <w:r w:rsidR="00082BDD">
        <w:rPr>
          <w:rFonts w:ascii="Helvetica" w:hAnsi="Helvetica" w:cs="Arial"/>
          <w:sz w:val="22"/>
          <w:szCs w:val="22"/>
        </w:rPr>
        <w:t>the supernatant.</w:t>
      </w:r>
    </w:p>
    <w:p w14:paraId="5282D7EF" w14:textId="0BACECE2" w:rsidR="006D6E4B" w:rsidRDefault="006D6E4B" w:rsidP="00DB75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antibodies and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1AEE9E94" w14:textId="6E8FD6BA" w:rsidR="00450B27" w:rsidRPr="009A6072" w:rsidRDefault="006D6E4B" w:rsidP="009A607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mixture on ice.</w:t>
      </w:r>
    </w:p>
    <w:p w14:paraId="7AF9281B" w14:textId="45858DD5" w:rsidR="00565757" w:rsidRPr="006A6324" w:rsidRDefault="009A607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TMRM Staining </w:t>
      </w:r>
    </w:p>
    <w:p w14:paraId="43847F55" w14:textId="02326AEE" w:rsidR="00565757" w:rsidRDefault="009A607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the TMRM </w:t>
      </w:r>
      <w:r w:rsidR="009046C8" w:rsidRPr="009046C8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F10C3">
        <w:rPr>
          <w:rFonts w:ascii="Helvetica" w:hAnsi="Helvetica" w:cs="Arial"/>
          <w:i/>
          <w:color w:val="FF0000"/>
          <w:sz w:val="22"/>
          <w:szCs w:val="22"/>
        </w:rPr>
        <w:t xml:space="preserve">pronounce </w:t>
      </w:r>
      <w:r w:rsidR="009046C8" w:rsidRPr="009046C8">
        <w:rPr>
          <w:rFonts w:ascii="Helvetica" w:hAnsi="Helvetica" w:cs="Arial"/>
          <w:i/>
          <w:color w:val="FF0000"/>
          <w:sz w:val="22"/>
          <w:szCs w:val="22"/>
        </w:rPr>
        <w:t>‘T-M-R-M’)</w:t>
      </w:r>
      <w:r w:rsidR="009046C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staining solution, add 2.2 microliters of TMRM stock solution and 1.1 microliters of Verapamil to 1.1 milliliters of serum-free</w:t>
      </w:r>
      <w:r w:rsidR="009046C8">
        <w:rPr>
          <w:rFonts w:ascii="Helvetica" w:hAnsi="Helvetica" w:cs="Arial"/>
          <w:sz w:val="22"/>
          <w:szCs w:val="22"/>
        </w:rPr>
        <w:t xml:space="preserve"> hematopoietic culture</w:t>
      </w:r>
      <w:r>
        <w:rPr>
          <w:rFonts w:ascii="Helvetica" w:hAnsi="Helvetica" w:cs="Arial"/>
          <w:sz w:val="22"/>
          <w:szCs w:val="22"/>
        </w:rPr>
        <w:t xml:space="preserve"> medium </w:t>
      </w:r>
      <w:r w:rsidR="009046C8">
        <w:rPr>
          <w:rFonts w:ascii="Helvetica" w:hAnsi="Helvetica" w:cs="Arial"/>
          <w:sz w:val="22"/>
          <w:szCs w:val="22"/>
        </w:rPr>
        <w:t xml:space="preserve">with </w:t>
      </w:r>
      <w:r w:rsidR="009046C8" w:rsidRPr="009046C8">
        <w:rPr>
          <w:rFonts w:ascii="Helvetica" w:hAnsi="Helvetica" w:cs="Arial"/>
          <w:sz w:val="22"/>
          <w:szCs w:val="22"/>
        </w:rPr>
        <w:t>thrombopoietin</w:t>
      </w:r>
      <w:r w:rsidR="009046C8">
        <w:rPr>
          <w:rFonts w:ascii="Helvetica" w:hAnsi="Helvetica" w:cs="Arial"/>
          <w:sz w:val="22"/>
          <w:szCs w:val="22"/>
        </w:rPr>
        <w:t xml:space="preserve"> and stem cell factor </w:t>
      </w:r>
      <w:r w:rsidR="009046C8" w:rsidRPr="00C70FAF">
        <w:rPr>
          <w:rFonts w:ascii="Helvetica" w:hAnsi="Helvetica" w:cs="Arial"/>
          <w:b/>
          <w:sz w:val="22"/>
          <w:szCs w:val="22"/>
        </w:rPr>
        <w:t>[1]</w:t>
      </w:r>
      <w:r w:rsidR="009046C8">
        <w:rPr>
          <w:rFonts w:ascii="Helvetica" w:hAnsi="Helvetica" w:cs="Arial"/>
          <w:sz w:val="22"/>
          <w:szCs w:val="22"/>
        </w:rPr>
        <w:t>.</w:t>
      </w:r>
      <w:r w:rsidR="002F10C3">
        <w:rPr>
          <w:rFonts w:ascii="Helvetica" w:hAnsi="Helvetica" w:cs="Arial"/>
          <w:sz w:val="22"/>
          <w:szCs w:val="22"/>
        </w:rPr>
        <w:t xml:space="preserve"> </w:t>
      </w:r>
      <w:r w:rsidR="002F10C3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2F10C3">
        <w:rPr>
          <w:rFonts w:ascii="Helvetica" w:hAnsi="Helvetica" w:cs="Arial"/>
          <w:i/>
          <w:color w:val="0070C0"/>
          <w:sz w:val="22"/>
          <w:szCs w:val="22"/>
        </w:rPr>
        <w:t xml:space="preserve"> and difficult</w:t>
      </w:r>
      <w:r w:rsidR="002F10C3" w:rsidRPr="0065501E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04777B3B" w14:textId="17D8FFEC" w:rsidR="009046C8" w:rsidRPr="009046C8" w:rsidRDefault="009046C8" w:rsidP="009046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TMRM and Verapamil to medium.</w:t>
      </w:r>
    </w:p>
    <w:p w14:paraId="4D15AC88" w14:textId="0550F965" w:rsidR="00565757" w:rsidRDefault="009046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Resuspend the bone marrow in 1 milliliter of the TMRM staining solution, vortex quickly</w:t>
      </w:r>
      <w:r w:rsidR="001C6719">
        <w:rPr>
          <w:rFonts w:ascii="Helvetica" w:hAnsi="Helvetica" w:cs="Arial"/>
          <w:sz w:val="22"/>
          <w:szCs w:val="22"/>
        </w:rPr>
        <w:t xml:space="preserve"> </w:t>
      </w:r>
      <w:r w:rsidR="001C6719" w:rsidRPr="00C70F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incubate for 1 hour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</w:t>
      </w:r>
      <w:r w:rsidR="001C6719">
        <w:rPr>
          <w:rFonts w:ascii="Helvetica" w:hAnsi="Helvetica" w:cs="Arial"/>
          <w:sz w:val="22"/>
          <w:szCs w:val="22"/>
        </w:rPr>
        <w:t xml:space="preserve"> </w:t>
      </w:r>
      <w:r w:rsidR="001C6719" w:rsidRPr="00C70FA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Filter the sample </w:t>
      </w:r>
      <w:r w:rsidR="001C6719">
        <w:rPr>
          <w:rFonts w:ascii="Helvetica" w:hAnsi="Helvetica" w:cs="Arial"/>
          <w:sz w:val="22"/>
          <w:szCs w:val="22"/>
        </w:rPr>
        <w:t>using</w:t>
      </w:r>
      <w:r>
        <w:rPr>
          <w:rFonts w:ascii="Helvetica" w:hAnsi="Helvetica" w:cs="Arial"/>
          <w:sz w:val="22"/>
          <w:szCs w:val="22"/>
        </w:rPr>
        <w:t xml:space="preserve"> a cell-strainer cap with a 35-micrometer nylon mesh to</w:t>
      </w:r>
      <w:r w:rsidR="001C6719">
        <w:rPr>
          <w:rFonts w:ascii="Helvetica" w:hAnsi="Helvetica" w:cs="Arial"/>
          <w:sz w:val="22"/>
          <w:szCs w:val="22"/>
        </w:rPr>
        <w:t xml:space="preserve"> avoid clogging the flow cytometer </w:t>
      </w:r>
      <w:r w:rsidR="001C6719" w:rsidRPr="00C70FAF">
        <w:rPr>
          <w:rFonts w:ascii="Helvetica" w:hAnsi="Helvetica" w:cs="Arial"/>
          <w:b/>
          <w:sz w:val="22"/>
          <w:szCs w:val="22"/>
        </w:rPr>
        <w:t>[3]</w:t>
      </w:r>
      <w:r w:rsidR="001C6719">
        <w:rPr>
          <w:rFonts w:ascii="Helvetica" w:hAnsi="Helvetica" w:cs="Arial"/>
          <w:sz w:val="22"/>
          <w:szCs w:val="22"/>
        </w:rPr>
        <w:t xml:space="preserve">. Then, add 1 microliter of DAPI and proceed with flow cytometry </w:t>
      </w:r>
      <w:r w:rsidR="001C6719" w:rsidRPr="00C70FAF">
        <w:rPr>
          <w:rFonts w:ascii="Helvetica" w:hAnsi="Helvetica" w:cs="Arial"/>
          <w:b/>
          <w:sz w:val="22"/>
          <w:szCs w:val="22"/>
        </w:rPr>
        <w:t>[4]</w:t>
      </w:r>
      <w:r w:rsidR="001C6719">
        <w:rPr>
          <w:rFonts w:ascii="Helvetica" w:hAnsi="Helvetica" w:cs="Arial"/>
          <w:sz w:val="22"/>
          <w:szCs w:val="22"/>
        </w:rPr>
        <w:t>.</w:t>
      </w:r>
      <w:r w:rsidR="002F10C3">
        <w:rPr>
          <w:rFonts w:ascii="Helvetica" w:hAnsi="Helvetica" w:cs="Arial"/>
          <w:sz w:val="22"/>
          <w:szCs w:val="22"/>
        </w:rPr>
        <w:t xml:space="preserve"> </w:t>
      </w:r>
      <w:r w:rsidR="002F10C3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2FE7CA8B" w14:textId="0A71BF07" w:rsidR="001C6719" w:rsidRDefault="001C6719" w:rsidP="001C67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bone marrow and </w:t>
      </w:r>
      <w:proofErr w:type="spellStart"/>
      <w:r>
        <w:rPr>
          <w:rFonts w:ascii="Helvetica" w:hAnsi="Helvetica" w:cs="Arial"/>
          <w:sz w:val="22"/>
          <w:szCs w:val="22"/>
        </w:rPr>
        <w:t>vorte</w:t>
      </w:r>
      <w:r w:rsidR="00961770">
        <w:rPr>
          <w:rFonts w:ascii="Helvetica" w:hAnsi="Helvetica" w:cs="Arial"/>
          <w:sz w:val="22"/>
          <w:szCs w:val="22"/>
        </w:rPr>
        <w:t>x</w:t>
      </w:r>
      <w:r>
        <w:rPr>
          <w:rFonts w:ascii="Helvetica" w:hAnsi="Helvetica" w:cs="Arial"/>
          <w:sz w:val="22"/>
          <w:szCs w:val="22"/>
        </w:rPr>
        <w:t>ing</w:t>
      </w:r>
      <w:proofErr w:type="spellEnd"/>
      <w:r>
        <w:rPr>
          <w:rFonts w:ascii="Helvetica" w:hAnsi="Helvetica" w:cs="Arial"/>
          <w:sz w:val="22"/>
          <w:szCs w:val="22"/>
        </w:rPr>
        <w:t xml:space="preserve"> it. </w:t>
      </w:r>
    </w:p>
    <w:p w14:paraId="2FDFA31C" w14:textId="6E8D2850" w:rsidR="001C6719" w:rsidRDefault="001C6719" w:rsidP="001C67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sample to incubate.</w:t>
      </w:r>
    </w:p>
    <w:p w14:paraId="38506DE3" w14:textId="230A54D2" w:rsidR="001C6719" w:rsidRDefault="001C6719" w:rsidP="001C67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sample. </w:t>
      </w:r>
    </w:p>
    <w:p w14:paraId="5E64B648" w14:textId="1395EE68" w:rsidR="001C6719" w:rsidRDefault="001C6719" w:rsidP="001C67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DAPI to sample. </w:t>
      </w:r>
    </w:p>
    <w:p w14:paraId="79E7CF83" w14:textId="77777777" w:rsidR="007168C6" w:rsidRDefault="007168C6" w:rsidP="007168C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F1CB472" w14:textId="77777777" w:rsidR="002F3A3D" w:rsidRDefault="007168C6" w:rsidP="007168C6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138CD">
        <w:rPr>
          <w:rFonts w:ascii="Helvetica" w:hAnsi="Helvetica" w:cs="Arial"/>
          <w:b/>
          <w:bCs/>
          <w:sz w:val="22"/>
          <w:szCs w:val="22"/>
        </w:rPr>
        <w:t>Flow Cytomet</w:t>
      </w:r>
      <w:r w:rsidR="00B138CD" w:rsidRPr="00B138CD">
        <w:rPr>
          <w:rFonts w:ascii="Helvetica" w:hAnsi="Helvetica" w:cs="Arial"/>
          <w:b/>
          <w:bCs/>
          <w:sz w:val="22"/>
          <w:szCs w:val="22"/>
        </w:rPr>
        <w:t>ry</w:t>
      </w:r>
    </w:p>
    <w:p w14:paraId="094CFC85" w14:textId="3643BC7E" w:rsidR="00B138CD" w:rsidRPr="002F3A3D" w:rsidRDefault="002F3A3D" w:rsidP="002F3A3D">
      <w:pPr>
        <w:pStyle w:val="ListParagraph"/>
        <w:spacing w:before="240"/>
        <w:ind w:left="36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2F3A3D">
        <w:rPr>
          <w:rFonts w:ascii="Helvetica" w:hAnsi="Helvetica" w:cs="Arial"/>
          <w:i/>
          <w:iCs/>
          <w:color w:val="0070C0"/>
          <w:sz w:val="22"/>
          <w:szCs w:val="22"/>
        </w:rPr>
        <w:t>Videographer: Film the screen as talent performs the flow cytometry data analysis in steps 5.1 – 5.4.</w:t>
      </w:r>
      <w:r w:rsidR="00B138CD" w:rsidRPr="002F3A3D">
        <w:rPr>
          <w:rFonts w:ascii="Helvetica" w:hAnsi="Helvetica" w:cs="Arial"/>
          <w:i/>
          <w:iCs/>
          <w:sz w:val="22"/>
          <w:szCs w:val="22"/>
        </w:rPr>
        <w:t xml:space="preserve"> </w:t>
      </w:r>
    </w:p>
    <w:p w14:paraId="2E25E0F1" w14:textId="19E073C0" w:rsidR="007168C6" w:rsidRDefault="00B138CD" w:rsidP="007168C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Run the bone marrow sample and acquire at least </w:t>
      </w:r>
      <w:r w:rsidR="00457031">
        <w:rPr>
          <w:rFonts w:ascii="Helvetica" w:hAnsi="Helvetica" w:cs="Arial"/>
          <w:sz w:val="22"/>
          <w:szCs w:val="22"/>
        </w:rPr>
        <w:t>one</w:t>
      </w:r>
      <w:r>
        <w:rPr>
          <w:rFonts w:ascii="Helvetica" w:hAnsi="Helvetica" w:cs="Arial"/>
          <w:sz w:val="22"/>
          <w:szCs w:val="22"/>
        </w:rPr>
        <w:t xml:space="preserve"> million events </w:t>
      </w:r>
      <w:r w:rsidRPr="00F748C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display the live bone marrow mono-nuclear cells in a plot for Pacific Blue to identify CD135 Lin-negative and Lin-positive fractions </w:t>
      </w:r>
      <w:r w:rsidRPr="00F748CE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2C10C1" w14:textId="77777777" w:rsidR="002F0D54" w:rsidRDefault="002F0D54" w:rsidP="002F0D5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9ACC45" w14:textId="68A5B5EE" w:rsidR="00B138CD" w:rsidRDefault="00B138CD" w:rsidP="00B138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at the flow cytometer acquiring data. </w:t>
      </w:r>
    </w:p>
    <w:p w14:paraId="38415868" w14:textId="27F2EEA7" w:rsidR="00B138CD" w:rsidRDefault="00B138CD" w:rsidP="00B138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2, 1</w:t>
      </w:r>
      <w:r w:rsidRPr="00B138CD">
        <w:rPr>
          <w:rFonts w:ascii="Helvetica" w:hAnsi="Helvetica" w:cs="Arial"/>
          <w:sz w:val="22"/>
          <w:szCs w:val="22"/>
          <w:vertAlign w:val="superscript"/>
        </w:rPr>
        <w:t>st</w:t>
      </w:r>
      <w:r>
        <w:rPr>
          <w:rFonts w:ascii="Helvetica" w:hAnsi="Helvetica" w:cs="Arial"/>
          <w:sz w:val="22"/>
          <w:szCs w:val="22"/>
        </w:rPr>
        <w:t xml:space="preserve"> plot from the left</w:t>
      </w:r>
      <w:r w:rsidR="002F0D54">
        <w:rPr>
          <w:rFonts w:ascii="Helvetica" w:hAnsi="Helvetica" w:cs="Arial"/>
          <w:sz w:val="22"/>
          <w:szCs w:val="22"/>
        </w:rPr>
        <w:t>.</w:t>
      </w:r>
    </w:p>
    <w:p w14:paraId="2DBA5430" w14:textId="77777777" w:rsidR="002F0D54" w:rsidRDefault="002F0D54" w:rsidP="002F0D5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C0398BD" w14:textId="3E38A74A" w:rsidR="002F0D54" w:rsidRPr="003A1E48" w:rsidRDefault="00B138CD" w:rsidP="003A1E4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1E48">
        <w:rPr>
          <w:rFonts w:ascii="Helvetica" w:hAnsi="Helvetica" w:cs="Arial"/>
          <w:sz w:val="22"/>
          <w:szCs w:val="22"/>
        </w:rPr>
        <w:t>Plot the Lin-negative fraction for APC/Cy7</w:t>
      </w:r>
      <w:r w:rsidR="003A1E48" w:rsidRPr="003A1E48">
        <w:rPr>
          <w:rFonts w:ascii="Helvetica" w:hAnsi="Helvetica" w:cs="Arial"/>
          <w:sz w:val="22"/>
          <w:szCs w:val="22"/>
        </w:rPr>
        <w:t xml:space="preserve"> </w:t>
      </w:r>
      <w:r w:rsidR="003A1E48" w:rsidRPr="003A1E48">
        <w:rPr>
          <w:rFonts w:ascii="Helvetica" w:hAnsi="Helvetica" w:cs="Arial"/>
          <w:i/>
          <w:iCs/>
          <w:color w:val="FF0000"/>
          <w:sz w:val="22"/>
          <w:szCs w:val="22"/>
        </w:rPr>
        <w:t>(pronounce ‘A-P- C- C-Y-7’)</w:t>
      </w:r>
      <w:r w:rsidRPr="003A1E48">
        <w:rPr>
          <w:rFonts w:ascii="Helvetica" w:hAnsi="Helvetica" w:cs="Arial"/>
          <w:sz w:val="22"/>
          <w:szCs w:val="22"/>
        </w:rPr>
        <w:t xml:space="preserve"> versus PE/Cy7 </w:t>
      </w:r>
      <w:r w:rsidR="003A1E48" w:rsidRPr="003A1E48">
        <w:rPr>
          <w:rFonts w:ascii="Helvetica" w:hAnsi="Helvetica" w:cs="Arial"/>
          <w:i/>
          <w:iCs/>
          <w:color w:val="FF0000"/>
          <w:sz w:val="22"/>
          <w:szCs w:val="22"/>
        </w:rPr>
        <w:t>(pronounce ‘P-E-C-Y-7’)</w:t>
      </w:r>
      <w:r w:rsidR="003A1E48" w:rsidRPr="003A1E48">
        <w:rPr>
          <w:rFonts w:ascii="Helvetica" w:hAnsi="Helvetica" w:cs="Arial"/>
          <w:sz w:val="22"/>
          <w:szCs w:val="22"/>
        </w:rPr>
        <w:t xml:space="preserve"> </w:t>
      </w:r>
      <w:r w:rsidRPr="003A1E48">
        <w:rPr>
          <w:rFonts w:ascii="Helvetica" w:hAnsi="Helvetica" w:cs="Arial"/>
          <w:sz w:val="22"/>
          <w:szCs w:val="22"/>
        </w:rPr>
        <w:t>to identify the multipotent progenitor</w:t>
      </w:r>
      <w:r w:rsidR="002F0D54" w:rsidRPr="003A1E48">
        <w:rPr>
          <w:rFonts w:ascii="Helvetica" w:hAnsi="Helvetica" w:cs="Arial"/>
          <w:sz w:val="22"/>
          <w:szCs w:val="22"/>
        </w:rPr>
        <w:t>, or MPP,</w:t>
      </w:r>
      <w:r w:rsidRPr="003A1E48">
        <w:rPr>
          <w:rFonts w:ascii="Helvetica" w:hAnsi="Helvetica" w:cs="Arial"/>
          <w:sz w:val="22"/>
          <w:szCs w:val="22"/>
        </w:rPr>
        <w:t xml:space="preserve"> fraction </w:t>
      </w:r>
      <w:r w:rsidRPr="003A1E48">
        <w:rPr>
          <w:rFonts w:ascii="Helvetica" w:hAnsi="Helvetica" w:cs="Arial"/>
          <w:b/>
          <w:bCs/>
          <w:sz w:val="22"/>
          <w:szCs w:val="22"/>
        </w:rPr>
        <w:t>[1]</w:t>
      </w:r>
      <w:r w:rsidRPr="003A1E48">
        <w:rPr>
          <w:rFonts w:ascii="Helvetica" w:hAnsi="Helvetica" w:cs="Arial"/>
          <w:sz w:val="22"/>
          <w:szCs w:val="22"/>
        </w:rPr>
        <w:t xml:space="preserve">. </w:t>
      </w:r>
      <w:r w:rsidR="002F0D54" w:rsidRPr="003A1E48">
        <w:rPr>
          <w:rFonts w:ascii="Helvetica" w:hAnsi="Helvetica" w:cs="Arial"/>
          <w:sz w:val="22"/>
          <w:szCs w:val="22"/>
        </w:rPr>
        <w:t xml:space="preserve">Then, plot the MPP fraction for APC versus </w:t>
      </w:r>
      <w:proofErr w:type="spellStart"/>
      <w:r w:rsidR="002F0D54" w:rsidRPr="003A1E48">
        <w:rPr>
          <w:rFonts w:ascii="Helvetica" w:hAnsi="Helvetica" w:cs="Arial"/>
          <w:sz w:val="22"/>
          <w:szCs w:val="22"/>
        </w:rPr>
        <w:t>PerCP</w:t>
      </w:r>
      <w:proofErr w:type="spellEnd"/>
      <w:r w:rsidR="002F0D54" w:rsidRPr="003A1E48">
        <w:rPr>
          <w:rFonts w:ascii="Helvetica" w:hAnsi="Helvetica" w:cs="Arial"/>
          <w:sz w:val="22"/>
          <w:szCs w:val="22"/>
        </w:rPr>
        <w:t xml:space="preserve">/Cy5.5 </w:t>
      </w:r>
      <w:r w:rsidR="003A1E48" w:rsidRPr="003A1E48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‘Per-C-P-C-Y-5-point-5’) </w:t>
      </w:r>
      <w:r w:rsidR="002F0D54" w:rsidRPr="003A1E48">
        <w:rPr>
          <w:rFonts w:ascii="Helvetica" w:hAnsi="Helvetica" w:cs="Arial"/>
          <w:sz w:val="22"/>
          <w:szCs w:val="22"/>
        </w:rPr>
        <w:t xml:space="preserve">to identify the hematopoietic stem cell, or HSC, fraction </w:t>
      </w:r>
      <w:r w:rsidR="002F0D54" w:rsidRPr="003A1E48">
        <w:rPr>
          <w:rFonts w:ascii="Helvetica" w:hAnsi="Helvetica" w:cs="Arial"/>
          <w:b/>
          <w:bCs/>
          <w:sz w:val="22"/>
          <w:szCs w:val="22"/>
        </w:rPr>
        <w:t>[2]</w:t>
      </w:r>
      <w:r w:rsidR="002F0D54" w:rsidRPr="003A1E48">
        <w:rPr>
          <w:rFonts w:ascii="Helvetica" w:hAnsi="Helvetica" w:cs="Arial"/>
          <w:sz w:val="22"/>
          <w:szCs w:val="22"/>
        </w:rPr>
        <w:t>.</w:t>
      </w:r>
      <w:r w:rsidR="00C0344F" w:rsidRPr="003A1E48">
        <w:rPr>
          <w:rFonts w:ascii="Helvetica" w:hAnsi="Helvetica" w:cs="Arial"/>
          <w:sz w:val="22"/>
          <w:szCs w:val="22"/>
        </w:rPr>
        <w:t xml:space="preserve"> </w:t>
      </w:r>
    </w:p>
    <w:p w14:paraId="1E7686BF" w14:textId="77777777" w:rsidR="003A1E48" w:rsidRDefault="003A1E48" w:rsidP="003A1E4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C3CD6B" w14:textId="498FB6F7" w:rsidR="002F0D54" w:rsidRPr="002F0D54" w:rsidRDefault="00B138CD" w:rsidP="002F0D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2, 2</w:t>
      </w:r>
      <w:r w:rsidRPr="00B138CD">
        <w:rPr>
          <w:rFonts w:ascii="Helvetica" w:hAnsi="Helvetica" w:cs="Arial"/>
          <w:sz w:val="22"/>
          <w:szCs w:val="22"/>
          <w:vertAlign w:val="superscript"/>
        </w:rPr>
        <w:t>nd</w:t>
      </w:r>
      <w:r>
        <w:rPr>
          <w:rFonts w:ascii="Helvetica" w:hAnsi="Helvetica" w:cs="Arial"/>
          <w:sz w:val="22"/>
          <w:szCs w:val="22"/>
        </w:rPr>
        <w:t xml:space="preserve"> plot from left. </w:t>
      </w:r>
      <w:r w:rsidRPr="00457031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the MPP area when VO says ‘</w:t>
      </w:r>
      <w:r w:rsidR="002F0D54" w:rsidRPr="00457031">
        <w:rPr>
          <w:rFonts w:ascii="Helvetica" w:hAnsi="Helvetica" w:cs="Arial"/>
          <w:i/>
          <w:iCs/>
          <w:color w:val="0070C0"/>
          <w:sz w:val="22"/>
          <w:szCs w:val="22"/>
        </w:rPr>
        <w:t>multipotent progenitor fraction’.</w:t>
      </w:r>
      <w:r w:rsidR="002F0D54">
        <w:rPr>
          <w:rFonts w:ascii="Helvetica" w:hAnsi="Helvetica" w:cs="Arial"/>
          <w:sz w:val="22"/>
          <w:szCs w:val="22"/>
        </w:rPr>
        <w:t xml:space="preserve"> </w:t>
      </w:r>
    </w:p>
    <w:p w14:paraId="779F9A90" w14:textId="0C90BDD8" w:rsidR="00B138CD" w:rsidRDefault="002F0D54" w:rsidP="00B138C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2, 3</w:t>
      </w:r>
      <w:r w:rsidRPr="002F0D54">
        <w:rPr>
          <w:rFonts w:ascii="Helvetica" w:hAnsi="Helvetica" w:cs="Arial"/>
          <w:sz w:val="22"/>
          <w:szCs w:val="22"/>
          <w:vertAlign w:val="superscript"/>
        </w:rPr>
        <w:t>rd</w:t>
      </w:r>
      <w:r>
        <w:rPr>
          <w:rFonts w:ascii="Helvetica" w:hAnsi="Helvetica" w:cs="Arial"/>
          <w:sz w:val="22"/>
          <w:szCs w:val="22"/>
        </w:rPr>
        <w:t xml:space="preserve"> plot from left. </w:t>
      </w:r>
      <w:r w:rsidRPr="00457031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the HSC area when VO says ‘hematopoietic stem cell’.</w:t>
      </w:r>
    </w:p>
    <w:p w14:paraId="3A483B82" w14:textId="77777777" w:rsidR="002F0D54" w:rsidRDefault="002F0D54" w:rsidP="002F0D5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879914A" w14:textId="33F721F2" w:rsidR="002F0D54" w:rsidRDefault="002F0D54" w:rsidP="002F0D5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Display the HSC fraction for FITC</w:t>
      </w:r>
      <w:r w:rsidR="00C0344F">
        <w:rPr>
          <w:rFonts w:ascii="Helvetica" w:hAnsi="Helvetica" w:cs="Arial"/>
          <w:sz w:val="22"/>
          <w:szCs w:val="22"/>
        </w:rPr>
        <w:t xml:space="preserve"> </w:t>
      </w:r>
      <w:r w:rsidR="00C0344F" w:rsidRPr="00C0344F">
        <w:rPr>
          <w:rFonts w:ascii="Helvetica" w:hAnsi="Helvetica" w:cs="Arial"/>
          <w:i/>
          <w:iCs/>
          <w:color w:val="FF0000"/>
          <w:sz w:val="22"/>
          <w:szCs w:val="22"/>
        </w:rPr>
        <w:t>(pronounce ‘fit-C’)</w:t>
      </w:r>
      <w:r>
        <w:rPr>
          <w:rFonts w:ascii="Helvetica" w:hAnsi="Helvetica" w:cs="Arial"/>
          <w:sz w:val="22"/>
          <w:szCs w:val="22"/>
        </w:rPr>
        <w:t xml:space="preserve">, or CD34, to divide it into CD34-negative HSC and CD34-positive HSC fractions </w:t>
      </w:r>
      <w:r w:rsidRPr="00F748C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Finally, acquire the TMRM intensity in each population </w:t>
      </w:r>
      <w:r w:rsidRPr="00F748CE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A997BEF" w14:textId="77777777" w:rsidR="00C0344F" w:rsidRDefault="00C0344F" w:rsidP="00C0344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F338E9D" w14:textId="03A9FB3B" w:rsidR="002F0D54" w:rsidRDefault="00C0344F" w:rsidP="00C034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2, last plot from left.</w:t>
      </w:r>
    </w:p>
    <w:p w14:paraId="2B17A96D" w14:textId="4BA3538E" w:rsidR="00C0344F" w:rsidRDefault="00C0344F" w:rsidP="00C034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screenshot for jove.pdf. </w:t>
      </w:r>
      <w:r w:rsidRPr="00457031">
        <w:rPr>
          <w:rFonts w:ascii="Helvetica" w:hAnsi="Helvetica" w:cs="Arial"/>
          <w:i/>
          <w:iCs/>
          <w:color w:val="0070C0"/>
          <w:sz w:val="22"/>
          <w:szCs w:val="22"/>
        </w:rPr>
        <w:t>Video Editor: Emphasize the plots and table encased in red on the last page of the .pdf.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3C95982" w14:textId="77777777" w:rsidR="00C0344F" w:rsidRDefault="00C0344F" w:rsidP="00C0344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03D7405" w14:textId="57340263" w:rsidR="00C0344F" w:rsidRDefault="00C0344F" w:rsidP="00C0344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en</w:t>
      </w:r>
      <w:r w:rsidR="0045703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ure that TMRM staining worked correctly, add 1 microliter of FCCP to the sample for a final concentration of 1 millimolar and incubate</w:t>
      </w:r>
      <w:r w:rsidR="00457031">
        <w:rPr>
          <w:rFonts w:ascii="Helvetica" w:hAnsi="Helvetica" w:cs="Arial"/>
          <w:sz w:val="22"/>
          <w:szCs w:val="22"/>
        </w:rPr>
        <w:t xml:space="preserve"> it</w:t>
      </w:r>
      <w:r>
        <w:rPr>
          <w:rFonts w:ascii="Helvetica" w:hAnsi="Helvetica" w:cs="Arial"/>
          <w:sz w:val="22"/>
          <w:szCs w:val="22"/>
        </w:rPr>
        <w:t xml:space="preserve">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5 minutes </w:t>
      </w:r>
      <w:r w:rsidRPr="00F748C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acquire one million events. After FCCP addition TMRM intensity should be drastically decreased </w:t>
      </w:r>
      <w:r w:rsidRPr="00F748CE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C8819B3" w14:textId="77777777" w:rsidR="00C0344F" w:rsidRDefault="00C0344F" w:rsidP="00C0344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AC86DCE" w14:textId="602895FB" w:rsidR="00C0344F" w:rsidRDefault="00C0344F" w:rsidP="00C034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FCCP to sample. </w:t>
      </w:r>
    </w:p>
    <w:p w14:paraId="100E9D32" w14:textId="0022A1BC" w:rsidR="00C0344F" w:rsidRPr="001C6719" w:rsidRDefault="00C0344F" w:rsidP="00C034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flow cytometer.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5FA2ECF0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86891C0" w14:textId="2EAC2F12" w:rsidR="002F3A3D" w:rsidRDefault="002F3A3D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E96817C" w14:textId="0EF23184" w:rsidR="002F3A3D" w:rsidRDefault="002F3A3D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C6242A8" w14:textId="77777777" w:rsidR="002F3A3D" w:rsidRDefault="002F3A3D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33CCE7A" w:rsidR="005E2B7E" w:rsidRPr="002F10C3" w:rsidRDefault="00177B33" w:rsidP="002F10C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75EFDF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85EF6" w:rsidRPr="00E85EF6">
        <w:rPr>
          <w:rFonts w:ascii="Helvetica" w:hAnsi="Helvetica" w:cs="Arial"/>
          <w:b/>
          <w:sz w:val="22"/>
          <w:szCs w:val="22"/>
        </w:rPr>
        <w:t xml:space="preserve">Flow </w:t>
      </w:r>
      <w:r w:rsidR="00E85EF6">
        <w:rPr>
          <w:rFonts w:ascii="Helvetica" w:hAnsi="Helvetica" w:cs="Arial"/>
          <w:b/>
          <w:sz w:val="22"/>
          <w:szCs w:val="22"/>
        </w:rPr>
        <w:t>C</w:t>
      </w:r>
      <w:r w:rsidR="00E85EF6" w:rsidRPr="00E85EF6">
        <w:rPr>
          <w:rFonts w:ascii="Helvetica" w:hAnsi="Helvetica" w:cs="Arial"/>
          <w:b/>
          <w:sz w:val="22"/>
          <w:szCs w:val="22"/>
        </w:rPr>
        <w:t xml:space="preserve">ytometry </w:t>
      </w:r>
      <w:r w:rsidR="00E85EF6">
        <w:rPr>
          <w:rFonts w:ascii="Helvetica" w:hAnsi="Helvetica" w:cs="Arial"/>
          <w:b/>
          <w:sz w:val="22"/>
          <w:szCs w:val="22"/>
        </w:rPr>
        <w:t>A</w:t>
      </w:r>
      <w:r w:rsidR="00E85EF6" w:rsidRPr="00E85EF6">
        <w:rPr>
          <w:rFonts w:ascii="Helvetica" w:hAnsi="Helvetica" w:cs="Arial"/>
          <w:b/>
          <w:sz w:val="22"/>
          <w:szCs w:val="22"/>
        </w:rPr>
        <w:t xml:space="preserve">nalysis of </w:t>
      </w:r>
      <w:r w:rsidR="00E85EF6">
        <w:rPr>
          <w:rFonts w:ascii="Helvetica" w:hAnsi="Helvetica" w:cs="Arial"/>
          <w:b/>
          <w:sz w:val="22"/>
          <w:szCs w:val="22"/>
        </w:rPr>
        <w:t>M</w:t>
      </w:r>
      <w:r w:rsidR="00E85EF6" w:rsidRPr="00E85EF6">
        <w:rPr>
          <w:rFonts w:ascii="Helvetica" w:hAnsi="Helvetica" w:cs="Arial"/>
          <w:b/>
          <w:sz w:val="22"/>
          <w:szCs w:val="22"/>
        </w:rPr>
        <w:t xml:space="preserve">itochondrial </w:t>
      </w:r>
      <w:r w:rsidR="00E85EF6">
        <w:rPr>
          <w:rFonts w:ascii="Helvetica" w:hAnsi="Helvetica" w:cs="Arial"/>
          <w:b/>
          <w:sz w:val="22"/>
          <w:szCs w:val="22"/>
        </w:rPr>
        <w:t>M</w:t>
      </w:r>
      <w:r w:rsidR="00E85EF6" w:rsidRPr="00E85EF6">
        <w:rPr>
          <w:rFonts w:ascii="Helvetica" w:hAnsi="Helvetica" w:cs="Arial"/>
          <w:b/>
          <w:sz w:val="22"/>
          <w:szCs w:val="22"/>
        </w:rPr>
        <w:t xml:space="preserve">embrane </w:t>
      </w:r>
      <w:r w:rsidR="00E85EF6">
        <w:rPr>
          <w:rFonts w:ascii="Helvetica" w:hAnsi="Helvetica" w:cs="Arial"/>
          <w:b/>
          <w:sz w:val="22"/>
          <w:szCs w:val="22"/>
        </w:rPr>
        <w:t>P</w:t>
      </w:r>
      <w:r w:rsidR="00E85EF6" w:rsidRPr="00E85EF6">
        <w:rPr>
          <w:rFonts w:ascii="Helvetica" w:hAnsi="Helvetica" w:cs="Arial"/>
          <w:b/>
          <w:sz w:val="22"/>
          <w:szCs w:val="22"/>
        </w:rPr>
        <w:t>otential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207BD7E" w14:textId="0FAD214B" w:rsidR="00441DA8" w:rsidRDefault="00441DA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has been successfully used to </w:t>
      </w:r>
      <w:r w:rsidR="00B46EBB">
        <w:rPr>
          <w:rFonts w:ascii="Helvetica" w:hAnsi="Helvetica" w:cs="Arial"/>
          <w:sz w:val="22"/>
          <w:szCs w:val="22"/>
        </w:rPr>
        <w:t>quantify</w:t>
      </w:r>
      <w:r>
        <w:rPr>
          <w:rFonts w:ascii="Helvetica" w:hAnsi="Helvetica" w:cs="Arial"/>
          <w:sz w:val="22"/>
          <w:szCs w:val="22"/>
        </w:rPr>
        <w:t xml:space="preserve"> mitochondrial membrane potential</w:t>
      </w:r>
      <w:r w:rsidR="00B46EBB">
        <w:rPr>
          <w:rFonts w:ascii="Helvetica" w:hAnsi="Helvetica" w:cs="Arial"/>
          <w:sz w:val="22"/>
          <w:szCs w:val="22"/>
        </w:rPr>
        <w:t xml:space="preserve"> in various cell populations with TMRM dye </w:t>
      </w:r>
      <w:r w:rsidR="00B46EBB" w:rsidRPr="00C70FAF">
        <w:rPr>
          <w:rFonts w:ascii="Helvetica" w:hAnsi="Helvetica" w:cs="Arial"/>
          <w:b/>
          <w:sz w:val="22"/>
          <w:szCs w:val="22"/>
        </w:rPr>
        <w:t>[1]</w:t>
      </w:r>
      <w:r w:rsidR="00B46EBB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5E00CFB" w14:textId="57037301" w:rsidR="00B46EBB" w:rsidRPr="00B46EBB" w:rsidRDefault="00B46EBB" w:rsidP="00B46E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C. </w:t>
      </w:r>
    </w:p>
    <w:p w14:paraId="2EA02941" w14:textId="681829C8" w:rsidR="00395684" w:rsidRDefault="005F126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It has been demonstrated that the presence of PBS and FBS in the culture medium affects TMRM signal intensity </w:t>
      </w:r>
      <w:r w:rsidRPr="00C70F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so it is important to perform TMRM staining in serum-free expansion medium </w:t>
      </w:r>
      <w:r w:rsidRPr="00C70FA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1129B49" w14:textId="4BACC2EB" w:rsidR="005F1267" w:rsidRDefault="005F1267" w:rsidP="005F12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  <w:r w:rsidRPr="00C70FAF">
        <w:rPr>
          <w:rFonts w:ascii="Helvetica" w:hAnsi="Helvetica" w:cs="Arial"/>
          <w:i/>
          <w:color w:val="0070C0"/>
          <w:sz w:val="22"/>
          <w:szCs w:val="22"/>
        </w:rPr>
        <w:t>Video Editor: Emphasize the green curve (PBS + 2% FBS)</w:t>
      </w:r>
    </w:p>
    <w:p w14:paraId="3DBE82D2" w14:textId="4F003DF7" w:rsidR="005F1267" w:rsidRPr="005F1267" w:rsidRDefault="005F1267" w:rsidP="005F12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A.</w:t>
      </w:r>
    </w:p>
    <w:p w14:paraId="515B64D9" w14:textId="616C44D8" w:rsidR="00395684" w:rsidRDefault="005F126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Hematopoietic stem cells express high </w:t>
      </w:r>
      <w:r w:rsidR="00441DA8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ctivity levels of xenobiotic efflux pumps that extrude TMRM dye, so TMRM profiles also vary in the presence of Verapamil</w:t>
      </w:r>
      <w:r w:rsidR="00441DA8">
        <w:rPr>
          <w:rFonts w:ascii="Helvetica" w:hAnsi="Helvetica" w:cs="Arial"/>
          <w:sz w:val="22"/>
          <w:szCs w:val="22"/>
        </w:rPr>
        <w:t xml:space="preserve"> or Cyclosporine H, which block the pumps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70FAF">
        <w:rPr>
          <w:rFonts w:ascii="Helvetica" w:hAnsi="Helvetica" w:cs="Arial"/>
          <w:b/>
          <w:sz w:val="22"/>
          <w:szCs w:val="22"/>
        </w:rPr>
        <w:t>[1]</w:t>
      </w:r>
      <w:r w:rsidR="00441DA8">
        <w:rPr>
          <w:rFonts w:ascii="Helvetica" w:hAnsi="Helvetica" w:cs="Arial"/>
          <w:sz w:val="22"/>
          <w:szCs w:val="22"/>
        </w:rPr>
        <w:t>.</w:t>
      </w:r>
    </w:p>
    <w:p w14:paraId="6D94436A" w14:textId="52251EDA" w:rsidR="00441DA8" w:rsidRPr="00441DA8" w:rsidRDefault="00441DA8" w:rsidP="00441DA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B.</w:t>
      </w:r>
    </w:p>
    <w:p w14:paraId="3A38C88D" w14:textId="4ABD3E67" w:rsidR="00395684" w:rsidRDefault="00B46EB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verify the accuracy of TMRM staining, FCCP can be used to depolarize the mitochondria and reduce TMRM intensity </w:t>
      </w:r>
      <w:r w:rsidRPr="00C70F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90FE090" w14:textId="79F779DA" w:rsidR="00B46EBB" w:rsidRPr="00B46EBB" w:rsidRDefault="00B46EBB" w:rsidP="00B46E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D.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260A874C" w:rsidR="006801B1" w:rsidRDefault="006801B1" w:rsidP="00E32E24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5C03241" w14:textId="204B4236" w:rsidR="002F10C3" w:rsidRDefault="00AD4B52" w:rsidP="002F10C3">
      <w:pPr>
        <w:numPr>
          <w:ilvl w:val="1"/>
          <w:numId w:val="12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2F10C3">
        <w:rPr>
          <w:rFonts w:ascii="Helvetica" w:hAnsi="Helvetica" w:cs="Arial"/>
          <w:b/>
          <w:sz w:val="22"/>
          <w:szCs w:val="22"/>
        </w:rPr>
        <w:t>Claudia Morganti</w:t>
      </w:r>
      <w:r w:rsidRPr="002F10C3">
        <w:rPr>
          <w:rFonts w:ascii="Helvetica" w:hAnsi="Helvetica" w:cs="Arial"/>
          <w:sz w:val="22"/>
          <w:szCs w:val="22"/>
        </w:rPr>
        <w:t xml:space="preserve">: </w:t>
      </w:r>
      <w:r w:rsidR="00D470B9" w:rsidRPr="002F10C3">
        <w:rPr>
          <w:rFonts w:ascii="Helvetica" w:hAnsi="Helvetica" w:cs="Arial"/>
          <w:sz w:val="22"/>
          <w:szCs w:val="22"/>
        </w:rPr>
        <w:t xml:space="preserve">This protocol can be </w:t>
      </w:r>
      <w:r w:rsidR="00984BFA" w:rsidRPr="002F10C3">
        <w:rPr>
          <w:rFonts w:ascii="Helvetica" w:hAnsi="Helvetica" w:cs="Arial"/>
          <w:sz w:val="22"/>
          <w:szCs w:val="22"/>
        </w:rPr>
        <w:t xml:space="preserve">easily </w:t>
      </w:r>
      <w:r w:rsidR="00D470B9" w:rsidRPr="002F10C3">
        <w:rPr>
          <w:rFonts w:ascii="Helvetica" w:hAnsi="Helvetica" w:cs="Arial"/>
          <w:sz w:val="22"/>
          <w:szCs w:val="22"/>
        </w:rPr>
        <w:t xml:space="preserve">adapted for </w:t>
      </w:r>
      <w:r w:rsidR="001E6C8E" w:rsidRPr="002F10C3">
        <w:rPr>
          <w:rFonts w:ascii="Helvetica" w:hAnsi="Helvetica" w:cs="Arial"/>
          <w:sz w:val="22"/>
          <w:szCs w:val="22"/>
        </w:rPr>
        <w:t>studying</w:t>
      </w:r>
      <w:r w:rsidR="00745CFC" w:rsidRPr="002F10C3">
        <w:rPr>
          <w:rFonts w:ascii="Helvetica" w:hAnsi="Helvetica" w:cs="Arial"/>
          <w:sz w:val="22"/>
          <w:szCs w:val="22"/>
        </w:rPr>
        <w:t xml:space="preserve"> HSC</w:t>
      </w:r>
      <w:r w:rsidR="00370B42">
        <w:rPr>
          <w:rFonts w:ascii="Helvetica" w:hAnsi="Helvetica" w:cs="Arial"/>
          <w:sz w:val="22"/>
          <w:szCs w:val="22"/>
        </w:rPr>
        <w:t>s with</w:t>
      </w:r>
      <w:r w:rsidR="00745CFC" w:rsidRPr="002F10C3">
        <w:rPr>
          <w:rFonts w:ascii="Helvetica" w:hAnsi="Helvetica" w:cs="Arial"/>
          <w:sz w:val="22"/>
          <w:szCs w:val="22"/>
        </w:rPr>
        <w:t xml:space="preserve"> different</w:t>
      </w:r>
      <w:r w:rsidR="00D470B9" w:rsidRPr="002F10C3">
        <w:rPr>
          <w:rFonts w:ascii="Helvetica" w:hAnsi="Helvetica" w:cs="Arial"/>
          <w:sz w:val="22"/>
          <w:szCs w:val="22"/>
        </w:rPr>
        <w:t xml:space="preserve"> mitochondrial membrane potential dyes, including TMRE</w:t>
      </w:r>
      <w:r w:rsidR="001F4CA8" w:rsidRPr="002F10C3">
        <w:rPr>
          <w:rFonts w:ascii="Helvetica" w:hAnsi="Helvetica" w:cs="Arial"/>
          <w:sz w:val="22"/>
          <w:szCs w:val="22"/>
        </w:rPr>
        <w:t xml:space="preserve"> </w:t>
      </w:r>
      <w:r w:rsidR="006A5FEA" w:rsidRPr="002F10C3">
        <w:rPr>
          <w:rFonts w:ascii="Helvetica" w:hAnsi="Helvetica" w:cs="Arial"/>
          <w:sz w:val="22"/>
          <w:szCs w:val="22"/>
        </w:rPr>
        <w:t xml:space="preserve">or </w:t>
      </w:r>
      <w:r w:rsidR="001F4CA8" w:rsidRPr="002F10C3">
        <w:rPr>
          <w:rFonts w:ascii="Helvetica" w:hAnsi="Helvetica" w:cs="Arial"/>
          <w:sz w:val="22"/>
          <w:szCs w:val="22"/>
        </w:rPr>
        <w:t xml:space="preserve">JC-1, as well as other </w:t>
      </w:r>
      <w:r w:rsidR="00745CFC" w:rsidRPr="002F10C3">
        <w:rPr>
          <w:rFonts w:ascii="Helvetica" w:hAnsi="Helvetica" w:cs="Arial"/>
          <w:sz w:val="22"/>
          <w:szCs w:val="22"/>
        </w:rPr>
        <w:t xml:space="preserve">mitochondrial dyes, such as </w:t>
      </w:r>
      <w:proofErr w:type="spellStart"/>
      <w:r w:rsidR="001F4CA8" w:rsidRPr="002F10C3">
        <w:rPr>
          <w:rFonts w:ascii="Helvetica" w:hAnsi="Helvetica" w:cs="Arial"/>
          <w:sz w:val="22"/>
          <w:szCs w:val="22"/>
        </w:rPr>
        <w:t>MitoTracker</w:t>
      </w:r>
      <w:proofErr w:type="spellEnd"/>
      <w:r w:rsidR="00745CFC" w:rsidRPr="002F10C3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1F4CA8" w:rsidRPr="002F10C3">
        <w:rPr>
          <w:rFonts w:ascii="Helvetica" w:hAnsi="Helvetica" w:cs="Arial"/>
          <w:sz w:val="22"/>
          <w:szCs w:val="22"/>
        </w:rPr>
        <w:t>MitoSOX</w:t>
      </w:r>
      <w:proofErr w:type="spellEnd"/>
      <w:r w:rsidR="00745CFC" w:rsidRPr="002F10C3">
        <w:rPr>
          <w:rFonts w:ascii="Helvetica" w:hAnsi="Helvetica" w:cs="Arial"/>
          <w:sz w:val="22"/>
          <w:szCs w:val="22"/>
        </w:rPr>
        <w:t>.</w:t>
      </w:r>
    </w:p>
    <w:p w14:paraId="7325C494" w14:textId="77777777" w:rsidR="002F10C3" w:rsidRDefault="002F10C3" w:rsidP="002F10C3">
      <w:pPr>
        <w:spacing w:before="240"/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A0D3FD5" w14:textId="77777777" w:rsidR="002F10C3" w:rsidRPr="00454A0F" w:rsidRDefault="002F10C3" w:rsidP="002F10C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34397D5" w14:textId="7AA9609A" w:rsidR="00AC2826" w:rsidRDefault="00AC2826" w:rsidP="002F10C3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F10C3">
        <w:rPr>
          <w:rFonts w:ascii="Helvetica" w:hAnsi="Helvetica" w:cs="Arial"/>
          <w:b/>
          <w:sz w:val="22"/>
          <w:szCs w:val="22"/>
        </w:rPr>
        <w:t>Claudia Morganti</w:t>
      </w:r>
      <w:r w:rsidRPr="002F10C3">
        <w:rPr>
          <w:rFonts w:ascii="Helvetica" w:hAnsi="Helvetica" w:cs="Arial"/>
          <w:sz w:val="22"/>
          <w:szCs w:val="22"/>
        </w:rPr>
        <w:t>:</w:t>
      </w:r>
      <w:r w:rsidR="00984BFA" w:rsidRPr="002F10C3">
        <w:t xml:space="preserve"> </w:t>
      </w:r>
      <w:r w:rsidR="00984BFA" w:rsidRPr="002F10C3">
        <w:rPr>
          <w:rFonts w:ascii="Helvetica" w:hAnsi="Helvetica" w:cs="Arial"/>
          <w:sz w:val="22"/>
          <w:szCs w:val="22"/>
        </w:rPr>
        <w:t xml:space="preserve">The critical issue generated by </w:t>
      </w:r>
      <w:r w:rsidR="000961FB" w:rsidRPr="002F10C3">
        <w:rPr>
          <w:rFonts w:ascii="Helvetica" w:hAnsi="Helvetica" w:cs="Arial"/>
          <w:sz w:val="22"/>
          <w:szCs w:val="22"/>
        </w:rPr>
        <w:t xml:space="preserve">the different </w:t>
      </w:r>
      <w:r w:rsidR="00984BFA" w:rsidRPr="002F10C3">
        <w:rPr>
          <w:rFonts w:ascii="Helvetica" w:hAnsi="Helvetica" w:cs="Arial"/>
          <w:sz w:val="22"/>
          <w:szCs w:val="22"/>
        </w:rPr>
        <w:t xml:space="preserve">efflux pumps activity </w:t>
      </w:r>
      <w:r w:rsidR="000961FB" w:rsidRPr="002F10C3">
        <w:rPr>
          <w:rFonts w:ascii="Helvetica" w:hAnsi="Helvetica" w:cs="Arial"/>
          <w:sz w:val="22"/>
          <w:szCs w:val="22"/>
        </w:rPr>
        <w:t>among</w:t>
      </w:r>
      <w:r w:rsidR="00984BFA" w:rsidRPr="002F10C3">
        <w:rPr>
          <w:rFonts w:ascii="Helvetica" w:hAnsi="Helvetica" w:cs="Arial"/>
          <w:sz w:val="22"/>
          <w:szCs w:val="22"/>
        </w:rPr>
        <w:t xml:space="preserve"> </w:t>
      </w:r>
      <w:r w:rsidR="000961FB" w:rsidRPr="002F10C3">
        <w:rPr>
          <w:rFonts w:ascii="Helvetica" w:hAnsi="Helvetica" w:cs="Arial"/>
          <w:sz w:val="22"/>
          <w:szCs w:val="22"/>
        </w:rPr>
        <w:t>bone</w:t>
      </w:r>
      <w:r w:rsidR="00984BFA" w:rsidRPr="002F10C3">
        <w:rPr>
          <w:rFonts w:ascii="Helvetica" w:hAnsi="Helvetica" w:cs="Arial"/>
          <w:sz w:val="22"/>
          <w:szCs w:val="22"/>
        </w:rPr>
        <w:t xml:space="preserve"> morrow population was pointed out only recently. </w:t>
      </w:r>
      <w:r w:rsidR="000961FB" w:rsidRPr="002F10C3">
        <w:rPr>
          <w:rFonts w:ascii="Helvetica" w:hAnsi="Helvetica" w:cs="Arial"/>
          <w:sz w:val="22"/>
          <w:szCs w:val="22"/>
        </w:rPr>
        <w:t>This</w:t>
      </w:r>
      <w:r w:rsidR="00984BFA" w:rsidRPr="002F10C3">
        <w:rPr>
          <w:rFonts w:ascii="Helvetica" w:hAnsi="Helvetica" w:cs="Arial"/>
          <w:sz w:val="22"/>
          <w:szCs w:val="22"/>
        </w:rPr>
        <w:t xml:space="preserve"> protocol </w:t>
      </w:r>
      <w:r w:rsidR="000961FB" w:rsidRPr="002F10C3">
        <w:rPr>
          <w:rFonts w:ascii="Helvetica" w:hAnsi="Helvetica" w:cs="Arial"/>
          <w:sz w:val="22"/>
          <w:szCs w:val="22"/>
        </w:rPr>
        <w:t xml:space="preserve">is aimed to reduce </w:t>
      </w:r>
      <w:r w:rsidR="00984BFA" w:rsidRPr="002F10C3">
        <w:rPr>
          <w:rFonts w:ascii="Helvetica" w:hAnsi="Helvetica" w:cs="Arial"/>
          <w:sz w:val="22"/>
          <w:szCs w:val="22"/>
        </w:rPr>
        <w:t xml:space="preserve">the discrepancies between </w:t>
      </w:r>
      <w:r w:rsidR="000961FB" w:rsidRPr="002F10C3">
        <w:rPr>
          <w:rFonts w:ascii="Helvetica" w:hAnsi="Helvetica" w:cs="Arial"/>
          <w:sz w:val="22"/>
          <w:szCs w:val="22"/>
        </w:rPr>
        <w:t>previously finding.</w:t>
      </w:r>
    </w:p>
    <w:p w14:paraId="4EEBDBB8" w14:textId="77777777" w:rsidR="002F10C3" w:rsidRDefault="002F10C3" w:rsidP="002F10C3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A1ABC2" w14:textId="77777777" w:rsidR="002F10C3" w:rsidRPr="00454A0F" w:rsidRDefault="002F10C3" w:rsidP="002F10C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FE36B8D" w14:textId="77777777" w:rsidR="002F10C3" w:rsidRPr="002F10C3" w:rsidRDefault="002F10C3" w:rsidP="002F10C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495911B6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BCBAC" w14:textId="77777777" w:rsidR="0056748D" w:rsidRDefault="0056748D">
      <w:r>
        <w:separator/>
      </w:r>
    </w:p>
  </w:endnote>
  <w:endnote w:type="continuationSeparator" w:id="0">
    <w:p w14:paraId="24A36250" w14:textId="77777777" w:rsidR="0056748D" w:rsidRDefault="0056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宋体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Microsoft YaHei UI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宋体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46CB89F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84766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84766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EED58" w14:textId="77777777" w:rsidR="0056748D" w:rsidRDefault="0056748D">
      <w:r>
        <w:separator/>
      </w:r>
    </w:p>
  </w:footnote>
  <w:footnote w:type="continuationSeparator" w:id="0">
    <w:p w14:paraId="5B8567B4" w14:textId="77777777" w:rsidR="0056748D" w:rsidRDefault="0056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4F9D564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0C3" w:rsidRPr="002F10C3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2F10C3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D3D35"/>
    <w:multiLevelType w:val="multilevel"/>
    <w:tmpl w:val="250240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2BDD"/>
    <w:rsid w:val="00083792"/>
    <w:rsid w:val="00090BAC"/>
    <w:rsid w:val="000961FB"/>
    <w:rsid w:val="000A5444"/>
    <w:rsid w:val="000B0B1A"/>
    <w:rsid w:val="000B4E9A"/>
    <w:rsid w:val="000D065F"/>
    <w:rsid w:val="000D17E8"/>
    <w:rsid w:val="000D2C59"/>
    <w:rsid w:val="000D35D9"/>
    <w:rsid w:val="000F2DC8"/>
    <w:rsid w:val="00106F46"/>
    <w:rsid w:val="001108D3"/>
    <w:rsid w:val="001115D1"/>
    <w:rsid w:val="00125924"/>
    <w:rsid w:val="00126973"/>
    <w:rsid w:val="00147751"/>
    <w:rsid w:val="00150A2D"/>
    <w:rsid w:val="00151824"/>
    <w:rsid w:val="00162D51"/>
    <w:rsid w:val="00173287"/>
    <w:rsid w:val="00177B33"/>
    <w:rsid w:val="001819E3"/>
    <w:rsid w:val="00184EF9"/>
    <w:rsid w:val="00191A77"/>
    <w:rsid w:val="001A2A7F"/>
    <w:rsid w:val="001B3024"/>
    <w:rsid w:val="001B5C46"/>
    <w:rsid w:val="001C3C85"/>
    <w:rsid w:val="001C6719"/>
    <w:rsid w:val="001C7BBC"/>
    <w:rsid w:val="001E230F"/>
    <w:rsid w:val="001E52A3"/>
    <w:rsid w:val="001E6C8E"/>
    <w:rsid w:val="001F0890"/>
    <w:rsid w:val="001F4CA8"/>
    <w:rsid w:val="00222D78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0D54"/>
    <w:rsid w:val="002F10C3"/>
    <w:rsid w:val="002F3829"/>
    <w:rsid w:val="002F3A3D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70B42"/>
    <w:rsid w:val="00395684"/>
    <w:rsid w:val="003A1109"/>
    <w:rsid w:val="003A1E48"/>
    <w:rsid w:val="003A49C2"/>
    <w:rsid w:val="003B5E26"/>
    <w:rsid w:val="003D0847"/>
    <w:rsid w:val="003E2BC9"/>
    <w:rsid w:val="00414B4F"/>
    <w:rsid w:val="00440FFA"/>
    <w:rsid w:val="00441DA8"/>
    <w:rsid w:val="004505B7"/>
    <w:rsid w:val="00450B27"/>
    <w:rsid w:val="00453116"/>
    <w:rsid w:val="00455510"/>
    <w:rsid w:val="00456A5D"/>
    <w:rsid w:val="00457031"/>
    <w:rsid w:val="00472752"/>
    <w:rsid w:val="0047306D"/>
    <w:rsid w:val="00482D4C"/>
    <w:rsid w:val="00484766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44668"/>
    <w:rsid w:val="00557116"/>
    <w:rsid w:val="0055763A"/>
    <w:rsid w:val="00565757"/>
    <w:rsid w:val="0056748D"/>
    <w:rsid w:val="005A09D8"/>
    <w:rsid w:val="005A1F5E"/>
    <w:rsid w:val="005A3F8F"/>
    <w:rsid w:val="005B6859"/>
    <w:rsid w:val="005D783F"/>
    <w:rsid w:val="005E2B7E"/>
    <w:rsid w:val="005F1267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0AFC"/>
    <w:rsid w:val="006A5FEA"/>
    <w:rsid w:val="006A6324"/>
    <w:rsid w:val="006C08AE"/>
    <w:rsid w:val="006C0E87"/>
    <w:rsid w:val="006C7448"/>
    <w:rsid w:val="006D6E4B"/>
    <w:rsid w:val="006E01D9"/>
    <w:rsid w:val="007001E9"/>
    <w:rsid w:val="0071294C"/>
    <w:rsid w:val="007168C6"/>
    <w:rsid w:val="00724E3B"/>
    <w:rsid w:val="00745CFC"/>
    <w:rsid w:val="00745D4B"/>
    <w:rsid w:val="00746865"/>
    <w:rsid w:val="007548F3"/>
    <w:rsid w:val="007574EC"/>
    <w:rsid w:val="0077071A"/>
    <w:rsid w:val="00777388"/>
    <w:rsid w:val="007929A3"/>
    <w:rsid w:val="007B3E0E"/>
    <w:rsid w:val="007D4222"/>
    <w:rsid w:val="00804C75"/>
    <w:rsid w:val="00806B1B"/>
    <w:rsid w:val="00832FA5"/>
    <w:rsid w:val="008373A7"/>
    <w:rsid w:val="008411CD"/>
    <w:rsid w:val="008437E5"/>
    <w:rsid w:val="00851B3E"/>
    <w:rsid w:val="00854994"/>
    <w:rsid w:val="00871E9E"/>
    <w:rsid w:val="0088113B"/>
    <w:rsid w:val="008855A0"/>
    <w:rsid w:val="008A0177"/>
    <w:rsid w:val="008D2A6A"/>
    <w:rsid w:val="008D58EC"/>
    <w:rsid w:val="008E74F7"/>
    <w:rsid w:val="008F7754"/>
    <w:rsid w:val="009046C8"/>
    <w:rsid w:val="009212DD"/>
    <w:rsid w:val="009301B8"/>
    <w:rsid w:val="00931D78"/>
    <w:rsid w:val="0093418E"/>
    <w:rsid w:val="00941F06"/>
    <w:rsid w:val="00951A8E"/>
    <w:rsid w:val="00954870"/>
    <w:rsid w:val="00961770"/>
    <w:rsid w:val="009625B1"/>
    <w:rsid w:val="00984BFA"/>
    <w:rsid w:val="00985F44"/>
    <w:rsid w:val="009A0E7C"/>
    <w:rsid w:val="009A3CBD"/>
    <w:rsid w:val="009A6072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62508"/>
    <w:rsid w:val="00A77CF6"/>
    <w:rsid w:val="00A91283"/>
    <w:rsid w:val="00AA132F"/>
    <w:rsid w:val="00AC2826"/>
    <w:rsid w:val="00AC63FC"/>
    <w:rsid w:val="00AD4B52"/>
    <w:rsid w:val="00AE11E8"/>
    <w:rsid w:val="00AF19FC"/>
    <w:rsid w:val="00B138CD"/>
    <w:rsid w:val="00B13941"/>
    <w:rsid w:val="00B26F98"/>
    <w:rsid w:val="00B337D3"/>
    <w:rsid w:val="00B340A8"/>
    <w:rsid w:val="00B40E12"/>
    <w:rsid w:val="00B435B8"/>
    <w:rsid w:val="00B4499C"/>
    <w:rsid w:val="00B46EBB"/>
    <w:rsid w:val="00B653B7"/>
    <w:rsid w:val="00B66A14"/>
    <w:rsid w:val="00B7250F"/>
    <w:rsid w:val="00BC6DA7"/>
    <w:rsid w:val="00BD7041"/>
    <w:rsid w:val="00BE051D"/>
    <w:rsid w:val="00C0344F"/>
    <w:rsid w:val="00C602B2"/>
    <w:rsid w:val="00C70C90"/>
    <w:rsid w:val="00C70FAF"/>
    <w:rsid w:val="00C7374B"/>
    <w:rsid w:val="00C8109F"/>
    <w:rsid w:val="00C836F3"/>
    <w:rsid w:val="00C97B11"/>
    <w:rsid w:val="00CB039A"/>
    <w:rsid w:val="00CC0C58"/>
    <w:rsid w:val="00CC29BF"/>
    <w:rsid w:val="00CD325D"/>
    <w:rsid w:val="00CD515D"/>
    <w:rsid w:val="00CD7F92"/>
    <w:rsid w:val="00CE10F2"/>
    <w:rsid w:val="00CF22F6"/>
    <w:rsid w:val="00CF6830"/>
    <w:rsid w:val="00D00EF4"/>
    <w:rsid w:val="00D1056A"/>
    <w:rsid w:val="00D10BFA"/>
    <w:rsid w:val="00D10F00"/>
    <w:rsid w:val="00D150D8"/>
    <w:rsid w:val="00D300CE"/>
    <w:rsid w:val="00D31B46"/>
    <w:rsid w:val="00D45AF7"/>
    <w:rsid w:val="00D466AF"/>
    <w:rsid w:val="00D470B9"/>
    <w:rsid w:val="00D776CD"/>
    <w:rsid w:val="00DA117F"/>
    <w:rsid w:val="00DA17FB"/>
    <w:rsid w:val="00DB75CA"/>
    <w:rsid w:val="00DB7EBA"/>
    <w:rsid w:val="00DC058D"/>
    <w:rsid w:val="00DC0C2E"/>
    <w:rsid w:val="00DC1E10"/>
    <w:rsid w:val="00DC7C84"/>
    <w:rsid w:val="00DC7D3A"/>
    <w:rsid w:val="00DD2CF9"/>
    <w:rsid w:val="00DE2882"/>
    <w:rsid w:val="00DE3129"/>
    <w:rsid w:val="00DE46DB"/>
    <w:rsid w:val="00DE66F3"/>
    <w:rsid w:val="00E24243"/>
    <w:rsid w:val="00E24673"/>
    <w:rsid w:val="00E24898"/>
    <w:rsid w:val="00E32E24"/>
    <w:rsid w:val="00E34BCF"/>
    <w:rsid w:val="00E355EE"/>
    <w:rsid w:val="00E42948"/>
    <w:rsid w:val="00E8076C"/>
    <w:rsid w:val="00E85EF6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0657F"/>
    <w:rsid w:val="00F10FAD"/>
    <w:rsid w:val="00F126FC"/>
    <w:rsid w:val="00F146E3"/>
    <w:rsid w:val="00F22F5E"/>
    <w:rsid w:val="00F35094"/>
    <w:rsid w:val="00F56A75"/>
    <w:rsid w:val="00F60B45"/>
    <w:rsid w:val="00F64FB6"/>
    <w:rsid w:val="00F748CE"/>
    <w:rsid w:val="00F878B2"/>
    <w:rsid w:val="00F95E8D"/>
    <w:rsid w:val="00FA1A9D"/>
    <w:rsid w:val="00FA7A79"/>
    <w:rsid w:val="00FA7D51"/>
    <w:rsid w:val="00FD1497"/>
    <w:rsid w:val="00FD7186"/>
    <w:rsid w:val="00FE059A"/>
    <w:rsid w:val="00FE17D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suke.ito@einstein.y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17433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8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35</cp:revision>
  <dcterms:created xsi:type="dcterms:W3CDTF">2019-05-08T19:29:00Z</dcterms:created>
  <dcterms:modified xsi:type="dcterms:W3CDTF">2019-06-05T13:30:00Z</dcterms:modified>
</cp:coreProperties>
</file>