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07" w:rsidRPr="00FA6699" w:rsidRDefault="009B350F">
      <w:pPr>
        <w:rPr>
          <w:rFonts w:ascii="Calibri" w:hAnsi="Calibri" w:cs="Calibri"/>
          <w:i/>
          <w:u w:val="single"/>
        </w:rPr>
      </w:pPr>
      <w:r w:rsidRPr="00FA6699">
        <w:rPr>
          <w:rFonts w:ascii="Calibri" w:hAnsi="Calibri" w:cs="Calibri"/>
          <w:i/>
          <w:u w:val="single"/>
        </w:rPr>
        <w:t>Supplementary Information</w:t>
      </w:r>
    </w:p>
    <w:p w:rsidR="009B350F" w:rsidRPr="00FA6699" w:rsidRDefault="009B350F">
      <w:pPr>
        <w:rPr>
          <w:sz w:val="16"/>
          <w:szCs w:val="16"/>
        </w:rPr>
      </w:pPr>
    </w:p>
    <w:p w:rsidR="009B350F" w:rsidRPr="00EF7A91" w:rsidRDefault="009B350F" w:rsidP="009B350F">
      <w:pPr>
        <w:jc w:val="center"/>
        <w:rPr>
          <w:b/>
          <w:sz w:val="24"/>
          <w:szCs w:val="24"/>
        </w:rPr>
      </w:pPr>
      <w:r w:rsidRPr="00EF7A91">
        <w:rPr>
          <w:b/>
          <w:i/>
          <w:sz w:val="24"/>
          <w:szCs w:val="24"/>
        </w:rPr>
        <w:t>In Silico</w:t>
      </w:r>
      <w:r w:rsidRPr="00EF7A91">
        <w:rPr>
          <w:rFonts w:hint="eastAsia"/>
          <w:b/>
          <w:sz w:val="24"/>
          <w:szCs w:val="24"/>
        </w:rPr>
        <w:t xml:space="preserve"> Modeling </w:t>
      </w:r>
      <w:r w:rsidRPr="00EF7A91">
        <w:rPr>
          <w:b/>
          <w:sz w:val="24"/>
          <w:szCs w:val="24"/>
        </w:rPr>
        <w:t xml:space="preserve">Method </w:t>
      </w:r>
      <w:r w:rsidRPr="00EF7A91">
        <w:rPr>
          <w:rFonts w:hint="eastAsia"/>
          <w:b/>
          <w:sz w:val="24"/>
          <w:szCs w:val="24"/>
        </w:rPr>
        <w:t xml:space="preserve">for Computational Aquatic Toxicology of Endocrine Disruptors: </w:t>
      </w:r>
      <w:r w:rsidR="00CE3E1A">
        <w:rPr>
          <w:b/>
          <w:sz w:val="24"/>
          <w:szCs w:val="24"/>
        </w:rPr>
        <w:t xml:space="preserve">     </w:t>
      </w:r>
      <w:r w:rsidRPr="00EF7A91">
        <w:rPr>
          <w:rFonts w:hint="eastAsia"/>
          <w:b/>
          <w:sz w:val="24"/>
          <w:szCs w:val="24"/>
        </w:rPr>
        <w:t xml:space="preserve">A Software-Based Approach Using </w:t>
      </w:r>
      <w:r w:rsidR="00CE3E1A">
        <w:rPr>
          <w:b/>
          <w:sz w:val="24"/>
          <w:szCs w:val="24"/>
        </w:rPr>
        <w:t>QSAR</w:t>
      </w:r>
      <w:r w:rsidRPr="00EF7A91">
        <w:rPr>
          <w:rFonts w:hint="eastAsia"/>
          <w:b/>
          <w:sz w:val="24"/>
          <w:szCs w:val="24"/>
        </w:rPr>
        <w:t xml:space="preserve"> Toolbox</w:t>
      </w:r>
    </w:p>
    <w:p w:rsidR="009B350F" w:rsidRPr="00EF7A91" w:rsidRDefault="009B350F" w:rsidP="009B350F">
      <w:pPr>
        <w:rPr>
          <w:b/>
          <w:sz w:val="16"/>
          <w:szCs w:val="16"/>
        </w:rPr>
      </w:pPr>
    </w:p>
    <w:p w:rsidR="009B350F" w:rsidRPr="0077072F" w:rsidRDefault="009B350F" w:rsidP="009B350F">
      <w:pPr>
        <w:jc w:val="center"/>
        <w:rPr>
          <w:lang w:val="de-DE"/>
        </w:rPr>
      </w:pPr>
      <w:r w:rsidRPr="0077072F">
        <w:rPr>
          <w:rFonts w:hint="eastAsia"/>
          <w:lang w:val="de-DE"/>
        </w:rPr>
        <w:t>Marie-Léonie Bohlen</w:t>
      </w:r>
      <w:r w:rsidRPr="0077072F">
        <w:rPr>
          <w:rFonts w:eastAsia="Calibri"/>
          <w:lang w:val="de-DE"/>
        </w:rPr>
        <w:t xml:space="preserve">, </w:t>
      </w:r>
      <w:r w:rsidRPr="0077072F">
        <w:rPr>
          <w:rFonts w:hint="eastAsia"/>
          <w:lang w:val="de-DE"/>
        </w:rPr>
        <w:t>Hyun Pyo Jeon</w:t>
      </w:r>
      <w:r w:rsidRPr="0077072F">
        <w:rPr>
          <w:rFonts w:eastAsia="Calibri"/>
          <w:lang w:val="de-DE"/>
        </w:rPr>
        <w:t xml:space="preserve">, </w:t>
      </w:r>
      <w:r w:rsidRPr="0077072F">
        <w:rPr>
          <w:rFonts w:hint="eastAsia"/>
          <w:lang w:val="de-DE"/>
        </w:rPr>
        <w:t>Young Jun Kim</w:t>
      </w:r>
      <w:r w:rsidRPr="0077072F">
        <w:rPr>
          <w:rFonts w:eastAsia="Calibri"/>
          <w:lang w:val="de-DE"/>
        </w:rPr>
        <w:t xml:space="preserve">, and </w:t>
      </w:r>
      <w:r w:rsidRPr="0077072F">
        <w:rPr>
          <w:rFonts w:hint="eastAsia"/>
          <w:lang w:val="de-DE"/>
        </w:rPr>
        <w:t>Baeckkyoung Sung</w:t>
      </w:r>
      <w:r w:rsidRPr="0077072F">
        <w:rPr>
          <w:lang w:val="de-DE"/>
        </w:rPr>
        <w:t>*</w:t>
      </w:r>
    </w:p>
    <w:p w:rsidR="009B350F" w:rsidRPr="0077072F" w:rsidRDefault="009B350F" w:rsidP="009B350F">
      <w:pPr>
        <w:jc w:val="center"/>
        <w:rPr>
          <w:rFonts w:cstheme="minorHAnsi"/>
          <w:bCs/>
          <w:color w:val="808080" w:themeColor="background1" w:themeShade="80"/>
          <w:sz w:val="16"/>
          <w:szCs w:val="16"/>
          <w:lang w:val="de-DE"/>
        </w:rPr>
      </w:pPr>
    </w:p>
    <w:p w:rsidR="009B350F" w:rsidRPr="009B350F" w:rsidRDefault="009B350F" w:rsidP="009B350F">
      <w:pPr>
        <w:jc w:val="center"/>
        <w:rPr>
          <w:i/>
          <w:lang w:val="de-DE"/>
        </w:rPr>
      </w:pPr>
      <w:r w:rsidRPr="009B350F">
        <w:rPr>
          <w:rFonts w:eastAsia="Calibri"/>
          <w:i/>
          <w:lang w:val="de-DE"/>
        </w:rPr>
        <w:t>KIST Europe Forschungsgesellschaft mbH, 66123 Saarbrücken, Germany</w:t>
      </w:r>
    </w:p>
    <w:p w:rsidR="009B350F" w:rsidRPr="00EF7A91" w:rsidRDefault="009B350F" w:rsidP="009B350F">
      <w:pPr>
        <w:jc w:val="center"/>
        <w:rPr>
          <w:rFonts w:cstheme="minorHAnsi"/>
          <w:bCs/>
          <w:color w:val="808080" w:themeColor="background1" w:themeShade="80"/>
          <w:sz w:val="16"/>
          <w:szCs w:val="16"/>
          <w:lang w:val="de-DE"/>
        </w:rPr>
      </w:pPr>
    </w:p>
    <w:p w:rsidR="009B350F" w:rsidRPr="009521FA" w:rsidRDefault="009B350F" w:rsidP="009521FA">
      <w:pPr>
        <w:jc w:val="center"/>
        <w:rPr>
          <w:rFonts w:eastAsia="Calibri"/>
        </w:rPr>
      </w:pPr>
      <w:r w:rsidRPr="009B350F">
        <w:rPr>
          <w:rFonts w:eastAsia="Calibri"/>
        </w:rPr>
        <w:t>*</w:t>
      </w:r>
      <w:r>
        <w:rPr>
          <w:rFonts w:eastAsia="Calibri"/>
        </w:rPr>
        <w:t>Correspondence</w:t>
      </w:r>
      <w:r w:rsidRPr="009A097F">
        <w:rPr>
          <w:rFonts w:eastAsia="Calibri"/>
        </w:rPr>
        <w:t>:</w:t>
      </w:r>
      <w:r>
        <w:rPr>
          <w:rFonts w:eastAsia="Calibri"/>
        </w:rPr>
        <w:t xml:space="preserve"> </w:t>
      </w:r>
      <w:hyperlink r:id="rId5" w:history="1">
        <w:r w:rsidRPr="00FC247F">
          <w:rPr>
            <w:rStyle w:val="Hyperlink"/>
          </w:rPr>
          <w:t>sung@kist-europe.de</w:t>
        </w:r>
      </w:hyperlink>
    </w:p>
    <w:p w:rsidR="009521FA" w:rsidRDefault="009521FA" w:rsidP="009B350F">
      <w:pPr>
        <w:rPr>
          <w:b/>
        </w:rPr>
      </w:pPr>
    </w:p>
    <w:p w:rsidR="00EF7A91" w:rsidRDefault="00EF7A91" w:rsidP="00EF7A91">
      <w:pPr>
        <w:rPr>
          <w:rFonts w:eastAsia="Calibri"/>
        </w:rPr>
      </w:pPr>
      <w:r w:rsidRPr="00877C63">
        <w:rPr>
          <w:rFonts w:eastAsia="Calibri"/>
        </w:rPr>
        <w:t>Fi</w:t>
      </w:r>
      <w:r>
        <w:rPr>
          <w:rFonts w:eastAsia="Calibri"/>
        </w:rPr>
        <w:t>g. S1</w:t>
      </w:r>
      <w:r w:rsidRPr="00877C63">
        <w:rPr>
          <w:rFonts w:eastAsia="Calibri"/>
        </w:rPr>
        <w:t xml:space="preserve"> and the following </w:t>
      </w:r>
      <w:proofErr w:type="spellStart"/>
      <w:r w:rsidRPr="00877C63">
        <w:rPr>
          <w:rFonts w:eastAsia="Calibri"/>
        </w:rPr>
        <w:t>Eqs</w:t>
      </w:r>
      <w:proofErr w:type="spellEnd"/>
      <w:r w:rsidRPr="00877C63">
        <w:rPr>
          <w:rFonts w:eastAsia="Calibri"/>
        </w:rPr>
        <w:t>. 1 and 2 show the statistical relationship between the descriptor (K</w:t>
      </w:r>
      <w:r w:rsidRPr="00541E0D">
        <w:rPr>
          <w:rFonts w:eastAsia="Calibri"/>
          <w:vertAlign w:val="subscript"/>
        </w:rPr>
        <w:t>OW</w:t>
      </w:r>
      <w:r w:rsidRPr="00877C63">
        <w:rPr>
          <w:rFonts w:eastAsia="Calibri"/>
        </w:rPr>
        <w:t>) and endpoint (LC</w:t>
      </w:r>
      <w:r w:rsidRPr="00541E0D">
        <w:rPr>
          <w:rFonts w:eastAsia="Calibri"/>
          <w:vertAlign w:val="subscript"/>
        </w:rPr>
        <w:t>50</w:t>
      </w:r>
      <w:r w:rsidRPr="00877C63">
        <w:rPr>
          <w:rFonts w:eastAsia="Calibri"/>
        </w:rPr>
        <w:t>) of the EDs listed in Table 1. In the log-log plot, the linear regression for the predicted and experimental values showed a comparable slope (log</w:t>
      </w:r>
      <w:r w:rsidRPr="00541E0D">
        <w:rPr>
          <w:rFonts w:eastAsia="Calibri"/>
          <w:vertAlign w:val="subscript"/>
        </w:rPr>
        <w:t>10</w:t>
      </w:r>
      <w:r w:rsidRPr="00877C63">
        <w:rPr>
          <w:rFonts w:eastAsia="Calibri"/>
        </w:rPr>
        <w:t>LC</w:t>
      </w:r>
      <w:r w:rsidRPr="00541E0D">
        <w:rPr>
          <w:rFonts w:eastAsia="Calibri"/>
          <w:vertAlign w:val="subscript"/>
        </w:rPr>
        <w:t>50</w:t>
      </w:r>
      <w:r w:rsidRPr="00877C63">
        <w:rPr>
          <w:rFonts w:eastAsia="Calibri"/>
        </w:rPr>
        <w:t xml:space="preserve"> / log</w:t>
      </w:r>
      <w:r w:rsidRPr="00541E0D">
        <w:rPr>
          <w:rFonts w:eastAsia="Calibri"/>
          <w:vertAlign w:val="subscript"/>
        </w:rPr>
        <w:t>10</w:t>
      </w:r>
      <w:r w:rsidRPr="00877C63">
        <w:rPr>
          <w:rFonts w:eastAsia="Calibri"/>
        </w:rPr>
        <w:t>K</w:t>
      </w:r>
      <w:r w:rsidRPr="00541E0D">
        <w:rPr>
          <w:rFonts w:eastAsia="Calibri"/>
          <w:vertAlign w:val="subscript"/>
        </w:rPr>
        <w:t>OW</w:t>
      </w:r>
      <w:r w:rsidR="00F73D79">
        <w:rPr>
          <w:rFonts w:eastAsia="Calibri"/>
        </w:rPr>
        <w:t xml:space="preserve"> = -0.509 and -0.414</w:t>
      </w:r>
      <w:r w:rsidRPr="00877C63">
        <w:rPr>
          <w:rFonts w:eastAsia="Calibri"/>
        </w:rPr>
        <w:t>, respectively) with a relatively high coefficient of determination</w:t>
      </w:r>
      <w:r>
        <w:rPr>
          <w:rFonts w:eastAsia="Calibri"/>
        </w:rPr>
        <w:t xml:space="preserve"> for the prediction</w:t>
      </w:r>
      <w:r w:rsidRPr="00877C63">
        <w:rPr>
          <w:rFonts w:eastAsia="Calibri"/>
        </w:rPr>
        <w:t xml:space="preserve"> (adjusted r</w:t>
      </w:r>
      <w:r w:rsidRPr="00541E0D">
        <w:rPr>
          <w:rFonts w:eastAsia="Calibri"/>
          <w:vertAlign w:val="superscript"/>
        </w:rPr>
        <w:t>2</w:t>
      </w:r>
      <w:r w:rsidR="00F73D79">
        <w:rPr>
          <w:rFonts w:eastAsia="Calibri"/>
        </w:rPr>
        <w:t xml:space="preserve"> = 0.805 and 0.437</w:t>
      </w:r>
      <w:r>
        <w:rPr>
          <w:rFonts w:eastAsia="Calibri"/>
        </w:rPr>
        <w:t xml:space="preserve"> for prediction and observation, respectively</w:t>
      </w:r>
      <w:r w:rsidRPr="00877C63">
        <w:rPr>
          <w:rFonts w:eastAsia="Calibri"/>
        </w:rPr>
        <w:t xml:space="preserve">). </w:t>
      </w:r>
    </w:p>
    <w:p w:rsidR="00EF7A91" w:rsidRPr="007B2F38" w:rsidRDefault="00EF7A91" w:rsidP="00EF7A91">
      <w:pPr>
        <w:jc w:val="center"/>
        <w:rPr>
          <w:i/>
        </w:rPr>
      </w:pPr>
      <w:r w:rsidRPr="007B2F38">
        <w:rPr>
          <w:i/>
        </w:rPr>
        <w:t xml:space="preserve">Computational prediction: </w:t>
      </w:r>
      <w:r w:rsidRPr="007B2F38">
        <w:rPr>
          <w:i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LC</m:t>
            </m:r>
          </m:e>
          <m:sub>
            <m:r>
              <w:rPr>
                <w:rFonts w:ascii="Cambria Math" w:hAnsi="Cambria Math"/>
              </w:rPr>
              <m:t>50</m:t>
            </m:r>
          </m:sub>
        </m:sSub>
        <m:r>
          <w:rPr>
            <w:rFonts w:ascii="Cambria Math" w:hAnsi="Cambria Math"/>
          </w:rPr>
          <m:t>=-0.509∙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ow</m:t>
            </m:r>
          </m:sub>
        </m:sSub>
        <m:r>
          <w:rPr>
            <w:rFonts w:ascii="Cambria Math" w:hAnsi="Cambria Math"/>
          </w:rPr>
          <m:t>+2.43</m:t>
        </m:r>
      </m:oMath>
      <w:r w:rsidRPr="007B2F38">
        <w:rPr>
          <w:i/>
        </w:rPr>
        <w:tab/>
      </w:r>
      <w:r w:rsidRPr="007B2F38">
        <w:t>(Eq.</w:t>
      </w:r>
      <w:r>
        <w:t xml:space="preserve"> </w:t>
      </w:r>
      <w:r w:rsidRPr="007B2F38">
        <w:t>1)</w:t>
      </w:r>
    </w:p>
    <w:p w:rsidR="00EF7A91" w:rsidRDefault="00EF7A91" w:rsidP="00EF7A91">
      <w:pPr>
        <w:jc w:val="center"/>
      </w:pPr>
      <w:r w:rsidRPr="007B2F38">
        <w:rPr>
          <w:i/>
        </w:rPr>
        <w:t xml:space="preserve">Experimental observation: </w:t>
      </w:r>
      <w:r w:rsidRPr="007B2F38">
        <w:rPr>
          <w:i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LC</m:t>
            </m:r>
          </m:e>
          <m:sub>
            <m:r>
              <w:rPr>
                <w:rFonts w:ascii="Cambria Math" w:hAnsi="Cambria Math"/>
              </w:rPr>
              <m:t>50</m:t>
            </m:r>
          </m:sub>
        </m:sSub>
        <m:r>
          <w:rPr>
            <w:rFonts w:ascii="Cambria Math" w:hAnsi="Cambria Math"/>
          </w:rPr>
          <m:t>=-0.414∙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ow</m:t>
            </m:r>
          </m:sub>
        </m:sSub>
        <m:r>
          <w:rPr>
            <w:rFonts w:ascii="Cambria Math" w:hAnsi="Cambria Math"/>
          </w:rPr>
          <m:t>+2.12</m:t>
        </m:r>
      </m:oMath>
      <w:r w:rsidRPr="007B2F38">
        <w:rPr>
          <w:i/>
        </w:rPr>
        <w:tab/>
      </w:r>
      <w:r w:rsidRPr="007B2F38">
        <w:t>(</w:t>
      </w:r>
      <w:r>
        <w:t>Eq. 2</w:t>
      </w:r>
      <w:r w:rsidRPr="007B2F38">
        <w:t>)</w:t>
      </w:r>
    </w:p>
    <w:p w:rsidR="00EF7A91" w:rsidRPr="00EF7A91" w:rsidRDefault="00EF7A91" w:rsidP="00EF7A91">
      <w:pPr>
        <w:jc w:val="center"/>
      </w:pPr>
    </w:p>
    <w:p w:rsidR="009B350F" w:rsidRPr="00F804B7" w:rsidRDefault="00FA6699" w:rsidP="00EF7A91">
      <w:pPr>
        <w:jc w:val="center"/>
      </w:pPr>
      <w:r>
        <w:rPr>
          <w:noProof/>
        </w:rPr>
        <w:drawing>
          <wp:inline distT="0" distB="0" distL="0" distR="0">
            <wp:extent cx="4543399" cy="346676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987" cy="347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561" w:rsidRDefault="00F37561" w:rsidP="00F37561">
      <w:pPr>
        <w:rPr>
          <w:rFonts w:eastAsia="Calibri"/>
          <w:b/>
        </w:rPr>
      </w:pPr>
      <w:r>
        <w:rPr>
          <w:rFonts w:eastAsia="Calibri"/>
          <w:b/>
        </w:rPr>
        <w:lastRenderedPageBreak/>
        <w:t>Figure S1</w:t>
      </w:r>
      <w:r w:rsidRPr="00535F7B">
        <w:rPr>
          <w:rFonts w:eastAsia="Calibri"/>
          <w:b/>
        </w:rPr>
        <w:t xml:space="preserve">: </w:t>
      </w:r>
      <w:r w:rsidRPr="00535F7B">
        <w:rPr>
          <w:rFonts w:eastAsia="Calibri"/>
        </w:rPr>
        <w:t>Relationships between 96-h LC</w:t>
      </w:r>
      <w:r w:rsidRPr="00BB66B7">
        <w:rPr>
          <w:rFonts w:eastAsia="Calibri"/>
          <w:vertAlign w:val="subscript"/>
        </w:rPr>
        <w:t>50</w:t>
      </w:r>
      <w:r w:rsidRPr="00535F7B">
        <w:rPr>
          <w:rFonts w:eastAsia="Calibri"/>
        </w:rPr>
        <w:t xml:space="preserve"> and log</w:t>
      </w:r>
      <w:r w:rsidRPr="00BB66B7">
        <w:rPr>
          <w:rFonts w:eastAsia="Calibri"/>
          <w:vertAlign w:val="subscript"/>
        </w:rPr>
        <w:t>10</w:t>
      </w:r>
      <w:r w:rsidRPr="00535F7B">
        <w:rPr>
          <w:rFonts w:eastAsia="Calibri"/>
        </w:rPr>
        <w:t>K</w:t>
      </w:r>
      <w:r w:rsidRPr="00BB66B7">
        <w:rPr>
          <w:rFonts w:eastAsia="Calibri"/>
          <w:vertAlign w:val="subscript"/>
        </w:rPr>
        <w:t>OW</w:t>
      </w:r>
      <w:r w:rsidRPr="00535F7B">
        <w:rPr>
          <w:rFonts w:eastAsia="Calibri"/>
        </w:rPr>
        <w:t xml:space="preserve"> values of EDs listed in Table 1. For all fish species, the values for predic</w:t>
      </w:r>
      <w:r w:rsidR="00F73D79">
        <w:rPr>
          <w:rFonts w:eastAsia="Calibri"/>
        </w:rPr>
        <w:t>ted (black empty squares, n = 74</w:t>
      </w:r>
      <w:r w:rsidRPr="00535F7B">
        <w:rPr>
          <w:rFonts w:eastAsia="Calibri"/>
        </w:rPr>
        <w:t>) and experim</w:t>
      </w:r>
      <w:r w:rsidR="00F73D79">
        <w:rPr>
          <w:rFonts w:eastAsia="Calibri"/>
        </w:rPr>
        <w:t>ental (red empty circles, n = 36</w:t>
      </w:r>
      <w:r w:rsidRPr="00535F7B">
        <w:rPr>
          <w:rFonts w:eastAsia="Calibri"/>
        </w:rPr>
        <w:t>) are plotted together in a log scale as a function of log</w:t>
      </w:r>
      <w:r w:rsidRPr="00BB66B7">
        <w:rPr>
          <w:rFonts w:eastAsia="Calibri"/>
          <w:vertAlign w:val="subscript"/>
        </w:rPr>
        <w:t>10</w:t>
      </w:r>
      <w:r w:rsidRPr="00535F7B">
        <w:rPr>
          <w:rFonts w:eastAsia="Calibri"/>
        </w:rPr>
        <w:t>K</w:t>
      </w:r>
      <w:r w:rsidRPr="00BB66B7">
        <w:rPr>
          <w:rFonts w:eastAsia="Calibri"/>
          <w:vertAlign w:val="subscript"/>
        </w:rPr>
        <w:t>OW</w:t>
      </w:r>
      <w:r w:rsidRPr="00535F7B">
        <w:rPr>
          <w:rFonts w:eastAsia="Calibri"/>
        </w:rPr>
        <w:t>. For the predicted LC</w:t>
      </w:r>
      <w:r w:rsidRPr="00BB66B7">
        <w:rPr>
          <w:rFonts w:eastAsia="Calibri"/>
          <w:vertAlign w:val="subscript"/>
        </w:rPr>
        <w:t>50</w:t>
      </w:r>
      <w:r w:rsidRPr="00535F7B">
        <w:rPr>
          <w:rFonts w:eastAsia="Calibri"/>
        </w:rPr>
        <w:t>, the average values are displayed. The gray (Eq. 1) and light-red (Eq. 2) lines represent the linear regression for each case (predicted and experimental, respectively).</w:t>
      </w:r>
    </w:p>
    <w:p w:rsidR="009B350F" w:rsidRDefault="009B350F"/>
    <w:p w:rsidR="00C7687F" w:rsidRDefault="00C7687F"/>
    <w:p w:rsidR="00C7687F" w:rsidRDefault="00C7687F">
      <w:bookmarkStart w:id="0" w:name="_GoBack"/>
      <w:bookmarkEnd w:id="0"/>
    </w:p>
    <w:p w:rsidR="009E474B" w:rsidRDefault="009E474B"/>
    <w:p w:rsidR="00FA6699" w:rsidRDefault="0075533E" w:rsidP="0075533E">
      <w:pPr>
        <w:jc w:val="center"/>
      </w:pPr>
      <w:r>
        <w:rPr>
          <w:noProof/>
        </w:rPr>
        <w:drawing>
          <wp:inline distT="0" distB="0" distL="0" distR="0">
            <wp:extent cx="3557968" cy="3973444"/>
            <wp:effectExtent l="0" t="0" r="444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S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086" cy="398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5FD" w:rsidRDefault="00BF55FD" w:rsidP="00BF55FD">
      <w:pPr>
        <w:rPr>
          <w:rFonts w:eastAsia="Calibri"/>
        </w:rPr>
      </w:pPr>
      <w:r>
        <w:rPr>
          <w:rFonts w:eastAsia="Calibri"/>
          <w:b/>
        </w:rPr>
        <w:t xml:space="preserve">Figure S2: </w:t>
      </w:r>
      <w:r>
        <w:rPr>
          <w:rFonts w:eastAsia="Calibri"/>
        </w:rPr>
        <w:t xml:space="preserve">Distributions of the </w:t>
      </w:r>
      <w:r>
        <w:t>log</w:t>
      </w:r>
      <w:r w:rsidRPr="00F45819">
        <w:rPr>
          <w:vertAlign w:val="subscript"/>
        </w:rPr>
        <w:t>10</w:t>
      </w:r>
      <w:r>
        <w:t>K</w:t>
      </w:r>
      <w:r w:rsidRPr="000A7F33">
        <w:rPr>
          <w:vertAlign w:val="subscript"/>
        </w:rPr>
        <w:t>OW</w:t>
      </w:r>
      <w:r>
        <w:rPr>
          <w:rFonts w:eastAsia="Calibri"/>
        </w:rPr>
        <w:t xml:space="preserve"> depending on the estrogen receptor (ER) binding affinity of EDs in Table 1 for all fish (n = </w:t>
      </w:r>
      <w:r w:rsidR="00F73D79">
        <w:rPr>
          <w:rFonts w:eastAsia="Calibri"/>
        </w:rPr>
        <w:t>8-20</w:t>
      </w:r>
      <w:r w:rsidRPr="00C13FEB">
        <w:rPr>
          <w:rFonts w:eastAsia="Calibri"/>
        </w:rPr>
        <w:t xml:space="preserve"> for each category</w:t>
      </w:r>
      <w:r>
        <w:rPr>
          <w:rFonts w:eastAsia="Calibri"/>
        </w:rPr>
        <w:t>). A box plot represents: (a) mean (small square with a horizontal bar), (b) 1</w:t>
      </w:r>
      <w:r w:rsidRPr="00064AC0">
        <w:rPr>
          <w:rFonts w:eastAsia="Calibri"/>
          <w:vertAlign w:val="superscript"/>
        </w:rPr>
        <w:t>st</w:t>
      </w:r>
      <w:r>
        <w:rPr>
          <w:rFonts w:eastAsia="Calibri"/>
        </w:rPr>
        <w:t xml:space="preserve"> and 3</w:t>
      </w:r>
      <w:r w:rsidRPr="00064AC0">
        <w:rPr>
          <w:rFonts w:eastAsia="Calibri"/>
          <w:vertAlign w:val="superscript"/>
        </w:rPr>
        <w:t>rd</w:t>
      </w:r>
      <w:r>
        <w:rPr>
          <w:rFonts w:eastAsia="Calibri"/>
        </w:rPr>
        <w:t xml:space="preserve"> quartiles (lower and upper ends of the box, respectively), (c) median (horizontal segment inside the box), (d) 5</w:t>
      </w:r>
      <w:r w:rsidRPr="00064AC0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and 95</w:t>
      </w:r>
      <w:r w:rsidRPr="00064AC0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percentile (lower and upper error bars, respectively), (e)</w:t>
      </w:r>
      <w:r w:rsidRPr="007E2B59">
        <w:rPr>
          <w:rFonts w:eastAsia="Calibri"/>
        </w:rPr>
        <w:t xml:space="preserve"> </w:t>
      </w:r>
      <w:r>
        <w:rPr>
          <w:rFonts w:eastAsia="Calibri"/>
        </w:rPr>
        <w:t>1</w:t>
      </w:r>
      <w:r w:rsidRPr="00064AC0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and 99</w:t>
      </w:r>
      <w:r w:rsidRPr="00064AC0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percentile (lower and upper ×, respectively), and (f) minimum and maximum (lower and upper −, respectively).</w:t>
      </w:r>
    </w:p>
    <w:p w:rsidR="00EF7A91" w:rsidRDefault="00EF7A91"/>
    <w:p w:rsidR="0077072F" w:rsidRDefault="0077072F">
      <w:r>
        <w:br w:type="page"/>
      </w:r>
    </w:p>
    <w:p w:rsidR="0077072F" w:rsidRDefault="0077072F" w:rsidP="0077072F">
      <w:pPr>
        <w:jc w:val="center"/>
      </w:pPr>
      <w:r>
        <w:rPr>
          <w:noProof/>
        </w:rPr>
        <w:lastRenderedPageBreak/>
        <w:drawing>
          <wp:inline distT="0" distB="0" distL="0" distR="0" wp14:anchorId="780CB6D1" wp14:editId="2AA9FB4D">
            <wp:extent cx="1899218" cy="601218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7060" cy="603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2F" w:rsidRPr="00A71E35" w:rsidRDefault="0077072F" w:rsidP="00A71E35">
      <w:pPr>
        <w:rPr>
          <w:rFonts w:eastAsia="Calibri"/>
        </w:rPr>
      </w:pPr>
      <w:r>
        <w:rPr>
          <w:rFonts w:eastAsia="Calibri"/>
          <w:b/>
        </w:rPr>
        <w:t>Figure S3:</w:t>
      </w:r>
      <w:r w:rsidR="00A71E35">
        <w:rPr>
          <w:rFonts w:eastAsia="Calibri"/>
        </w:rPr>
        <w:t xml:space="preserve"> Example of a substance list </w:t>
      </w:r>
      <w:r w:rsidR="007B6EE7">
        <w:rPr>
          <w:rFonts w:eastAsia="Calibri"/>
        </w:rPr>
        <w:t>of CAS n</w:t>
      </w:r>
      <w:r w:rsidR="00A71E35">
        <w:rPr>
          <w:rFonts w:eastAsia="Calibri"/>
        </w:rPr>
        <w:t xml:space="preserve">umbers for </w:t>
      </w:r>
      <w:r w:rsidR="007B6EE7">
        <w:rPr>
          <w:rFonts w:eastAsia="Calibri"/>
        </w:rPr>
        <w:t xml:space="preserve">batch </w:t>
      </w:r>
      <w:r w:rsidR="00A71E35">
        <w:rPr>
          <w:rFonts w:eastAsia="Calibri"/>
        </w:rPr>
        <w:t>mode processing</w:t>
      </w:r>
      <w:r>
        <w:rPr>
          <w:rFonts w:eastAsia="Calibri"/>
        </w:rPr>
        <w:t>.</w:t>
      </w:r>
      <w:r w:rsidR="00A71E35">
        <w:rPr>
          <w:rFonts w:eastAsia="Calibri"/>
        </w:rPr>
        <w:t xml:space="preserve"> </w:t>
      </w:r>
      <w:r w:rsidR="00A71E35" w:rsidRPr="00A71E35">
        <w:rPr>
          <w:rFonts w:eastAsia="Calibri"/>
        </w:rPr>
        <w:t>Each CAS number is listed in a single row</w:t>
      </w:r>
      <w:r w:rsidR="00A71E35">
        <w:rPr>
          <w:rFonts w:eastAsia="Calibri"/>
        </w:rPr>
        <w:t>. The file was prepared in a text editor and must be saved as text file (.txt).</w:t>
      </w:r>
    </w:p>
    <w:sectPr w:rsidR="0077072F" w:rsidRPr="00A71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0F"/>
    <w:rsid w:val="00502F60"/>
    <w:rsid w:val="0075533E"/>
    <w:rsid w:val="0077072F"/>
    <w:rsid w:val="007B6EE7"/>
    <w:rsid w:val="009521FA"/>
    <w:rsid w:val="009B350F"/>
    <w:rsid w:val="009E474B"/>
    <w:rsid w:val="00A71E35"/>
    <w:rsid w:val="00BF55FD"/>
    <w:rsid w:val="00C7687F"/>
    <w:rsid w:val="00CE3E1A"/>
    <w:rsid w:val="00EC4307"/>
    <w:rsid w:val="00EF7A91"/>
    <w:rsid w:val="00F37561"/>
    <w:rsid w:val="00F73D79"/>
    <w:rsid w:val="00F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4935"/>
  <w15:chartTrackingRefBased/>
  <w15:docId w15:val="{447DD71C-BC41-46F6-887E-1A913FD7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B3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hyperlink" Target="mailto:sung@kist-europe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C6D9-E485-4711-BC4D-FED6402B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Baeckkyoung Sung</dc:creator>
  <cp:keywords/>
  <dc:description/>
  <cp:lastModifiedBy>Baeckkyoung Sung</cp:lastModifiedBy>
  <cp:revision>5</cp:revision>
  <dcterms:created xsi:type="dcterms:W3CDTF">2019-05-08T11:50:00Z</dcterms:created>
  <dcterms:modified xsi:type="dcterms:W3CDTF">2019-05-08T16:03:00Z</dcterms:modified>
</cp:coreProperties>
</file>