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5251F" w14:textId="77777777" w:rsidR="00F22EB6" w:rsidRDefault="00B15F13" w:rsidP="00F22EB6">
      <w:pPr>
        <w:pBdr>
          <w:top w:val="nil"/>
          <w:left w:val="nil"/>
          <w:bottom w:val="nil"/>
          <w:right w:val="nil"/>
          <w:between w:val="nil"/>
        </w:pBdr>
      </w:pPr>
      <w:r>
        <w:rPr>
          <w:b/>
          <w:color w:val="000000"/>
        </w:rPr>
        <w:t>TITLE:</w:t>
      </w:r>
      <w:r>
        <w:t xml:space="preserve"> </w:t>
      </w:r>
    </w:p>
    <w:p w14:paraId="3CC9D68B" w14:textId="3D6BE4CB" w:rsidR="00F90EDC" w:rsidRDefault="00B15F13" w:rsidP="00F22EB6">
      <w:pPr>
        <w:pBdr>
          <w:top w:val="nil"/>
          <w:left w:val="nil"/>
          <w:bottom w:val="nil"/>
          <w:right w:val="nil"/>
          <w:between w:val="nil"/>
        </w:pBdr>
      </w:pPr>
      <w:r>
        <w:rPr>
          <w:color w:val="000000"/>
        </w:rPr>
        <w:t xml:space="preserve">X-ray Beam Induced Current Measurements for </w:t>
      </w:r>
      <w:r>
        <w:t>Multi-Modal X-Ray Microscopy of</w:t>
      </w:r>
      <w:r>
        <w:rPr>
          <w:color w:val="000000"/>
        </w:rPr>
        <w:t xml:space="preserve"> </w:t>
      </w:r>
      <w:r>
        <w:t>Solar Cells</w:t>
      </w:r>
    </w:p>
    <w:p w14:paraId="26386F8F" w14:textId="77777777" w:rsidR="00F90EDC" w:rsidRDefault="00F90EDC" w:rsidP="00F22EB6">
      <w:pPr>
        <w:rPr>
          <w:b/>
        </w:rPr>
      </w:pPr>
    </w:p>
    <w:p w14:paraId="5E1C8B5A" w14:textId="173EA131" w:rsidR="00F90EDC" w:rsidRDefault="00B15F13" w:rsidP="00F22EB6">
      <w:r>
        <w:rPr>
          <w:b/>
        </w:rPr>
        <w:t xml:space="preserve">AUTHORS AND AFFILIATIONS: </w:t>
      </w:r>
    </w:p>
    <w:p w14:paraId="081AE3B3" w14:textId="48BCBE22" w:rsidR="00F90EDC" w:rsidRDefault="00B15F13" w:rsidP="00F22EB6">
      <w:pPr>
        <w:pBdr>
          <w:top w:val="nil"/>
          <w:left w:val="nil"/>
          <w:bottom w:val="nil"/>
          <w:right w:val="nil"/>
          <w:between w:val="nil"/>
        </w:pBdr>
      </w:pPr>
      <w:r>
        <w:t>Christina Ossig</w:t>
      </w:r>
      <w:r>
        <w:rPr>
          <w:vertAlign w:val="superscript"/>
        </w:rPr>
        <w:t>1</w:t>
      </w:r>
      <w:r w:rsidR="00C54197">
        <w:rPr>
          <w:vertAlign w:val="superscript"/>
        </w:rPr>
        <w:t>,3</w:t>
      </w:r>
      <w:r>
        <w:t>, Tara Nietzold</w:t>
      </w:r>
      <w:r>
        <w:rPr>
          <w:vertAlign w:val="superscript"/>
        </w:rPr>
        <w:t>2</w:t>
      </w:r>
      <w:r>
        <w:t>, Bradley West</w:t>
      </w:r>
      <w:r>
        <w:rPr>
          <w:vertAlign w:val="superscript"/>
        </w:rPr>
        <w:t>2</w:t>
      </w:r>
      <w:r>
        <w:t>, Mariana Bertoni</w:t>
      </w:r>
      <w:r>
        <w:rPr>
          <w:vertAlign w:val="superscript"/>
        </w:rPr>
        <w:t>2</w:t>
      </w:r>
      <w:r>
        <w:t>, Gerald Falkenberg</w:t>
      </w:r>
      <w:r>
        <w:rPr>
          <w:vertAlign w:val="superscript"/>
        </w:rPr>
        <w:t>1</w:t>
      </w:r>
      <w:r>
        <w:t>, Christian</w:t>
      </w:r>
      <w:r w:rsidR="00C54197">
        <w:t xml:space="preserve"> G.</w:t>
      </w:r>
      <w:r>
        <w:t xml:space="preserve"> Schroer</w:t>
      </w:r>
      <w:r>
        <w:rPr>
          <w:vertAlign w:val="superscript"/>
        </w:rPr>
        <w:t>1</w:t>
      </w:r>
      <w:r w:rsidR="00C54197">
        <w:rPr>
          <w:vertAlign w:val="superscript"/>
        </w:rPr>
        <w:t>,3</w:t>
      </w:r>
      <w:r>
        <w:t>, Michael E. Stuckelberger</w:t>
      </w:r>
      <w:r>
        <w:rPr>
          <w:vertAlign w:val="superscript"/>
        </w:rPr>
        <w:t>1</w:t>
      </w:r>
    </w:p>
    <w:p w14:paraId="0A9E0201" w14:textId="674E179D" w:rsidR="00F90EDC" w:rsidRDefault="00B15F13" w:rsidP="00F22EB6">
      <w:pPr>
        <w:pBdr>
          <w:top w:val="nil"/>
          <w:left w:val="nil"/>
          <w:bottom w:val="nil"/>
          <w:right w:val="nil"/>
          <w:between w:val="nil"/>
        </w:pBdr>
      </w:pPr>
      <w:r>
        <w:rPr>
          <w:vertAlign w:val="superscript"/>
        </w:rPr>
        <w:t>1</w:t>
      </w:r>
      <w:r>
        <w:t>Deutsches Elektronen-Synchrotron, Hamburg, Germany</w:t>
      </w:r>
    </w:p>
    <w:p w14:paraId="6ABF87C6" w14:textId="77777777" w:rsidR="00F90EDC" w:rsidRDefault="00B15F13" w:rsidP="00F22EB6">
      <w:pPr>
        <w:pBdr>
          <w:top w:val="nil"/>
          <w:left w:val="nil"/>
          <w:bottom w:val="nil"/>
          <w:right w:val="nil"/>
          <w:between w:val="nil"/>
        </w:pBdr>
      </w:pPr>
      <w:r>
        <w:rPr>
          <w:vertAlign w:val="superscript"/>
        </w:rPr>
        <w:t>2</w:t>
      </w:r>
      <w:r>
        <w:t>School of Electrical, Computer and Energy Engineering, Arizona State University, Tempe (AZ), USA</w:t>
      </w:r>
    </w:p>
    <w:p w14:paraId="53D24C1F" w14:textId="77777777" w:rsidR="00C54197" w:rsidRDefault="00C54197" w:rsidP="00F22EB6">
      <w:pPr>
        <w:pBdr>
          <w:top w:val="nil"/>
          <w:left w:val="nil"/>
          <w:bottom w:val="nil"/>
          <w:right w:val="nil"/>
          <w:between w:val="nil"/>
        </w:pBdr>
      </w:pPr>
      <w:r w:rsidRPr="008127D1">
        <w:rPr>
          <w:vertAlign w:val="superscript"/>
        </w:rPr>
        <w:t>3</w:t>
      </w:r>
      <w:r>
        <w:t>Department Physik, Universität Hamburg, Hamburg, Germany</w:t>
      </w:r>
    </w:p>
    <w:p w14:paraId="50C8A599" w14:textId="77777777" w:rsidR="00F90EDC" w:rsidRDefault="00F90EDC" w:rsidP="00F22EB6">
      <w:pPr>
        <w:pBdr>
          <w:top w:val="nil"/>
          <w:left w:val="nil"/>
          <w:bottom w:val="nil"/>
          <w:right w:val="nil"/>
          <w:between w:val="nil"/>
        </w:pBdr>
        <w:rPr>
          <w:color w:val="808080"/>
        </w:rPr>
      </w:pPr>
    </w:p>
    <w:p w14:paraId="3C85C349" w14:textId="77777777" w:rsidR="00F90EDC" w:rsidRDefault="00B15F13" w:rsidP="00F22EB6">
      <w:pPr>
        <w:pBdr>
          <w:top w:val="nil"/>
          <w:left w:val="nil"/>
          <w:bottom w:val="nil"/>
          <w:right w:val="nil"/>
          <w:between w:val="nil"/>
        </w:pBdr>
      </w:pPr>
      <w:r>
        <w:t xml:space="preserve">Corresponding Author: </w:t>
      </w:r>
    </w:p>
    <w:p w14:paraId="72A1A627" w14:textId="77777777" w:rsidR="00F90EDC" w:rsidRPr="00F22EB6" w:rsidRDefault="00B15F13" w:rsidP="00F22EB6">
      <w:pPr>
        <w:pBdr>
          <w:top w:val="nil"/>
          <w:left w:val="nil"/>
          <w:bottom w:val="nil"/>
          <w:right w:val="nil"/>
          <w:between w:val="nil"/>
        </w:pBdr>
        <w:rPr>
          <w:lang w:val="de-DE"/>
        </w:rPr>
      </w:pPr>
      <w:r w:rsidRPr="00F22EB6">
        <w:rPr>
          <w:lang w:val="de-DE"/>
        </w:rPr>
        <w:t>Michael E. Stuckelberger</w:t>
      </w:r>
    </w:p>
    <w:p w14:paraId="6C1BA342" w14:textId="629E4085" w:rsidR="00F90EDC" w:rsidRPr="00F22EB6" w:rsidRDefault="00B15F13" w:rsidP="00F22EB6">
      <w:pPr>
        <w:pBdr>
          <w:top w:val="nil"/>
          <w:left w:val="nil"/>
          <w:bottom w:val="nil"/>
          <w:right w:val="nil"/>
          <w:between w:val="nil"/>
        </w:pBdr>
        <w:rPr>
          <w:lang w:val="de-DE"/>
        </w:rPr>
      </w:pPr>
      <w:r w:rsidRPr="00F22EB6">
        <w:rPr>
          <w:lang w:val="de-DE"/>
        </w:rPr>
        <w:t>michael.stuckelberger@alumni.ethz.ch</w:t>
      </w:r>
    </w:p>
    <w:p w14:paraId="3C77BA5B" w14:textId="77777777" w:rsidR="00F90EDC" w:rsidRPr="00B628E5" w:rsidRDefault="00F90EDC" w:rsidP="00F22EB6">
      <w:pPr>
        <w:pBdr>
          <w:top w:val="nil"/>
          <w:left w:val="nil"/>
          <w:bottom w:val="nil"/>
          <w:right w:val="nil"/>
          <w:between w:val="nil"/>
        </w:pBdr>
        <w:rPr>
          <w:color w:val="808080"/>
          <w:lang w:val="de-DE"/>
        </w:rPr>
      </w:pPr>
    </w:p>
    <w:p w14:paraId="58350169" w14:textId="77777777" w:rsidR="00F90EDC" w:rsidRDefault="00B15F13" w:rsidP="00F22EB6">
      <w:pPr>
        <w:pBdr>
          <w:top w:val="nil"/>
          <w:left w:val="nil"/>
          <w:bottom w:val="nil"/>
          <w:right w:val="nil"/>
          <w:between w:val="nil"/>
        </w:pBdr>
      </w:pPr>
      <w:r>
        <w:t>Email Addresses of Co-authors</w:t>
      </w:r>
      <w:r>
        <w:rPr>
          <w:b/>
        </w:rPr>
        <w:t>:</w:t>
      </w:r>
    </w:p>
    <w:p w14:paraId="0483F682" w14:textId="77777777" w:rsidR="00F90EDC" w:rsidRPr="00B012F5" w:rsidRDefault="00B15F13" w:rsidP="00F22EB6">
      <w:pPr>
        <w:pBdr>
          <w:top w:val="nil"/>
          <w:left w:val="nil"/>
          <w:bottom w:val="nil"/>
          <w:right w:val="nil"/>
          <w:between w:val="nil"/>
        </w:pBdr>
      </w:pPr>
      <w:r w:rsidRPr="00B012F5">
        <w:t>Christina Ossig</w:t>
      </w:r>
      <w:r w:rsidRPr="00B012F5">
        <w:tab/>
      </w:r>
      <w:r w:rsidRPr="00B012F5">
        <w:tab/>
      </w:r>
      <w:r w:rsidRPr="00B012F5">
        <w:tab/>
        <w:t>(</w:t>
      </w:r>
      <w:hyperlink r:id="rId8">
        <w:r w:rsidRPr="00B012F5">
          <w:t>christina.ossig@desy.de</w:t>
        </w:r>
      </w:hyperlink>
      <w:r w:rsidRPr="00B012F5">
        <w:t>)</w:t>
      </w:r>
    </w:p>
    <w:p w14:paraId="55949924" w14:textId="09B13EF3" w:rsidR="00F90EDC" w:rsidRPr="00826930" w:rsidRDefault="00B15F13" w:rsidP="00F22EB6">
      <w:pPr>
        <w:pBdr>
          <w:top w:val="nil"/>
          <w:left w:val="nil"/>
          <w:bottom w:val="nil"/>
          <w:right w:val="nil"/>
          <w:between w:val="nil"/>
        </w:pBdr>
      </w:pPr>
      <w:r w:rsidRPr="00826930">
        <w:t>Tara Nietzold</w:t>
      </w:r>
      <w:r w:rsidRPr="00826930">
        <w:tab/>
      </w:r>
      <w:r w:rsidRPr="00826930">
        <w:tab/>
      </w:r>
      <w:r w:rsidRPr="00826930">
        <w:tab/>
        <w:t>(</w:t>
      </w:r>
      <w:r w:rsidR="00665D43" w:rsidRPr="00826930">
        <w:t>tnietzol@asu.edu</w:t>
      </w:r>
      <w:r w:rsidRPr="00826930">
        <w:t>)</w:t>
      </w:r>
    </w:p>
    <w:p w14:paraId="40C3D198" w14:textId="77777777" w:rsidR="00F90EDC" w:rsidRPr="00B012F5" w:rsidRDefault="00B15F13" w:rsidP="00F22EB6">
      <w:pPr>
        <w:pBdr>
          <w:top w:val="nil"/>
          <w:left w:val="nil"/>
          <w:bottom w:val="nil"/>
          <w:right w:val="nil"/>
          <w:between w:val="nil"/>
        </w:pBdr>
      </w:pPr>
      <w:r w:rsidRPr="00826930">
        <w:t>Bradley West</w:t>
      </w:r>
      <w:r w:rsidRPr="00826930">
        <w:tab/>
      </w:r>
      <w:r w:rsidRPr="00826930">
        <w:tab/>
      </w:r>
      <w:r w:rsidRPr="00826930">
        <w:tab/>
        <w:t>(</w:t>
      </w:r>
      <w:hyperlink r:id="rId9">
        <w:r w:rsidRPr="00774C46">
          <w:t>bradwest2@gmail.com</w:t>
        </w:r>
      </w:hyperlink>
      <w:r w:rsidRPr="00B012F5">
        <w:t>)</w:t>
      </w:r>
    </w:p>
    <w:p w14:paraId="334C940E" w14:textId="77777777" w:rsidR="00F90EDC" w:rsidRPr="00B012F5" w:rsidRDefault="00B15F13" w:rsidP="00F22EB6">
      <w:pPr>
        <w:pBdr>
          <w:top w:val="nil"/>
          <w:left w:val="nil"/>
          <w:bottom w:val="nil"/>
          <w:right w:val="nil"/>
          <w:between w:val="nil"/>
        </w:pBdr>
      </w:pPr>
      <w:r w:rsidRPr="00826930">
        <w:t>Mariana Bertoni</w:t>
      </w:r>
      <w:r w:rsidRPr="00826930">
        <w:tab/>
      </w:r>
      <w:r w:rsidRPr="00826930">
        <w:tab/>
        <w:t>(</w:t>
      </w:r>
      <w:hyperlink r:id="rId10">
        <w:r w:rsidRPr="00774C46">
          <w:t>bertoni@asu.edu</w:t>
        </w:r>
      </w:hyperlink>
      <w:r w:rsidRPr="00B012F5">
        <w:t>)</w:t>
      </w:r>
    </w:p>
    <w:p w14:paraId="1BD89CC7" w14:textId="77777777" w:rsidR="00F90EDC" w:rsidRPr="00B012F5" w:rsidRDefault="00B15F13" w:rsidP="00F22EB6">
      <w:pPr>
        <w:pBdr>
          <w:top w:val="nil"/>
          <w:left w:val="nil"/>
          <w:bottom w:val="nil"/>
          <w:right w:val="nil"/>
          <w:between w:val="nil"/>
        </w:pBdr>
      </w:pPr>
      <w:r w:rsidRPr="00826930">
        <w:t>Gerald Falkenberg</w:t>
      </w:r>
      <w:r w:rsidRPr="00826930">
        <w:tab/>
      </w:r>
      <w:r w:rsidRPr="00826930">
        <w:tab/>
        <w:t>(</w:t>
      </w:r>
      <w:hyperlink r:id="rId11">
        <w:r w:rsidRPr="00774C46">
          <w:t>gerald.falkenberg@desy.de</w:t>
        </w:r>
      </w:hyperlink>
      <w:r w:rsidRPr="00B012F5">
        <w:t>)</w:t>
      </w:r>
    </w:p>
    <w:p w14:paraId="600340E7" w14:textId="77777777" w:rsidR="00F90EDC" w:rsidRPr="00B012F5" w:rsidRDefault="00B15F13" w:rsidP="00F22EB6">
      <w:pPr>
        <w:pBdr>
          <w:top w:val="nil"/>
          <w:left w:val="nil"/>
          <w:bottom w:val="nil"/>
          <w:right w:val="nil"/>
          <w:between w:val="nil"/>
        </w:pBdr>
      </w:pPr>
      <w:r w:rsidRPr="00826930">
        <w:t>Christian Schroer</w:t>
      </w:r>
      <w:r w:rsidRPr="00826930">
        <w:tab/>
      </w:r>
      <w:r w:rsidRPr="00826930">
        <w:tab/>
        <w:t>(</w:t>
      </w:r>
      <w:hyperlink r:id="rId12">
        <w:r w:rsidRPr="00774C46">
          <w:t>christian.schroer@desy.de</w:t>
        </w:r>
      </w:hyperlink>
      <w:r w:rsidRPr="00B012F5">
        <w:t>)</w:t>
      </w:r>
    </w:p>
    <w:p w14:paraId="129F9F77" w14:textId="4625CB76" w:rsidR="00F90EDC" w:rsidRPr="00F22EB6" w:rsidRDefault="00B15F13" w:rsidP="00F22EB6">
      <w:pPr>
        <w:pBdr>
          <w:top w:val="nil"/>
          <w:left w:val="nil"/>
          <w:bottom w:val="nil"/>
          <w:right w:val="nil"/>
          <w:between w:val="nil"/>
        </w:pBdr>
        <w:rPr>
          <w:lang w:val="de-DE"/>
        </w:rPr>
      </w:pPr>
      <w:r w:rsidRPr="00826930">
        <w:rPr>
          <w:lang w:val="de-DE"/>
        </w:rPr>
        <w:t>Michael Stuckelberger</w:t>
      </w:r>
      <w:r w:rsidRPr="00826930">
        <w:rPr>
          <w:lang w:val="de-DE"/>
        </w:rPr>
        <w:tab/>
        <w:t>(michael.stuckelberger@desy.de)</w:t>
      </w:r>
    </w:p>
    <w:p w14:paraId="10B5657C" w14:textId="77777777" w:rsidR="00F90EDC" w:rsidRPr="00B15F13" w:rsidRDefault="00F90EDC" w:rsidP="00F22EB6">
      <w:pPr>
        <w:rPr>
          <w:color w:val="808080"/>
          <w:lang w:val="de-DE"/>
        </w:rPr>
      </w:pPr>
    </w:p>
    <w:p w14:paraId="1A0303F1" w14:textId="41FAA303" w:rsidR="00F90EDC" w:rsidRDefault="00B15F13" w:rsidP="00F22EB6">
      <w:pPr>
        <w:pBdr>
          <w:top w:val="nil"/>
          <w:left w:val="nil"/>
          <w:bottom w:val="nil"/>
          <w:right w:val="nil"/>
          <w:between w:val="nil"/>
        </w:pBdr>
        <w:rPr>
          <w:color w:val="000000"/>
        </w:rPr>
      </w:pPr>
      <w:r>
        <w:rPr>
          <w:b/>
          <w:color w:val="000000"/>
        </w:rPr>
        <w:t>KEYWORDS:</w:t>
      </w:r>
    </w:p>
    <w:p w14:paraId="00BAE961" w14:textId="0BD6FAD1" w:rsidR="00F90EDC" w:rsidRDefault="00B15F13" w:rsidP="00F22EB6">
      <w:r>
        <w:t xml:space="preserve">X-ray microscopy, X-ray beam induced current, X-ray beam induced voltage, </w:t>
      </w:r>
      <w:r>
        <w:rPr>
          <w:color w:val="000000"/>
        </w:rPr>
        <w:t>XBIC, XBIV</w:t>
      </w:r>
      <w:r>
        <w:t>, l</w:t>
      </w:r>
      <w:r>
        <w:rPr>
          <w:color w:val="000000"/>
        </w:rPr>
        <w:t>ock-in</w:t>
      </w:r>
      <w:r w:rsidR="000F76FE">
        <w:rPr>
          <w:color w:val="000000"/>
        </w:rPr>
        <w:t xml:space="preserve"> amplification</w:t>
      </w:r>
      <w:r>
        <w:rPr>
          <w:color w:val="000000"/>
        </w:rPr>
        <w:t xml:space="preserve">, </w:t>
      </w:r>
      <w:r>
        <w:t>s</w:t>
      </w:r>
      <w:r>
        <w:rPr>
          <w:color w:val="000000"/>
        </w:rPr>
        <w:t>ynchrotron</w:t>
      </w:r>
      <w:r w:rsidR="00C54197">
        <w:rPr>
          <w:color w:val="000000"/>
        </w:rPr>
        <w:t xml:space="preserve"> radiation</w:t>
      </w:r>
      <w:r>
        <w:rPr>
          <w:color w:val="000000"/>
        </w:rPr>
        <w:t xml:space="preserve">, </w:t>
      </w:r>
      <w:r>
        <w:t>s</w:t>
      </w:r>
      <w:r>
        <w:rPr>
          <w:color w:val="000000"/>
        </w:rPr>
        <w:t xml:space="preserve">olar </w:t>
      </w:r>
      <w:r>
        <w:t>c</w:t>
      </w:r>
      <w:r>
        <w:rPr>
          <w:color w:val="000000"/>
        </w:rPr>
        <w:t>ell, photovoltaics, CIGS, multi-modal</w:t>
      </w:r>
    </w:p>
    <w:p w14:paraId="1D97E3E4" w14:textId="77777777" w:rsidR="00F90EDC" w:rsidRDefault="00F90EDC" w:rsidP="00F22EB6">
      <w:pPr>
        <w:pBdr>
          <w:top w:val="nil"/>
          <w:left w:val="nil"/>
          <w:bottom w:val="nil"/>
          <w:right w:val="nil"/>
          <w:between w:val="nil"/>
        </w:pBdr>
        <w:rPr>
          <w:color w:val="000000"/>
        </w:rPr>
      </w:pPr>
    </w:p>
    <w:p w14:paraId="670E5767" w14:textId="5D1AB6E2" w:rsidR="00F90EDC" w:rsidRDefault="00B15F13" w:rsidP="00F22EB6">
      <w:r>
        <w:rPr>
          <w:b/>
        </w:rPr>
        <w:t>SUMMARY:</w:t>
      </w:r>
    </w:p>
    <w:p w14:paraId="2C3BEAE4" w14:textId="396EBB86" w:rsidR="00F90EDC" w:rsidRDefault="00B15F13" w:rsidP="00F22EB6">
      <w:r>
        <w:t xml:space="preserve">A setup for X-ray beam induced current measurements </w:t>
      </w:r>
      <w:r w:rsidR="000F76FE">
        <w:t xml:space="preserve">at synchrotron beamlines </w:t>
      </w:r>
      <w:r>
        <w:t>is described. It unveils the nanoscale performance of solar cells and extends the suite of techniques for multi-modal X-ray microscopy. From wiring to signal</w:t>
      </w:r>
      <w:r w:rsidR="00411FD1">
        <w:t>-to-</w:t>
      </w:r>
      <w:r>
        <w:t>noise optimization, it is shown how to perform state-of-the-art XBIC measureme</w:t>
      </w:r>
      <w:r w:rsidR="00715A87">
        <w:t>nts at a hard X-ray microprobe.</w:t>
      </w:r>
    </w:p>
    <w:p w14:paraId="11AEEE2B" w14:textId="77777777" w:rsidR="00F90EDC" w:rsidRDefault="00F90EDC" w:rsidP="00F22EB6"/>
    <w:p w14:paraId="7EF3AA14" w14:textId="0742A95F" w:rsidR="00F90EDC" w:rsidRDefault="00B15F13" w:rsidP="00F22EB6">
      <w:r>
        <w:rPr>
          <w:b/>
        </w:rPr>
        <w:t>ABSTRACT</w:t>
      </w:r>
      <w:r w:rsidR="00A22FF5">
        <w:rPr>
          <w:b/>
        </w:rPr>
        <w:t>:</w:t>
      </w:r>
    </w:p>
    <w:p w14:paraId="2543CCD8" w14:textId="75218957" w:rsidR="00F90EDC" w:rsidRPr="00FF2433" w:rsidRDefault="00B15F13" w:rsidP="00F22EB6">
      <w:r w:rsidRPr="00FF2433">
        <w:t xml:space="preserve">X-ray beam induced current (XBIC) measurements allow </w:t>
      </w:r>
      <w:r w:rsidR="00826930" w:rsidRPr="00FF2433">
        <w:t>mapping</w:t>
      </w:r>
      <w:r w:rsidRPr="00FF2433">
        <w:t xml:space="preserve"> out the nanoscale performance of electronic devices such as solar cells. Ideally, XBIC is employed simultaneously with other techniques within a multi-modal X-ray microscopy approach. An example is given</w:t>
      </w:r>
      <w:r w:rsidR="003C12B9" w:rsidRPr="00FF2433">
        <w:t xml:space="preserve"> herein</w:t>
      </w:r>
      <w:r w:rsidRPr="00FF2433">
        <w:t xml:space="preserve"> combining XBIC with X-ray fluorescence</w:t>
      </w:r>
      <w:r w:rsidR="00313609" w:rsidRPr="00FF2433">
        <w:t xml:space="preserve"> </w:t>
      </w:r>
      <w:r w:rsidRPr="00FF2433">
        <w:t xml:space="preserve">to enable point-by-point correlations of the electrical performance with </w:t>
      </w:r>
      <w:r w:rsidR="00C54197" w:rsidRPr="00FF2433">
        <w:t xml:space="preserve">chemical </w:t>
      </w:r>
      <w:r w:rsidRPr="00FF2433">
        <w:t>composition.</w:t>
      </w:r>
      <w:r w:rsidR="00F22EB6" w:rsidRPr="00FF2433">
        <w:t xml:space="preserve"> </w:t>
      </w:r>
      <w:r w:rsidRPr="00FF2433">
        <w:t>For</w:t>
      </w:r>
      <w:r w:rsidR="003C12B9" w:rsidRPr="00FF2433">
        <w:t xml:space="preserve"> the</w:t>
      </w:r>
      <w:r w:rsidRPr="00FF2433">
        <w:t xml:space="preserve"> highest signal</w:t>
      </w:r>
      <w:r w:rsidR="00C45BAD" w:rsidRPr="00FF2433">
        <w:t>-to-</w:t>
      </w:r>
      <w:r w:rsidRPr="00FF2433">
        <w:t xml:space="preserve">noise ratio in XBIC measurements, lock-in amplification plays a crucial role. </w:t>
      </w:r>
      <w:r w:rsidR="003C12B9" w:rsidRPr="00FF2433">
        <w:t>By this approach</w:t>
      </w:r>
      <w:r w:rsidRPr="00FF2433">
        <w:t>, the X-ray beam is modulated by an optical chopper upstream of the sample. The modulated X-ray beam induced electrical signal is amplified and demodulated to the chopper frequency using a lock-in amplifier. By optimizing low-pass filter</w:t>
      </w:r>
      <w:r w:rsidR="00F06C2E" w:rsidRPr="00FF2433">
        <w:t xml:space="preserve"> settings</w:t>
      </w:r>
      <w:r w:rsidRPr="00FF2433">
        <w:t xml:space="preserve">, modulation frequency, and amplification </w:t>
      </w:r>
      <w:r w:rsidRPr="00FF2433">
        <w:lastRenderedPageBreak/>
        <w:t xml:space="preserve">amplitudes, noise can efficiently be suppressed </w:t>
      </w:r>
      <w:r w:rsidR="00F06C2E" w:rsidRPr="00FF2433">
        <w:t xml:space="preserve">for the extraction of </w:t>
      </w:r>
      <w:r w:rsidRPr="00FF2433">
        <w:t>a clear XBIC signal.</w:t>
      </w:r>
      <w:r w:rsidR="00F22EB6" w:rsidRPr="00FF2433">
        <w:t xml:space="preserve"> </w:t>
      </w:r>
      <w:r w:rsidRPr="00FF2433">
        <w:t xml:space="preserve">A similar setup can be used to measure the X-ray beam induced voltage (XBIV). Beyond standard XBIC/XBIV measurements, XBIC can be measured with bias light or bias voltage applied such that outdoor working conditions of solar cells can be reproduced </w:t>
      </w:r>
      <w:r w:rsidR="00F06C2E" w:rsidRPr="00FF2433">
        <w:t xml:space="preserve">during </w:t>
      </w:r>
      <w:r w:rsidRPr="00FF2433">
        <w:t xml:space="preserve">in-situ and </w:t>
      </w:r>
      <w:r w:rsidRPr="00FF2433">
        <w:rPr>
          <w:i/>
        </w:rPr>
        <w:t>operando</w:t>
      </w:r>
      <w:r w:rsidRPr="00FF2433">
        <w:t xml:space="preserve"> measurements. Ultimately, the multi-modal and multi-dimensional evaluation of electronic devices at the nanoscale enables new insights into the complex dependencies between composition, structure, and performance, which is an important step towards solving </w:t>
      </w:r>
      <w:r w:rsidR="003C12B9" w:rsidRPr="00FF2433">
        <w:t xml:space="preserve">the </w:t>
      </w:r>
      <w:r w:rsidRPr="00FF2433">
        <w:t>materials’ paradigm.</w:t>
      </w:r>
    </w:p>
    <w:p w14:paraId="33543BE4" w14:textId="77777777" w:rsidR="00F90EDC" w:rsidRDefault="00F90EDC" w:rsidP="00F22EB6"/>
    <w:p w14:paraId="418A6F06" w14:textId="0EC98603" w:rsidR="00F90EDC" w:rsidRDefault="00B15F13" w:rsidP="00F22EB6">
      <w:r>
        <w:rPr>
          <w:b/>
        </w:rPr>
        <w:t>INTRODUCTION</w:t>
      </w:r>
      <w:r w:rsidR="00A22FF5">
        <w:rPr>
          <w:b/>
        </w:rPr>
        <w:t>:</w:t>
      </w:r>
    </w:p>
    <w:p w14:paraId="76D200CF" w14:textId="344C144E" w:rsidR="00F90EDC" w:rsidRDefault="00B15F13" w:rsidP="00F22EB6">
      <w:r>
        <w:t>In a worl</w:t>
      </w:r>
      <w:r w:rsidR="00C54197">
        <w:t>d</w:t>
      </w:r>
      <w:r>
        <w:t xml:space="preserve"> where the demand for electrical energy is constantly rising, a clean and sustainable energy source is </w:t>
      </w:r>
      <w:r w:rsidR="003C12B9">
        <w:t xml:space="preserve">increasingly </w:t>
      </w:r>
      <w:r>
        <w:t>necessary. One possibility to tackle these demands are photovoltaic (PV) systems</w:t>
      </w:r>
      <w:r w:rsidR="007B42AB">
        <w:fldChar w:fldCharType="begin" w:fldLock="1"/>
      </w:r>
      <w:r w:rsidR="00155F86">
        <w:instrText>ADDIN CSL_CITATION {"citationItems":[{"id":"ITEM-1","itemData":{"DOI":"978-3-9818911-3-3","ISBN":"9783981891133","author":[{"dropping-particle":"","family":"Hales","given":"David","non-dropping-particle":"","parse-names":false,"suffix":""}],"id":"ITEM-1","issued":{"date-parts":[["2018"]]},"title":"REN21. Renewables 2018-global status report, Paris, REN21 Secretariate; 2018","type":"book"},"uris":["http://www.mendeley.com/documents/?uuid=5caddb42-a28b-4e97-8acf-ec635dbb9b99"]},{"id":"ITEM-2","itemData":{"DOI":"10.1051/epjpv/2018004","ISSN":"2105-0716","abstract":"Solar photovoltaic electricity generation is the fastest growing power generation source world-wide. The significant cost reduction of solar PV over the last decade, and the zero fuel cost volatility have increased the attractiveness. In 2017, the newly installed solar PV power of over 90 GW was more than all the world-wide cumulative installed PV capacity until the mid of 2012. China was again the main driver behind this strong growth with more than 50 GW of annual installations in 2017. Apart from the electricity sector, renewable energy sources for the generation of heat and environmental friendly synthetic-fuels for the transport sector will become more and more important in the future.","author":[{"dropping-particle":"","family":"Jäger-Waldau","given":"Arnulf","non-dropping-particle":"","parse-names":false,"suffix":""}],"container-title":"EPJ Photovoltaics","id":"ITEM-2","issue":"February","issued":{"date-parts":[["2018"]]},"page":"6","title":"Snapshot of photovoltaics − February 2018","type":"article-journal","volume":"9"},"uris":["http://www.mendeley.com/documents/?uuid=c7fefc84-e2ef-43a4-b536-4c03a7bc7cae"]},{"id":"ITEM-3","itemData":{"DOI":"10.1126/science.aal1288","ISSN":"1095-9203","PMID":"28408563","abstract":"The annual potential of solar energy far exceeds the world's total energy consumption. However, the vision of photovoltaics (PVs) providing a substantial fraction of global electricity generation and total energy demand is far from being realized. What technical, infrastructure, economic, and policy barriers need to be overcome for PVs to grow to the multiple terawatt (TW) scale? We assess realistic future scenarios and make suggestions for a global agenda to move toward PVs at a multi-TW scale.","author":[{"dropping-particle":"","family":"Haegel","given":"Nancy M","non-dropping-particle":"","parse-names":false,"suffix":""},{"dropping-particle":"","family":"Margolis","given":"Robert","non-dropping-particle":"","parse-names":false,"suffix":""},{"dropping-particle":"","family":"Buonassisi","given":"Tonio","non-dropping-particle":"","parse-names":false,"suffix":""},{"dropping-particle":"","family":"Feldman","given":"David","non-dropping-particle":"","parse-names":false,"suffix":""},{"dropping-particle":"","family":"Froitzheim","given":"Armin","non-dropping-particle":"","parse-names":false,"suffix":""},{"dropping-particle":"","family":"Garabedian","given":"Raffi","non-dropping-particle":"","parse-names":false,"suffix":""},{"dropping-particle":"","family":"Green","given":"Martin","non-dropping-particle":"","parse-names":false,"suffix":""},{"dropping-particle":"","family":"Glunz","given":"Stefan","non-dropping-particle":"","parse-names":false,"suffix":""},{"dropping-particle":"","family":"Henning","given":"Hans-Martin","non-dropping-particle":"","parse-names":false,"suffix":""},{"dropping-particle":"","family":"Holder","given":"Burkhard","non-dropping-particle":"","parse-names":false,"suffix":""},{"dropping-particle":"","family":"Kaizuka","given":"Izumi","non-dropping-particle":"","parse-names":false,"suffix":""},{"dropping-particle":"","family":"Kroposki","given":"Benjamin","non-dropping-particle":"","parse-names":false,"suffix":""},{"dropping-particle":"","family":"Matsubara","given":"Koji","non-dropping-particle":"","parse-names":false,"suffix":""},{"dropping-particle":"","family":"Niki","given":"Shigeru","non-dropping-particle":"","parse-names":false,"suffix":""},{"dropping-particle":"","family":"Sakurai","given":"Keiichiro","non-dropping-particle":"","parse-names":false,"suffix":""},{"dropping-particle":"","family":"Schindler","given":"Roland A","non-dropping-particle":"","parse-names":false,"suffix":""},{"dropping-particle":"","family":"Tumas","given":"William","non-dropping-particle":"","parse-names":false,"suffix":""},{"dropping-particle":"","family":"Weber","given":"Eicke R","non-dropping-particle":"","parse-names":false,"suffix":""},{"dropping-particle":"","family":"Wilson","given":"Gregory","non-dropping-particle":"","parse-names":false,"suffix":""},{"dropping-particle":"","family":"Woodhouse","given":"Michael","non-dropping-particle":"","parse-names":false,"suffix":""},{"dropping-particle":"","family":"Kurtz","given":"Sarah","non-dropping-particle":"","parse-names":false,"suffix":""}],"container-title":"Science","id":"ITEM-3","issue":"6334","issued":{"date-parts":[["2017"]]},"page":"141-143","title":"Terawatt-scale photovoltaics: Trajectories and challenges.","type":"article-journal","volume":"356"},"uris":["http://www.mendeley.com/documents/?uuid=462a07a6-3e45-49cd-bcfe-6487591ef71d"]}],"mendeley":{"formattedCitation":"&lt;sup&gt;1–3&lt;/sup&gt;","plainTextFormattedCitation":"1–3","previouslyFormattedCitation":"&lt;sup&gt;1–3&lt;/sup&gt;"},"properties":{"noteIndex":0},"schema":"https://github.com/citation-style-language/schema/raw/master/csl-citation.json"}</w:instrText>
      </w:r>
      <w:r w:rsidR="007B42AB">
        <w:fldChar w:fldCharType="separate"/>
      </w:r>
      <w:r w:rsidR="007B42AB" w:rsidRPr="00E33A54">
        <w:rPr>
          <w:noProof/>
          <w:vertAlign w:val="superscript"/>
        </w:rPr>
        <w:t>1–3</w:t>
      </w:r>
      <w:r w:rsidR="007B42AB">
        <w:fldChar w:fldCharType="end"/>
      </w:r>
      <w:r w:rsidR="008E1DD1">
        <w:t>.</w:t>
      </w:r>
      <w:r>
        <w:t xml:space="preserve"> For a directed and efficient way of developing next-generation solar cells, it is necessary to understand how the composition and structure of the solar cells affect their performance</w:t>
      </w:r>
      <w:r w:rsidR="001A0F87">
        <w:fldChar w:fldCharType="begin" w:fldLock="1"/>
      </w:r>
      <w:r w:rsidR="00155F86">
        <w:instrText>ADDIN CSL_CITATION {"citationItems":[{"id":"ITEM-1","itemData":{"DOI":"10.1126/science.aad4424","ISBN":"1095-9203 (Electronic)\\r0036-8075 (Linking)","ISSN":"10959203","PMID":"27081076","abstract":"Recent developments in photovoltaic materials have led to continual improvements in their efficiency. We review the electrical characteristics of 16 widely studied geometries of photovoltaic materials with efficiencies of 10 to 29%. Comparison of these characteristics to the fundamental limits based on the Shockley-Queisser detailed-balance model provides a basis for identifying the key limiting factors, related to efficient light management and charge carrier collection, for these materials. Prospects for practical application and large-area fabrication are discussed for each material.","author":[{"dropping-particle":"","family":"Polman","given":"Albert","non-dropping-particle":"","parse-names":false,"suffix":""},{"dropping-particle":"","family":"Knight","given":"Mark","non-dropping-particle":"","parse-names":false,"suffix":""},{"dropping-particle":"","family":"Garnett","given":"Erik C.","non-dropping-particle":"","parse-names":false,"suffix":""},{"dropping-particle":"","family":"Ehrler","given":"Bruno","non-dropping-particle":"","parse-names":false,"suffix":""},{"dropping-particle":"","family":"Sinke","given":"Wim C.","non-dropping-particle":"","parse-names":false,"suffix":""}],"container-title":"Science","id":"ITEM-1","issue":"6283","issued":{"date-parts":[["2016"]]},"title":"Photovoltaic materials: Present efficiencies and future challenges","type":"article-journal","volume":"352"},"uris":["http://www.mendeley.com/documents/?uuid=5bd5e92c-d2ab-49c7-b658-71c8ebcad6f5"]}],"mendeley":{"formattedCitation":"&lt;sup&gt;4&lt;/sup&gt;","plainTextFormattedCitation":"4","previouslyFormattedCitation":"&lt;sup&gt;4&lt;/sup&gt;"},"properties":{"noteIndex":0},"schema":"https://github.com/citation-style-language/schema/raw/master/csl-citation.json"}</w:instrText>
      </w:r>
      <w:r w:rsidR="001A0F87">
        <w:fldChar w:fldCharType="separate"/>
      </w:r>
      <w:r w:rsidR="00E33A54" w:rsidRPr="00E33A54">
        <w:rPr>
          <w:noProof/>
          <w:vertAlign w:val="superscript"/>
        </w:rPr>
        <w:t>4</w:t>
      </w:r>
      <w:r w:rsidR="001A0F87">
        <w:fldChar w:fldCharType="end"/>
      </w:r>
      <w:r w:rsidR="007C0A3F">
        <w:t>.</w:t>
      </w:r>
      <w:r>
        <w:t xml:space="preserve"> Typical questions in solar cell development include: Which types of defects are most detrimental, and where are they located</w:t>
      </w:r>
      <w:r w:rsidR="007B42AB">
        <w:fldChar w:fldCharType="begin" w:fldLock="1"/>
      </w:r>
      <w:r w:rsidR="00155F86">
        <w:instrText>ADDIN CSL_CITATION {"citationItems":[{"id":"ITEM-1","itemData":{"DOI":"10.1002/aenm.201100344","ISSN":"16146832","abstract":"material properties ...","author":[{"dropping-particle":"","family":"Cao","given":"Qing","non-dropping-particle":"","parse-names":false,"suffix":""},{"dropping-particle":"","family":"Gunawan","given":"Oki","non-dropping-particle":"","parse-names":false,"suffix":""},{"dropping-particle":"","family":"Copel","given":"Matthew","non-dropping-particle":"","parse-names":false,"suffix":""},{"dropping-particle":"","family":"Reuter","given":"Kathleen B.","non-dropping-particle":"","parse-names":false,"suffix":""},{"dropping-particle":"","family":"Chey","given":"S. Jay","non-dropping-particle":"","parse-names":false,"suffix":""},{"dropping-particle":"","family":"Deline","given":"Vaughn R.","non-dropping-particle":"","parse-names":false,"suffix":""},{"dropping-particle":"","family":"Mitzi","given":"David B.","non-dropping-particle":"","parse-names":false,"suffix":""}],"container-title":"Advanced Energy Materials","id":"ITEM-1","issue":"5","issued":{"date-parts":[["2011"]]},"page":"845-853","title":"Defects in Cu(In,Ga)Se 2 chalcopyrite semiconductors: A comparative study of material properties, defect states, and photovoltaic performance","type":"article-journal","volume":"1"},"uris":["http://www.mendeley.com/documents/?uuid=f3333a83-3b17-4129-80bb-8dbe27b3bd8a"]},{"id":"ITEM-2","itemData":{"DOI":"10.1002/pssr.201510440","ISSN":"18626270","abstract":"The present review gives an overview of the various reports on properties of line and planar defects in Cu(In,Ga)(S,Se)2 thin films for high-efficiency solar cells. We report results from various analysis techniques applied to characterize these defects at different length scales, which allow for drawing a consistent picture on structural and electronic defect properties. A key finding is atomic reconstruction detected at line and planar defects, which may be one mechanism to reduce excess charge densities and to relax deep-defect states from midgap to shallow energy levels. On the other hand, nonradiative Shockley-Read-Hall recombination is still enhanced with respect to defect-free grain interiors, which is correlated with substantial reduction of luminescence intensities. Comparison of the microscopic electrical properties of planar defects in Cu(In,Ga)(S,Se)2 thin films with two-dimensional device simulations suggest that these defects are one origin of the reduced open-circuit voltage of the photovoltaic devices. (© 2016 WILEY-VCH Verlag GmbH &amp;amp;Co. KGaA, Weinheim) This review gives an overview on the current understanding of line and planar defects in Cu(In,Ga)Se2 thin films and their impacts on the corresponding solar-cell devices. © 2016 WILEY-VCH Verlag GmbH &amp; Co. KGaA, Weinheim.","author":[{"dropping-particle":"","family":"Abou-Ras","given":"Daniel","non-dropping-particle":"","parse-names":false,"suffix":""},{"dropping-particle":"","family":"Schmidt","given":"Sebastian S.","non-dropping-particle":"","parse-names":false,"suffix":""},{"dropping-particle":"","family":"Schäfer","given":"Norbert","non-dropping-particle":"","parse-names":false,"suffix":""},{"dropping-particle":"","family":"Kavalakkatt","given":"Jaison","non-dropping-particle":"","parse-names":false,"suffix":""},{"dropping-particle":"","family":"Rissom","given":"Thorsten","non-dropping-particle":"","parse-names":false,"suffix":""},{"dropping-particle":"","family":"Unold","given":"Thomas","non-dropping-particle":"","parse-names":false,"suffix":""},{"dropping-particle":"","family":"Mainz","given":"Roland","non-dropping-particle":"","parse-names":false,"suffix":""},{"dropping-particle":"","family":"Weber","given":"Alfons","non-dropping-particle":"","parse-names":false,"suffix":""},{"dropping-particle":"","family":"Kirchartz","given":"Thomas","non-dropping-particle":"","parse-names":false,"suffix":""},{"dropping-particle":"","family":"Simsek Sanli","given":"Ekin","non-dropping-particle":"","parse-names":false,"suffix":""},{"dropping-particle":"","family":"Aken","given":"Peter A.","non-dropping-particle":"van","parse-names":false,"suffix":""},{"dropping-particle":"","family":"Ramasse","given":"Quentin M.","non-dropping-particle":"","parse-names":false,"suffix":""},{"dropping-particle":"","family":"Kleebe","given":"Hans Joachim","non-dropping-particle":"","parse-names":false,"suffix":""},{"dropping-particle":"","family":"Azulay","given":"Doron","non-dropping-particle":"","parse-names":false,"suffix":""},{"dropping-particle":"","family":"Balberg","given":"Isaac","non-dropping-particle":"","parse-names":false,"suffix":""},{"dropping-particle":"","family":"Millo","given":"Oded","non-dropping-particle":"","parse-names":false,"suffix":""},{"dropping-particle":"","family":"Cojocaru-Mirédin","given":"Oana","non-dropping-particle":"","parse-names":false,"suffix":""},{"dropping-particle":"","family":"Barragan-Yani","given":"Daniel","non-dropping-particle":"","parse-names":false,"suffix":""},{"dropping-particle":"","family":"Albe","given":"Karsten","non-dropping-particle":"","parse-names":false,"suffix":""},{"dropping-particle":"","family":"Haarstrich","given":"Jakob","non-dropping-particle":"","parse-names":false,"suffix":""},{"dropping-particle":"","family":"Ronning","given":"Carsten","non-dropping-particle":"","parse-names":false,"suffix":""}],"container-title":"Physica Status Solidi - Rapid Research Letters","id":"ITEM-2","issue":"5","issued":{"date-parts":[["2016"]]},"page":"363-375","title":"Compositional and electrical properties of line and planar defects in Cu(In,Ga)Se2 thin films for solar cells - a review","type":"article-journal","volume":"10"},"uris":["http://www.mendeley.com/documents/?uuid=c48a43e1-73e2-417f-a2be-6707bc210c25"]}],"mendeley":{"formattedCitation":"&lt;sup&gt;5,6&lt;/sup&gt;","plainTextFormattedCitation":"5,6","previouslyFormattedCitation":"&lt;sup&gt;5,6&lt;/sup&gt;"},"properties":{"noteIndex":0},"schema":"https://github.com/citation-style-language/schema/raw/master/csl-citation.json"}</w:instrText>
      </w:r>
      <w:r w:rsidR="007B42AB">
        <w:fldChar w:fldCharType="separate"/>
      </w:r>
      <w:r w:rsidR="007B42AB" w:rsidRPr="00E33A54">
        <w:rPr>
          <w:noProof/>
          <w:vertAlign w:val="superscript"/>
        </w:rPr>
        <w:t>5,6</w:t>
      </w:r>
      <w:r w:rsidR="007B42AB">
        <w:fldChar w:fldCharType="end"/>
      </w:r>
      <w:r>
        <w:t>? Are there inhomogeneities in the elemental distri</w:t>
      </w:r>
      <w:r w:rsidR="00B6691C">
        <w:t>bution, and what is their impact</w:t>
      </w:r>
      <w:r w:rsidR="007B42AB">
        <w:fldChar w:fldCharType="begin" w:fldLock="1"/>
      </w:r>
      <w:r w:rsidR="00155F86">
        <w:instrText>ADDIN CSL_CITATION {"citationItems":[{"id":"ITEM-1","itemData":{"DOI":"10.1016/j.nanoen.2016.12.011","ISSN":"22112855","author":[{"dropping-particle":"","family":"West","given":"Bradley M.","non-dropping-particle":"","parse-names":false,"suffix":""},{"dropping-particle":"","family":"Stuckelberger","given":"Michael","non-dropping-particle":"","parse-names":false,"suffix":""},{"dropping-particle":"","family":"Guthrey","given":"Harvey","non-dropping-particle":"","parse-names":false,"suffix":""},{"dropping-particle":"","family":"Chen","given":"Lei","non-dropping-particle":"","parse-names":false,"suffix":""},{"dropping-particle":"","family":"Lai","given":"Barry","non-dropping-particle":"","parse-names":false,"suffix":""},{"dropping-particle":"","family":"Maser","given":"Jörg","non-dropping-particle":"","parse-names":false,"suffix":""},{"dropping-particle":"","family":"Rose","given":"Volker","non-dropping-particle":"","parse-names":false,"suffix":""},{"dropping-particle":"","family":"Shafarman","given":"William","non-dropping-particle":"","parse-names":false,"suffix":""},{"dropping-particle":"","family":"Al-Jassim","given":"Mowafak","non-dropping-particle":"","parse-names":false,"suffix":""},{"dropping-particle":"","family":"Bertoni","given":"Mariana I.","non-dropping-particle":"","parse-names":false,"suffix":""}],"container-title":"Nano Energy","id":"ITEM-1","issued":{"date-parts":[["2017"]]},"page":"488-493","publisher":"Elsevier","title":"Grain Engineering: How Nanoscale Inhomogeneities Can Control Charge Collection in Solar Cells","type":"article-journal","volume":"32"},"uris":["http://www.mendeley.com/documents/?uuid=dc1a7c61-cefe-4a79-95da-cd892b9603c7"]},{"id":"ITEM-2","itemData":{"DOI":"10.1002/pssr.201409520","ISBN":"1862-6270","ISSN":"18626270","abstract":"We report on a new thin-film Cu(In,Ga)Se2 (CIGS) solar cell record efficiency of 21.7%. In order to better understand this newest development, we describe the specific solar cell data as obtained from I–V measurement and diode analysis, quantum efficiency and secondary neutral mass spectrometry measurements. We hope that such a description will help to exploit the potential of this promising thin-film solar technology even further. (© 2015 WILEY-VCH Verlag GmbH &amp;Co. KGaA, Weinheim)","author":[{"dropping-particle":"","family":"Jackson","given":"Philip","non-dropping-particle":"","parse-names":false,"suffix":""},{"dropping-particle":"","family":"Hariskos","given":"Dimitrios","non-dropping-particle":"","parse-names":false,"suffix":""},{"dropping-particle":"","family":"Wuerz","given":"Roland","non-dropping-particle":"","parse-names":false,"suffix":""},{"dropping-particle":"","family":"Kiowski","given":"Oliver","non-dropping-particle":"","parse-names":false,"suffix":""},{"dropping-particle":"","family":"Bauer","given":"Andreas","non-dropping-particle":"","parse-names":false,"suffix":""},{"dropping-particle":"","family":"Friedlmeier","given":"Theresa Magorian","non-dropping-particle":"","parse-names":false,"suffix":""},{"dropping-particle":"","family":"Powalla","given":"Michael","non-dropping-particle":"","parse-names":false,"suffix":""}],"container-title":"Physica Status Solidi - Rapid Research Letters","id":"ITEM-2","issue":"1","issued":{"date-parts":[["2015"]]},"page":"28-31","title":"Properties of Cu(In,Ga)Se2solar cells with new record efficiencies up to 21.7%","type":"article-journal","volume":"9"},"uris":["http://www.mendeley.com/documents/?uuid=837c57bc-d97a-482d-bc42-7759d0b80e44"]},{"id":"ITEM-3","itemData":{"author":[{"dropping-particle":"","family":"Rau","given":"U.","non-dropping-particle":"","parse-names":false,"suffix":""}],"container-title":"Solar Energy Materials and Solar Cells","id":"ITEM-3","issued":{"date-parts":[["2001"]]},"page":"137-143","title":"Electrical characteristics of CIGS thin film solar cells and the role of defects for device performance","type":"article-journal","volume":"67"},"uris":["http://www.mendeley.com/documents/?uuid=6b465958-266d-4c9d-928a-dbb6e2ccbce1"]}],"mendeley":{"formattedCitation":"&lt;sup&gt;7–9&lt;/sup&gt;","plainTextFormattedCitation":"7–9","previouslyFormattedCitation":"&lt;sup&gt;7–9&lt;/sup&gt;"},"properties":{"noteIndex":0},"schema":"https://github.com/citation-style-language/schema/raw/master/csl-citation.json"}</w:instrText>
      </w:r>
      <w:r w:rsidR="007B42AB">
        <w:fldChar w:fldCharType="separate"/>
      </w:r>
      <w:r w:rsidR="007B42AB" w:rsidRPr="00E33A54">
        <w:rPr>
          <w:noProof/>
          <w:vertAlign w:val="superscript"/>
        </w:rPr>
        <w:t>7–9</w:t>
      </w:r>
      <w:r w:rsidR="007B42AB">
        <w:fldChar w:fldCharType="end"/>
      </w:r>
      <w:r w:rsidR="00651CEA">
        <w:t>?</w:t>
      </w:r>
      <w:r>
        <w:t xml:space="preserve"> How do the solar cells change </w:t>
      </w:r>
      <w:r w:rsidR="00A22FF5">
        <w:t>upon module assembly and aging</w:t>
      </w:r>
      <w:r w:rsidR="007B42AB">
        <w:fldChar w:fldCharType="begin" w:fldLock="1"/>
      </w:r>
      <w:r w:rsidR="008F7C07">
        <w:instrText>ADDIN CSL_CITATION {"citationItems":[{"id":"ITEM-1","itemData":{"DOI":"10.1002/pip.1182","author":[{"dropping-particle":"","family":"Jordan","given":"D. C.","non-dropping-particle":"","parse-names":false,"suffix":""},{"dropping-particle":"","family":"Kurtz","given":"S. R.","non-dropping-particle":"","parse-names":false,"suffix":""}],"container-title":"Progress in Photovoltaics: Research and Applications","id":"ITEM-1","issued":{"date-parts":[["2013"]]},"page":"12-29","title":"Photovoltaic Degradation Rates - an Analytical Review","type":"article-journal","volume":"21"},"uris":["http://www.mendeley.com/documents/?uuid=22271724-f9b3-4ada-847f-4e2f3f4a7c04"]},{"id":"ITEM-2","itemData":{"DOI":"10.1109/PVSC.2017.8366486","ISBN":"9781509056057","author":[{"dropping-particle":"","family":"Bailey","given":"Jeff","non-dropping-particle":"","parse-names":false,"suffix":""},{"dropping-particle":"","family":"Zapalac","given":"Geordie","non-dropping-particle":"","parse-names":false,"suffix":""},{"dropping-particle":"","family":"Poplavskyy","given":"Dmitry","non-dropping-particle":"","parse-names":false,"suffix":""}],"container-title":"2017 IEEE 44th Photovoltaic Specialist Conference, PVSC 2017","id":"ITEM-2","issued":{"date-parts":[["2018"]]},"page":"1-6","publisher":"IEEE","title":"Metastable defect measurement from capacitance-voltage and admittance measurements in Cu(In,Ga)Se2 solar cells","type":"article-journal"},"uris":["http://www.mendeley.com/documents/?uuid=a8748dac-d93e-4862-acf2-bc4090eab4dd"]}],"mendeley":{"formattedCitation":"&lt;sup&gt;10,11&lt;/sup&gt;","plainTextFormattedCitation":"10,11","previouslyFormattedCitation":"&lt;sup&gt;10,11&lt;/sup&gt;"},"properties":{"noteIndex":0},"schema":"https://github.com/citation-style-language/schema/raw/master/csl-citation.json"}</w:instrText>
      </w:r>
      <w:r w:rsidR="007B42AB">
        <w:fldChar w:fldCharType="separate"/>
      </w:r>
      <w:r w:rsidR="007B42AB" w:rsidRPr="00796E9E">
        <w:rPr>
          <w:noProof/>
          <w:vertAlign w:val="superscript"/>
        </w:rPr>
        <w:t>10,11</w:t>
      </w:r>
      <w:r w:rsidR="007B42AB">
        <w:fldChar w:fldCharType="end"/>
      </w:r>
      <w:r w:rsidR="00A22FF5">
        <w:t>?</w:t>
      </w:r>
      <w:r w:rsidR="007B42AB" w:rsidDel="007B42AB">
        <w:t xml:space="preserve"> </w:t>
      </w:r>
    </w:p>
    <w:p w14:paraId="7175F7E9" w14:textId="77777777" w:rsidR="00F90EDC" w:rsidRDefault="00F90EDC" w:rsidP="00F22EB6"/>
    <w:p w14:paraId="55B4A971" w14:textId="372DF2FF" w:rsidR="00F90EDC" w:rsidRDefault="00B15F13" w:rsidP="00F22EB6">
      <w:r>
        <w:t>As a solar cell is only as good as its weakest part, it is especially important to understand the effect of compositional and structural variation on the performance in polycrystalline solar cells that suffer inherently from inhomogeneities</w:t>
      </w:r>
      <w:r w:rsidR="007B42AB">
        <w:fldChar w:fldCharType="begin" w:fldLock="1"/>
      </w:r>
      <w:r w:rsidR="00155F86">
        <w:instrText>ADDIN CSL_CITATION {"citationItems":[{"id":"ITEM-1","itemData":{"DOI":"10.1016/j.nanoen.2016.12.011","ISSN":"22112855","author":[{"dropping-particle":"","family":"West","given":"Bradley M.","non-dropping-particle":"","parse-names":false,"suffix":""},{"dropping-particle":"","family":"Stuckelberger","given":"Michael","non-dropping-particle":"","parse-names":false,"suffix":""},{"dropping-particle":"","family":"Guthrey","given":"Harvey","non-dropping-particle":"","parse-names":false,"suffix":""},{"dropping-particle":"","family":"Chen","given":"Lei","non-dropping-particle":"","parse-names":false,"suffix":""},{"dropping-particle":"","family":"Lai","given":"Barry","non-dropping-particle":"","parse-names":false,"suffix":""},{"dropping-particle":"","family":"Maser","given":"Jörg","non-dropping-particle":"","parse-names":false,"suffix":""},{"dropping-particle":"","family":"Rose","given":"Volker","non-dropping-particle":"","parse-names":false,"suffix":""},{"dropping-particle":"","family":"Shafarman","given":"William","non-dropping-particle":"","parse-names":false,"suffix":""},{"dropping-particle":"","family":"Al-Jassim","given":"Mowafak","non-dropping-particle":"","parse-names":false,"suffix":""},{"dropping-particle":"","family":"Bertoni","given":"Mariana I.","non-dropping-particle":"","parse-names":false,"suffix":""}],"container-title":"Nano Energy","id":"ITEM-1","issued":{"date-parts":[["2017"]]},"page":"488-493","publisher":"Elsevier","title":"Grain Engineering: How Nanoscale Inhomogeneities Can Control Charge Collection in Solar Cells","type":"article-journal","volume":"32"},"uris":["http://www.mendeley.com/documents/?uuid=dc1a7c61-cefe-4a79-95da-cd892b9603c7"]},{"id":"ITEM-2","itemData":{"DOI":"10.1002/pssr.201409520","ISBN":"1862-6270","ISSN":"18626270","abstract":"We report on a new thin-film Cu(In,Ga)Se2 (CIGS) solar cell record efficiency of 21.7%. In order to better understand this newest development, we describe the specific solar cell data as obtained from I–V measurement and diode analysis, quantum efficiency and secondary neutral mass spectrometry measurements. We hope that such a description will help to exploit the potential of this promising thin-film solar technology even further. (© 2015 WILEY-VCH Verlag GmbH &amp;Co. KGaA, Weinheim)","author":[{"dropping-particle":"","family":"Jackson","given":"Philip","non-dropping-particle":"","parse-names":false,"suffix":""},{"dropping-particle":"","family":"Hariskos","given":"Dimitrios","non-dropping-particle":"","parse-names":false,"suffix":""},{"dropping-particle":"","family":"Wuerz","given":"Roland","non-dropping-particle":"","parse-names":false,"suffix":""},{"dropping-particle":"","family":"Kiowski","given":"Oliver","non-dropping-particle":"","parse-names":false,"suffix":""},{"dropping-particle":"","family":"Bauer","given":"Andreas","non-dropping-particle":"","parse-names":false,"suffix":""},{"dropping-particle":"","family":"Friedlmeier","given":"Theresa Magorian","non-dropping-particle":"","parse-names":false,"suffix":""},{"dropping-particle":"","family":"Powalla","given":"Michael","non-dropping-particle":"","parse-names":false,"suffix":""}],"container-title":"Physica Status Solidi - Rapid Research Letters","id":"ITEM-2","issue":"1","issued":{"date-parts":[["2015"]]},"page":"28-31","title":"Properties of Cu(In,Ga)Se2solar cells with new record efficiencies up to 21.7%","type":"article-journal","volume":"9"},"uris":["http://www.mendeley.com/documents/?uuid=837c57bc-d97a-482d-bc42-7759d0b80e44"]}],"mendeley":{"formattedCitation":"&lt;sup&gt;7,8&lt;/sup&gt;","plainTextFormattedCitation":"7,8","previouslyFormattedCitation":"&lt;sup&gt;7,8&lt;/sup&gt;"},"properties":{"noteIndex":0},"schema":"https://github.com/citation-style-language/schema/raw/master/csl-citation.json"}</w:instrText>
      </w:r>
      <w:r w:rsidR="007B42AB">
        <w:fldChar w:fldCharType="separate"/>
      </w:r>
      <w:r w:rsidR="007B42AB" w:rsidRPr="00E33A54">
        <w:rPr>
          <w:noProof/>
          <w:vertAlign w:val="superscript"/>
        </w:rPr>
        <w:t>7,8</w:t>
      </w:r>
      <w:r w:rsidR="007B42AB">
        <w:fldChar w:fldCharType="end"/>
      </w:r>
      <w:r w:rsidR="00651CEA">
        <w:t>.</w:t>
      </w:r>
      <w:r>
        <w:t xml:space="preserve"> This is particularly true for thin film (TF) solar cells, which contain absorber layers with crystallite sizes in the micrometer range. Here, the effect of grain boundaries on performance is of highest interest, but their small size and the fact that they are buried in an entire layer stack pose unique characterization challenges. Furthermore, the complex chemistry of multi-component absorber layers with co-existing phases and internal gradients require sophisticated characterization methods</w:t>
      </w:r>
      <w:r w:rsidR="007B42AB">
        <w:fldChar w:fldCharType="begin" w:fldLock="1"/>
      </w:r>
      <w:r w:rsidR="00155F86">
        <w:instrText>ADDIN CSL_CITATION {"citationItems":[{"id":"ITEM-1","itemData":{"DOI":"10.1046/j.1365-2915.1998.00123.x","ISBN":"9783527408573","ISSN":"0269-283X","PMID":"9737593","abstract":"A high level of DDT resistance and low levels of resistance to organophosphorus, carbamate and pyrethroid insecticides were detected by discriminating dose assays in field populations of Anopheles albimanus in Chiapas, southern Mexico, prior to a large-scale resistance management project described by Hemingway et al. (1997). Biochemical assays showed that the DDT resistance was caused by elevated levels of glutathione S-transferase (GST) activity leading to increased rates of metabolism of DDT to DDE. The numbers of individuals with elevated GST and DDT resistance were well correlated, suggesting that this is the only major DDT resistance mechanism in this population. The carbamate resistance in this population is conferred by an altered acetylcholinesterase (AChE)-based resistance mechanism. The level of resistance observed in the bioassays correlates with the frequency of individuals homozygous for the altered AChE allele. This suggests that the level of resistance conferred by this mechanism in its heterozygous state is below the level of detection by the WHO carbamate discriminating dosage bioassay. The low levels of organophosphate (OP) and pyrethroid resistance could be conferred by either the elevated esterase or monooxygenase enzymes. The esterases were elevated only with the substrate pNPA, and are unlikely to be causing broad spectrum OP resistance. The altered AChE mechanism may also be contributing to the OP but not the pyrethroid resistance. Significant differences in resistance gene frequencies were obtained from the F1 mosquitoes resulting from adults obtained by different collection methods. This may be caused by different insecticide selection pressures on the insects immediately prior to collection, or may be an indication that the indoor- and outdoor-resting A. albimanus collections are not from a randomly mating single population. The underlying genetic variability of the populations is currently being investigated by molecular methods.","author":[{"dropping-particle":"","family":"Abou-ras","given":"Daniel","non-dropping-particle":"","parse-names":false,"suffix":""},{"dropping-particle":"","family":"Kirchartz","given":"Thomas","non-dropping-particle":"","parse-names":false,"suffix":""},{"dropping-particle":"","family":"Rau","given":"Uwe","non-dropping-particle":"","parse-names":false,"suffix":""}],"id":"ITEM-1","issued":{"date-parts":[["2011"]]},"publisher":"Wiley-VCH Verlag GmbH&amp;Co. KGaA","title":"Advanced Characterization Techniques for Thin Film Solar Cells","type":"book"},"uris":["http://www.mendeley.com/documents/?uuid=fcc543c3-2fc5-45ec-a81c-4248f847d235"]}],"mendeley":{"formattedCitation":"&lt;sup&gt;12&lt;/sup&gt;","plainTextFormattedCitation":"12","previouslyFormattedCitation":"&lt;sup&gt;12&lt;/sup&gt;"},"properties":{"noteIndex":0},"schema":"https://github.com/citation-style-language/schema/raw/master/csl-citation.json"}</w:instrText>
      </w:r>
      <w:r w:rsidR="007B42AB">
        <w:fldChar w:fldCharType="separate"/>
      </w:r>
      <w:r w:rsidR="007B42AB" w:rsidRPr="00796E9E">
        <w:rPr>
          <w:noProof/>
          <w:vertAlign w:val="superscript"/>
        </w:rPr>
        <w:t>12</w:t>
      </w:r>
      <w:r w:rsidR="007B42AB">
        <w:fldChar w:fldCharType="end"/>
      </w:r>
      <w:r w:rsidR="004E6CCB">
        <w:t>.</w:t>
      </w:r>
      <w:r w:rsidR="007B42AB" w:rsidDel="007B42AB">
        <w:t xml:space="preserve"> </w:t>
      </w:r>
    </w:p>
    <w:p w14:paraId="0ED54160" w14:textId="77777777" w:rsidR="00F90EDC" w:rsidRDefault="00F90EDC" w:rsidP="00F22EB6"/>
    <w:p w14:paraId="2639B3E1" w14:textId="555C3850" w:rsidR="00F90EDC" w:rsidRDefault="00B15F13" w:rsidP="00F22EB6">
      <w:r>
        <w:t xml:space="preserve">Synchrotron-based </w:t>
      </w:r>
      <w:r w:rsidR="008E1DD1">
        <w:t xml:space="preserve">hard </w:t>
      </w:r>
      <w:r>
        <w:t xml:space="preserve">X-ray microscopes are able to meet the characterization challenges of TF solar cells: they provide X-ray spot sizes </w:t>
      </w:r>
      <w:r w:rsidR="008E1DD1">
        <w:t xml:space="preserve">down to </w:t>
      </w:r>
      <w:r>
        <w:t xml:space="preserve">the nanometer </w:t>
      </w:r>
      <w:r w:rsidR="008E1DD1">
        <w:t>scale</w:t>
      </w:r>
      <w:r w:rsidR="001E7A73">
        <w:fldChar w:fldCharType="begin" w:fldLock="1"/>
      </w:r>
      <w:r w:rsidR="00155F86">
        <w:instrText>ADDIN CSL_CITATION {"citationItems":[{"id":"ITEM-1","itemData":{"DOI":"10.1016/j.nima.2009.10.094","ISBN":"9780735413986","ISSN":"01689002","abstract":"We describe the hard X-ray scanning microscope planned for the new synchrotron radiation source PETRA III at DESY in Hamburg, Germany. It is based on nanofocusing refractive X-ray lenses and is designed for two-dimensional mapping and scanning tomography. It supports X-ray fluorescence and (coherent) diffraction contrast, yielding elemental and structural information from inside the sample. Spatial resolutions down to well below 50 nm are aimed for in direct space. A further increase in spatial resolution is expected by applying ptychographic scanning schemes. The optical scheme with a two-stage focusing optic is described. © 2009 Elsevier B.V. All rights reserved.","author":[{"dropping-particle":"","family":"Schroer","given":"Christian G.","non-dropping-particle":"","parse-names":false,"suffix":""},{"dropping-particle":"","family":"Boye","given":"Pit","non-dropping-particle":"","parse-names":false,"suffix":""},{"dropping-particle":"","family":"Feldkamp","given":"Jan M.","non-dropping-particle":"","parse-names":false,"suffix":""},{"dropping-particle":"","family":"Patommel","given":"Jens","non-dropping-particle":"","parse-names":false,"suffix":""},{"dropping-particle":"","family":"Samberg","given":"Dirk","non-dropping-particle":"","parse-names":false,"suffix":""},{"dropping-particle":"","family":"Schropp","given":"Andreas","non-dropping-particle":"","parse-names":false,"suffix":""},{"dropping-particle":"","family":"Schwab","given":"Andreas","non-dropping-particle":"","parse-names":false,"suffix":""},{"dropping-particle":"","family":"Stephan","given":"Sandra","non-dropping-particle":"","parse-names":false,"suffix":""},{"dropping-particle":"","family":"Falkenberg","given":"Gerald","non-dropping-particle":"","parse-names":false,"suffix":""},{"dropping-particle":"","family":"Wellenreuther","given":"Gerd","non-dropping-particle":"","parse-names":false,"suffix":""},{"dropping-particle":"","family":"Reimers","given":"Nadja","non-dropping-particle":"","parse-names":false,"suffix":""}],"container-title":"Nuclear Instruments and Methods in Physics Research, Section A: Accelerators, Spectrometers, Detectors and Associated Equipment","id":"ITEM-1","issue":"2-3","issued":{"date-parts":[["2010"]]},"page":"93-97","publisher":"Elsevier","title":"Hard X-ray nanoprobe at beamline P06 at PETRA III","type":"article-journal","volume":"616"},"uris":["http://www.mendeley.com/documents/?uuid=d4398dd9-bf79-498d-b756-572bd179ac3b"]},{"id":"ITEM-2","itemData":{"DOI":"10.1107/S0909049512036783","ISSN":"09090495","abstract":"The Hard X-ray Nanoprobe Beamline (or Nanoprobe Beamline) is an X-ray microscopy facility incorporating diffraction, fluorescence and full-field imaging capabilities designed and operated by the Center for Nanoscale Materials and the Advanced Photon Source at Sector 26 of the Advanced Photon Source at Argonne National Laboratory. This facility was constructed to probe the nanoscale structure of biological, environmental and material sciences samples. The beamline provides intense focused X-rays to the Hard X-ray Nanoprobe (or Nanoprobe) which incorporates Fresnel zone plate optics and a precision laser sensing and control system. The beamline operates over X-ray energies from 3 to 30 keV, enabling studies of most elements in the periodic table, with a particular emphasis on imaging transition metals.","author":[{"dropping-particle":"","family":"Winarski","given":"Robert P.","non-dropping-particle":"","parse-names":false,"suffix":""},{"dropping-particle":"V.","family":"Holt","given":"Martin","non-dropping-particle":"","parse-names":false,"suffix":""},{"dropping-particle":"","family":"Rose","given":"Volker","non-dropping-particle":"","parse-names":false,"suffix":""},{"dropping-particle":"","family":"Fuesz","given":"Peter","non-dropping-particle":"","parse-names":false,"suffix":""},{"dropping-particle":"","family":"Carbaugh","given":"Dean","non-dropping-particle":"","parse-names":false,"suffix":""},{"dropping-particle":"","family":"Benson","given":"Christa","non-dropping-particle":"","parse-names":false,"suffix":""},{"dropping-particle":"","family":"Shu","given":"Deming","non-dropping-particle":"","parse-names":false,"suffix":""},{"dropping-particle":"","family":"Kline","given":"David","non-dropping-particle":"","parse-names":false,"suffix":""},{"dropping-particle":"","family":"Brian Stephenson","given":"G.","non-dropping-particle":"","parse-names":false,"suffix":""},{"dropping-particle":"","family":"McNulty","given":"Ian","non-dropping-particle":"","parse-names":false,"suffix":""},{"dropping-particle":"","family":"Maser","given":"Jörg","non-dropping-particle":"","parse-names":false,"suffix":""}],"container-title":"Journal of Synchrotron Radiation","id":"ITEM-2","issue":"6","issued":{"date-parts":[["2012"]]},"page":"1056-1060","publisher":"International Union of Crystallography","title":"A hard X-ray nanoprobe beamline for nanoscale microscopy","type":"article-journal","volume":"19"},"uris":["http://www.mendeley.com/documents/?uuid=88880cc4-ca0c-4b22-9ff0-beaec944755e"]},{"id":"ITEM-3","itemData":{"DOI":"10.1107/S1600577515019839","ISBN":"1600-5775 (Electronic) 0909-0495 (Linking)","ISSN":"16005775","PMID":"26698084","abstract":"Within the framework of the ESRF Phase I Upgrade Programme, a new state-of-the-art synchrotron beamline ID16B has been recently developed for hard X-ray nano-analysis. The construction of ID16B was driven by research areas with major scientific and societal impact such as nanotechnology, earth and environmental sciences, and bio-medical research. Based on a canted undulator source, this long beamline provides hard X-ray nanobeams optimized mainly for spectroscopic applications, including the combination of X-ray fluorescence, X-ray diffraction, X-ray excited optical luminescence, X-ray absorption spectroscopy and 2D/3D X-ray imaging techniques. Its end-station re-uses part of the apparatus of the earlier ID22 beamline, while improving and enlarging the spectroscopic capabilities: for example, the experimental arrangement offers improved lateral spatial resolution (</w:instrText>
      </w:r>
      <w:r w:rsidR="00155F86">
        <w:rPr>
          <w:rFonts w:ascii="Cambria Math" w:hAnsi="Cambria Math" w:cs="Cambria Math"/>
        </w:rPr>
        <w:instrText>∼</w:instrText>
      </w:r>
      <w:r w:rsidR="00155F86">
        <w:instrText xml:space="preserve">50 nm), a larger and more flexible capability for in situ experiments, and monochromatic nanobeams tunable over a wider energy range which now includes the hard X-ray regime (5–70 keV). This paper describes the characteristics of this new facility, short-term technical developments and the first scientific results.","author":[{"dropping-particle":"","family":"Martinez-Criado","given":"Gema","non-dropping-particle":"","parse-names":false,"suffix":""},{"dropping-particle":"","family":"Villanova","given":"Julie","non-dropping-particle":"","parse-names":false,"suffix":""},{"dropping-particle":"","family":"Tucoulou","given":"Remi","non-dropping-particle":"","parse-names":false,"suffix":""},{"dropping-particle":"","family":"Salomon","given":"Damien","non-dropping-particle":"","parse-names":false,"suffix":""},{"dropping-particle":"","family":"Suuronen","given":"Jussi Petteri","non-dropping-particle":"","parse-names":false,"suffix":""},{"dropping-particle":"","family":"Laboure","given":"Sylvain","non-dropping-particle":"","parse-names":false,"suffix":""},{"dropping-particle":"","family":"Guilloud","given":"Cyril","non-dropping-particle":"","parse-names":false,"suffix":""},{"dropping-particle":"","family":"Valls","given":"Valentin","non-dropping-particle":"","parse-names":false,"suffix":""},{"dropping-particle":"","family":"Barrett","given":"Raymond","non-dropping-particle":"","parse-names":false,"suffix":""},{"dropping-particle":"","family":"Gagliardini","given":"Eric","non-dropping-particle":"","parse-names":false,"suffix":""},{"dropping-particle":"","family":"Dabin","given":"Yves","non-dropping-particle":"","parse-names":false,"suffix":""},{"dropping-particle":"","family":"Baker","given":"Robert","non-dropping-particle":"","parse-names":false,"suffix":""},{"dropping-particle":"","family":"Bohic","given":"Sylvain","non-dropping-particle":"","parse-names":false,"suffix":""},{"dropping-particle":"","family":"Cohen","given":"Cedric","non-dropping-particle":"","parse-names":false,"suffix":""},{"dropping-particle":"","family":"Morse","given":"John","non-dropping-particle":"","parse-names":false,"suffix":""}],"container-title":"Journal of Synchrotron Radiation","id":"ITEM-3","issued":{"date-parts":[["2016"]]},"page":"344-352","title":"ID16B: A hard X-ray nanoprobe beamline at the ESRF for nano-analysis","type":"article-journal","volume":"23"},"uris":["http://www.mendeley.com/documents/?uuid=1dccf4ef-1646-438f-803a-c7f2cf20c3e8"]},{"id":"ITEM-4","itemData":{"DOI":"10.1107/S1600577517011183","ISSN":"16005775","abstract":"A hard X-ray scanning microscope installed at the Hard X-ray Nanoprobe beamline of the National Synchrotron Light Source II has been designed, constructed and commissioned. The microscope relies on a compact, high stiffness, low heat dissipation approach and utilizes two types of nanofocusing optics. It is capable of imaging with </w:instrText>
      </w:r>
      <w:r w:rsidR="00155F86">
        <w:rPr>
          <w:rFonts w:ascii="Cambria Math" w:hAnsi="Cambria Math" w:cs="Cambria Math"/>
        </w:rPr>
        <w:instrText>∼</w:instrText>
      </w:r>
      <w:r w:rsidR="00155F86">
        <w:instrText>15 nm × 15 nm spatial resolution using multilayer Laue lenses and 25 nm × 26 nm resolution using zone plates. Fluorescence, diffraction, absorption, differential phase contrast, ptychography and tomography are available as experimental techniques. The microscope is also equipped with a temperature regulation system which allows the temperature of a sample to be varied in the range between 90 K and 1000 K. The constructed instrument is open for general users and offers its capabilities to the material science, battery research and bioscience communities.","author":[{"dropping-particle":"","family":"Nazaretski","given":"E.","non-dropping-particle":"","parse-names":false,"suffix":""},{"dropping-particle":"","family":"Yan","given":"H.","non-dropping-particle":"","parse-names":false,"suffix":""},{"dropping-particle":"","family":"Lauer","given":"K.","non-dropping-particle":"","parse-names":false,"suffix":""},{"dropping-particle":"","family":"Bouet","given":"N.","non-dropping-particle":"","parse-names":false,"suffix":""},{"dropping-particle":"","family":"Huang","given":"X.","non-dropping-particle":"","parse-names":false,"suffix":""},{"dropping-particle":"","family":"Xu","given":"W.","non-dropping-particle":"","parse-names":false,"suffix":""},{"dropping-particle":"","family":"Zhou","given":"J.","non-dropping-particle":"","parse-names":false,"suffix":""},{"dropping-particle":"","family":"Shu","given":"D.","non-dropping-particle":"","parse-names":false,"suffix":""},{"dropping-particle":"","family":"Hwu","given":"Y.","non-dropping-particle":"","parse-names":false,"suffix":""},{"dropping-particle":"","family":"Chu","given":"Y. S.","non-dropping-particle":"","parse-names":false,"suffix":""}],"container-title":"Journal of Synchrotron Radiation","id":"ITEM-4","issue":"6","issued":{"date-parts":[["2017"]]},"page":"1113-1119","title":"Design and performance of an X-ray scanning microscope at the Hard X-ray Nanoprobe beamline of NSLS-II","type":"article-journal","volume":"24"},"uris":["http://www.mendeley.com/documents/?uuid=abca4dbb-d0d3-4240-89d4-eb3c65e3869d"]}],"mendeley":{"formattedCitation":"&lt;sup&gt;13–16&lt;/sup&gt;","plainTextFormattedCitation":"13–16","previouslyFormattedCitation":"&lt;sup&gt;13–16&lt;/sup&gt;"},"properties":{"noteIndex":0},"schema":"https://github.com/citation-style-language/schema/raw/master/csl-citation.json"}</w:instrText>
      </w:r>
      <w:r w:rsidR="001E7A73">
        <w:fldChar w:fldCharType="separate"/>
      </w:r>
      <w:r w:rsidR="001E7A73" w:rsidRPr="001E7A73">
        <w:rPr>
          <w:noProof/>
          <w:vertAlign w:val="superscript"/>
        </w:rPr>
        <w:t>13–16</w:t>
      </w:r>
      <w:r w:rsidR="001E7A73">
        <w:fldChar w:fldCharType="end"/>
      </w:r>
      <w:r>
        <w:t xml:space="preserve"> and the penetration depth of hard X-rays allows to probe</w:t>
      </w:r>
      <w:r w:rsidR="003D213F">
        <w:t xml:space="preserve"> the</w:t>
      </w:r>
      <w:r>
        <w:t xml:space="preserve"> different </w:t>
      </w:r>
      <w:r w:rsidR="003D213F">
        <w:t xml:space="preserve">device </w:t>
      </w:r>
      <w:r>
        <w:t>layers</w:t>
      </w:r>
      <w:r w:rsidR="007B42AB">
        <w:fldChar w:fldCharType="begin" w:fldLock="1"/>
      </w:r>
      <w:r w:rsidR="00155F86">
        <w:instrText>ADDIN CSL_CITATION {"citationItems":[{"id":"ITEM-1","itemData":{"DOI":"10.1107/S1600577516015721","ISBN":"1600-5775","ISSN":"16005775","abstract":"The study of a multilayered and multicomponent system by spatially resolved X-ray fluorescence microscopy poses unique challenges in achieving accurate quantification of elemental distributions. This is particularly true for the quantification of materials with high X-ray attenuation coefficients, depth-dependent composition variations and thickness variations. A widely applicable procedure for use after spectrum fitting and quantification is described. This procedure corrects the elemental distribution from the measured fluorescence signal, taking into account attenuation of the incident beam and generated fluorescence from multiple layers, and accounts for sample thickness variations. Deriving from Beer–Lambert's law, formulae are presented in a general integral form and numerically applicable framework. The procedure is applied using experimental data from a solar cell with a Cu(In,Ga)Se 2 absorber layer, measured at two separate synchrotron beamlines with varied measurement geometries. This example shows the importance of these corrections in real material systems, which can change the interpretation of the measured distributions dramatically.","author":[{"dropping-particle":"","family":"West","given":"Bradley M.","non-dropping-particle":"","parse-names":false,"suffix":""},{"dropping-particle":"","family":"Stuckelberger","given":"Michael","non-dropping-particle":"","parse-names":false,"suffix":""},{"dropping-particle":"","family":"Jeffries","given":"April","non-dropping-particle":"","parse-names":false,"suffix":""},{"dropping-particle":"","family":"Gangam","given":"Srikanth","non-dropping-particle":"","parse-names":false,"suffix":""},{"dropping-particle":"","family":"Lai","given":"Barry","non-dropping-particle":"","parse-names":false,"suffix":""},{"dropping-particle":"","family":"Stripe","given":"Benjamin","non-dropping-particle":"","parse-names":false,"suffix":""},{"dropping-particle":"","family":"Maser","given":"Jörg","non-dropping-particle":"","parse-names":false,"suffix":""},{"dropping-particle":"","family":"Rose","given":"Volker","non-dropping-particle":"","parse-names":false,"suffix":""},{"dropping-particle":"","family":"Vogt","given":"Stefan","non-dropping-particle":"","parse-names":false,"suffix":""},{"dropping-particle":"","family":"Bertoni","given":"Mariana I.","non-dropping-particle":"","parse-names":false,"suffix":""}],"container-title":"Journal of Synchrotron Radiation","id":"ITEM-1","issue":"1","issued":{"date-parts":[["2017"]]},"page":"288-295","publisher":"International Union of Crystallography","title":"X-ray fluorescence at nanoscale resolution for multicomponent layered structures: A solar cell case study","type":"article-journal","volume":"24"},"uris":["http://www.mendeley.com/documents/?uuid=f6492e83-45e1-4177-95b9-a7ec539e6101"]}],"mendeley":{"formattedCitation":"&lt;sup&gt;17&lt;/sup&gt;","plainTextFormattedCitation":"17","previouslyFormattedCitation":"&lt;sup&gt;17&lt;/sup&gt;"},"properties":{"noteIndex":0},"schema":"https://github.com/citation-style-language/schema/raw/master/csl-citation.json"}</w:instrText>
      </w:r>
      <w:r w:rsidR="007B42AB">
        <w:fldChar w:fldCharType="separate"/>
      </w:r>
      <w:r w:rsidR="007B42AB" w:rsidRPr="001E7A73">
        <w:rPr>
          <w:noProof/>
          <w:vertAlign w:val="superscript"/>
        </w:rPr>
        <w:t>17</w:t>
      </w:r>
      <w:r w:rsidR="007B42AB">
        <w:fldChar w:fldCharType="end"/>
      </w:r>
      <w:r w:rsidR="00A22FF5">
        <w:t>,</w:t>
      </w:r>
      <w:r>
        <w:t xml:space="preserve"> including buried absorber layers. With a wealth of different measurement techniques at a scanning X-ray microscope</w:t>
      </w:r>
      <w:r w:rsidR="003D213F">
        <w:t>,</w:t>
      </w:r>
      <w:r>
        <w:t xml:space="preserve"> it becomes possible to simultaneously study not just one but many different aspects of solar cells within multi-modal measurements and to correlate the observed characteristics. For example, X-ray beam induced current (XBIC) measurements have successfully been combined with X-ray fluorescence (XRF)</w:t>
      </w:r>
      <w:r w:rsidR="007B42AB">
        <w:fldChar w:fldCharType="begin" w:fldLock="1"/>
      </w:r>
      <w:r w:rsidR="00155F86">
        <w:instrText>ADDIN CSL_CITATION {"citationItems":[{"id":"ITEM-1","itemData":{"DOI":"10.1109/JPHOTOV.2016.2633801","ISBN":"2156-3381","ISSN":"21563381","abstract":"Unveiling the correlation between elemental composition, Fermi-level splitting, and charge collection in perovskite solar cells (PSCs) when exposed to different environments is crucial to understanding the origin of defects. This will enable defect engineering to achieve high-performance and long-lasting PSCs. In this paper, we measured, for the first time, the spatial distribution and charge-collection efficiency at the nanoscale by synchrotron-based X-ray fluorescence (XRF) and X-ray beam-induced current (XBIC) with subgrain resolution, and we observe a correlation between Pb/I ratio and charge-collection efficiency. In contrast with other thin-film solar cells, PSCs are highly sensitive to ambient conditions (atmosphere and illumination). As the XRF and XBIC measurements were conducted in vacuum under an X-ray source illumination, the impact of measurement conditions on the cells needs to be taken into account. Furthermore, necessary conditions for quantification of XRF/XBIC measurements, such as film homogeneity, are not fulfilled in the case of PSCs. Therefore, we will discuss fundamentals of XRF/XBIC measurements of PSCs that will enable reliable, quantitative, high-resolution measurements of elemental distribution and charge collection.","author":[{"dropping-particle":"","family":"Stuckelberger","given":"Michael","non-dropping-particle":"","parse-names":false,"suffix":""},{"dropping-particle":"","family":"Nietzold","given":"Tara","non-dropping-particle":"","parse-names":false,"suffix":""},{"dropping-particle":"","family":"Hall","given":"Genevieve N.","non-dropping-particle":"","parse-names":false,"suffix":""},{"dropping-particle":"","family":"West","given":"Bradley","non-dropping-particle":"","parse-names":false,"suffix":""},{"dropping-particle":"","family":"Werner","given":"Jeremie","non-dropping-particle":"","parse-names":false,"suffix":""},{"dropping-particle":"","family":"Niesen","given":"Bjoern","non-dropping-particle":"","parse-names":false,"suffix":""},{"dropping-particle":"","family":"Ballif","given":"Christophe","non-dropping-particle":"","parse-names":false,"suffix":""},{"dropping-particle":"","family":"Rose","given":"Volker","non-dropping-particle":"","parse-names":false,"suffix":""},{"dropping-particle":"","family":"Fenning","given":"David P.","non-dropping-particle":"","parse-names":false,"suffix":""},{"dropping-particle":"","family":"Bertoni","given":"Mariana I.","non-dropping-particle":"","parse-names":false,"suffix":""}],"container-title":"IEEE Journal of Photovoltaics","id":"ITEM-1","issue":"2","issued":{"date-parts":[["2017"]]},"page":"590-597","title":"Charge Collection in Hybrid Perovskite Solar Cells: Relation to the Nanoscale Elemental Distribution","type":"article-journal","volume":"7"},"uris":["http://www.mendeley.com/documents/?uuid=a99c02fa-af8a-4bd6-bb3c-b45869b2c05e"]},{"id":"ITEM-2","itemData":{"DOI":"10.1107/S1600577518015229","ISBN":"1600577518015","ISSN":"1600-5775","abstract":"&lt;p&gt;Here it is demonstrated how nanofocused X-ray beam induced current (XBIC) can be used to quantitatively map the spatially dependent carrier collection probability within nanostructured solar cells. The photocurrent generated by a 50 nm-diameter X-ray beam was measured as a function of position, bias and flux in single p–i–n doped solar-cell nanowires. The signal gathered mostly from the middle segment decays exponentially toward the p- and n-segments, with a characteristic decay length that varies between 50 nm and 750 nm depending on the flux and the applied bias. The amplitude of the XBIC shows saturation at reverse bias, which indicates that most carriers are collected. At forward bias, the relevant condition for solar cells, the carrier collection is only efficient in a small region. Comparison with finite element modeling suggests that this is due to unintentional p-doping in the middle segment. It is expected that nanofocused XBIC could be used to investigate carrier collection in a wide range of nanostructured solar cells.&lt;/p&gt;","author":[{"dropping-particle":"","family":"Chayanun","given":"Lert","non-dropping-particle":"","parse-names":false,"suffix":""},{"dropping-particle":"","family":"Otnes","given":"Gaute","non-dropping-particle":"","parse-names":false,"suffix":""},{"dropping-particle":"","family":"Troian","given":"Andrea","non-dropping-particle":"","parse-names":false,"suffix":""},{"dropping-particle":"","family":"Hammarberg","given":"Susanna","non-dropping-particle":"","parse-names":false,"suffix":""},{"dropping-particle":"","family":"Salomon","given":"Damien","non-dropping-particle":"","parse-names":false,"suffix":""},{"dropping-particle":"","family":"Borgström","given":"Magnus T.","non-dropping-particle":"","parse-names":false,"suffix":""},{"dropping-particle":"","family":"Wallentin","given":"Jesper","non-dropping-particle":"","parse-names":false,"suffix":""}],"container-title":"Journal of Synchrotron Radiation","id":"ITEM-2","issue":"1","issued":{"date-parts":[["2019"]]},"page":"102-108","title":"Nanoscale mapping of carrier collection in single nanowire solar cells using X-ray beam induced current","type":"article-journal","volume":"26"},"uris":["http://www.mendeley.com/documents/?uuid=bc9a5c38-d761-4b3d-bd38-843709e10d6b"]},{"id":"ITEM-3","itemData":{"DOI":"10.1016/j.nanoen.2016.12.011","ISSN":"22112855","author":[{"dropping-particle":"","family":"West","given":"Bradley M.","non-dropping-particle":"","parse-names":false,"suffix":""},{"dropping-particle":"","family":"Stuckelberger","given":"Michael","non-dropping-particle":"","parse-names":false,"suffix":""},{"dropping-particle":"","family":"Guthrey","given":"Harvey","non-dropping-particle":"","parse-names":false,"suffix":""},{"dropping-particle":"","family":"Chen","given":"Lei","non-dropping-particle":"","parse-names":false,"suffix":""},{"dropping-particle":"","family":"Lai","given":"Barry","non-dropping-particle":"","parse-names":false,"suffix":""},{"dropping-particle":"","family":"Maser","given":"Jörg","non-dropping-particle":"","parse-names":false,"suffix":""},{"dropping-particle":"","family":"Rose","given":"Volker","non-dropping-particle":"","parse-names":false,"suffix":""},{"dropping-particle":"","family":"Shafarman","given":"William","non-dropping-particle":"","parse-names":false,"suffix":""},{"dropping-particle":"","family":"Al-Jassim","given":"Mowafak","non-dropping-particle":"","parse-names":false,"suffix":""},{"dropping-particle":"","family":"Bertoni","given":"Mariana I.","non-dropping-particle":"","parse-names":false,"suffix":""}],"container-title":"Nano Energy","id":"ITEM-3","issued":{"date-parts":[["2017"]]},"page":"488-493","publisher":"Elsevier","title":"Grain Engineering: How Nanoscale Inhomogeneities Can Control Charge Collection in Solar Cells","type":"article-journal","volume":"32"},"uris":["http://www.mendeley.com/documents/?uuid=dc1a7c61-cefe-4a79-95da-cd892b9603c7"]}],"mendeley":{"formattedCitation":"&lt;sup&gt;7,18,19&lt;/sup&gt;","plainTextFormattedCitation":"7,18,19","previouslyFormattedCitation":"&lt;sup&gt;7,18,19&lt;/sup&gt;"},"properties":{"noteIndex":0},"schema":"https://github.com/citation-style-language/schema/raw/master/csl-citation.json"}</w:instrText>
      </w:r>
      <w:r w:rsidR="007B42AB">
        <w:fldChar w:fldCharType="separate"/>
      </w:r>
      <w:r w:rsidR="007B42AB" w:rsidRPr="001E7A73">
        <w:rPr>
          <w:noProof/>
          <w:vertAlign w:val="superscript"/>
        </w:rPr>
        <w:t>7,18,19</w:t>
      </w:r>
      <w:r w:rsidR="007B42AB">
        <w:fldChar w:fldCharType="end"/>
      </w:r>
      <w:r w:rsidR="00A22FF5">
        <w:t>,</w:t>
      </w:r>
      <w:r>
        <w:t xml:space="preserve"> X-ray excited </w:t>
      </w:r>
      <w:r w:rsidR="0036240F">
        <w:t xml:space="preserve">optical </w:t>
      </w:r>
      <w:r>
        <w:t>luminescence (XEOL)</w:t>
      </w:r>
      <w:r w:rsidR="007B42AB">
        <w:fldChar w:fldCharType="begin" w:fldLock="1"/>
      </w:r>
      <w:r w:rsidR="00155F86">
        <w:instrText>ADDIN CSL_CITATION {"citationItems":[{"id":"ITEM-1","itemData":{"DOI":"10.1021/nl303178u","ISSN":"15306984","PMID":"23030721","abstract":"Theoretically core-multishell nanowires under a cross-section of hexagonal geometry should exhibit peculiar confinement effects. Using a hard X-ray nanobeam, here we show experimental evidence for carrier localization phenomena at the hexagon corners by combining synchrotron excited optical luminescence with simultaneous X-ray fluorescence spectroscopy. Applied to single coaxial n-GaN/InGaN multiquantum-well/p-GaN nanowires, our experiment narrows the gap between optical microscopy and high-resolution X-ray imaging and calls for further studies on the underlying mechanisms of optoelectronic nanodevices.","author":[{"dropping-particle":"","family":"Martínez-Criado","given":"Gema","non-dropping-particle":"","parse-names":false,"suffix":""},{"dropping-particle":"","family":"Homs","given":"Alejandro","non-dropping-particle":"","parse-names":false,"suffix":""},{"dropping-particle":"","family":"Alén","given":"Benito","non-dropping-particle":"","parse-names":false,"suffix":""},{"dropping-particle":"","family":"Sans","given":"Juan A.","non-dropping-particle":"","parse-names":false,"suffix":""},{"dropping-particle":"","family":"Segura-Ruiz","given":"Jaime","non-dropping-particle":"","parse-names":false,"suffix":""},{"dropping-particle":"","family":"Molina-Sánchez","given":"Alejandro","non-dropping-particle":"","parse-names":false,"suffix":""},{"dropping-particle":"","family":"Susini","given":"Jean","non-dropping-particle":"","parse-names":false,"suffix":""},{"dropping-particle":"","family":"Yoo","given":"Jinkyoung","non-dropping-particle":"","parse-names":false,"suffix":""},{"dropping-particle":"","family":"Yi","given":"Gyu Chul","non-dropping-particle":"","parse-names":false,"suffix":""}],"container-title":"Nano Letters","id":"ITEM-1","issue":"11","issued":{"date-parts":[["2012"]]},"page":"5829-5834","title":"Probing quantum confinement within single core-multishell nanowires","type":"article-journal","volume":"12"},"uris":["http://www.mendeley.com/documents/?uuid=dc92f3cd-5d7b-417e-8bcb-8f687db5a53d"]},{"id":"ITEM-2","itemData":{"DOI":"10.1002/adma.201304345","ISSN":"15214095","PMID":"24677416","abstract":"Semiconductor nanowires offer new opportunities for optoelectronic and spintronic nanodevices. However, their full potential is ultimately dictated by our ability to control multiple property-function relationships taking place at the nanoscale in the spatial and time domains. Only a combination of high-resolution analytical techniques can provide a comprehensive understanding of their complex functionalities. Here we describe how a multimodal hard X-ray nanoprobe addresses fundamental questions in nanowire research. Selected topics ranging from cluster formation, dopant segregation, and phase separations to quantum confinement effects are investigated with sub-100 nm spatial resolution and sub-50 ps temporal resolution. This approach opens new avenues for structural, composition and optical studies with broad applicability in materials science.","author":[{"dropping-particle":"","family":"Martínez-Criado","given":"Gema","non-dropping-particle":"","parse-names":false,"suffix":""},{"dropping-particle":"","family":"Segura-Ruiz","given":"Jaime","non-dropping-particle":"","parse-names":false,"suffix":""},{"dropping-particle":"","family":"Alén","given":"Benito","non-dropping-particle":"","parse-names":false,"suffix":""},{"dropping-particle":"","family":"Eymery","given":"Joël","non-dropping-particle":"","parse-names":false,"suffix":""},{"dropping-particle":"","family":"Rogalev","given":"Andrei","non-dropping-particle":"","parse-names":false,"suffix":""},{"dropping-particle":"","family":"Tucoulou","given":"Rémi","non-dropping-particle":"","parse-names":false,"suffix":""},{"dropping-particle":"","family":"Homs","given":"Alejandro","non-dropping-particle":"","parse-names":false,"suffix":""}],"container-title":"Advanced Materials","id":"ITEM-2","issue":"46","issued":{"date-parts":[["2014"]]},"page":"7873-7879","title":"Exploring single semiconductor nanowires with a multimodal hard X-ray nanoprobe","type":"article-journal","volume":"26"},"uris":["http://www.mendeley.com/documents/?uuid=1e65ae01-f5b0-4312-84ff-1d7272d4773e"]}],"mendeley":{"formattedCitation":"&lt;sup&gt;20,21&lt;/sup&gt;","plainTextFormattedCitation":"20,21","previouslyFormattedCitation":"&lt;sup&gt;20,21&lt;/sup&gt;"},"properties":{"noteIndex":0},"schema":"https://github.com/citation-style-language/schema/raw/master/csl-citation.json"}</w:instrText>
      </w:r>
      <w:r w:rsidR="007B42AB">
        <w:fldChar w:fldCharType="separate"/>
      </w:r>
      <w:r w:rsidR="007B42AB" w:rsidRPr="001E7A73">
        <w:rPr>
          <w:noProof/>
          <w:vertAlign w:val="superscript"/>
        </w:rPr>
        <w:t>20,21</w:t>
      </w:r>
      <w:r w:rsidR="007B42AB">
        <w:fldChar w:fldCharType="end"/>
      </w:r>
      <w:r w:rsidR="00A22FF5">
        <w:t>,</w:t>
      </w:r>
      <w:r>
        <w:t xml:space="preserve"> and X-ray diffraction (XRD)</w:t>
      </w:r>
      <w:r w:rsidR="00C84FBF">
        <w:fldChar w:fldCharType="begin" w:fldLock="1"/>
      </w:r>
      <w:r w:rsidR="008F7C07">
        <w:instrText>ADDIN CSL_CITATION {"citationItems":[{"id":"ITEM-1","itemData":{"author":[{"dropping-particle":"","family":"Ulvestad","given":"A","non-dropping-particle":"","parse-names":false,"suffix":""},{"dropping-particle":"","family":"Hruszkewycz","given":"S O","non-dropping-particle":"","parse-names":false,"suffix":""},{"dropping-particle":"V","family":"Holt","given":"M","non-dropping-particle":"","parse-names":false,"suffix":""},{"dropping-particle":"","family":"Hill","given":"M O","non-dropping-particle":"","parse-names":false,"suffix":""},{"dropping-particle":"","family":"Maddali","given":"S","non-dropping-particle":"","parse-names":false,"suffix":""},{"dropping-particle":"","family":"Huang","given":"X","non-dropping-particle":"","parse-names":false,"suffix":""},{"dropping-particle":"","family":"Nazaretski","given":"E","non-dropping-particle":"","parse-names":false,"suffix":""},{"dropping-particle":"","family":"Chu","given":"Y S","non-dropping-particle":"","parse-names":false,"suffix":""},{"dropping-particle":"","family":"Lauhon","given":"L J","non-dropping-particle":"","parse-names":false,"suffix":""},{"dropping-particle":"","family":"Rodkey","given":"N","non-dropping-particle":"","parse-names":false,"suffix":""},{"dropping-particle":"","family":"Bertoni","given":"M I","non-dropping-particle":"","parse-names":false,"suffix":""},{"dropping-particle":"","family":"Stuckelberger","given":"M E","non-dropping-particle":"","parse-names":false,"suffix":""}],"container-title":"Accepted for publication in the Journal of Synchrotron Radiation","id":"ITEM-1","issued":{"date-parts":[["2019"]]},"title":"Multimodal x-ray imaging of grain-level properties and performance in a polycrystalline solar cell","type":"article-journal"},"uris":["http://www.mendeley.com/documents/?uuid=5818d8b3-fc90-4604-9c5b-9b7884e628b3"]}],"mendeley":{"formattedCitation":"&lt;sup&gt;22&lt;/sup&gt;","plainTextFormattedCitation":"22","previouslyFormattedCitation":"&lt;sup&gt;22&lt;/sup&gt;"},"properties":{"noteIndex":0},"schema":"https://github.com/citation-style-language/schema/raw/master/csl-citation.json"}</w:instrText>
      </w:r>
      <w:r w:rsidR="00C84FBF">
        <w:fldChar w:fldCharType="separate"/>
      </w:r>
      <w:r w:rsidR="001E7A73" w:rsidRPr="001E7A73">
        <w:rPr>
          <w:noProof/>
          <w:vertAlign w:val="superscript"/>
        </w:rPr>
        <w:t>22</w:t>
      </w:r>
      <w:r w:rsidR="00C84FBF">
        <w:fldChar w:fldCharType="end"/>
      </w:r>
      <w:r>
        <w:t xml:space="preserve"> to correlate the electrical performance with composition, optical performance, and structure</w:t>
      </w:r>
      <w:r w:rsidR="00C54197">
        <w:t>, respectively</w:t>
      </w:r>
      <w:r w:rsidR="007B42AB">
        <w:fldChar w:fldCharType="begin" w:fldLock="1"/>
      </w:r>
      <w:r w:rsidR="00155F86">
        <w:instrText>ADDIN CSL_CITATION {"citationItems":[{"id":"ITEM-1","itemData":{"DOI":"10.1557/jmr.2017.108","ISSN":"0884-2914","abstract":"&lt;p&gt; &lt;fig position=\"anchor\"&gt; &lt;graphic href=\"S088429141700108X_figAb\" mime-subtype=\"jpeg\" mimetype=\"image\" position=\"float\" type=\"simple\"/&gt; &lt;/fig&gt; &lt;/p&gt;","author":[{"dropping-particle":"","family":"Stuckelberger","given":"Michael","non-dropping-particle":"","parse-names":false,"suffix":""},{"dropping-particle":"","family":"West","given":"Bradley","non-dropping-particle":"","parse-names":false,"suffix":""},{"dropping-particle":"","family":"Nietzold","given":"Tara","non-dropping-particle":"","parse-names":false,"suffix":""},{"dropping-particle":"","family":"Lai","given":"Barry","non-dropping-particle":"","parse-names":false,"suffix":""},{"dropping-particle":"","family":"Maser","given":"Jörg M.","non-dropping-particle":"","parse-names":false,"suffix":""},{"dropping-particle":"","family":"Rose","given":"Volker","non-dropping-particle":"","parse-names":false,"suffix":""},{"dropping-particle":"","family":"Bertoni","given":"Mariana I.","non-dropping-particle":"","parse-names":false,"suffix":""}],"container-title":"Journal of Materials Research","id":"ITEM-1","issue":"10","issued":{"date-parts":[["2017","5"]]},"page":"1825-1854","title":"Engineering solar cells based on correlative X-ray microscopy","type":"article-journal","volume":"32"},"uris":["http://www.mendeley.com/documents/?uuid=69a80032-6bd0-4a5b-946d-74b0fa35fb62"]}],"mendeley":{"formattedCitation":"&lt;sup&gt;23&lt;/sup&gt;","plainTextFormattedCitation":"23","previouslyFormattedCitation":"&lt;sup&gt;23&lt;/sup&gt;"},"properties":{"noteIndex":0},"schema":"https://github.com/citation-style-language/schema/raw/master/csl-citation.json"}</w:instrText>
      </w:r>
      <w:r w:rsidR="007B42AB">
        <w:fldChar w:fldCharType="separate"/>
      </w:r>
      <w:r w:rsidR="007B42AB" w:rsidRPr="001E7A73">
        <w:rPr>
          <w:noProof/>
          <w:vertAlign w:val="superscript"/>
        </w:rPr>
        <w:t>23</w:t>
      </w:r>
      <w:r w:rsidR="007B42AB">
        <w:fldChar w:fldCharType="end"/>
      </w:r>
      <w:r>
        <w:t>.</w:t>
      </w:r>
    </w:p>
    <w:p w14:paraId="0EB67477" w14:textId="77777777" w:rsidR="00F90EDC" w:rsidRDefault="00F90EDC" w:rsidP="00F22EB6"/>
    <w:p w14:paraId="4BC4D0F8" w14:textId="4DE93F3D" w:rsidR="008544A7" w:rsidRDefault="00B15F13" w:rsidP="00F22EB6">
      <w:r>
        <w:t>During XBIC measurements of solar cells</w:t>
      </w:r>
      <w:r w:rsidR="00313609">
        <w:t xml:space="preserve"> </w:t>
      </w:r>
      <w:r w:rsidR="001F6748">
        <w:t>or other devices under test</w:t>
      </w:r>
      <w:r w:rsidR="00771FEA">
        <w:t xml:space="preserve"> (DUT)</w:t>
      </w:r>
      <w:r w:rsidR="00AB65A3">
        <w:fldChar w:fldCharType="begin" w:fldLock="1"/>
      </w:r>
      <w:r w:rsidR="00155F86">
        <w:instrText>ADDIN CSL_CITATION {"citationItems":[{"id":"ITEM-1","itemData":{"DOI":"10.1088/1361-6528/aadc76","ISSN":"13616528","author":[{"dropping-particle":"","family":"Chayanun","given":"Lert","non-dropping-particle":"","parse-names":false,"suffix":""},{"dropping-particle":"","family":"Dagyte","given":"Vilgaile","non-dropping-particle":"","parse-names":false,"suffix":""},{"dropping-particle":"","family":"Troian","given":"Andrea","non-dropping-particle":"","parse-names":false,"suffix":""},{"dropping-particle":"","family":"Salomon","given":"Damien","non-dropping-particle":"","parse-names":false,"suffix":""},{"dropping-particle":"","family":"Borgström","given":"Magnus","non-dropping-particle":"","parse-names":false,"suffix":""},{"dropping-particle":"","family":"Wallentin","given":"Jesper","non-dropping-particle":"","parse-names":false,"suffix":""}],"container-title":"Nanotechnology","id":"ITEM-1","issue":"45","issued":{"date-parts":[["2018"]]},"title":"Spectrally resolved x-ray beam induced current in a single InGaP nanowire","type":"article-journal","volume":"29"},"uris":["http://www.mendeley.com/documents/?uuid=95a57cb3-3734-4102-8721-e68619f24d62"]},{"id":"ITEM-2","itemData":{"DOI":"10.1126/sciadv.aao4044","ISSN":"23752548","abstract":"We introduce a method for directly imaging depletion layers in operando with elemental specificity and chemical speciation at sub–100 nm spatial resolution applicable to today’s three-dimensional electronic architectures. These typically contain complex, multicomponent designs consisting of epitaxial heterostructures, buried domains, or nanostructures with different shapes and sizes. Although the variety of devices is immense, they commonly rely on carrier separation in a built-in potential induced by composition or strain gradients. To image these, we scanned a focused synchrotron x-ray nanobeam over a single semiconductor nanowire heterostructure and simultaneously measured the current through the device and the emitted characteristic x-rays as a function of the incoming hard x-ray energy. With these results, it is possible to identify the compositional and molecular structure as well as localize the electrical fields present under typical working conditions. This information allows us to draw an energy band diagram consistent with the elemental distribution and a high-resolution chemical speciation map.","author":[{"dropping-particle":"","family":"Johannes","given":"Andreas","non-dropping-particle":"","parse-names":false,"suffix":""},{"dropping-particle":"","family":"Salomon","given":"Damien","non-dropping-particle":"","parse-names":false,"suffix":""},{"dropping-particle":"","family":"Martinez-Criado","given":"Gema","non-dropping-particle":"","parse-names":false,"suffix":""},{"dropping-particle":"","family":"Glaser","given":"Markus","non-dropping-particle":"","parse-names":false,"suffix":""},{"dropping-particle":"","family":"Lugstein","given":"Alois","non-dropping-particle":"","parse-names":false,"suffix":""},{"dropping-particle":"","family":"Ronning","given":"Carsten","non-dropping-particle":"","parse-names":false,"suffix":""}],"container-title":"Science Advances","id":"ITEM-2","issue":"12","issued":{"date-parts":[["2017"]]},"page":"1-7","title":"In operando x-ray imaging of nanoscale devices: Composition, valence, and internal electrical fields","type":"article-journal","volume":"3"},"uris":["http://www.mendeley.com/documents/?uuid=c82df331-963c-4f63-9a9f-c0c61b70e5bb"]}],"mendeley":{"formattedCitation":"&lt;sup&gt;24,25&lt;/sup&gt;","plainTextFormattedCitation":"24,25","previouslyFormattedCitation":"&lt;sup&gt;24,25&lt;/sup&gt;"},"properties":{"noteIndex":0},"schema":"https://github.com/citation-style-language/schema/raw/master/csl-citation.json"}</w:instrText>
      </w:r>
      <w:r w:rsidR="00AB65A3">
        <w:fldChar w:fldCharType="separate"/>
      </w:r>
      <w:r w:rsidR="001E7A73" w:rsidRPr="001E7A73">
        <w:rPr>
          <w:noProof/>
          <w:vertAlign w:val="superscript"/>
        </w:rPr>
        <w:t>24,25</w:t>
      </w:r>
      <w:r w:rsidR="00AB65A3">
        <w:fldChar w:fldCharType="end"/>
      </w:r>
      <w:r w:rsidR="007B42AB">
        <w:t>,</w:t>
      </w:r>
      <w:r>
        <w:t xml:space="preserve"> the incident X-ray photons set off particle showers consisting of electrons and photons, resulting in a multitude of excited electron-hole pairs per incident X-ray photon</w:t>
      </w:r>
      <w:r w:rsidR="00867BCC">
        <w:t xml:space="preserve"> in the semiconducting absorber material</w:t>
      </w:r>
      <w:r>
        <w:t xml:space="preserve">. Finally, the electron-hole pairs thermalize to the band </w:t>
      </w:r>
      <w:r w:rsidR="00884D4B">
        <w:t>edges of</w:t>
      </w:r>
      <w:r>
        <w:t xml:space="preserve"> the solar cell absorber. Therefore, these X-ray excited charge carriers can be treated like charge carriers that are generated by </w:t>
      </w:r>
      <w:r w:rsidR="00867BCC">
        <w:t xml:space="preserve">the </w:t>
      </w:r>
      <w:r>
        <w:t xml:space="preserve">absorption of photons </w:t>
      </w:r>
      <w:r w:rsidR="00867BCC">
        <w:t xml:space="preserve">with energies </w:t>
      </w:r>
      <w:r>
        <w:t xml:space="preserve">just above the bandgap during normal solar cell operation, and the resulting current or voltage </w:t>
      </w:r>
      <w:r w:rsidR="00771FEA">
        <w:t xml:space="preserve">can </w:t>
      </w:r>
      <w:r>
        <w:t>be measured as X-ray beam induced current</w:t>
      </w:r>
      <w:r w:rsidR="00D52703">
        <w:fldChar w:fldCharType="begin" w:fldLock="1"/>
      </w:r>
      <w:r w:rsidR="00155F86">
        <w:instrText>ADDIN CSL_CITATION {"citationItems":[{"id":"ITEM-1","itemData":{"author":[{"dropping-particle":"","family":"Hieslmair","given":"H.","non-dropping-particle":"","parse-names":false,"suffix":""},{"dropping-particle":"","family":"Istratov","given":"A. A.","non-dropping-particle":"","parse-names":false,"suffix":""},{"dropping-particle":"","family":"Sachdeva","given":"R.","non-dropping-particle":"","parse-names":false,"suffix":""},{"dropping-particle":"","family":"Weber","given":"E. R.","non-dropping-particle":"","parse-names":false,"suffix":""}],"container-title":"10th Workshop on Crystalline Silicon Solar Cell Materials and Processes","id":"ITEM-1","issue":"August","issued":{"date-parts":[["2000"]]},"page":"162-165","title":"New Synchrotron-Radiation Based Technique to Study Localized Defects in Silicon: \"EBIC\" with X-Ray Excitation","type":"article-journal"},"uris":["http://www.mendeley.com/documents/?uuid=b26155b8-5b9a-4111-bbcb-4147f36ed7fc"]},{"id":"ITEM-2","itemData":{"DOI":"10.1063/1.1450026","author":[{"dropping-particle":"","family":"Vyvenko","given":"Oleg","non-dropping-particle":"","parse-names":false,"suffix":""},{"dropping-particle":"","family":"Buonassisi","given":"Tonio","non-dropping-particle":"","parse-names":false,"suffix":""},{"dropping-particle":"","family":"Schindler","given":"Roland","non-dropping-particle":"","parse-names":false,"suffix":""},{"dropping-particle":"","family":"Istratov","given":"A. A.","non-dropping-particle":"","parse-names":false,"suffix":""},{"dropping-particle":"","family":"Hieslmair","given":"H.","non-dropping-particle":"","parse-names":false,"suffix":""},{"dropping-particle":"","family":"Thompson","given":"A. C.","non-dropping-particle":"","parse-names":false,"suffix":""},{"dropping-particle":"","family":"Weber","given":"E. R.","non-dropping-particle":"","parse-names":false,"suffix":""}],"id":"ITEM-2","issue":"6","issued":{"date-parts":[["2002"]]},"page":"3614-3617","title":"X-ray beam induced current - A synchrotron radiation based technique for the in situ analysis of recombination properties and chemical nature of metal clusters in silicon","type":"article-journal","volume":"91"},"uris":["http://www.mendeley.com/documents/?uuid=0dd45f61-2f14-4dab-a301-6d28f9f35391"]},{"id":"ITEM-3","itemData":{"DOI":"10.1557/jmr.2017.108","ISSN":"0884-2914","abstract":"&lt;p&gt; &lt;fig position=\"anchor\"&gt; &lt;graphic href=\"S088429141700108X_figAb\" mime-subtype=\"jpeg\" mimetype=\"image\" position=\"float\" type=\"simple\"/&gt; &lt;/fig&gt; &lt;/p&gt;","author":[{"dropping-particle":"","family":"Stuckelberger","given":"Michael","non-dropping-particle":"","parse-names":false,"suffix":""},{"dropping-particle":"","family":"West","given":"Bradley","non-dropping-particle":"","parse-names":false,"suffix":""},{"dropping-particle":"","family":"Nietzold","given":"Tara","non-dropping-particle":"","parse-names":false,"suffix":""},{"dropping-particle":"","family":"Lai","given":"Barry","non-dropping-particle":"","parse-names":false,"suffix":""},{"dropping-particle":"","family":"Maser","given":"Jörg M.","non-dropping-particle":"","parse-names":false,"suffix":""},{"dropping-particle":"","family":"Rose","given":"Volker","non-dropping-particle":"","parse-names":false,"suffix":""},{"dropping-particle":"","family":"Bertoni","given":"Mariana I.","non-dropping-particle":"","parse-names":false,"suffix":""}],"container-title":"Journal of Materials Research","id":"ITEM-3","issue":"10","issued":{"date-parts":[["2017","5"]]},"page":"1825-1854","title":"Engineering solar cells based on correlative X-ray microscopy","type":"article-journal","volume":"32"},"uris":["http://www.mendeley.com/documents/?uuid=69a80032-6bd0-4a5b-946d-74b0fa35fb62"]}],"mendeley":{"formattedCitation":"&lt;sup&gt;23,26,27&lt;/sup&gt;","plainTextFormattedCitation":"23,26,27","previouslyFormattedCitation":"&lt;sup&gt;23,26,27&lt;/sup&gt;"},"properties":{"noteIndex":0},"schema":"https://github.com/citation-style-language/schema/raw/master/csl-citation.json"}</w:instrText>
      </w:r>
      <w:r w:rsidR="00D52703">
        <w:fldChar w:fldCharType="separate"/>
      </w:r>
      <w:r w:rsidR="001E7A73" w:rsidRPr="001E7A73">
        <w:rPr>
          <w:noProof/>
          <w:vertAlign w:val="superscript"/>
        </w:rPr>
        <w:t>23,26,27</w:t>
      </w:r>
      <w:r w:rsidR="00D52703">
        <w:fldChar w:fldCharType="end"/>
      </w:r>
      <w:r w:rsidR="00D52703">
        <w:t xml:space="preserve"> o</w:t>
      </w:r>
      <w:r>
        <w:t>r voltage (XBIV)</w:t>
      </w:r>
      <w:r w:rsidR="00AB65A3">
        <w:fldChar w:fldCharType="begin" w:fldLock="1"/>
      </w:r>
      <w:r w:rsidR="008F7C07">
        <w:instrText>ADDIN CSL_CITATION {"citationItems":[{"id":"ITEM-1","itemData":{"author":[{"dropping-particle":"","family":"Stuckelberger","given":"Michael E","non-dropping-particle":"","parse-names":false,"suffix":""},{"dropping-particle":"","family":"Nietzold","given":"Tara","non-dropping-particle":"","parse-names":false,"suffix":""},{"dropping-particle":"","family":"West","given":"Bradley M","non-dropping-particle":"","parse-names":false,"suffix":""},{"dropping-particle":"","family":"Lai","given":"Barry","non-dropping-particle":"","parse-names":false,"suffix":""},{"dropping-particle":"","family":"Maser","given":"M","non-dropping-particle":"","parse-names":false,"suffix":""},{"dropping-particle":"","family":"Rose","given":"Volker","non-dropping-particle":"","parse-names":false,"suffix":""},{"dropping-particle":"","family":"Bertoni","given":"Mariana I","non-dropping-particle":"","parse-names":false,"suffix":""}],"container-title":"2017 IEEE 44th Photovoltaic Specialist Conference, PVSC 2017","id":"ITEM-1","issued":{"date-parts":[["2017"]]},"title":"X-Ray Beam Induced Voltage: A Novel Technique for Electrical Nanocharacterization of Solar Cells","type":"article-journal"},"uris":["http://www.mendeley.com/documents/?uuid=4dde74b1-f089-47e8-abb8-92450878c3a5"]},{"id":"ITEM-2","itemData":{"DOI":"10.1109/JPHOTOV.2017.2762584","ISSN":"21563381","abstract":"IEEE Unveiling the correlation among electrical performance, elemental distribution, and defects at the microscale is crucial for the understanding and improvement of the overall solar cell performance. While this is true in general for solar cells with polycrystalline absorber layers, it is particularly critical for defect engineering of the complex quaternary CuIn &lt; formula &gt; &lt; tex &gt; $_x$ &lt; /tex &gt; &lt; /formula &gt; Ga &lt; formula &gt; &lt; tex &gt; $_{1-x}$ &lt; /tex &gt; &lt; /formula &gt; Se &lt; formula &gt; &lt; tex &gt; $_2$ &lt; /tex &gt; &lt; /formula &gt;  (CIGS) material system. Studying these relationships under standard ambient conditions can provide important insights but does not provide input on the behavior of the cell under real operating conditions. In this contribution, we take a close look at the complex temperature dependence of defects and voltage in CIGS at the microscale. We have developed correlative X-ray microscopy methods and adapted them for temperature-dependent measurements of the locally generated voltage and elemental compositions at the microscale. We have applied these techniques to industrial CIGS solar cells covering temperatures from room temperature up to 100  &lt; formula &gt; &lt; tex &gt; $^\\circ \\text{C}$ &lt; /tex &gt; &lt; /formula &gt; . We find underperforming areas spanning multiple grains that do not correlate with the elemental distribution of major absorber constituents. However, we demonstrate that low-performing areas perform better at higher temperatures relative to the high-performing areas.","author":[{"dropping-particle":"","family":"Stuckelberger","given":"Michael E.","non-dropping-particle":"","parse-names":false,"suffix":""},{"dropping-particle":"","family":"Nietzold","given":"Tara","non-dropping-particle":"","parse-names":false,"suffix":""},{"dropping-particle":"","family":"West","given":"Bradley M.","non-dropping-particle":"","parse-names":false,"suffix":""},{"dropping-particle":"","family":"Farshchi","given":"Rouin","non-dropping-particle":"","parse-names":false,"suffix":""},{"dropping-particle":"","family":"Poplavskyy","given":"Dmitry","non-dropping-particle":"","parse-names":false,"suffix":""},{"dropping-particle":"","family":"Bailey","given":"Jeff","non-dropping-particle":"","parse-names":false,"suffix":""},{"dropping-particle":"","family":"Lai","given":"Barry","non-dropping-particle":"","parse-names":false,"suffix":""},{"dropping-particle":"","family":"Maser","given":"Jörg M.","non-dropping-particle":"","parse-names":false,"suffix":""},{"dropping-particle":"","family":"Bertoni","given":"Mariana I.","non-dropping-particle":"","parse-names":false,"suffix":""}],"container-title":"IEEE Journal of Photovoltaics","id":"ITEM-2","issue":"1","issued":{"date-parts":[["2018"]]},"page":"278-287","title":"How does CIGS performance depend on temperature at the microscale?","type":"article-journal","volume":"8"},"uris":["http://www.mendeley.com/documents/?uuid=9f7236ef-9f69-4e83-9c41-7fa997aa2d25"]}],"mendeley":{"formattedCitation":"&lt;sup&gt;28,29&lt;/sup&gt;","plainTextFormattedCitation":"28,29","previouslyFormattedCitation":"&lt;sup&gt;28,29&lt;/sup&gt;"},"properties":{"noteIndex":0},"schema":"https://github.com/citation-style-language/schema/raw/master/csl-citation.json"}</w:instrText>
      </w:r>
      <w:r w:rsidR="00AB65A3">
        <w:fldChar w:fldCharType="separate"/>
      </w:r>
      <w:r w:rsidR="001E7A73" w:rsidRPr="001E7A73">
        <w:rPr>
          <w:noProof/>
          <w:vertAlign w:val="superscript"/>
        </w:rPr>
        <w:t>28,29</w:t>
      </w:r>
      <w:r w:rsidR="00AB65A3">
        <w:fldChar w:fldCharType="end"/>
      </w:r>
      <w:r w:rsidR="00771FEA">
        <w:t xml:space="preserve"> similar </w:t>
      </w:r>
      <w:r w:rsidR="003D213F">
        <w:t xml:space="preserve">to </w:t>
      </w:r>
      <w:r w:rsidR="00771FEA">
        <w:t xml:space="preserve">more common </w:t>
      </w:r>
      <w:r w:rsidR="003D213F">
        <w:t xml:space="preserve">measurements like </w:t>
      </w:r>
      <w:r w:rsidR="00771FEA">
        <w:t>electron-beam induced current (EBIC) or laser-beam induced current (LBIC)</w:t>
      </w:r>
      <w:r>
        <w:t>.</w:t>
      </w:r>
      <w:r w:rsidR="00AD7E62">
        <w:t xml:space="preserve"> Consequently, the XBIC/XBIV signal not only depends on the thickness of the absorber layer, but also</w:t>
      </w:r>
      <w:r w:rsidR="002550F0">
        <w:t xml:space="preserve"> </w:t>
      </w:r>
      <w:r w:rsidR="008E2D51">
        <w:t xml:space="preserve">on </w:t>
      </w:r>
      <w:r w:rsidR="002550F0">
        <w:t xml:space="preserve">the electric performance of the DUT, both at the microscopic and macroscopic level, including </w:t>
      </w:r>
      <w:r w:rsidR="00AD7E62">
        <w:t xml:space="preserve">the </w:t>
      </w:r>
      <w:r w:rsidR="008544A7">
        <w:t>local bandgap,</w:t>
      </w:r>
      <w:r w:rsidR="00AD7E62">
        <w:t xml:space="preserve"> Fermi-level splitting</w:t>
      </w:r>
      <w:r w:rsidR="008544A7">
        <w:t xml:space="preserve">, and recombination. </w:t>
      </w:r>
      <w:r w:rsidR="00447B38">
        <w:t>Thus, we are</w:t>
      </w:r>
      <w:r w:rsidR="00AD7E62">
        <w:t xml:space="preserve"> able to map local variations of the charge-carrier </w:t>
      </w:r>
      <w:r w:rsidR="008544A7">
        <w:t>collection efficiency</w:t>
      </w:r>
      <w:r w:rsidR="00CF3934">
        <w:t xml:space="preserve"> that is defined as the probability that an externally excited electron-hole pair in the absorber layer is collected at the electrical contacts of the DUT</w:t>
      </w:r>
      <w:r w:rsidR="00AD7E62">
        <w:t>.</w:t>
      </w:r>
      <w:r w:rsidR="006B06C1">
        <w:t xml:space="preserve"> </w:t>
      </w:r>
    </w:p>
    <w:p w14:paraId="15596058" w14:textId="77777777" w:rsidR="008544A7" w:rsidRDefault="008544A7" w:rsidP="00F22EB6"/>
    <w:p w14:paraId="089EB5C7" w14:textId="44406D37" w:rsidR="00F90EDC" w:rsidRDefault="006B06C1" w:rsidP="00F22EB6">
      <w:r>
        <w:t>Note that only electron-hole pairs that are generated in the absorber layer of the DUT contribute to the XBIC/XBIV signal. Charge carriers generated in other layers such as the metallic contacts or substrate will immediately recombine</w:t>
      </w:r>
      <w:r w:rsidR="009E1407">
        <w:t>,</w:t>
      </w:r>
      <w:r>
        <w:t xml:space="preserve"> as they have no possibility of being separated by the junction.</w:t>
      </w:r>
      <w:r w:rsidR="008544A7">
        <w:t xml:space="preserve"> Therefore, other layers only affect XBIC/XBIV measurements via secondary effects such as parasitic X-ray absorption or the emission of secondary photons and electrons that may be re-absorbed in the absorber layer.</w:t>
      </w:r>
      <w:r>
        <w:t xml:space="preserve"> In contrast, all layers potentially contribute to </w:t>
      </w:r>
      <w:r w:rsidR="008544A7">
        <w:t>the XRF</w:t>
      </w:r>
      <w:r>
        <w:t xml:space="preserve"> signal.</w:t>
      </w:r>
    </w:p>
    <w:p w14:paraId="4BB03DC7" w14:textId="77777777" w:rsidR="00F90EDC" w:rsidRDefault="00F90EDC" w:rsidP="00F22EB6"/>
    <w:p w14:paraId="433ED4C2" w14:textId="0A855A03" w:rsidR="00F90EDC" w:rsidRDefault="00B15F13" w:rsidP="00F22EB6">
      <w:r>
        <w:t>Given that the XBIC and XBIV signals can be small (often, variations in the sub-picoampere and nanovolt range are of interest), the signals are easily buried in noise. Therefore, we suggested to utilize lock-in amplification to extract the XBIC and XBIV signals</w:t>
      </w:r>
      <w:r w:rsidR="007B42AB">
        <w:fldChar w:fldCharType="begin" w:fldLock="1"/>
      </w:r>
      <w:r w:rsidR="00155F86">
        <w:instrText>ADDIN CSL_CITATION {"citationItems":[{"id":"ITEM-1","itemData":{"DOI":"10.1017/S1431927618014423","ISSN":"1431-9276","abstract":"//static.cambridge.org/content/id/urn%3Acambridge.org%3Aid%3Aarticle%3AS1431927618014423/resource/name/firstPage-S1431927618014423a.jpg","author":[{"dropping-particle":"","family":"Stuckelberger","given":"M. E.","non-dropping-particle":"","parse-names":false,"suffix":""},{"dropping-particle":"","family":"Nietzold","given":"T.","non-dropping-particle":"","parse-names":false,"suffix":""},{"dropping-particle":"","family":"West","given":"B. M.","non-dropping-particle":"","parse-names":false,"suffix":""},{"dropping-particle":"","family":"Walker","given":"T.","non-dropping-particle":"","parse-names":false,"suffix":""},{"dropping-particle":"","family":"Ossig","given":"C.","non-dropping-particle":"","parse-names":false,"suffix":""},{"dropping-particle":"","family":"Kahnt","given":"M.","non-dropping-particle":"","parse-names":false,"suffix":""},{"dropping-particle":"","family":"Wittwer","given":"F.","non-dropping-particle":"","parse-names":false,"suffix":""},{"dropping-particle":"","family":"Deng","given":"J.","non-dropping-particle":"","parse-names":false,"suffix":""},{"dropping-particle":"","family":"Maser","given":"J. M.","non-dropping-particle":"","parse-names":false,"suffix":""},{"dropping-particle":"","family":"Lai","given":"B.","non-dropping-particle":"","parse-names":false,"suffix":""},{"dropping-particle":"","family":"Cai","given":"Z.","non-dropping-particle":"","parse-names":false,"suffix":""},{"dropping-particle":"","family":"Rose","given":"V.","non-dropping-particle":"","parse-names":false,"suffix":""},{"dropping-particle":"","family":"Ulvestad","given":"A.","non-dropping-particle":"","parse-names":false,"suffix":""},{"dropping-particle":"V.","family":"Holt","given":"M.","non-dropping-particle":"","parse-names":false,"suffix":""},{"dropping-particle":"","family":"Hruszkewycz","given":"S.","non-dropping-particle":"","parse-names":false,"suffix":""},{"dropping-particle":"","family":"Dynes","given":"J. J.","non-dropping-particle":"","parse-names":false,"suffix":""},{"dropping-particle":"","family":"Wang","given":"J.","non-dropping-particle":"","parse-names":false,"suffix":""},{"dropping-particle":"","family":"Salomon","given":"D.","non-dropping-particle":"","parse-names":false,"suffix":""},{"dropping-particle":"","family":"Tucoulou","given":"R.","non-dropping-particle":"","parse-names":false,"suffix":""},{"dropping-particle":"","family":"Huang","given":"X.","non-dropping-particle":"","parse-names":false,"suffix":""},{"dropping-particle":"","family":"Yan","given":"H.","non-dropping-particle":"","parse-names":false,"suffix":""},{"dropping-particle":"","family":"Nazaretski","given":"E.","non-dropping-particle":"","parse-names":false,"suffix":""},{"dropping-particle":"","family":"Chu","given":"Y. S.","non-dropping-particle":"","parse-names":false,"suffix":""},{"dropping-particle":"","family":"Schroer","given":"C. G.","non-dropping-particle":"","parse-names":false,"suffix":""},{"dropping-particle":"","family":"Bertoni","given":"M. I.","non-dropping-particle":"","parse-names":false,"suffix":""}],"container-title":"Microscopy and Microanalysis","id":"ITEM-1","issue":"S2","issued":{"date-parts":[["2018"]]},"page":"434-435","title":"Challenges and Opportunities with Highly Brilliant X-ray Sources for multi-Modal in-Situ and Operando Characterization of Solar Cells","type":"article-journal","volume":"24"},"uris":["http://www.mendeley.com/documents/?uuid=cc5768a0-ddba-4cfc-ab98-66a77185ef6c"]}],"mendeley":{"formattedCitation":"&lt;sup&gt;30&lt;/sup&gt;","plainTextFormattedCitation":"30","previouslyFormattedCitation":"&lt;sup&gt;30&lt;/sup&gt;"},"properties":{"noteIndex":0},"schema":"https://github.com/citation-style-language/schema/raw/master/csl-citation.json"}</w:instrText>
      </w:r>
      <w:r w:rsidR="007B42AB">
        <w:fldChar w:fldCharType="separate"/>
      </w:r>
      <w:r w:rsidR="007B42AB" w:rsidRPr="001E7A73">
        <w:rPr>
          <w:noProof/>
          <w:vertAlign w:val="superscript"/>
        </w:rPr>
        <w:t>30</w:t>
      </w:r>
      <w:r w:rsidR="007B42AB">
        <w:fldChar w:fldCharType="end"/>
      </w:r>
      <w:r w:rsidR="001F6748">
        <w:t>.</w:t>
      </w:r>
      <w:r>
        <w:t xml:space="preserve"> </w:t>
      </w:r>
      <w:r w:rsidR="00C54197">
        <w:t>For this purpose</w:t>
      </w:r>
      <w:r>
        <w:t xml:space="preserve">, the incoming X-ray beam is modulated by an optical chopper as indicated in </w:t>
      </w:r>
      <w:r w:rsidRPr="00FF2433">
        <w:rPr>
          <w:b/>
        </w:rPr>
        <w:t>Fig</w:t>
      </w:r>
      <w:r w:rsidR="00FF2433" w:rsidRPr="00FF2433">
        <w:rPr>
          <w:b/>
        </w:rPr>
        <w:t>ure</w:t>
      </w:r>
      <w:r>
        <w:t xml:space="preserve"> </w:t>
      </w:r>
      <w:r w:rsidRPr="00FF2433">
        <w:rPr>
          <w:b/>
        </w:rPr>
        <w:t>1</w:t>
      </w:r>
      <w:r>
        <w:t xml:space="preserve">. This modulation carries over to the signal produced by the </w:t>
      </w:r>
      <w:r w:rsidR="0031612C">
        <w:t>DUT</w:t>
      </w:r>
      <w:r>
        <w:t xml:space="preserve">. Before the signal is fed into the </w:t>
      </w:r>
      <w:r w:rsidR="009E09CB">
        <w:t>lock-in amplifier (</w:t>
      </w:r>
      <w:r>
        <w:t>LIA</w:t>
      </w:r>
      <w:r w:rsidR="009E09CB">
        <w:t>)</w:t>
      </w:r>
      <w:r>
        <w:t xml:space="preserve">, a </w:t>
      </w:r>
      <w:r w:rsidR="00F116E3">
        <w:t>pre-amplifier</w:t>
      </w:r>
      <w:r w:rsidR="00F37434">
        <w:t xml:space="preserve"> (PA)</w:t>
      </w:r>
      <w:r>
        <w:t xml:space="preserve"> is typically used to match the raw signal </w:t>
      </w:r>
      <w:r w:rsidR="00771FEA">
        <w:t xml:space="preserve">intensity </w:t>
      </w:r>
      <w:r>
        <w:t>with the range of the analog-to-digital converter at the input of the digital LIA. The LIA mixes the modulated measurement signal with the reference signal. By employing a low</w:t>
      </w:r>
      <w:r w:rsidR="0054320A">
        <w:t>-</w:t>
      </w:r>
      <w:r>
        <w:t>pass filter, only frequencies close to the reference signal are passed through and amplified</w:t>
      </w:r>
      <w:r w:rsidR="007B42AB">
        <w:fldChar w:fldCharType="begin" w:fldLock="1"/>
      </w:r>
      <w:r w:rsidR="00155F86">
        <w:instrText>ADDIN CSL_CITATION {"citationItems":[{"id":"ITEM-1","itemData":{"DOI":"10.1121/1.392931","ISBN":"978-1-4331-0954-6","abstract":"How does a lock-in amplifier work, and what should be considered when buying a state-of-the-art instrument? This whitepaper answers these questions and helps to increase the understanding of how lock-in amplifiers function. The lock-in detection technique is described both in the time and in the frequency domain. Moreover, details are laid out on how signal modulation can be exploited in order to improve on signal-to-noise ratio (SNR) while keeping acquisition time low. The paper also highlights the latest innovations in lock-in technology and the increasing range of tools and features which can be implemented in a single instrument.","author":[{"dropping-particle":"","family":"Zurich Instruments","given":"","non-dropping-particle":"","parse-names":false,"suffix":""}],"id":"ITEM-1","issue":"November","issued":{"date-parts":[["2016"]]},"page":"1-10","title":"Principles of Lock-in Detection","type":"article-journal"},"uris":["http://www.mendeley.com/documents/?uuid=4413f61e-8069-4a5f-a5c5-693a4c0c1df0"]}],"mendeley":{"formattedCitation":"&lt;sup&gt;31&lt;/sup&gt;","plainTextFormattedCitation":"31","previouslyFormattedCitation":"&lt;sup&gt;31&lt;/sup&gt;"},"properties":{"noteIndex":0},"schema":"https://github.com/citation-style-language/schema/raw/master/csl-citation.json"}</w:instrText>
      </w:r>
      <w:r w:rsidR="007B42AB">
        <w:fldChar w:fldCharType="separate"/>
      </w:r>
      <w:r w:rsidR="007B42AB" w:rsidRPr="001E7A73">
        <w:rPr>
          <w:noProof/>
          <w:vertAlign w:val="superscript"/>
        </w:rPr>
        <w:t>31</w:t>
      </w:r>
      <w:r w:rsidR="007B42AB">
        <w:fldChar w:fldCharType="end"/>
      </w:r>
      <w:r>
        <w:t>. This allows for an effective extraction of the XBIC or XBIV signal from a noisy background.</w:t>
      </w:r>
    </w:p>
    <w:p w14:paraId="5C74EBAB" w14:textId="77777777" w:rsidR="00F90EDC" w:rsidRDefault="00F90EDC" w:rsidP="00F22EB6"/>
    <w:p w14:paraId="12F2AC50" w14:textId="77777777" w:rsidR="00B628E5" w:rsidRDefault="00B15F13" w:rsidP="00B628E5">
      <w:r>
        <w:t>In the protocol, we introduce the prerequisites and motions necessary for taking successful XBIC measurements</w:t>
      </w:r>
      <w:r w:rsidR="003712F0">
        <w:t xml:space="preserve"> including the </w:t>
      </w:r>
      <w:r w:rsidR="00522F04">
        <w:t>raw signal (</w:t>
      </w:r>
      <w:r w:rsidR="003712F0">
        <w:t>direct current</w:t>
      </w:r>
      <w:r w:rsidR="00522F04">
        <w:t xml:space="preserve">, </w:t>
      </w:r>
      <w:r w:rsidR="003712F0">
        <w:t xml:space="preserve">DC) and </w:t>
      </w:r>
      <w:r w:rsidR="00522F04">
        <w:t xml:space="preserve">the </w:t>
      </w:r>
      <w:r w:rsidR="003712F0">
        <w:t xml:space="preserve">modulated </w:t>
      </w:r>
      <w:r w:rsidR="00522F04">
        <w:t>signal (</w:t>
      </w:r>
      <w:r w:rsidR="003712F0">
        <w:t>alternating current</w:t>
      </w:r>
      <w:r w:rsidR="00522F04">
        <w:t>,</w:t>
      </w:r>
      <w:r w:rsidR="003712F0">
        <w:t xml:space="preserve"> AC)</w:t>
      </w:r>
      <w:r>
        <w:t xml:space="preserve">. Beyond describing technical details, we discuss an XBIC setup in the context of multi-modal measurements </w:t>
      </w:r>
      <w:r w:rsidR="00522F04">
        <w:t>at beamline P06 at PETRA III</w:t>
      </w:r>
      <w:r w:rsidR="007B42AB">
        <w:fldChar w:fldCharType="begin" w:fldLock="1"/>
      </w:r>
      <w:r w:rsidR="00155F86">
        <w:instrText>ADDIN CSL_CITATION {"citationItems":[{"id":"ITEM-1","itemData":{"DOI":"10.1016/j.nima.2009.10.094","ISBN":"9780735413986","ISSN":"01689002","abstract":"We describe the hard X-ray scanning microscope planned for the new synchrotron radiation source PETRA III at DESY in Hamburg, Germany. It is based on nanofocusing refractive X-ray lenses and is designed for two-dimensional mapping and scanning tomography. It supports X-ray fluorescence and (coherent) diffraction contrast, yielding elemental and structural information from inside the sample. Spatial resolutions down to well below 50 nm are aimed for in direct space. A further increase in spatial resolution is expected by applying ptychographic scanning schemes. The optical scheme with a two-stage focusing optic is described. © 2009 Elsevier B.V. All rights reserved.","author":[{"dropping-particle":"","family":"Schroer","given":"Christian G.","non-dropping-particle":"","parse-names":false,"suffix":""},{"dropping-particle":"","family":"Boye","given":"Pit","non-dropping-particle":"","parse-names":false,"suffix":""},{"dropping-particle":"","family":"Feldkamp","given":"Jan M.","non-dropping-particle":"","parse-names":false,"suffix":""},{"dropping-particle":"","family":"Patommel","given":"Jens","non-dropping-particle":"","parse-names":false,"suffix":""},{"dropping-particle":"","family":"Samberg","given":"Dirk","non-dropping-particle":"","parse-names":false,"suffix":""},{"dropping-particle":"","family":"Schropp","given":"Andreas","non-dropping-particle":"","parse-names":false,"suffix":""},{"dropping-particle":"","family":"Schwab","given":"Andreas","non-dropping-particle":"","parse-names":false,"suffix":""},{"dropping-particle":"","family":"Stephan","given":"Sandra","non-dropping-particle":"","parse-names":false,"suffix":""},{"dropping-particle":"","family":"Falkenberg","given":"Gerald","non-dropping-particle":"","parse-names":false,"suffix":""},{"dropping-particle":"","family":"Wellenreuther","given":"Gerd","non-dropping-particle":"","parse-names":false,"suffix":""},{"dropping-particle":"","family":"Reimers","given":"Nadja","non-dropping-particle":"","parse-names":false,"suffix":""}],"container-title":"Nuclear Instruments and Methods in Physics Research, Section A: Accelerators, Spectrometers, Detectors and Associated Equipment","id":"ITEM-1","issue":"2-3","issued":{"date-parts":[["2010"]]},"page":"93-97","publisher":"Elsevier","title":"Hard X-ray nanoprobe at beamline P06 at PETRA III","type":"article-journal","volume":"616"},"uris":["http://www.mendeley.com/documents/?uuid=d4398dd9-bf79-498d-b756-572bd179ac3b"]}],"mendeley":{"formattedCitation":"&lt;sup&gt;13&lt;/sup&gt;","plainTextFormattedCitation":"13","previouslyFormattedCitation":"&lt;sup&gt;13&lt;/sup&gt;"},"properties":{"noteIndex":0},"schema":"https://github.com/citation-style-language/schema/raw/master/csl-citation.json"}</w:instrText>
      </w:r>
      <w:r w:rsidR="007B42AB">
        <w:fldChar w:fldCharType="separate"/>
      </w:r>
      <w:r w:rsidR="007B42AB" w:rsidRPr="00796E9E">
        <w:rPr>
          <w:noProof/>
          <w:vertAlign w:val="superscript"/>
        </w:rPr>
        <w:t>13</w:t>
      </w:r>
      <w:r w:rsidR="007B42AB">
        <w:fldChar w:fldCharType="end"/>
      </w:r>
      <w:r w:rsidR="004F146D">
        <w:t>.</w:t>
      </w:r>
      <w:r w:rsidR="007B42AB" w:rsidDel="007B42AB">
        <w:t xml:space="preserve"> </w:t>
      </w:r>
      <w:r w:rsidR="00B628E5">
        <w:t xml:space="preserve">Please note that, compared to most laboratory experiments, the environment of hutches at hard X-ray nanoprobes requires </w:t>
      </w:r>
      <w:proofErr w:type="gramStart"/>
      <w:r w:rsidR="00B628E5">
        <w:t>particular planning</w:t>
      </w:r>
      <w:proofErr w:type="gramEnd"/>
      <w:r w:rsidR="00B628E5">
        <w:t xml:space="preserve"> and consideration. Specifically, multi-modal measurements with nanometer-scale resolution challenge the experimentalists with a variety of specific constraints. For example, electronic noise is often present with great amplitudes from piezo-driven motors and other equipment, such as the power supplies of detectors. Furthermore, a multitude of devices and detectors needs to be arranged at optimized geometry without interfering with each other nor inducing vibrations. </w:t>
      </w:r>
      <w:r w:rsidR="00B628E5" w:rsidRPr="00FF2433">
        <w:rPr>
          <w:b/>
        </w:rPr>
        <w:t>Figure</w:t>
      </w:r>
      <w:r w:rsidR="00B628E5">
        <w:t xml:space="preserve"> </w:t>
      </w:r>
      <w:r w:rsidR="00B628E5" w:rsidRPr="00FF2433">
        <w:rPr>
          <w:b/>
        </w:rPr>
        <w:t>1</w:t>
      </w:r>
      <w:r w:rsidR="00B628E5">
        <w:t xml:space="preserve"> depicts a typical setup for XBIC measurements in combination with XRF and small/wide angle X-ray scattering (SAXS/WAXS) measurements.</w:t>
      </w:r>
    </w:p>
    <w:p w14:paraId="404546A3" w14:textId="77777777" w:rsidR="00F90EDC" w:rsidRDefault="00F90EDC" w:rsidP="00F22EB6"/>
    <w:p w14:paraId="3CB3C4A4" w14:textId="23780B7E" w:rsidR="00F90EDC" w:rsidRDefault="00B15F13" w:rsidP="00F22EB6">
      <w:r>
        <w:rPr>
          <w:b/>
        </w:rPr>
        <w:t>PROTOCOL:</w:t>
      </w:r>
    </w:p>
    <w:p w14:paraId="578B90DB" w14:textId="77777777" w:rsidR="00F90EDC" w:rsidRDefault="00F90EDC" w:rsidP="00F22EB6">
      <w:pPr>
        <w:rPr>
          <w:color w:val="808080"/>
        </w:rPr>
      </w:pPr>
    </w:p>
    <w:p w14:paraId="7BADDF0C" w14:textId="3BE26671" w:rsidR="00F90EDC" w:rsidRDefault="00B15F13" w:rsidP="00F22EB6">
      <w:pPr>
        <w:numPr>
          <w:ilvl w:val="0"/>
          <w:numId w:val="15"/>
        </w:numPr>
        <w:ind w:left="0" w:firstLine="0"/>
      </w:pPr>
      <w:r>
        <w:rPr>
          <w:b/>
        </w:rPr>
        <w:t xml:space="preserve">Setting up the </w:t>
      </w:r>
      <w:r w:rsidR="00FF2433">
        <w:rPr>
          <w:b/>
        </w:rPr>
        <w:t>measurement environment</w:t>
      </w:r>
    </w:p>
    <w:p w14:paraId="6895F713" w14:textId="60D2C644" w:rsidR="00B628E5" w:rsidRDefault="00B628E5" w:rsidP="0036510A">
      <w:pPr>
        <w:pStyle w:val="ac"/>
        <w:ind w:left="0"/>
        <w:contextualSpacing w:val="0"/>
      </w:pPr>
    </w:p>
    <w:p w14:paraId="5EA0F41B" w14:textId="6676C12D" w:rsidR="007E543B" w:rsidRPr="00FF2433" w:rsidRDefault="007E543B" w:rsidP="00F22EB6">
      <w:pPr>
        <w:pStyle w:val="ac"/>
        <w:numPr>
          <w:ilvl w:val="1"/>
          <w:numId w:val="20"/>
        </w:numPr>
        <w:ind w:left="0" w:firstLine="0"/>
        <w:contextualSpacing w:val="0"/>
        <w:rPr>
          <w:b/>
        </w:rPr>
      </w:pPr>
      <w:r w:rsidRPr="00FF2433">
        <w:rPr>
          <w:b/>
        </w:rPr>
        <w:t>Requirements for lock-in amplified XBIC measurements</w:t>
      </w:r>
    </w:p>
    <w:p w14:paraId="362D8E7E" w14:textId="50DA0B9C" w:rsidR="007E543B" w:rsidRDefault="007E543B" w:rsidP="0036510A">
      <w:pPr>
        <w:pStyle w:val="ac"/>
        <w:ind w:left="0"/>
        <w:contextualSpacing w:val="0"/>
      </w:pPr>
    </w:p>
    <w:p w14:paraId="5F017EAE" w14:textId="20A223C3" w:rsidR="007E543B" w:rsidRDefault="007E543B" w:rsidP="0036510A">
      <w:pPr>
        <w:pStyle w:val="ac"/>
        <w:numPr>
          <w:ilvl w:val="2"/>
          <w:numId w:val="20"/>
        </w:numPr>
        <w:contextualSpacing w:val="0"/>
      </w:pPr>
      <w:r>
        <w:t>Make sure to have the following available: a nano- or micro- focusing X-ray beamline; an X-ray chopper that absorbs periodically the majority of the X-rays; a PA; a LIA; modules for remote control of the chopper, PA, and LIA; a data acquisition (DAQ) system; a DUT.</w:t>
      </w:r>
    </w:p>
    <w:p w14:paraId="7EB04E9A" w14:textId="77777777" w:rsidR="007E543B" w:rsidRDefault="007E543B" w:rsidP="0036510A">
      <w:pPr>
        <w:pStyle w:val="ac"/>
        <w:ind w:left="0"/>
        <w:contextualSpacing w:val="0"/>
      </w:pPr>
    </w:p>
    <w:p w14:paraId="55A0169C" w14:textId="305C304D" w:rsidR="002B7ECE" w:rsidRDefault="00B834BF" w:rsidP="00F22EB6">
      <w:pPr>
        <w:pStyle w:val="ac"/>
        <w:numPr>
          <w:ilvl w:val="1"/>
          <w:numId w:val="20"/>
        </w:numPr>
        <w:ind w:left="0" w:firstLine="0"/>
        <w:contextualSpacing w:val="0"/>
      </w:pPr>
      <w:r w:rsidRPr="00313609">
        <w:t xml:space="preserve">Sample </w:t>
      </w:r>
      <w:r w:rsidR="00FF2433" w:rsidRPr="00313609">
        <w:t>holder fabrication</w:t>
      </w:r>
    </w:p>
    <w:p w14:paraId="19AE7575" w14:textId="77777777" w:rsidR="00F22EB6" w:rsidRPr="00FF2433" w:rsidRDefault="00F22EB6" w:rsidP="00F22EB6">
      <w:pPr>
        <w:pStyle w:val="ac"/>
        <w:ind w:left="0"/>
        <w:contextualSpacing w:val="0"/>
      </w:pPr>
    </w:p>
    <w:p w14:paraId="79904399" w14:textId="48AB567A" w:rsidR="002B7ECE" w:rsidRDefault="002B7ECE" w:rsidP="00F22EB6">
      <w:pPr>
        <w:pStyle w:val="ac"/>
        <w:numPr>
          <w:ilvl w:val="2"/>
          <w:numId w:val="20"/>
        </w:numPr>
        <w:contextualSpacing w:val="0"/>
      </w:pPr>
      <w:r w:rsidRPr="00FF2433">
        <w:rPr>
          <w:highlight w:val="yellow"/>
        </w:rPr>
        <w:t xml:space="preserve">Use a kinematic base for the sample holder. This </w:t>
      </w:r>
      <w:r w:rsidR="00DB518E" w:rsidRPr="00FF2433">
        <w:rPr>
          <w:highlight w:val="yellow"/>
        </w:rPr>
        <w:t xml:space="preserve">makes it possible </w:t>
      </w:r>
      <w:r w:rsidR="00CB64DE" w:rsidRPr="00FF2433">
        <w:rPr>
          <w:highlight w:val="yellow"/>
        </w:rPr>
        <w:t>to re-position samples to</w:t>
      </w:r>
      <w:r w:rsidR="00DB518E" w:rsidRPr="00FF2433">
        <w:rPr>
          <w:highlight w:val="yellow"/>
        </w:rPr>
        <w:t xml:space="preserve"> within</w:t>
      </w:r>
      <w:r w:rsidR="00CB64DE" w:rsidRPr="00FF2433">
        <w:rPr>
          <w:highlight w:val="yellow"/>
        </w:rPr>
        <w:t xml:space="preserve"> </w:t>
      </w:r>
      <w:r w:rsidR="00532082" w:rsidRPr="00FF2433">
        <w:rPr>
          <w:highlight w:val="yellow"/>
        </w:rPr>
        <w:t>micrometer</w:t>
      </w:r>
      <w:r w:rsidR="00CB64DE" w:rsidRPr="00FF2433">
        <w:rPr>
          <w:highlight w:val="yellow"/>
        </w:rPr>
        <w:t xml:space="preserve"> precision and saves valuable beamtime.</w:t>
      </w:r>
      <w:r w:rsidR="00CB64DE" w:rsidRPr="00313609">
        <w:rPr>
          <w:i/>
          <w:highlight w:val="yellow"/>
        </w:rPr>
        <w:t xml:space="preserve"> </w:t>
      </w:r>
      <w:r w:rsidR="00CB64DE" w:rsidRPr="00F22EB6">
        <w:t>Furthermore, it allows to position samples across different measurement platforms</w:t>
      </w:r>
      <w:r w:rsidR="00DB518E" w:rsidRPr="00F22EB6">
        <w:t xml:space="preserve"> with different mounting systems</w:t>
      </w:r>
      <w:r w:rsidR="00CB64DE" w:rsidRPr="00F22EB6">
        <w:t>.</w:t>
      </w:r>
    </w:p>
    <w:p w14:paraId="70215717" w14:textId="77777777" w:rsidR="00F22EB6" w:rsidRPr="00F22EB6" w:rsidRDefault="00F22EB6" w:rsidP="00F22EB6">
      <w:pPr>
        <w:pStyle w:val="ac"/>
        <w:ind w:left="0"/>
        <w:contextualSpacing w:val="0"/>
      </w:pPr>
    </w:p>
    <w:p w14:paraId="2E7E381F" w14:textId="0B412987" w:rsidR="00CB64DE" w:rsidRDefault="00CB64DE" w:rsidP="00F22EB6">
      <w:pPr>
        <w:pStyle w:val="ac"/>
        <w:numPr>
          <w:ilvl w:val="2"/>
          <w:numId w:val="20"/>
        </w:numPr>
        <w:contextualSpacing w:val="0"/>
      </w:pPr>
      <w:r w:rsidRPr="00F22EB6">
        <w:rPr>
          <w:highlight w:val="yellow"/>
        </w:rPr>
        <w:t xml:space="preserve">Design the sample holder in a way that it </w:t>
      </w:r>
      <w:r w:rsidR="003D2917" w:rsidRPr="00F22EB6">
        <w:rPr>
          <w:highlight w:val="yellow"/>
        </w:rPr>
        <w:t xml:space="preserve">provides </w:t>
      </w:r>
      <w:r w:rsidRPr="00F22EB6">
        <w:rPr>
          <w:highlight w:val="yellow"/>
        </w:rPr>
        <w:t xml:space="preserve">maximum freedom to place different detectors in proximity around the sample, </w:t>
      </w:r>
      <w:r w:rsidR="00DB518E" w:rsidRPr="00F22EB6">
        <w:rPr>
          <w:highlight w:val="yellow"/>
        </w:rPr>
        <w:t xml:space="preserve">while </w:t>
      </w:r>
      <w:r w:rsidRPr="00F22EB6">
        <w:rPr>
          <w:highlight w:val="yellow"/>
        </w:rPr>
        <w:t xml:space="preserve">also being compatible with X-ray transparent samples and measurement techniques such as </w:t>
      </w:r>
      <w:r w:rsidR="002B6A8F" w:rsidRPr="00F22EB6">
        <w:rPr>
          <w:highlight w:val="yellow"/>
        </w:rPr>
        <w:t>SAXS or WAXS</w:t>
      </w:r>
      <w:r w:rsidRPr="00F22EB6">
        <w:rPr>
          <w:highlight w:val="yellow"/>
        </w:rPr>
        <w:t>.</w:t>
      </w:r>
      <w:r w:rsidRPr="006234E4">
        <w:t xml:space="preserve"> Typically, this translates into minimal sample holder size, </w:t>
      </w:r>
      <w:r w:rsidR="00B628E5">
        <w:t>stiffness down to the nanometer scale and being lightweight.</w:t>
      </w:r>
    </w:p>
    <w:p w14:paraId="3BECF303" w14:textId="77777777" w:rsidR="00F22EB6" w:rsidRPr="00FF2433" w:rsidRDefault="00F22EB6" w:rsidP="00F22EB6">
      <w:pPr>
        <w:pStyle w:val="ac"/>
        <w:ind w:left="0"/>
        <w:contextualSpacing w:val="0"/>
      </w:pPr>
    </w:p>
    <w:p w14:paraId="3B3BDAB3" w14:textId="10ABD03D" w:rsidR="0072425C" w:rsidRDefault="0072425C" w:rsidP="00F22EB6">
      <w:pPr>
        <w:pStyle w:val="ac"/>
        <w:numPr>
          <w:ilvl w:val="2"/>
          <w:numId w:val="20"/>
        </w:numPr>
        <w:contextualSpacing w:val="0"/>
      </w:pPr>
      <w:r w:rsidRPr="00FF2433">
        <w:rPr>
          <w:highlight w:val="yellow"/>
        </w:rPr>
        <w:t xml:space="preserve">Design a printed circuit board (PCB) </w:t>
      </w:r>
      <w:r w:rsidR="00255998" w:rsidRPr="00FF2433">
        <w:rPr>
          <w:highlight w:val="yellow"/>
        </w:rPr>
        <w:t xml:space="preserve">to be used </w:t>
      </w:r>
      <w:r w:rsidRPr="00FF2433">
        <w:rPr>
          <w:highlight w:val="yellow"/>
        </w:rPr>
        <w:t xml:space="preserve">as </w:t>
      </w:r>
      <w:r w:rsidR="00255998" w:rsidRPr="00FF2433">
        <w:rPr>
          <w:highlight w:val="yellow"/>
        </w:rPr>
        <w:t xml:space="preserve">a </w:t>
      </w:r>
      <w:r w:rsidRPr="00FF2433">
        <w:rPr>
          <w:highlight w:val="yellow"/>
        </w:rPr>
        <w:t xml:space="preserve">mount </w:t>
      </w:r>
      <w:r w:rsidR="00255998" w:rsidRPr="00FF2433">
        <w:rPr>
          <w:highlight w:val="yellow"/>
        </w:rPr>
        <w:t xml:space="preserve">for </w:t>
      </w:r>
      <w:r w:rsidRPr="00FF2433">
        <w:rPr>
          <w:highlight w:val="yellow"/>
        </w:rPr>
        <w:t>the electronic device for XBIC measurements.</w:t>
      </w:r>
      <w:r w:rsidRPr="006234E4">
        <w:t xml:space="preserve"> Although a dedicated PCB</w:t>
      </w:r>
      <w:r w:rsidR="00DB26A7">
        <w:t xml:space="preserve"> with direct connection to a coaxial cable</w:t>
      </w:r>
      <w:r w:rsidRPr="006234E4">
        <w:t xml:space="preserve"> is strictly speaking not necessary, it</w:t>
      </w:r>
      <w:r w:rsidR="00C51E64">
        <w:t xml:space="preserve"> </w:t>
      </w:r>
      <w:r w:rsidR="00255998">
        <w:t>can play a substantial role</w:t>
      </w:r>
      <w:r w:rsidRPr="00C51E64">
        <w:t xml:space="preserve"> in the reduction</w:t>
      </w:r>
      <w:r w:rsidR="00255998">
        <w:t xml:space="preserve"> of noise in</w:t>
      </w:r>
      <w:r w:rsidRPr="00C51E64">
        <w:t xml:space="preserve"> compar</w:t>
      </w:r>
      <w:r w:rsidR="00255998">
        <w:t>ison</w:t>
      </w:r>
      <w:r w:rsidRPr="00C51E64">
        <w:t xml:space="preserve"> to loose wiring</w:t>
      </w:r>
      <w:r w:rsidR="003D2917">
        <w:t xml:space="preserve">, where </w:t>
      </w:r>
      <w:r w:rsidR="00255998">
        <w:t xml:space="preserve">the </w:t>
      </w:r>
      <w:r w:rsidR="003D2917">
        <w:t>wires act as antennae</w:t>
      </w:r>
      <w:r w:rsidRPr="00C51E64">
        <w:t xml:space="preserve">. </w:t>
      </w:r>
    </w:p>
    <w:p w14:paraId="2A607A12" w14:textId="77777777" w:rsidR="00F22EB6" w:rsidRDefault="00F22EB6" w:rsidP="00F22EB6">
      <w:pPr>
        <w:pStyle w:val="ac"/>
        <w:ind w:left="0"/>
        <w:contextualSpacing w:val="0"/>
      </w:pPr>
    </w:p>
    <w:p w14:paraId="46DE9958" w14:textId="3DCD7844" w:rsidR="00EC137C" w:rsidRDefault="00FF2433" w:rsidP="00F22EB6">
      <w:pPr>
        <w:pStyle w:val="ac"/>
        <w:ind w:left="0"/>
        <w:contextualSpacing w:val="0"/>
      </w:pPr>
      <w:r>
        <w:t>NOTE:</w:t>
      </w:r>
      <w:r w:rsidR="00BD7603">
        <w:t xml:space="preserve"> </w:t>
      </w:r>
      <w:r w:rsidR="00C51E64">
        <w:t>Ideally, a Faraday cage would shield the sample from electromagnetic fields. However, this is in most cases not compatible with measurement geometries.</w:t>
      </w:r>
    </w:p>
    <w:p w14:paraId="378EE7DC" w14:textId="77777777" w:rsidR="00F22EB6" w:rsidRPr="00FF2433" w:rsidRDefault="00F22EB6" w:rsidP="00F22EB6">
      <w:pPr>
        <w:pStyle w:val="ac"/>
        <w:ind w:left="0"/>
        <w:contextualSpacing w:val="0"/>
        <w:rPr>
          <w:b/>
        </w:rPr>
      </w:pPr>
    </w:p>
    <w:p w14:paraId="31387D0A" w14:textId="044D5B09" w:rsidR="00B834BF" w:rsidRPr="00FF2433" w:rsidRDefault="00B834BF" w:rsidP="00F22EB6">
      <w:pPr>
        <w:pStyle w:val="ac"/>
        <w:numPr>
          <w:ilvl w:val="1"/>
          <w:numId w:val="20"/>
        </w:numPr>
        <w:ind w:left="0" w:firstLine="0"/>
        <w:contextualSpacing w:val="0"/>
        <w:rPr>
          <w:b/>
        </w:rPr>
      </w:pPr>
      <w:r w:rsidRPr="00FF2433">
        <w:rPr>
          <w:b/>
        </w:rPr>
        <w:t xml:space="preserve">Sample </w:t>
      </w:r>
      <w:r w:rsidR="00FF2433" w:rsidRPr="00FF2433">
        <w:rPr>
          <w:b/>
        </w:rPr>
        <w:t>c</w:t>
      </w:r>
      <w:r w:rsidRPr="00FF2433">
        <w:rPr>
          <w:b/>
        </w:rPr>
        <w:t>ontacting</w:t>
      </w:r>
    </w:p>
    <w:p w14:paraId="265B4853" w14:textId="77777777" w:rsidR="00F22EB6" w:rsidRPr="00313609" w:rsidRDefault="00F22EB6" w:rsidP="00F22EB6">
      <w:pPr>
        <w:pStyle w:val="ac"/>
        <w:ind w:left="0"/>
        <w:contextualSpacing w:val="0"/>
      </w:pPr>
    </w:p>
    <w:p w14:paraId="5F21C8D7" w14:textId="13031AC9" w:rsidR="00FD3B31" w:rsidRDefault="00FD3B31" w:rsidP="00F22EB6">
      <w:pPr>
        <w:pStyle w:val="ac"/>
        <w:numPr>
          <w:ilvl w:val="2"/>
          <w:numId w:val="20"/>
        </w:numPr>
        <w:contextualSpacing w:val="0"/>
      </w:pPr>
      <w:r w:rsidRPr="00FF2433">
        <w:rPr>
          <w:highlight w:val="yellow"/>
        </w:rPr>
        <w:t xml:space="preserve">Glue the electronic </w:t>
      </w:r>
      <w:r w:rsidR="00D4678A" w:rsidRPr="00FF2433">
        <w:rPr>
          <w:highlight w:val="yellow"/>
        </w:rPr>
        <w:t xml:space="preserve">DUT </w:t>
      </w:r>
      <w:r w:rsidRPr="00FF2433">
        <w:rPr>
          <w:highlight w:val="yellow"/>
        </w:rPr>
        <w:t>onto the PCB</w:t>
      </w:r>
      <w:r w:rsidRPr="00F22EB6">
        <w:rPr>
          <w:i/>
          <w:highlight w:val="yellow"/>
        </w:rPr>
        <w:t>.</w:t>
      </w:r>
      <w:r w:rsidR="00E374D5">
        <w:t xml:space="preserve"> </w:t>
      </w:r>
      <w:r w:rsidR="005D0FB9">
        <w:t xml:space="preserve">Depending on </w:t>
      </w:r>
      <w:r w:rsidR="00E374D5">
        <w:t xml:space="preserve">the </w:t>
      </w:r>
      <w:r w:rsidR="009B51AA">
        <w:t xml:space="preserve">materials and </w:t>
      </w:r>
      <w:r w:rsidR="005D0FB9">
        <w:t>requirements for later removal of the DUT, it is recommended to use nail polish, instant glue, composite glue, or silicon glue.</w:t>
      </w:r>
    </w:p>
    <w:p w14:paraId="792743BE" w14:textId="77777777" w:rsidR="00F22EB6" w:rsidRDefault="00F22EB6" w:rsidP="00F22EB6">
      <w:pPr>
        <w:pStyle w:val="ac"/>
        <w:ind w:left="0"/>
        <w:contextualSpacing w:val="0"/>
      </w:pPr>
    </w:p>
    <w:p w14:paraId="0E14E968" w14:textId="0AE77233" w:rsidR="0035219D" w:rsidRDefault="0035219D" w:rsidP="00F22EB6">
      <w:pPr>
        <w:pStyle w:val="ac"/>
        <w:numPr>
          <w:ilvl w:val="2"/>
          <w:numId w:val="20"/>
        </w:numPr>
        <w:contextualSpacing w:val="0"/>
      </w:pPr>
      <w:r>
        <w:t>Ensure that no mounting part or wiring blocks the incident X-ray beam nor obstructs the line of sight of any other detectors employed such as for XRF measurements.</w:t>
      </w:r>
    </w:p>
    <w:p w14:paraId="6C14D5EF" w14:textId="77777777" w:rsidR="00F22EB6" w:rsidRPr="00FD3B31" w:rsidRDefault="00F22EB6" w:rsidP="00F22EB6">
      <w:pPr>
        <w:pStyle w:val="ac"/>
        <w:ind w:left="0"/>
        <w:contextualSpacing w:val="0"/>
      </w:pPr>
    </w:p>
    <w:p w14:paraId="2E22D9A4" w14:textId="1C33FADF" w:rsidR="008851AE" w:rsidRDefault="008851AE" w:rsidP="00F22EB6">
      <w:pPr>
        <w:pStyle w:val="ac"/>
        <w:numPr>
          <w:ilvl w:val="2"/>
          <w:numId w:val="20"/>
        </w:numPr>
        <w:contextualSpacing w:val="0"/>
      </w:pPr>
      <w:r>
        <w:t xml:space="preserve">Contact both terminals of the </w:t>
      </w:r>
      <w:r w:rsidR="003D2917">
        <w:t>DUT</w:t>
      </w:r>
      <w:r>
        <w:t>.</w:t>
      </w:r>
    </w:p>
    <w:p w14:paraId="112C01F3" w14:textId="77777777" w:rsidR="00F22EB6" w:rsidRDefault="00F22EB6" w:rsidP="00F22EB6">
      <w:pPr>
        <w:pStyle w:val="ac"/>
        <w:ind w:left="0"/>
        <w:contextualSpacing w:val="0"/>
      </w:pPr>
    </w:p>
    <w:p w14:paraId="0A0433E2" w14:textId="1B411EB1" w:rsidR="008851AE" w:rsidRDefault="00FF2433" w:rsidP="00F22EB6">
      <w:r>
        <w:t>NOTE:</w:t>
      </w:r>
      <w:r w:rsidR="008851AE">
        <w:t xml:space="preserve"> There are various ways to contact electronic devices, and the best choice depends on specific sample properties, where adhesion, chemical or mechanical resistance, </w:t>
      </w:r>
      <w:r w:rsidR="005D0FB9">
        <w:t xml:space="preserve">and </w:t>
      </w:r>
      <w:r w:rsidR="008851AE">
        <w:t xml:space="preserve">available space are arguments for one or another contacting </w:t>
      </w:r>
      <w:r w:rsidR="00A90C6B">
        <w:t>method</w:t>
      </w:r>
      <w:r w:rsidR="008851AE">
        <w:t>.</w:t>
      </w:r>
    </w:p>
    <w:p w14:paraId="4B0F31BF" w14:textId="77777777" w:rsidR="00F22EB6" w:rsidRDefault="00F22EB6" w:rsidP="00F22EB6"/>
    <w:p w14:paraId="5E472DA1" w14:textId="10C01A4B" w:rsidR="00EC01B0" w:rsidRPr="00B62F8D" w:rsidRDefault="00EC01B0" w:rsidP="00F22EB6">
      <w:pPr>
        <w:pStyle w:val="ac"/>
        <w:numPr>
          <w:ilvl w:val="2"/>
          <w:numId w:val="20"/>
        </w:numPr>
        <w:contextualSpacing w:val="0"/>
        <w:rPr>
          <w:highlight w:val="yellow"/>
        </w:rPr>
      </w:pPr>
      <w:r w:rsidRPr="00B62F8D">
        <w:rPr>
          <w:highlight w:val="yellow"/>
        </w:rPr>
        <w:t xml:space="preserve">Connect the front contact (the </w:t>
      </w:r>
      <w:r w:rsidR="005D0FB9" w:rsidRPr="00B62F8D">
        <w:rPr>
          <w:highlight w:val="yellow"/>
        </w:rPr>
        <w:t xml:space="preserve">upstream </w:t>
      </w:r>
      <w:r w:rsidRPr="00B62F8D">
        <w:rPr>
          <w:highlight w:val="yellow"/>
        </w:rPr>
        <w:t>contact facing the incident X-ray beam) with the shield of the coaxial cable.</w:t>
      </w:r>
    </w:p>
    <w:p w14:paraId="34BD5CA7" w14:textId="77777777" w:rsidR="00F22EB6" w:rsidRPr="00313609" w:rsidRDefault="00F22EB6" w:rsidP="00F22EB6">
      <w:pPr>
        <w:pStyle w:val="ac"/>
        <w:ind w:left="0"/>
        <w:contextualSpacing w:val="0"/>
        <w:rPr>
          <w:i/>
          <w:highlight w:val="yellow"/>
        </w:rPr>
      </w:pPr>
    </w:p>
    <w:p w14:paraId="6BAE7318" w14:textId="01667A7F" w:rsidR="00EC01B0" w:rsidRPr="00B62F8D" w:rsidRDefault="00EC01B0" w:rsidP="00F22EB6">
      <w:pPr>
        <w:pStyle w:val="ac"/>
        <w:numPr>
          <w:ilvl w:val="2"/>
          <w:numId w:val="20"/>
        </w:numPr>
        <w:contextualSpacing w:val="0"/>
        <w:rPr>
          <w:highlight w:val="yellow"/>
        </w:rPr>
      </w:pPr>
      <w:r w:rsidRPr="00B62F8D">
        <w:rPr>
          <w:highlight w:val="yellow"/>
        </w:rPr>
        <w:t xml:space="preserve">Connect the back contact (the </w:t>
      </w:r>
      <w:r w:rsidR="005D0FB9" w:rsidRPr="00B62F8D">
        <w:rPr>
          <w:highlight w:val="yellow"/>
        </w:rPr>
        <w:t xml:space="preserve">downstream </w:t>
      </w:r>
      <w:r w:rsidRPr="00B62F8D">
        <w:rPr>
          <w:highlight w:val="yellow"/>
        </w:rPr>
        <w:t>contact) with the core of the coaxial cable.</w:t>
      </w:r>
    </w:p>
    <w:p w14:paraId="53760DD6" w14:textId="77777777" w:rsidR="00F22EB6" w:rsidRPr="00313609" w:rsidRDefault="00F22EB6" w:rsidP="00F22EB6">
      <w:pPr>
        <w:pStyle w:val="ac"/>
        <w:ind w:left="0"/>
        <w:contextualSpacing w:val="0"/>
        <w:rPr>
          <w:i/>
          <w:highlight w:val="yellow"/>
        </w:rPr>
      </w:pPr>
    </w:p>
    <w:p w14:paraId="1E82585B" w14:textId="299D5BDA" w:rsidR="00EC01B0" w:rsidRPr="00B62F8D" w:rsidRDefault="00EC01B0" w:rsidP="00F22EB6">
      <w:pPr>
        <w:pStyle w:val="ac"/>
        <w:numPr>
          <w:ilvl w:val="2"/>
          <w:numId w:val="20"/>
        </w:numPr>
        <w:rPr>
          <w:highlight w:val="yellow"/>
        </w:rPr>
      </w:pPr>
      <w:r w:rsidRPr="00B62F8D">
        <w:rPr>
          <w:highlight w:val="yellow"/>
        </w:rPr>
        <w:t xml:space="preserve">Ground the </w:t>
      </w:r>
      <w:r w:rsidR="005D0FB9" w:rsidRPr="00B62F8D">
        <w:rPr>
          <w:highlight w:val="yellow"/>
        </w:rPr>
        <w:t>front contact (</w:t>
      </w:r>
      <w:r w:rsidRPr="00B62F8D">
        <w:rPr>
          <w:highlight w:val="yellow"/>
        </w:rPr>
        <w:t>shield of the coaxial cable</w:t>
      </w:r>
      <w:r w:rsidR="005D0FB9" w:rsidRPr="00B62F8D">
        <w:rPr>
          <w:highlight w:val="yellow"/>
        </w:rPr>
        <w:t>)</w:t>
      </w:r>
      <w:r w:rsidR="003A3F63" w:rsidRPr="00B62F8D">
        <w:rPr>
          <w:highlight w:val="yellow"/>
        </w:rPr>
        <w:t>.</w:t>
      </w:r>
    </w:p>
    <w:p w14:paraId="14D978FD" w14:textId="77777777" w:rsidR="00F22EB6" w:rsidRPr="00313609" w:rsidRDefault="00F22EB6" w:rsidP="00F22EB6">
      <w:pPr>
        <w:pStyle w:val="ac"/>
        <w:ind w:left="0"/>
        <w:rPr>
          <w:i/>
          <w:highlight w:val="yellow"/>
        </w:rPr>
      </w:pPr>
    </w:p>
    <w:p w14:paraId="789EAA82" w14:textId="281B1077" w:rsidR="0019097C" w:rsidRDefault="00FF2433" w:rsidP="00F22EB6">
      <w:pPr>
        <w:pStyle w:val="ac"/>
        <w:ind w:left="0"/>
      </w:pPr>
      <w:r>
        <w:t>NOTE:</w:t>
      </w:r>
      <w:r w:rsidR="00EC01B0">
        <w:t xml:space="preserve"> </w:t>
      </w:r>
      <w:r w:rsidR="00B628E5">
        <w:t>T</w:t>
      </w:r>
      <w:r w:rsidR="00EC01B0">
        <w:t>he incoming beam leads to the ejection of electrons from the</w:t>
      </w:r>
      <w:r w:rsidR="00B628E5">
        <w:t xml:space="preserve"> DUT</w:t>
      </w:r>
      <w:r w:rsidR="00EC01B0">
        <w:t xml:space="preserve">, </w:t>
      </w:r>
      <w:r w:rsidR="004E3EA6">
        <w:t xml:space="preserve">which leads </w:t>
      </w:r>
      <w:r w:rsidR="00EC01B0">
        <w:t xml:space="preserve">to a </w:t>
      </w:r>
      <w:r w:rsidR="005D0FB9">
        <w:t xml:space="preserve">compensation </w:t>
      </w:r>
      <w:r w:rsidR="00EC01B0">
        <w:t>current</w:t>
      </w:r>
      <w:r w:rsidR="005D0FB9">
        <w:t xml:space="preserve"> in the measurement circuit</w:t>
      </w:r>
      <w:r w:rsidR="00EC01B0">
        <w:t xml:space="preserve"> that is easily misinterpreted as XBIC. Therefore, the front contact should be grounded</w:t>
      </w:r>
      <w:r w:rsidR="007B42AB">
        <w:fldChar w:fldCharType="begin" w:fldLock="1"/>
      </w:r>
      <w:r w:rsidR="00155F86">
        <w:instrText>ADDIN CSL_CITATION {"citationItems":[{"id":"ITEM-1","itemData":{"DOI":"10.1557/jmr.2017.108","ISSN":"0884-2914","abstract":"&lt;p&gt; &lt;fig position=\"anchor\"&gt; &lt;graphic href=\"S088429141700108X_figAb\" mime-subtype=\"jpeg\" mimetype=\"image\" position=\"float\" type=\"simple\"/&gt; &lt;/fig&gt; &lt;/p&gt;","author":[{"dropping-particle":"","family":"Stuckelberger","given":"Michael","non-dropping-particle":"","parse-names":false,"suffix":""},{"dropping-particle":"","family":"West","given":"Bradley","non-dropping-particle":"","parse-names":false,"suffix":""},{"dropping-particle":"","family":"Nietzold","given":"Tara","non-dropping-particle":"","parse-names":false,"suffix":""},{"dropping-particle":"","family":"Lai","given":"Barry","non-dropping-particle":"","parse-names":false,"suffix":""},{"dropping-particle":"","family":"Maser","given":"Jörg M.","non-dropping-particle":"","parse-names":false,"suffix":""},{"dropping-particle":"","family":"Rose","given":"Volker","non-dropping-particle":"","parse-names":false,"suffix":""},{"dropping-particle":"","family":"Bertoni","given":"Mariana I.","non-dropping-particle":"","parse-names":false,"suffix":""}],"container-title":"Journal of Materials Research","id":"ITEM-1","issue":"10","issued":{"date-parts":[["2017","5"]]},"page":"1825-1854","title":"Engineering solar cells based on correlative X-ray microscopy","type":"article-journal","volume":"32"},"uris":["http://www.mendeley.com/documents/?uuid=69a80032-6bd0-4a5b-946d-74b0fa35fb62"]}],"mendeley":{"formattedCitation":"&lt;sup&gt;23&lt;/sup&gt;","plainTextFormattedCitation":"23","previouslyFormattedCitation":"&lt;sup&gt;23&lt;/sup&gt;"},"properties":{"noteIndex":0},"schema":"https://github.com/citation-style-language/schema/raw/master/csl-citation.json"}</w:instrText>
      </w:r>
      <w:r w:rsidR="007B42AB">
        <w:fldChar w:fldCharType="separate"/>
      </w:r>
      <w:r w:rsidR="007B42AB" w:rsidRPr="001E7A73">
        <w:rPr>
          <w:noProof/>
          <w:vertAlign w:val="superscript"/>
        </w:rPr>
        <w:t>23</w:t>
      </w:r>
      <w:r w:rsidR="007B42AB">
        <w:fldChar w:fldCharType="end"/>
      </w:r>
      <w:r w:rsidR="00EC01B0">
        <w:t>.</w:t>
      </w:r>
      <w:r w:rsidR="00E16795">
        <w:t xml:space="preserve"> </w:t>
      </w:r>
      <w:r w:rsidR="00A90ADA">
        <w:t>I</w:t>
      </w:r>
      <w:r w:rsidR="00017645">
        <w:t>t may be necessary to test different ground</w:t>
      </w:r>
      <w:r w:rsidR="00CC10D4">
        <w:t>ing methods to minimize the</w:t>
      </w:r>
      <w:r w:rsidR="00D7772E">
        <w:t xml:space="preserve"> potential variations</w:t>
      </w:r>
      <w:r w:rsidR="00A90ADA">
        <w:t>.</w:t>
      </w:r>
    </w:p>
    <w:p w14:paraId="42565D3C" w14:textId="77777777" w:rsidR="00F22EB6" w:rsidRDefault="00F22EB6" w:rsidP="00F22EB6">
      <w:pPr>
        <w:pStyle w:val="ac"/>
        <w:ind w:left="0"/>
      </w:pPr>
    </w:p>
    <w:p w14:paraId="7A003A81" w14:textId="37FB4722" w:rsidR="00C51E64" w:rsidRDefault="00F62A30" w:rsidP="00F22EB6">
      <w:pPr>
        <w:pStyle w:val="ac"/>
        <w:numPr>
          <w:ilvl w:val="2"/>
          <w:numId w:val="20"/>
        </w:numPr>
      </w:pPr>
      <w:r>
        <w:t xml:space="preserve">Consider </w:t>
      </w:r>
      <w:r w:rsidR="00C51E64" w:rsidRPr="00B62F8D">
        <w:rPr>
          <w:b/>
        </w:rPr>
        <w:t>Fig</w:t>
      </w:r>
      <w:r w:rsidR="00B62F8D" w:rsidRPr="00B62F8D">
        <w:rPr>
          <w:b/>
        </w:rPr>
        <w:t>ure</w:t>
      </w:r>
      <w:r w:rsidR="00C51E64">
        <w:t xml:space="preserve"> </w:t>
      </w:r>
      <w:r w:rsidR="00C51E64" w:rsidRPr="00B62F8D">
        <w:rPr>
          <w:b/>
        </w:rPr>
        <w:t>2</w:t>
      </w:r>
      <w:r w:rsidR="00CC10D4">
        <w:t xml:space="preserve"> </w:t>
      </w:r>
      <w:r>
        <w:t xml:space="preserve">as </w:t>
      </w:r>
      <w:r w:rsidR="00C51E64">
        <w:t>an example of a sample holder consisting of a kinematic base, an aluminum holder, and a PCB with a solar cell connected to one of the two coaxial connectors.</w:t>
      </w:r>
      <w:r w:rsidR="00A90C6B" w:rsidRPr="00A90C6B">
        <w:t xml:space="preserve"> </w:t>
      </w:r>
    </w:p>
    <w:p w14:paraId="7274B23A" w14:textId="77777777" w:rsidR="000154BA" w:rsidRPr="00BD7603" w:rsidRDefault="000154BA" w:rsidP="00F22EB6"/>
    <w:p w14:paraId="7BB6DC94" w14:textId="6834A795" w:rsidR="00FF239B" w:rsidRPr="00B62F8D" w:rsidRDefault="00B834BF" w:rsidP="00F22EB6">
      <w:pPr>
        <w:pStyle w:val="ac"/>
        <w:numPr>
          <w:ilvl w:val="1"/>
          <w:numId w:val="20"/>
        </w:numPr>
        <w:ind w:left="0" w:firstLine="0"/>
        <w:contextualSpacing w:val="0"/>
        <w:rPr>
          <w:b/>
        </w:rPr>
      </w:pPr>
      <w:r w:rsidRPr="00B62F8D">
        <w:rPr>
          <w:b/>
        </w:rPr>
        <w:t xml:space="preserve">Arrangement of </w:t>
      </w:r>
      <w:r w:rsidR="00B62F8D" w:rsidRPr="00B62F8D">
        <w:rPr>
          <w:b/>
        </w:rPr>
        <w:t>s</w:t>
      </w:r>
      <w:r w:rsidRPr="00B62F8D">
        <w:rPr>
          <w:b/>
        </w:rPr>
        <w:t xml:space="preserve">ample and </w:t>
      </w:r>
      <w:r w:rsidR="00B62F8D" w:rsidRPr="00B62F8D">
        <w:rPr>
          <w:b/>
        </w:rPr>
        <w:t>d</w:t>
      </w:r>
      <w:r w:rsidRPr="00B62F8D">
        <w:rPr>
          <w:b/>
        </w:rPr>
        <w:t>etectors</w:t>
      </w:r>
    </w:p>
    <w:p w14:paraId="24BE9213" w14:textId="77777777" w:rsidR="003A7E39" w:rsidRPr="00313609" w:rsidRDefault="003A7E39" w:rsidP="003A7E39">
      <w:pPr>
        <w:pStyle w:val="ac"/>
        <w:ind w:left="0"/>
        <w:contextualSpacing w:val="0"/>
      </w:pPr>
    </w:p>
    <w:p w14:paraId="787E7639" w14:textId="7932DC60" w:rsidR="00A03DBF" w:rsidRDefault="002E2690" w:rsidP="00F22EB6">
      <w:pPr>
        <w:pStyle w:val="ac"/>
        <w:numPr>
          <w:ilvl w:val="2"/>
          <w:numId w:val="20"/>
        </w:numPr>
        <w:contextualSpacing w:val="0"/>
      </w:pPr>
      <w:r w:rsidRPr="00313609">
        <w:t>Mount the sample on the holder</w:t>
      </w:r>
      <w:r w:rsidR="00A03DBF" w:rsidRPr="00313609">
        <w:t>.</w:t>
      </w:r>
    </w:p>
    <w:p w14:paraId="2F3D52E6" w14:textId="77777777" w:rsidR="00F22EB6" w:rsidRPr="00313609" w:rsidRDefault="00F22EB6" w:rsidP="00F22EB6">
      <w:pPr>
        <w:pStyle w:val="ac"/>
        <w:ind w:left="0"/>
        <w:contextualSpacing w:val="0"/>
      </w:pPr>
    </w:p>
    <w:p w14:paraId="313906CA" w14:textId="67B536FA" w:rsidR="00C51E64" w:rsidRPr="00B62F8D" w:rsidRDefault="00A03DBF" w:rsidP="00F22EB6">
      <w:pPr>
        <w:pStyle w:val="ac"/>
        <w:numPr>
          <w:ilvl w:val="2"/>
          <w:numId w:val="20"/>
        </w:numPr>
        <w:contextualSpacing w:val="0"/>
        <w:rPr>
          <w:highlight w:val="yellow"/>
        </w:rPr>
      </w:pPr>
      <w:r w:rsidRPr="00B62F8D">
        <w:rPr>
          <w:highlight w:val="yellow"/>
        </w:rPr>
        <w:t xml:space="preserve">Mount </w:t>
      </w:r>
      <w:r w:rsidR="002E2690" w:rsidRPr="00B62F8D">
        <w:rPr>
          <w:highlight w:val="yellow"/>
        </w:rPr>
        <w:t>the</w:t>
      </w:r>
      <w:r w:rsidR="00CC10D4" w:rsidRPr="00B62F8D">
        <w:rPr>
          <w:highlight w:val="yellow"/>
        </w:rPr>
        <w:t xml:space="preserve"> sample</w:t>
      </w:r>
      <w:r w:rsidR="002E2690" w:rsidRPr="00B62F8D">
        <w:rPr>
          <w:highlight w:val="yellow"/>
        </w:rPr>
        <w:t xml:space="preserve"> holder on the sample stage.</w:t>
      </w:r>
    </w:p>
    <w:p w14:paraId="2E0AF661" w14:textId="77777777" w:rsidR="00F22EB6" w:rsidRDefault="00F22EB6" w:rsidP="00F22EB6">
      <w:pPr>
        <w:pStyle w:val="ac"/>
        <w:ind w:left="0"/>
        <w:contextualSpacing w:val="0"/>
        <w:rPr>
          <w:i/>
          <w:highlight w:val="yellow"/>
        </w:rPr>
      </w:pPr>
    </w:p>
    <w:p w14:paraId="47C13D8A" w14:textId="690C7982" w:rsidR="00D408DD" w:rsidRDefault="00D408DD" w:rsidP="00F22EB6">
      <w:pPr>
        <w:pStyle w:val="ac"/>
        <w:numPr>
          <w:ilvl w:val="2"/>
          <w:numId w:val="20"/>
        </w:numPr>
        <w:contextualSpacing w:val="0"/>
      </w:pPr>
      <w:r w:rsidRPr="00EC137C">
        <w:t>Place the center of rotation</w:t>
      </w:r>
      <w:r w:rsidR="00CC10D4" w:rsidRPr="00EC137C">
        <w:t xml:space="preserve"> of the stage</w:t>
      </w:r>
      <w:r w:rsidRPr="00EC137C">
        <w:t xml:space="preserve"> into the focus of the X-ray beam.</w:t>
      </w:r>
    </w:p>
    <w:p w14:paraId="1E9E7168" w14:textId="77777777" w:rsidR="00F22EB6" w:rsidRPr="00EC137C" w:rsidRDefault="00F22EB6" w:rsidP="00F22EB6">
      <w:pPr>
        <w:pStyle w:val="ac"/>
        <w:ind w:left="0"/>
        <w:contextualSpacing w:val="0"/>
      </w:pPr>
    </w:p>
    <w:p w14:paraId="3ED3DA1F" w14:textId="0831419F" w:rsidR="00A03DBF" w:rsidRDefault="002E2690" w:rsidP="00F22EB6">
      <w:pPr>
        <w:pStyle w:val="ac"/>
        <w:numPr>
          <w:ilvl w:val="2"/>
          <w:numId w:val="20"/>
        </w:numPr>
        <w:contextualSpacing w:val="0"/>
      </w:pPr>
      <w:r w:rsidRPr="00EC137C">
        <w:t>Place the sample into the center of rotation of the rotation stage</w:t>
      </w:r>
      <w:r w:rsidR="00A03DBF" w:rsidRPr="00EC137C">
        <w:t>.</w:t>
      </w:r>
    </w:p>
    <w:p w14:paraId="64AF2C54" w14:textId="77777777" w:rsidR="00F22EB6" w:rsidRPr="00EC137C" w:rsidRDefault="00F22EB6" w:rsidP="00F22EB6">
      <w:pPr>
        <w:pStyle w:val="ac"/>
        <w:ind w:left="0"/>
        <w:contextualSpacing w:val="0"/>
      </w:pPr>
    </w:p>
    <w:p w14:paraId="15770475" w14:textId="45045BA1" w:rsidR="002E2690" w:rsidRPr="00B62F8D" w:rsidRDefault="00A03DBF" w:rsidP="00F22EB6">
      <w:pPr>
        <w:pStyle w:val="ac"/>
        <w:numPr>
          <w:ilvl w:val="2"/>
          <w:numId w:val="20"/>
        </w:numPr>
        <w:contextualSpacing w:val="0"/>
        <w:rPr>
          <w:highlight w:val="yellow"/>
        </w:rPr>
      </w:pPr>
      <w:r w:rsidRPr="00B62F8D">
        <w:rPr>
          <w:highlight w:val="yellow"/>
        </w:rPr>
        <w:t>R</w:t>
      </w:r>
      <w:r w:rsidR="00562E2F" w:rsidRPr="00B62F8D">
        <w:rPr>
          <w:highlight w:val="yellow"/>
        </w:rPr>
        <w:t xml:space="preserve">otate </w:t>
      </w:r>
      <w:r w:rsidRPr="00B62F8D">
        <w:rPr>
          <w:highlight w:val="yellow"/>
        </w:rPr>
        <w:t>the stage</w:t>
      </w:r>
      <w:r w:rsidR="00562E2F" w:rsidRPr="00B62F8D">
        <w:rPr>
          <w:highlight w:val="yellow"/>
        </w:rPr>
        <w:t xml:space="preserve"> such that the plane of interest is perpendicular to the incident beam</w:t>
      </w:r>
      <w:r w:rsidR="001D0BF4" w:rsidRPr="00B62F8D">
        <w:rPr>
          <w:highlight w:val="yellow"/>
        </w:rPr>
        <w:t xml:space="preserve"> to minimize the beam footprint and maximize the spatial resolution</w:t>
      </w:r>
      <w:r w:rsidR="002E2690" w:rsidRPr="00B62F8D">
        <w:rPr>
          <w:highlight w:val="yellow"/>
        </w:rPr>
        <w:t>.</w:t>
      </w:r>
    </w:p>
    <w:p w14:paraId="533C1039" w14:textId="77777777" w:rsidR="00F22EB6" w:rsidRPr="00D408DD" w:rsidRDefault="00F22EB6" w:rsidP="00F22EB6">
      <w:pPr>
        <w:pStyle w:val="ac"/>
        <w:ind w:left="0"/>
        <w:contextualSpacing w:val="0"/>
        <w:rPr>
          <w:i/>
          <w:highlight w:val="yellow"/>
        </w:rPr>
      </w:pPr>
    </w:p>
    <w:p w14:paraId="11F2B394" w14:textId="34FB37AD" w:rsidR="002E2690" w:rsidRPr="00B62F8D" w:rsidRDefault="00562E2F" w:rsidP="00F22EB6">
      <w:pPr>
        <w:pStyle w:val="ac"/>
        <w:numPr>
          <w:ilvl w:val="2"/>
          <w:numId w:val="20"/>
        </w:numPr>
        <w:rPr>
          <w:highlight w:val="yellow"/>
        </w:rPr>
      </w:pPr>
      <w:r w:rsidRPr="00B62F8D">
        <w:rPr>
          <w:highlight w:val="yellow"/>
        </w:rPr>
        <w:t>In case of multi-modal measurements, place t</w:t>
      </w:r>
      <w:r w:rsidR="00AD4410" w:rsidRPr="00B62F8D">
        <w:rPr>
          <w:highlight w:val="yellow"/>
        </w:rPr>
        <w:t>he detector</w:t>
      </w:r>
      <w:r w:rsidR="00C47029" w:rsidRPr="00B62F8D">
        <w:rPr>
          <w:highlight w:val="yellow"/>
        </w:rPr>
        <w:t>(</w:t>
      </w:r>
      <w:r w:rsidR="00AD4410" w:rsidRPr="00B62F8D">
        <w:rPr>
          <w:highlight w:val="yellow"/>
        </w:rPr>
        <w:t>s</w:t>
      </w:r>
      <w:r w:rsidR="00C47029" w:rsidRPr="00B62F8D">
        <w:rPr>
          <w:highlight w:val="yellow"/>
        </w:rPr>
        <w:t>)</w:t>
      </w:r>
      <w:r w:rsidR="00AD4410" w:rsidRPr="00B62F8D">
        <w:rPr>
          <w:highlight w:val="yellow"/>
        </w:rPr>
        <w:t xml:space="preserve"> around the sample.</w:t>
      </w:r>
    </w:p>
    <w:p w14:paraId="01C4474D" w14:textId="77777777" w:rsidR="00F22EB6" w:rsidRDefault="00F22EB6" w:rsidP="00F22EB6">
      <w:pPr>
        <w:pStyle w:val="ac"/>
        <w:ind w:left="0"/>
        <w:rPr>
          <w:i/>
          <w:highlight w:val="yellow"/>
        </w:rPr>
      </w:pPr>
    </w:p>
    <w:p w14:paraId="79C5E2B2" w14:textId="047B157E" w:rsidR="001D0BF4" w:rsidRDefault="00FF2433" w:rsidP="00F22EB6">
      <w:pPr>
        <w:pStyle w:val="ac"/>
        <w:ind w:left="0"/>
      </w:pPr>
      <w:r>
        <w:t>NOTE:</w:t>
      </w:r>
      <w:r w:rsidR="00562E2F" w:rsidRPr="00F22EB6">
        <w:t xml:space="preserve"> Depending on the X-ray optics</w:t>
      </w:r>
      <w:r w:rsidR="00D64B61" w:rsidRPr="00F22EB6">
        <w:t>, there is little room</w:t>
      </w:r>
      <w:r w:rsidR="00562E2F" w:rsidRPr="00F22EB6">
        <w:t xml:space="preserve"> to place detectors upstream of the sample. </w:t>
      </w:r>
      <w:r w:rsidR="00C10CC8" w:rsidRPr="00F22EB6">
        <w:t xml:space="preserve">For </w:t>
      </w:r>
      <w:r w:rsidR="00E31A2A" w:rsidRPr="00F22EB6">
        <w:t>non-</w:t>
      </w:r>
      <w:r w:rsidR="00C10CC8" w:rsidRPr="00F22EB6">
        <w:t>X-</w:t>
      </w:r>
      <w:r w:rsidR="00F54FB5" w:rsidRPr="00F22EB6">
        <w:t>ray</w:t>
      </w:r>
      <w:r w:rsidR="00F54FB5">
        <w:t>-</w:t>
      </w:r>
      <w:r w:rsidR="00C10CC8" w:rsidRPr="00F22EB6">
        <w:t>transparent samples, t</w:t>
      </w:r>
      <w:r w:rsidR="00562E2F" w:rsidRPr="00F22EB6">
        <w:t>he fluorescence detector should be lo</w:t>
      </w:r>
      <w:r w:rsidR="001D0BF4" w:rsidRPr="00F22EB6">
        <w:t xml:space="preserve">oking </w:t>
      </w:r>
      <w:r w:rsidR="004263E5" w:rsidRPr="00F22EB6">
        <w:t xml:space="preserve">at </w:t>
      </w:r>
      <w:r w:rsidR="001D0BF4" w:rsidRPr="00F22EB6">
        <w:t xml:space="preserve">the X-ray focus point under an angle of </w:t>
      </w:r>
      <w:r w:rsidR="00C10CC8" w:rsidRPr="00F22EB6">
        <w:t>10</w:t>
      </w:r>
      <w:r w:rsidR="001D0BF4" w:rsidRPr="00F22EB6">
        <w:t>-</w:t>
      </w:r>
      <w:r w:rsidR="00C10CC8" w:rsidRPr="00F22EB6">
        <w:t>2</w:t>
      </w:r>
      <w:r w:rsidR="001D0BF4" w:rsidRPr="00F22EB6">
        <w:t>0</w:t>
      </w:r>
      <w:r w:rsidR="00F727DF" w:rsidRPr="00F22EB6">
        <w:t>°</w:t>
      </w:r>
      <w:r w:rsidR="001D0BF4" w:rsidRPr="00F22EB6">
        <w:t xml:space="preserve"> to the </w:t>
      </w:r>
      <w:r w:rsidR="00C10CC8" w:rsidRPr="00F22EB6">
        <w:t>sample plane</w:t>
      </w:r>
      <w:r w:rsidR="001D0BF4" w:rsidRPr="00F22EB6">
        <w:t xml:space="preserve"> such that </w:t>
      </w:r>
      <w:r w:rsidR="004263E5" w:rsidRPr="00F22EB6">
        <w:t xml:space="preserve">self-absorption for the elements of interest and </w:t>
      </w:r>
      <w:r w:rsidR="001D0BF4" w:rsidRPr="00F22EB6">
        <w:t>counts</w:t>
      </w:r>
      <w:r w:rsidR="00AD4410" w:rsidRPr="00F22EB6">
        <w:t xml:space="preserve"> from scattering are minimized.</w:t>
      </w:r>
    </w:p>
    <w:p w14:paraId="6B034746" w14:textId="77777777" w:rsidR="00F22EB6" w:rsidRPr="00F22EB6" w:rsidRDefault="00F22EB6" w:rsidP="00F22EB6">
      <w:pPr>
        <w:pStyle w:val="ac"/>
        <w:ind w:left="0"/>
      </w:pPr>
    </w:p>
    <w:p w14:paraId="2F4C5954" w14:textId="7DB58961" w:rsidR="00B834BF" w:rsidRPr="00B62F8D" w:rsidRDefault="00B834BF" w:rsidP="00F22EB6">
      <w:pPr>
        <w:pStyle w:val="ac"/>
        <w:numPr>
          <w:ilvl w:val="1"/>
          <w:numId w:val="20"/>
        </w:numPr>
        <w:ind w:left="0" w:firstLine="0"/>
        <w:contextualSpacing w:val="0"/>
        <w:rPr>
          <w:b/>
        </w:rPr>
      </w:pPr>
      <w:r w:rsidRPr="00B62F8D">
        <w:rPr>
          <w:b/>
        </w:rPr>
        <w:t xml:space="preserve">Chopper </w:t>
      </w:r>
      <w:r w:rsidR="00B62F8D" w:rsidRPr="00B62F8D">
        <w:rPr>
          <w:b/>
        </w:rPr>
        <w:t>i</w:t>
      </w:r>
      <w:r w:rsidRPr="00B62F8D">
        <w:rPr>
          <w:b/>
        </w:rPr>
        <w:t>nstallation</w:t>
      </w:r>
    </w:p>
    <w:p w14:paraId="5378D09D" w14:textId="77777777" w:rsidR="00F22EB6" w:rsidRPr="00313609" w:rsidRDefault="00F22EB6" w:rsidP="00F22EB6">
      <w:pPr>
        <w:pStyle w:val="ac"/>
        <w:ind w:left="0"/>
        <w:contextualSpacing w:val="0"/>
      </w:pPr>
    </w:p>
    <w:p w14:paraId="1F0BBFE3" w14:textId="350710BB" w:rsidR="00DD2BB5" w:rsidRPr="00B62F8D" w:rsidRDefault="00DD2BB5" w:rsidP="00F22EB6">
      <w:pPr>
        <w:pStyle w:val="ac"/>
        <w:numPr>
          <w:ilvl w:val="2"/>
          <w:numId w:val="20"/>
        </w:numPr>
        <w:rPr>
          <w:highlight w:val="yellow"/>
        </w:rPr>
      </w:pPr>
      <w:r w:rsidRPr="00B62F8D">
        <w:rPr>
          <w:highlight w:val="yellow"/>
        </w:rPr>
        <w:t>Mount a motorized stage</w:t>
      </w:r>
      <w:r w:rsidR="00271347" w:rsidRPr="00B62F8D">
        <w:rPr>
          <w:highlight w:val="yellow"/>
        </w:rPr>
        <w:t>,</w:t>
      </w:r>
      <w:r w:rsidRPr="00B62F8D">
        <w:rPr>
          <w:highlight w:val="yellow"/>
        </w:rPr>
        <w:t xml:space="preserve"> </w:t>
      </w:r>
      <w:r w:rsidR="00271347" w:rsidRPr="00B62F8D">
        <w:rPr>
          <w:highlight w:val="yellow"/>
        </w:rPr>
        <w:t xml:space="preserve">with the ability to move </w:t>
      </w:r>
      <w:r w:rsidRPr="00B62F8D">
        <w:rPr>
          <w:highlight w:val="yellow"/>
        </w:rPr>
        <w:t>perpendicular</w:t>
      </w:r>
      <w:r w:rsidR="00271347" w:rsidRPr="00B62F8D">
        <w:rPr>
          <w:highlight w:val="yellow"/>
        </w:rPr>
        <w:t>ly</w:t>
      </w:r>
      <w:r w:rsidRPr="00B62F8D">
        <w:rPr>
          <w:highlight w:val="yellow"/>
        </w:rPr>
        <w:t xml:space="preserve"> to the X-ray beam</w:t>
      </w:r>
      <w:r w:rsidR="00271347" w:rsidRPr="00B62F8D">
        <w:rPr>
          <w:highlight w:val="yellow"/>
        </w:rPr>
        <w:t>,</w:t>
      </w:r>
      <w:r w:rsidRPr="00B62F8D">
        <w:rPr>
          <w:highlight w:val="yellow"/>
        </w:rPr>
        <w:t xml:space="preserve"> upstream of the sample.</w:t>
      </w:r>
    </w:p>
    <w:p w14:paraId="6B19B05F" w14:textId="77777777" w:rsidR="00F22EB6" w:rsidRPr="00D64B61" w:rsidRDefault="00F22EB6" w:rsidP="00F22EB6">
      <w:pPr>
        <w:pStyle w:val="ac"/>
        <w:ind w:left="0"/>
        <w:rPr>
          <w:i/>
          <w:highlight w:val="yellow"/>
        </w:rPr>
      </w:pPr>
    </w:p>
    <w:p w14:paraId="20CD2F2C" w14:textId="7899FDF4" w:rsidR="00D64B61" w:rsidRDefault="00FF2433" w:rsidP="00F22EB6">
      <w:r>
        <w:t>NOTE:</w:t>
      </w:r>
      <w:r w:rsidR="00DD2BB5" w:rsidRPr="00F22EB6">
        <w:t xml:space="preserve"> While this motorized stage is not necessary, it allows </w:t>
      </w:r>
      <w:r w:rsidR="00271347" w:rsidRPr="00F22EB6">
        <w:t xml:space="preserve">for </w:t>
      </w:r>
      <w:r w:rsidR="00F727DF" w:rsidRPr="00F22EB6">
        <w:t>moving</w:t>
      </w:r>
      <w:r w:rsidR="00DD2BB5" w:rsidRPr="00F22EB6">
        <w:t xml:space="preserve"> the chopper in and out of the X-ray beam without entering the hutch, thus enabling</w:t>
      </w:r>
      <w:r w:rsidR="0087354D" w:rsidRPr="00F22EB6">
        <w:t xml:space="preserve"> higher throughput and</w:t>
      </w:r>
      <w:r w:rsidR="00DD2BB5" w:rsidRPr="00F22EB6">
        <w:t xml:space="preserve"> greater stability.</w:t>
      </w:r>
    </w:p>
    <w:p w14:paraId="0DF75F4E" w14:textId="77777777" w:rsidR="00F22EB6" w:rsidRPr="00F22EB6" w:rsidRDefault="00F22EB6" w:rsidP="00F22EB6"/>
    <w:p w14:paraId="7A977E4D" w14:textId="637022CB" w:rsidR="00D64B61" w:rsidRPr="00B62F8D" w:rsidRDefault="00D64B61" w:rsidP="00F22EB6">
      <w:pPr>
        <w:pStyle w:val="ac"/>
        <w:numPr>
          <w:ilvl w:val="2"/>
          <w:numId w:val="20"/>
        </w:numPr>
        <w:rPr>
          <w:highlight w:val="yellow"/>
        </w:rPr>
      </w:pPr>
      <w:r w:rsidRPr="00B62F8D">
        <w:rPr>
          <w:highlight w:val="yellow"/>
        </w:rPr>
        <w:t>I</w:t>
      </w:r>
      <w:r w:rsidR="001D0BF4" w:rsidRPr="00B62F8D">
        <w:rPr>
          <w:highlight w:val="yellow"/>
        </w:rPr>
        <w:t xml:space="preserve">nstall an optical chopper </w:t>
      </w:r>
      <w:r w:rsidR="00DD2BB5" w:rsidRPr="00B62F8D">
        <w:rPr>
          <w:highlight w:val="yellow"/>
        </w:rPr>
        <w:t>onto the motorized stage</w:t>
      </w:r>
      <w:r w:rsidR="001D0BF4" w:rsidRPr="00B62F8D">
        <w:rPr>
          <w:highlight w:val="yellow"/>
        </w:rPr>
        <w:t xml:space="preserve"> </w:t>
      </w:r>
      <w:r w:rsidR="00B62FB2" w:rsidRPr="00B62F8D">
        <w:rPr>
          <w:highlight w:val="yellow"/>
        </w:rPr>
        <w:t>to modulate the incoming signal</w:t>
      </w:r>
      <w:r w:rsidR="00DD2BB5" w:rsidRPr="00B62F8D">
        <w:rPr>
          <w:highlight w:val="yellow"/>
        </w:rPr>
        <w:t>.</w:t>
      </w:r>
    </w:p>
    <w:p w14:paraId="5FF3A07C" w14:textId="77777777" w:rsidR="00F22EB6" w:rsidRPr="00D64B61" w:rsidRDefault="00F22EB6" w:rsidP="00F22EB6">
      <w:pPr>
        <w:pStyle w:val="ac"/>
        <w:ind w:left="0"/>
        <w:rPr>
          <w:i/>
          <w:highlight w:val="yellow"/>
        </w:rPr>
      </w:pPr>
    </w:p>
    <w:p w14:paraId="20D54F94" w14:textId="7967BA6C" w:rsidR="00E32663" w:rsidRDefault="00FF2433" w:rsidP="00F22EB6">
      <w:pPr>
        <w:pStyle w:val="ac"/>
        <w:ind w:left="0"/>
        <w:contextualSpacing w:val="0"/>
      </w:pPr>
      <w:r>
        <w:t>NOTE:</w:t>
      </w:r>
      <w:r w:rsidR="00DD2BB5" w:rsidRPr="00F22EB6">
        <w:t xml:space="preserve"> Ideally, the chopper is placed </w:t>
      </w:r>
      <w:r w:rsidR="00C10CC8" w:rsidRPr="00F22EB6">
        <w:t>far</w:t>
      </w:r>
      <w:r w:rsidR="00DD2BB5" w:rsidRPr="00F22EB6">
        <w:t xml:space="preserve"> upstream of the sample such that it </w:t>
      </w:r>
      <w:r w:rsidR="00F727DF" w:rsidRPr="00F22EB6">
        <w:t>does not</w:t>
      </w:r>
      <w:r w:rsidR="00DD2BB5" w:rsidRPr="00F22EB6">
        <w:t xml:space="preserve"> induce any vibrations on the X-ray optics</w:t>
      </w:r>
      <w:r w:rsidR="00412C43" w:rsidRPr="00F22EB6">
        <w:t xml:space="preserve"> or the sample</w:t>
      </w:r>
      <w:r w:rsidR="00383534" w:rsidRPr="00F22EB6">
        <w:t xml:space="preserve"> by the motor or air turbulence</w:t>
      </w:r>
      <w:r w:rsidR="00F727DF" w:rsidRPr="00F22EB6">
        <w:t>, respectively</w:t>
      </w:r>
      <w:r w:rsidR="00412C43" w:rsidRPr="00F22EB6">
        <w:t xml:space="preserve">. </w:t>
      </w:r>
      <w:r w:rsidR="00A90ADA">
        <w:t xml:space="preserve">Nevertheless, </w:t>
      </w:r>
      <w:r w:rsidR="00412C43" w:rsidRPr="00F22EB6">
        <w:t>good results with vibration</w:t>
      </w:r>
      <w:r w:rsidR="00A7169F" w:rsidRPr="00F22EB6">
        <w:t xml:space="preserve"> amplitudes below</w:t>
      </w:r>
      <w:r w:rsidR="00F727DF" w:rsidRPr="00F22EB6">
        <w:t xml:space="preserve"> </w:t>
      </w:r>
      <w:r w:rsidR="00412C43" w:rsidRPr="00F22EB6">
        <w:t>100</w:t>
      </w:r>
      <w:r w:rsidR="00AD4410" w:rsidRPr="00F22EB6">
        <w:t> </w:t>
      </w:r>
      <w:r w:rsidR="00412C43" w:rsidRPr="00F22EB6">
        <w:t xml:space="preserve">nm </w:t>
      </w:r>
      <w:r w:rsidR="00F727DF" w:rsidRPr="00F22EB6">
        <w:t xml:space="preserve">have </w:t>
      </w:r>
      <w:r w:rsidR="00412C43" w:rsidRPr="00F22EB6">
        <w:t>be</w:t>
      </w:r>
      <w:r w:rsidR="00F727DF" w:rsidRPr="00F22EB6">
        <w:t>en</w:t>
      </w:r>
      <w:r w:rsidR="00412C43" w:rsidRPr="00F22EB6">
        <w:t xml:space="preserve"> obtained with the cho</w:t>
      </w:r>
      <w:r w:rsidR="00AD4410" w:rsidRPr="00F22EB6">
        <w:t>pper wheel being as close as 10 </w:t>
      </w:r>
      <w:r w:rsidR="00412C43" w:rsidRPr="00F22EB6">
        <w:t>mm to the s</w:t>
      </w:r>
      <w:r w:rsidR="00AD4410" w:rsidRPr="00F22EB6">
        <w:t>ample, while chopping at &gt; 6 </w:t>
      </w:r>
      <w:r w:rsidR="00A90ADA">
        <w:t>k</w:t>
      </w:r>
      <w:r w:rsidR="00412C43" w:rsidRPr="00F22EB6">
        <w:t>Hz.</w:t>
      </w:r>
    </w:p>
    <w:p w14:paraId="1C4EEA13" w14:textId="77777777" w:rsidR="00F22EB6" w:rsidRPr="00F22EB6" w:rsidRDefault="00F22EB6" w:rsidP="00F22EB6">
      <w:pPr>
        <w:pStyle w:val="ac"/>
        <w:ind w:left="0"/>
        <w:contextualSpacing w:val="0"/>
      </w:pPr>
    </w:p>
    <w:p w14:paraId="325AA121" w14:textId="77794A4B" w:rsidR="00D33452" w:rsidRPr="00B62F8D" w:rsidRDefault="000A72D3" w:rsidP="00F22EB6">
      <w:pPr>
        <w:pStyle w:val="ac"/>
        <w:numPr>
          <w:ilvl w:val="1"/>
          <w:numId w:val="20"/>
        </w:numPr>
        <w:ind w:left="0" w:firstLine="0"/>
        <w:contextualSpacing w:val="0"/>
        <w:rPr>
          <w:b/>
        </w:rPr>
      </w:pPr>
      <w:r w:rsidRPr="00B62F8D">
        <w:rPr>
          <w:b/>
        </w:rPr>
        <w:t xml:space="preserve">Reduction of </w:t>
      </w:r>
      <w:r w:rsidR="00B62F8D" w:rsidRPr="00B62F8D">
        <w:rPr>
          <w:b/>
        </w:rPr>
        <w:t>b</w:t>
      </w:r>
      <w:r w:rsidRPr="00B62F8D">
        <w:rPr>
          <w:b/>
        </w:rPr>
        <w:t xml:space="preserve">ackground </w:t>
      </w:r>
      <w:r w:rsidR="00B62F8D" w:rsidRPr="00B62F8D">
        <w:rPr>
          <w:b/>
        </w:rPr>
        <w:t>l</w:t>
      </w:r>
      <w:r w:rsidRPr="00B62F8D">
        <w:rPr>
          <w:b/>
        </w:rPr>
        <w:t>ight</w:t>
      </w:r>
    </w:p>
    <w:p w14:paraId="28CD5773" w14:textId="77777777" w:rsidR="00F22EB6" w:rsidRPr="00313609" w:rsidRDefault="00F22EB6" w:rsidP="00F22EB6">
      <w:pPr>
        <w:pStyle w:val="ac"/>
        <w:ind w:left="0"/>
        <w:contextualSpacing w:val="0"/>
      </w:pPr>
    </w:p>
    <w:p w14:paraId="25F5DCC0" w14:textId="45C18CA9" w:rsidR="000A72D3" w:rsidRPr="00B62F8D" w:rsidRDefault="000A72D3" w:rsidP="00F22EB6">
      <w:pPr>
        <w:pStyle w:val="ac"/>
        <w:numPr>
          <w:ilvl w:val="2"/>
          <w:numId w:val="20"/>
        </w:numPr>
      </w:pPr>
      <w:r w:rsidRPr="00B62F8D">
        <w:rPr>
          <w:highlight w:val="yellow"/>
        </w:rPr>
        <w:t>Turn off sources of light in the hutch whenever possible and shield</w:t>
      </w:r>
      <w:r w:rsidR="0087354D" w:rsidRPr="00B62F8D">
        <w:rPr>
          <w:highlight w:val="yellow"/>
        </w:rPr>
        <w:t xml:space="preserve"> any</w:t>
      </w:r>
      <w:r w:rsidRPr="00B62F8D">
        <w:rPr>
          <w:highlight w:val="yellow"/>
        </w:rPr>
        <w:t xml:space="preserve"> others</w:t>
      </w:r>
      <w:r w:rsidR="0087354D" w:rsidRPr="00B62F8D">
        <w:rPr>
          <w:highlight w:val="yellow"/>
        </w:rPr>
        <w:t>, including any small lights on the LIA and chopper wheel controller</w:t>
      </w:r>
      <w:r w:rsidRPr="00B62F8D">
        <w:rPr>
          <w:highlight w:val="yellow"/>
        </w:rPr>
        <w:t>.</w:t>
      </w:r>
      <w:r w:rsidR="0087354D" w:rsidRPr="00B62F8D">
        <w:rPr>
          <w:highlight w:val="yellow"/>
        </w:rPr>
        <w:t xml:space="preserve"> </w:t>
      </w:r>
      <w:r w:rsidR="0087354D" w:rsidRPr="00B62F8D">
        <w:t xml:space="preserve">At some beamlines, there is a light that is turned on when the hutch is searched. However, this light should not remain on during the measurement. </w:t>
      </w:r>
    </w:p>
    <w:p w14:paraId="1F9FF0C8" w14:textId="77777777" w:rsidR="00F22EB6" w:rsidRPr="00F22EB6" w:rsidRDefault="00F22EB6" w:rsidP="00F22EB6">
      <w:pPr>
        <w:pStyle w:val="ac"/>
        <w:ind w:left="0"/>
      </w:pPr>
    </w:p>
    <w:p w14:paraId="24EDAE50" w14:textId="0F82E116" w:rsidR="001C4616" w:rsidRPr="005D5762" w:rsidRDefault="00B834BF" w:rsidP="00F22EB6">
      <w:pPr>
        <w:pStyle w:val="ac"/>
        <w:numPr>
          <w:ilvl w:val="0"/>
          <w:numId w:val="20"/>
        </w:numPr>
        <w:ind w:left="0" w:firstLine="0"/>
        <w:contextualSpacing w:val="0"/>
        <w:rPr>
          <w:b/>
        </w:rPr>
      </w:pPr>
      <w:r w:rsidRPr="005D5762">
        <w:rPr>
          <w:b/>
        </w:rPr>
        <w:t xml:space="preserve">Setting up XBIC </w:t>
      </w:r>
      <w:r w:rsidR="00B62F8D">
        <w:rPr>
          <w:b/>
        </w:rPr>
        <w:t>m</w:t>
      </w:r>
      <w:r w:rsidRPr="005D5762">
        <w:rPr>
          <w:b/>
        </w:rPr>
        <w:t>easurements</w:t>
      </w:r>
    </w:p>
    <w:p w14:paraId="4D44FCDE" w14:textId="777798F7" w:rsidR="00D33452" w:rsidRPr="00F402A1" w:rsidRDefault="00D33452" w:rsidP="00F22EB6">
      <w:pPr>
        <w:rPr>
          <w:highlight w:val="yellow"/>
        </w:rPr>
      </w:pPr>
    </w:p>
    <w:p w14:paraId="5435CB85" w14:textId="50DC3C37" w:rsidR="00EA2F2D" w:rsidRDefault="00EA2F2D" w:rsidP="00F22EB6">
      <w:pPr>
        <w:pStyle w:val="ac"/>
        <w:numPr>
          <w:ilvl w:val="1"/>
          <w:numId w:val="20"/>
        </w:numPr>
        <w:ind w:left="0" w:firstLine="0"/>
        <w:contextualSpacing w:val="0"/>
      </w:pPr>
      <w:r w:rsidRPr="00F402A1">
        <w:t xml:space="preserve">See </w:t>
      </w:r>
      <w:r w:rsidRPr="00B62F8D">
        <w:rPr>
          <w:b/>
        </w:rPr>
        <w:t>Fig</w:t>
      </w:r>
      <w:r w:rsidR="00B62F8D" w:rsidRPr="00B62F8D">
        <w:rPr>
          <w:b/>
        </w:rPr>
        <w:t>ure</w:t>
      </w:r>
      <w:r w:rsidRPr="00F402A1">
        <w:t xml:space="preserve"> </w:t>
      </w:r>
      <w:r w:rsidRPr="00B62F8D">
        <w:rPr>
          <w:b/>
        </w:rPr>
        <w:t>1</w:t>
      </w:r>
      <w:r w:rsidRPr="00F402A1">
        <w:t xml:space="preserve"> for a schematic representation of necessary hardware components and wiring.</w:t>
      </w:r>
    </w:p>
    <w:p w14:paraId="388460F0" w14:textId="77777777" w:rsidR="00F22EB6" w:rsidRDefault="00F22EB6" w:rsidP="00F22EB6">
      <w:pPr>
        <w:pStyle w:val="ac"/>
        <w:ind w:left="0"/>
        <w:contextualSpacing w:val="0"/>
      </w:pPr>
    </w:p>
    <w:p w14:paraId="6AA5A743" w14:textId="27165373" w:rsidR="00B834BF" w:rsidRPr="00B62F8D" w:rsidRDefault="00B834BF" w:rsidP="00F22EB6">
      <w:pPr>
        <w:pStyle w:val="ac"/>
        <w:numPr>
          <w:ilvl w:val="1"/>
          <w:numId w:val="20"/>
        </w:numPr>
        <w:ind w:left="0" w:firstLine="0"/>
        <w:contextualSpacing w:val="0"/>
        <w:rPr>
          <w:b/>
        </w:rPr>
      </w:pPr>
      <w:r w:rsidRPr="00B62F8D">
        <w:rPr>
          <w:b/>
        </w:rPr>
        <w:t xml:space="preserve">Setup of a </w:t>
      </w:r>
      <w:r w:rsidR="00B62F8D">
        <w:rPr>
          <w:b/>
        </w:rPr>
        <w:t>p</w:t>
      </w:r>
      <w:r w:rsidR="00F116E3" w:rsidRPr="00B62F8D">
        <w:rPr>
          <w:b/>
        </w:rPr>
        <w:t>re-amplifier</w:t>
      </w:r>
    </w:p>
    <w:p w14:paraId="4F1CD638" w14:textId="77777777" w:rsidR="00F22EB6" w:rsidRPr="00313609" w:rsidRDefault="00F22EB6" w:rsidP="00F22EB6">
      <w:pPr>
        <w:pStyle w:val="ac"/>
        <w:ind w:left="0"/>
        <w:contextualSpacing w:val="0"/>
      </w:pPr>
    </w:p>
    <w:p w14:paraId="3052F94B" w14:textId="0CDFD44A" w:rsidR="00603CBA" w:rsidRPr="00B62F8D" w:rsidRDefault="001C4616" w:rsidP="00F22EB6">
      <w:pPr>
        <w:pStyle w:val="ac"/>
        <w:numPr>
          <w:ilvl w:val="2"/>
          <w:numId w:val="20"/>
        </w:numPr>
        <w:rPr>
          <w:highlight w:val="yellow"/>
        </w:rPr>
      </w:pPr>
      <w:r w:rsidRPr="00B62F8D">
        <w:rPr>
          <w:highlight w:val="yellow"/>
        </w:rPr>
        <w:t xml:space="preserve">Place a </w:t>
      </w:r>
      <w:r w:rsidR="006D4260" w:rsidRPr="00B62F8D">
        <w:rPr>
          <w:highlight w:val="yellow"/>
        </w:rPr>
        <w:t xml:space="preserve">PA </w:t>
      </w:r>
      <w:r w:rsidRPr="00B62F8D">
        <w:rPr>
          <w:highlight w:val="yellow"/>
        </w:rPr>
        <w:t>in proximity of the sample.</w:t>
      </w:r>
    </w:p>
    <w:p w14:paraId="01DFDDB9" w14:textId="77777777" w:rsidR="00F22EB6" w:rsidRDefault="00F22EB6" w:rsidP="00F22EB6">
      <w:pPr>
        <w:pStyle w:val="ac"/>
        <w:ind w:left="0"/>
        <w:rPr>
          <w:i/>
          <w:highlight w:val="yellow"/>
        </w:rPr>
      </w:pPr>
    </w:p>
    <w:p w14:paraId="700EB4A4" w14:textId="753B659A" w:rsidR="00270665" w:rsidRDefault="00FF2433" w:rsidP="00F22EB6">
      <w:pPr>
        <w:pStyle w:val="ac"/>
        <w:ind w:left="0"/>
      </w:pPr>
      <w:r>
        <w:t>NOTE:</w:t>
      </w:r>
      <w:r w:rsidR="005A1427" w:rsidRPr="00F22EB6">
        <w:t xml:space="preserve"> </w:t>
      </w:r>
      <w:r w:rsidR="00542FF8" w:rsidRPr="00F22EB6">
        <w:t>Some LIAs come with an integrated PA. In this case, PA settings</w:t>
      </w:r>
      <w:r w:rsidR="00201BD5" w:rsidRPr="00F22EB6">
        <w:t xml:space="preserve"> are applied</w:t>
      </w:r>
      <w:r w:rsidR="00542FF8" w:rsidRPr="00F22EB6">
        <w:t xml:space="preserve"> in a similar manner to the </w:t>
      </w:r>
      <w:r w:rsidR="00201BD5" w:rsidRPr="00F22EB6">
        <w:t>s</w:t>
      </w:r>
      <w:r w:rsidR="00542FF8" w:rsidRPr="00F22EB6">
        <w:t xml:space="preserve">ettings </w:t>
      </w:r>
      <w:r w:rsidR="00201BD5" w:rsidRPr="00F22EB6">
        <w:t>for</w:t>
      </w:r>
      <w:r w:rsidR="00542FF8" w:rsidRPr="00F22EB6">
        <w:t xml:space="preserve"> the LIA. </w:t>
      </w:r>
    </w:p>
    <w:p w14:paraId="069E8F83" w14:textId="77777777" w:rsidR="00F22EB6" w:rsidRPr="00F22EB6" w:rsidRDefault="00F22EB6" w:rsidP="00F22EB6">
      <w:pPr>
        <w:pStyle w:val="ac"/>
        <w:ind w:left="0"/>
      </w:pPr>
    </w:p>
    <w:p w14:paraId="024E5CB4" w14:textId="1DBFF938" w:rsidR="00671631" w:rsidRPr="00B62F8D" w:rsidRDefault="00671631" w:rsidP="00F22EB6">
      <w:pPr>
        <w:pStyle w:val="ac"/>
        <w:numPr>
          <w:ilvl w:val="2"/>
          <w:numId w:val="20"/>
        </w:numPr>
        <w:contextualSpacing w:val="0"/>
        <w:rPr>
          <w:highlight w:val="yellow"/>
        </w:rPr>
      </w:pPr>
      <w:r w:rsidRPr="00B62F8D">
        <w:rPr>
          <w:highlight w:val="yellow"/>
        </w:rPr>
        <w:t xml:space="preserve">Connect the </w:t>
      </w:r>
      <w:r w:rsidR="006D4260" w:rsidRPr="00B62F8D">
        <w:rPr>
          <w:highlight w:val="yellow"/>
        </w:rPr>
        <w:t xml:space="preserve">PA </w:t>
      </w:r>
      <w:r w:rsidRPr="00B62F8D">
        <w:rPr>
          <w:highlight w:val="yellow"/>
        </w:rPr>
        <w:t>to a control unit outside of the hutch to enable the remote change of amplification settings without entering the hutch.</w:t>
      </w:r>
      <w:r w:rsidR="00624E76" w:rsidRPr="00B62F8D">
        <w:rPr>
          <w:highlight w:val="yellow"/>
        </w:rPr>
        <w:t xml:space="preserve"> Ideally, the control unit is connected to the beamline control, and the </w:t>
      </w:r>
      <w:r w:rsidR="006D4260" w:rsidRPr="00B62F8D">
        <w:rPr>
          <w:highlight w:val="yellow"/>
        </w:rPr>
        <w:t xml:space="preserve">PA </w:t>
      </w:r>
      <w:r w:rsidR="00624E76" w:rsidRPr="00B62F8D">
        <w:rPr>
          <w:highlight w:val="yellow"/>
        </w:rPr>
        <w:t xml:space="preserve">settings are automatically </w:t>
      </w:r>
      <w:r w:rsidR="00F01917" w:rsidRPr="00B62F8D">
        <w:rPr>
          <w:highlight w:val="yellow"/>
        </w:rPr>
        <w:t>recorded</w:t>
      </w:r>
      <w:r w:rsidR="00624E76" w:rsidRPr="00B62F8D">
        <w:rPr>
          <w:highlight w:val="yellow"/>
        </w:rPr>
        <w:t>.</w:t>
      </w:r>
    </w:p>
    <w:p w14:paraId="68C89F2D" w14:textId="51579197" w:rsidR="00F22EB6" w:rsidRDefault="00F22EB6" w:rsidP="00F22EB6">
      <w:pPr>
        <w:pStyle w:val="ac"/>
        <w:ind w:left="0"/>
        <w:contextualSpacing w:val="0"/>
        <w:rPr>
          <w:i/>
          <w:highlight w:val="yellow"/>
        </w:rPr>
      </w:pPr>
    </w:p>
    <w:p w14:paraId="491DEB76" w14:textId="0CE11FAC" w:rsidR="00603CBA" w:rsidRPr="00B62F8D" w:rsidRDefault="00AE4926" w:rsidP="00F22EB6">
      <w:pPr>
        <w:pStyle w:val="ac"/>
        <w:numPr>
          <w:ilvl w:val="2"/>
          <w:numId w:val="20"/>
        </w:numPr>
        <w:rPr>
          <w:highlight w:val="yellow"/>
        </w:rPr>
      </w:pPr>
      <w:r w:rsidRPr="00B62F8D">
        <w:rPr>
          <w:highlight w:val="yellow"/>
        </w:rPr>
        <w:t xml:space="preserve">Power the PA from a clean power circuit. </w:t>
      </w:r>
    </w:p>
    <w:p w14:paraId="3388BE89" w14:textId="77777777" w:rsidR="00F22EB6" w:rsidRDefault="00F22EB6" w:rsidP="00F22EB6">
      <w:pPr>
        <w:pStyle w:val="ac"/>
        <w:ind w:left="0"/>
        <w:rPr>
          <w:i/>
          <w:highlight w:val="yellow"/>
        </w:rPr>
      </w:pPr>
    </w:p>
    <w:p w14:paraId="6D7B353D" w14:textId="12B2309F" w:rsidR="00AE4926" w:rsidRDefault="00FF2433" w:rsidP="00F22EB6">
      <w:pPr>
        <w:pStyle w:val="ac"/>
        <w:ind w:left="0"/>
        <w:contextualSpacing w:val="0"/>
      </w:pPr>
      <w:r>
        <w:t>NOTE:</w:t>
      </w:r>
      <w:r w:rsidR="00D2239B" w:rsidRPr="00F22EB6">
        <w:t xml:space="preserve"> </w:t>
      </w:r>
      <w:r w:rsidR="00AE4926" w:rsidRPr="00F22EB6">
        <w:t>Devices like vacuum pumps can pollute the power circuit and should therefore be powered separately from high-precision electronics such as PA and LIA that can transfer variations in the power supply to the measurement signal.</w:t>
      </w:r>
      <w:r w:rsidR="00AE4926" w:rsidRPr="00CE26F3">
        <w:t xml:space="preserve"> For this</w:t>
      </w:r>
      <w:r w:rsidR="00AE4926" w:rsidRPr="00BD7CAC">
        <w:t xml:space="preserve"> reason, beamlines </w:t>
      </w:r>
      <w:r w:rsidR="00AE4926">
        <w:t xml:space="preserve">usually have clean and polluted power circuits. </w:t>
      </w:r>
      <w:r w:rsidR="00A90ADA">
        <w:t>M</w:t>
      </w:r>
      <w:r w:rsidR="00AE4926">
        <w:t xml:space="preserve">any amplifiers can </w:t>
      </w:r>
      <w:r w:rsidR="00A90ADA">
        <w:t xml:space="preserve">even </w:t>
      </w:r>
      <w:r w:rsidR="00AE4926">
        <w:t>be operated from batteries.</w:t>
      </w:r>
    </w:p>
    <w:p w14:paraId="34DF8AD5" w14:textId="77777777" w:rsidR="00F22EB6" w:rsidRPr="00AA595B" w:rsidRDefault="00F22EB6" w:rsidP="00F22EB6">
      <w:pPr>
        <w:pStyle w:val="ac"/>
        <w:ind w:left="0"/>
        <w:contextualSpacing w:val="0"/>
        <w:rPr>
          <w:i/>
          <w:highlight w:val="yellow"/>
        </w:rPr>
      </w:pPr>
    </w:p>
    <w:p w14:paraId="3B9DD972" w14:textId="5EA5AB19" w:rsidR="00086344" w:rsidRPr="00B62F8D" w:rsidRDefault="00086344" w:rsidP="00F22EB6">
      <w:pPr>
        <w:pStyle w:val="ac"/>
        <w:numPr>
          <w:ilvl w:val="2"/>
          <w:numId w:val="20"/>
        </w:numPr>
        <w:contextualSpacing w:val="0"/>
        <w:rPr>
          <w:highlight w:val="yellow"/>
        </w:rPr>
      </w:pPr>
      <w:r w:rsidRPr="00B62F8D">
        <w:rPr>
          <w:highlight w:val="yellow"/>
        </w:rPr>
        <w:t xml:space="preserve">Connect the sample through the BNC connector on the sample mount. </w:t>
      </w:r>
    </w:p>
    <w:p w14:paraId="14A1B4A1" w14:textId="77777777" w:rsidR="00F22EB6" w:rsidRDefault="00F22EB6" w:rsidP="00F22EB6">
      <w:pPr>
        <w:pStyle w:val="ac"/>
        <w:ind w:left="0"/>
        <w:contextualSpacing w:val="0"/>
        <w:rPr>
          <w:i/>
          <w:highlight w:val="yellow"/>
        </w:rPr>
      </w:pPr>
    </w:p>
    <w:p w14:paraId="13470D68" w14:textId="7A4BF9FC" w:rsidR="00FE6AAC" w:rsidRPr="00B62F8D" w:rsidRDefault="0035219D" w:rsidP="00F22EB6">
      <w:pPr>
        <w:pStyle w:val="ac"/>
        <w:numPr>
          <w:ilvl w:val="2"/>
          <w:numId w:val="20"/>
        </w:numPr>
        <w:contextualSpacing w:val="0"/>
        <w:rPr>
          <w:highlight w:val="yellow"/>
        </w:rPr>
      </w:pPr>
      <w:r w:rsidRPr="00B62F8D">
        <w:rPr>
          <w:highlight w:val="yellow"/>
        </w:rPr>
        <w:t>En</w:t>
      </w:r>
      <w:r w:rsidR="009161C2" w:rsidRPr="00B62F8D">
        <w:rPr>
          <w:highlight w:val="yellow"/>
        </w:rPr>
        <w:t>sure</w:t>
      </w:r>
      <w:r w:rsidR="00846C4B" w:rsidRPr="00B62F8D">
        <w:rPr>
          <w:highlight w:val="yellow"/>
        </w:rPr>
        <w:t xml:space="preserve"> that the sample wiring is</w:t>
      </w:r>
      <w:r w:rsidR="00FE6AAC" w:rsidRPr="00B62F8D">
        <w:rPr>
          <w:highlight w:val="yellow"/>
        </w:rPr>
        <w:t xml:space="preserve"> strain-relieved </w:t>
      </w:r>
      <w:r w:rsidR="00086344" w:rsidRPr="00B62F8D">
        <w:rPr>
          <w:highlight w:val="yellow"/>
        </w:rPr>
        <w:t xml:space="preserve">so that it will not </w:t>
      </w:r>
      <w:r w:rsidR="00846C4B" w:rsidRPr="00B62F8D">
        <w:rPr>
          <w:highlight w:val="yellow"/>
        </w:rPr>
        <w:t>restrict</w:t>
      </w:r>
      <w:r w:rsidR="00086344" w:rsidRPr="00B62F8D">
        <w:rPr>
          <w:highlight w:val="yellow"/>
        </w:rPr>
        <w:t xml:space="preserve"> the</w:t>
      </w:r>
      <w:r w:rsidR="00846C4B" w:rsidRPr="00B62F8D">
        <w:rPr>
          <w:highlight w:val="yellow"/>
        </w:rPr>
        <w:t xml:space="preserve"> sample movements.</w:t>
      </w:r>
    </w:p>
    <w:p w14:paraId="4FC236A7" w14:textId="77777777" w:rsidR="00F22EB6" w:rsidRDefault="00F22EB6" w:rsidP="00F22EB6">
      <w:pPr>
        <w:pStyle w:val="ac"/>
        <w:ind w:left="0"/>
        <w:contextualSpacing w:val="0"/>
        <w:rPr>
          <w:i/>
          <w:highlight w:val="yellow"/>
        </w:rPr>
      </w:pPr>
    </w:p>
    <w:p w14:paraId="60D36801" w14:textId="3925A540" w:rsidR="0041022C" w:rsidRPr="00B62F8D" w:rsidRDefault="0041022C" w:rsidP="00F22EB6">
      <w:pPr>
        <w:pStyle w:val="ac"/>
        <w:numPr>
          <w:ilvl w:val="2"/>
          <w:numId w:val="20"/>
        </w:numPr>
        <w:contextualSpacing w:val="0"/>
        <w:rPr>
          <w:highlight w:val="yellow"/>
        </w:rPr>
      </w:pPr>
      <w:r w:rsidRPr="00B62F8D">
        <w:rPr>
          <w:highlight w:val="yellow"/>
        </w:rPr>
        <w:t xml:space="preserve">Apply a bias voltage </w:t>
      </w:r>
      <w:r w:rsidR="005A1427" w:rsidRPr="00B62F8D">
        <w:rPr>
          <w:highlight w:val="yellow"/>
        </w:rPr>
        <w:t>via the PA, if the XBIC signal shall not be measured under short-circuit conditions. Do not apply any bias voltage, if the XBIV signal shall be measured under open-circuit conditions.</w:t>
      </w:r>
    </w:p>
    <w:p w14:paraId="7441605D" w14:textId="77777777" w:rsidR="00F22EB6" w:rsidRDefault="00F22EB6" w:rsidP="00F22EB6">
      <w:pPr>
        <w:pStyle w:val="ac"/>
        <w:ind w:left="0"/>
        <w:contextualSpacing w:val="0"/>
        <w:rPr>
          <w:i/>
          <w:highlight w:val="yellow"/>
        </w:rPr>
      </w:pPr>
    </w:p>
    <w:p w14:paraId="27DA021C" w14:textId="379306ED" w:rsidR="00827D9C" w:rsidRPr="00B62F8D" w:rsidRDefault="00827D9C" w:rsidP="00F22EB6">
      <w:pPr>
        <w:pStyle w:val="ac"/>
        <w:numPr>
          <w:ilvl w:val="2"/>
          <w:numId w:val="20"/>
        </w:numPr>
        <w:contextualSpacing w:val="0"/>
        <w:rPr>
          <w:highlight w:val="yellow"/>
        </w:rPr>
      </w:pPr>
      <w:r w:rsidRPr="00B62F8D">
        <w:rPr>
          <w:highlight w:val="yellow"/>
        </w:rPr>
        <w:t xml:space="preserve">Measure the signal amplitude of the DUT </w:t>
      </w:r>
      <w:r w:rsidR="009F1C7B" w:rsidRPr="00B62F8D">
        <w:rPr>
          <w:highlight w:val="yellow"/>
        </w:rPr>
        <w:t>under measurement conditions (i.e.</w:t>
      </w:r>
      <w:r w:rsidR="00B62F8D" w:rsidRPr="00B62F8D">
        <w:rPr>
          <w:highlight w:val="yellow"/>
        </w:rPr>
        <w:t>,</w:t>
      </w:r>
      <w:r w:rsidR="009F1C7B" w:rsidRPr="00B62F8D">
        <w:rPr>
          <w:highlight w:val="yellow"/>
        </w:rPr>
        <w:t xml:space="preserve"> usually in dark) and under working conditions (e.g.</w:t>
      </w:r>
      <w:r w:rsidR="00B62F8D" w:rsidRPr="00B62F8D">
        <w:rPr>
          <w:highlight w:val="yellow"/>
        </w:rPr>
        <w:t>,</w:t>
      </w:r>
      <w:r w:rsidR="009F1C7B" w:rsidRPr="00B62F8D">
        <w:rPr>
          <w:highlight w:val="yellow"/>
        </w:rPr>
        <w:t xml:space="preserve"> with room light and</w:t>
      </w:r>
      <w:r w:rsidR="00AD4410" w:rsidRPr="00B62F8D">
        <w:rPr>
          <w:highlight w:val="yellow"/>
        </w:rPr>
        <w:t xml:space="preserve"> beamline microscope light on)</w:t>
      </w:r>
      <w:r w:rsidR="00190EBA" w:rsidRPr="00B62F8D">
        <w:rPr>
          <w:highlight w:val="yellow"/>
        </w:rPr>
        <w:t xml:space="preserve"> to test the signal range</w:t>
      </w:r>
      <w:r w:rsidR="00AD4410" w:rsidRPr="00B62F8D">
        <w:rPr>
          <w:highlight w:val="yellow"/>
        </w:rPr>
        <w:t>.</w:t>
      </w:r>
    </w:p>
    <w:p w14:paraId="123847C1" w14:textId="77777777" w:rsidR="00F22EB6" w:rsidRDefault="00F22EB6" w:rsidP="00F22EB6">
      <w:pPr>
        <w:pStyle w:val="ac"/>
        <w:ind w:left="0"/>
        <w:contextualSpacing w:val="0"/>
        <w:rPr>
          <w:i/>
          <w:highlight w:val="yellow"/>
        </w:rPr>
      </w:pPr>
    </w:p>
    <w:p w14:paraId="1B713312" w14:textId="3C5866E7" w:rsidR="00B17C33" w:rsidRPr="00B62F8D" w:rsidRDefault="00671631" w:rsidP="00F22EB6">
      <w:pPr>
        <w:pStyle w:val="ac"/>
        <w:numPr>
          <w:ilvl w:val="2"/>
          <w:numId w:val="20"/>
        </w:numPr>
        <w:contextualSpacing w:val="0"/>
        <w:rPr>
          <w:highlight w:val="yellow"/>
        </w:rPr>
      </w:pPr>
      <w:r w:rsidRPr="00B62F8D">
        <w:rPr>
          <w:highlight w:val="yellow"/>
        </w:rPr>
        <w:t xml:space="preserve">Make sure that the signal amplitude of the DUT matches the input range of the </w:t>
      </w:r>
      <w:r w:rsidR="003D6B31" w:rsidRPr="00B62F8D">
        <w:rPr>
          <w:highlight w:val="yellow"/>
        </w:rPr>
        <w:t>PA</w:t>
      </w:r>
      <w:r w:rsidRPr="00B62F8D">
        <w:rPr>
          <w:highlight w:val="yellow"/>
        </w:rPr>
        <w:t xml:space="preserve">, and take precautions to avoid oversaturation under </w:t>
      </w:r>
      <w:r w:rsidR="00603CBA" w:rsidRPr="00B62F8D">
        <w:rPr>
          <w:highlight w:val="yellow"/>
        </w:rPr>
        <w:t xml:space="preserve">high signal </w:t>
      </w:r>
      <w:r w:rsidRPr="00B62F8D">
        <w:rPr>
          <w:highlight w:val="yellow"/>
        </w:rPr>
        <w:t>conditions (e.g.</w:t>
      </w:r>
      <w:r w:rsidR="00B62F8D">
        <w:rPr>
          <w:highlight w:val="yellow"/>
        </w:rPr>
        <w:t>,</w:t>
      </w:r>
      <w:r w:rsidRPr="00B62F8D">
        <w:rPr>
          <w:highlight w:val="yellow"/>
        </w:rPr>
        <w:t xml:space="preserve"> turned on room light), as oversaturation can destroy </w:t>
      </w:r>
      <w:r w:rsidR="00603CBA" w:rsidRPr="00B62F8D">
        <w:rPr>
          <w:highlight w:val="yellow"/>
        </w:rPr>
        <w:t xml:space="preserve">the </w:t>
      </w:r>
      <w:r w:rsidR="003D6B31" w:rsidRPr="00B62F8D">
        <w:rPr>
          <w:highlight w:val="yellow"/>
        </w:rPr>
        <w:t>PA</w:t>
      </w:r>
      <w:r w:rsidRPr="00B62F8D">
        <w:rPr>
          <w:highlight w:val="yellow"/>
        </w:rPr>
        <w:t>.</w:t>
      </w:r>
    </w:p>
    <w:p w14:paraId="01230E67" w14:textId="77777777" w:rsidR="00F22EB6" w:rsidRDefault="00F22EB6" w:rsidP="00F22EB6">
      <w:pPr>
        <w:pStyle w:val="ac"/>
        <w:ind w:left="0"/>
        <w:contextualSpacing w:val="0"/>
        <w:rPr>
          <w:i/>
          <w:highlight w:val="yellow"/>
        </w:rPr>
      </w:pPr>
    </w:p>
    <w:p w14:paraId="53D88206" w14:textId="77777777" w:rsidR="00F22EB6" w:rsidRPr="00B62F8D" w:rsidRDefault="00B17C33" w:rsidP="00F22EB6">
      <w:pPr>
        <w:pStyle w:val="ac"/>
        <w:numPr>
          <w:ilvl w:val="2"/>
          <w:numId w:val="20"/>
        </w:numPr>
        <w:contextualSpacing w:val="0"/>
        <w:rPr>
          <w:highlight w:val="yellow"/>
        </w:rPr>
      </w:pPr>
      <w:r w:rsidRPr="00B62F8D">
        <w:rPr>
          <w:highlight w:val="yellow"/>
        </w:rPr>
        <w:t xml:space="preserve">Make sure that the sensitivity of the </w:t>
      </w:r>
      <w:r w:rsidR="003D6B31" w:rsidRPr="00B62F8D">
        <w:rPr>
          <w:highlight w:val="yellow"/>
        </w:rPr>
        <w:t xml:space="preserve">PA </w:t>
      </w:r>
      <w:r w:rsidRPr="00B62F8D">
        <w:rPr>
          <w:highlight w:val="yellow"/>
        </w:rPr>
        <w:t xml:space="preserve">matches its output range and the input range of </w:t>
      </w:r>
      <w:r w:rsidR="005F3024" w:rsidRPr="00B62F8D">
        <w:rPr>
          <w:highlight w:val="yellow"/>
        </w:rPr>
        <w:t>the LIA.</w:t>
      </w:r>
      <w:r w:rsidRPr="00B62F8D">
        <w:rPr>
          <w:highlight w:val="yellow"/>
        </w:rPr>
        <w:t xml:space="preserve"> It is good practice to keep the amplification</w:t>
      </w:r>
      <w:r w:rsidR="005F3024" w:rsidRPr="00B62F8D">
        <w:rPr>
          <w:highlight w:val="yellow"/>
        </w:rPr>
        <w:t xml:space="preserve"> of the </w:t>
      </w:r>
      <w:r w:rsidR="003D6B31" w:rsidRPr="00B62F8D">
        <w:rPr>
          <w:highlight w:val="yellow"/>
        </w:rPr>
        <w:t xml:space="preserve">PA </w:t>
      </w:r>
      <w:r w:rsidRPr="00B62F8D">
        <w:rPr>
          <w:highlight w:val="yellow"/>
        </w:rPr>
        <w:t xml:space="preserve">at the minimum </w:t>
      </w:r>
      <w:r w:rsidR="00603CBA" w:rsidRPr="00B62F8D">
        <w:rPr>
          <w:highlight w:val="yellow"/>
        </w:rPr>
        <w:t xml:space="preserve">sensitivity </w:t>
      </w:r>
      <w:r w:rsidRPr="00B62F8D">
        <w:rPr>
          <w:highlight w:val="yellow"/>
        </w:rPr>
        <w:t>whenever no measurement is going on to avoid accidental oversaturation.</w:t>
      </w:r>
    </w:p>
    <w:p w14:paraId="1D543622" w14:textId="77777777" w:rsidR="00F22EB6" w:rsidRPr="00F22EB6" w:rsidRDefault="00F22EB6" w:rsidP="00F22EB6">
      <w:pPr>
        <w:pStyle w:val="ac"/>
        <w:rPr>
          <w:i/>
          <w:highlight w:val="yellow"/>
        </w:rPr>
      </w:pPr>
    </w:p>
    <w:p w14:paraId="6557185B" w14:textId="7DBD5D07" w:rsidR="00827D9C" w:rsidRPr="00B62F8D" w:rsidRDefault="00827D9C" w:rsidP="00F22EB6">
      <w:pPr>
        <w:pStyle w:val="ac"/>
        <w:numPr>
          <w:ilvl w:val="2"/>
          <w:numId w:val="20"/>
        </w:numPr>
        <w:contextualSpacing w:val="0"/>
        <w:rPr>
          <w:highlight w:val="yellow"/>
        </w:rPr>
      </w:pPr>
      <w:r w:rsidRPr="00B62F8D">
        <w:rPr>
          <w:highlight w:val="yellow"/>
        </w:rPr>
        <w:t xml:space="preserve">Connect the DUT to the </w:t>
      </w:r>
      <w:r w:rsidR="003D6B31" w:rsidRPr="00B62F8D">
        <w:rPr>
          <w:highlight w:val="yellow"/>
        </w:rPr>
        <w:t>PA</w:t>
      </w:r>
      <w:r w:rsidRPr="00B62F8D">
        <w:rPr>
          <w:highlight w:val="yellow"/>
        </w:rPr>
        <w:t>. Given the small signal amplitude, it is cri</w:t>
      </w:r>
      <w:r w:rsidR="00D17F9C" w:rsidRPr="00B62F8D">
        <w:rPr>
          <w:highlight w:val="yellow"/>
        </w:rPr>
        <w:t>tical to keep the wiring short.</w:t>
      </w:r>
    </w:p>
    <w:p w14:paraId="64A6DCDD" w14:textId="77777777" w:rsidR="00F22EB6" w:rsidRPr="00F22EB6" w:rsidRDefault="00F22EB6" w:rsidP="00F22EB6">
      <w:pPr>
        <w:pStyle w:val="ac"/>
        <w:ind w:left="0"/>
        <w:contextualSpacing w:val="0"/>
        <w:rPr>
          <w:i/>
          <w:highlight w:val="yellow"/>
        </w:rPr>
      </w:pPr>
    </w:p>
    <w:p w14:paraId="594E3D10" w14:textId="6EDC6669" w:rsidR="00D924E3" w:rsidRDefault="00FF2433" w:rsidP="00F22EB6">
      <w:r>
        <w:t>NOTE:</w:t>
      </w:r>
      <w:r w:rsidR="00827D9C">
        <w:t xml:space="preserve"> Cables carrying XBIC signal should not be intertwined with other cables as these might induce noise. </w:t>
      </w:r>
      <w:r w:rsidR="00AC0F10">
        <w:t>S</w:t>
      </w:r>
      <w:r w:rsidR="00827D9C">
        <w:t>ources of noise include scanning stages and detectors as they are used for XRF</w:t>
      </w:r>
      <w:r w:rsidR="00E374D5">
        <w:t>. D</w:t>
      </w:r>
      <w:r w:rsidR="00827D9C">
        <w:t>ifferent wire positions may be tested to minimize noise. For further noise reduction, the wire can be wrapped in grounded aluminum foil</w:t>
      </w:r>
      <w:r w:rsidR="00F01917">
        <w:t xml:space="preserve"> or triaxial cables can be used</w:t>
      </w:r>
      <w:r w:rsidR="00827D9C">
        <w:t>.</w:t>
      </w:r>
    </w:p>
    <w:p w14:paraId="4F025812" w14:textId="77777777" w:rsidR="00F22EB6" w:rsidRDefault="00F22EB6" w:rsidP="00F22EB6"/>
    <w:p w14:paraId="29897F22" w14:textId="3CE6F345" w:rsidR="00646A90" w:rsidRPr="00B62F8D" w:rsidRDefault="00C537E2" w:rsidP="00F22EB6">
      <w:pPr>
        <w:pStyle w:val="ac"/>
        <w:numPr>
          <w:ilvl w:val="2"/>
          <w:numId w:val="20"/>
        </w:numPr>
        <w:contextualSpacing w:val="0"/>
        <w:rPr>
          <w:highlight w:val="yellow"/>
        </w:rPr>
      </w:pPr>
      <w:r w:rsidRPr="00B62F8D">
        <w:rPr>
          <w:highlight w:val="yellow"/>
        </w:rPr>
        <w:t xml:space="preserve">Split the </w:t>
      </w:r>
      <w:r w:rsidR="00271F54" w:rsidRPr="00B62F8D">
        <w:rPr>
          <w:highlight w:val="yellow"/>
        </w:rPr>
        <w:t>pre-amplified</w:t>
      </w:r>
      <w:r w:rsidRPr="00B62F8D">
        <w:rPr>
          <w:highlight w:val="yellow"/>
        </w:rPr>
        <w:t xml:space="preserve"> signa</w:t>
      </w:r>
      <w:r w:rsidR="00576353" w:rsidRPr="00B62F8D">
        <w:rPr>
          <w:highlight w:val="yellow"/>
        </w:rPr>
        <w:t>l</w:t>
      </w:r>
      <w:r w:rsidR="003712F0" w:rsidRPr="00B62F8D">
        <w:rPr>
          <w:highlight w:val="yellow"/>
        </w:rPr>
        <w:t xml:space="preserve"> into</w:t>
      </w:r>
      <w:r w:rsidR="00C214CF" w:rsidRPr="00B62F8D">
        <w:rPr>
          <w:highlight w:val="yellow"/>
        </w:rPr>
        <w:t xml:space="preserve"> three</w:t>
      </w:r>
      <w:r w:rsidR="003712F0" w:rsidRPr="00B62F8D">
        <w:rPr>
          <w:highlight w:val="yellow"/>
        </w:rPr>
        <w:t xml:space="preserve"> parallel signal branches </w:t>
      </w:r>
      <w:r w:rsidR="00C214CF" w:rsidRPr="00B62F8D">
        <w:rPr>
          <w:highlight w:val="yellow"/>
        </w:rPr>
        <w:t xml:space="preserve">to </w:t>
      </w:r>
      <w:r w:rsidR="00646A90" w:rsidRPr="00B62F8D">
        <w:rPr>
          <w:highlight w:val="yellow"/>
        </w:rPr>
        <w:t>separate</w:t>
      </w:r>
      <w:r w:rsidR="00C214CF" w:rsidRPr="00B62F8D">
        <w:rPr>
          <w:highlight w:val="yellow"/>
        </w:rPr>
        <w:t>ly</w:t>
      </w:r>
      <w:r w:rsidR="00646A90" w:rsidRPr="00B62F8D">
        <w:rPr>
          <w:highlight w:val="yellow"/>
        </w:rPr>
        <w:t xml:space="preserve"> record the DC</w:t>
      </w:r>
      <w:r w:rsidR="00C214CF" w:rsidRPr="00B62F8D">
        <w:rPr>
          <w:highlight w:val="yellow"/>
        </w:rPr>
        <w:t xml:space="preserve"> (positive and negative)</w:t>
      </w:r>
      <w:r w:rsidR="00646A90" w:rsidRPr="00B62F8D">
        <w:rPr>
          <w:highlight w:val="yellow"/>
        </w:rPr>
        <w:t xml:space="preserve"> and modulated AC components</w:t>
      </w:r>
      <w:r w:rsidR="00D17F9C" w:rsidRPr="00B62F8D">
        <w:rPr>
          <w:highlight w:val="yellow"/>
        </w:rPr>
        <w:t>.</w:t>
      </w:r>
    </w:p>
    <w:p w14:paraId="030F791C" w14:textId="77777777" w:rsidR="00F22EB6" w:rsidRDefault="00F22EB6" w:rsidP="00F22EB6">
      <w:pPr>
        <w:pStyle w:val="ac"/>
        <w:ind w:left="0"/>
        <w:contextualSpacing w:val="0"/>
        <w:rPr>
          <w:i/>
          <w:highlight w:val="yellow"/>
        </w:rPr>
      </w:pPr>
    </w:p>
    <w:p w14:paraId="1ADEF98B" w14:textId="7AF9A384" w:rsidR="00C537E2" w:rsidRPr="00B62F8D" w:rsidRDefault="00C537E2" w:rsidP="00F22EB6">
      <w:pPr>
        <w:pStyle w:val="ac"/>
        <w:numPr>
          <w:ilvl w:val="2"/>
          <w:numId w:val="20"/>
        </w:numPr>
        <w:contextualSpacing w:val="0"/>
        <w:rPr>
          <w:highlight w:val="yellow"/>
        </w:rPr>
      </w:pPr>
      <w:r w:rsidRPr="00B62F8D">
        <w:rPr>
          <w:highlight w:val="yellow"/>
        </w:rPr>
        <w:t xml:space="preserve">Connect </w:t>
      </w:r>
      <w:r w:rsidR="00646A90" w:rsidRPr="00B62F8D">
        <w:rPr>
          <w:highlight w:val="yellow"/>
        </w:rPr>
        <w:t xml:space="preserve">two signal branches to </w:t>
      </w:r>
      <w:r w:rsidRPr="00B62F8D">
        <w:rPr>
          <w:highlight w:val="yellow"/>
        </w:rPr>
        <w:t>voltage</w:t>
      </w:r>
      <w:r w:rsidR="00646A90" w:rsidRPr="00B62F8D">
        <w:rPr>
          <w:highlight w:val="yellow"/>
        </w:rPr>
        <w:t>-</w:t>
      </w:r>
      <w:r w:rsidRPr="00B62F8D">
        <w:rPr>
          <w:highlight w:val="yellow"/>
        </w:rPr>
        <w:t>to</w:t>
      </w:r>
      <w:r w:rsidR="00646A90" w:rsidRPr="00B62F8D">
        <w:rPr>
          <w:highlight w:val="yellow"/>
        </w:rPr>
        <w:t>-</w:t>
      </w:r>
      <w:r w:rsidRPr="00B62F8D">
        <w:rPr>
          <w:highlight w:val="yellow"/>
        </w:rPr>
        <w:t xml:space="preserve">frequency </w:t>
      </w:r>
      <w:r w:rsidR="004037FF" w:rsidRPr="00B62F8D">
        <w:rPr>
          <w:highlight w:val="yellow"/>
        </w:rPr>
        <w:t xml:space="preserve">(V2F) </w:t>
      </w:r>
      <w:r w:rsidRPr="00B62F8D">
        <w:rPr>
          <w:highlight w:val="yellow"/>
        </w:rPr>
        <w:t>converters</w:t>
      </w:r>
      <w:r w:rsidR="00646A90" w:rsidRPr="00B62F8D">
        <w:rPr>
          <w:highlight w:val="yellow"/>
        </w:rPr>
        <w:t>, one of which with inverted input signal range</w:t>
      </w:r>
      <w:r w:rsidR="00C214CF" w:rsidRPr="00B62F8D">
        <w:rPr>
          <w:highlight w:val="yellow"/>
        </w:rPr>
        <w:t xml:space="preserve"> to accept the negative DC signal</w:t>
      </w:r>
      <w:r w:rsidR="00646A90" w:rsidRPr="00B62F8D">
        <w:rPr>
          <w:highlight w:val="yellow"/>
        </w:rPr>
        <w:t>.</w:t>
      </w:r>
    </w:p>
    <w:p w14:paraId="5602FACF" w14:textId="77777777" w:rsidR="00F22EB6" w:rsidRDefault="00F22EB6" w:rsidP="00F22EB6">
      <w:pPr>
        <w:pStyle w:val="ac"/>
        <w:ind w:left="0"/>
        <w:contextualSpacing w:val="0"/>
        <w:rPr>
          <w:i/>
          <w:highlight w:val="yellow"/>
        </w:rPr>
      </w:pPr>
    </w:p>
    <w:p w14:paraId="72B1BBB0" w14:textId="7E7DAFFB" w:rsidR="00B834BF" w:rsidRPr="00B62F8D" w:rsidRDefault="00B834BF" w:rsidP="00F22EB6">
      <w:pPr>
        <w:pStyle w:val="ac"/>
        <w:numPr>
          <w:ilvl w:val="1"/>
          <w:numId w:val="20"/>
        </w:numPr>
        <w:ind w:left="0" w:firstLine="0"/>
        <w:contextualSpacing w:val="0"/>
        <w:rPr>
          <w:b/>
        </w:rPr>
      </w:pPr>
      <w:r w:rsidRPr="00B62F8D">
        <w:rPr>
          <w:b/>
        </w:rPr>
        <w:t xml:space="preserve">Electrical </w:t>
      </w:r>
      <w:r w:rsidR="00B62F8D" w:rsidRPr="00B62F8D">
        <w:rPr>
          <w:b/>
        </w:rPr>
        <w:t>s</w:t>
      </w:r>
      <w:r w:rsidRPr="00B62F8D">
        <w:rPr>
          <w:b/>
        </w:rPr>
        <w:t xml:space="preserve">etup of a </w:t>
      </w:r>
      <w:r w:rsidR="00B62F8D" w:rsidRPr="00B62F8D">
        <w:rPr>
          <w:b/>
        </w:rPr>
        <w:t>lock-in amplifier</w:t>
      </w:r>
    </w:p>
    <w:p w14:paraId="5597DFAB" w14:textId="77777777" w:rsidR="00F22EB6" w:rsidRPr="00313609" w:rsidRDefault="00F22EB6" w:rsidP="00F22EB6">
      <w:pPr>
        <w:pStyle w:val="ac"/>
        <w:ind w:left="0"/>
        <w:contextualSpacing w:val="0"/>
      </w:pPr>
    </w:p>
    <w:p w14:paraId="466F67A2" w14:textId="3DD3A198" w:rsidR="00051E4A" w:rsidRPr="00B62F8D" w:rsidRDefault="00624E76" w:rsidP="00F22EB6">
      <w:pPr>
        <w:pStyle w:val="ac"/>
        <w:numPr>
          <w:ilvl w:val="2"/>
          <w:numId w:val="20"/>
        </w:numPr>
        <w:contextualSpacing w:val="0"/>
        <w:rPr>
          <w:highlight w:val="yellow"/>
        </w:rPr>
      </w:pPr>
      <w:r w:rsidRPr="00B62F8D">
        <w:rPr>
          <w:highlight w:val="yellow"/>
        </w:rPr>
        <w:t xml:space="preserve">Connect the LIA to a control unit outside of the hutch to enable the remote change of amplification settings without entering the hutch. Ideally, the control unit is connected to the beamline control, and the LIA settings are automatically </w:t>
      </w:r>
      <w:r w:rsidR="005E044F" w:rsidRPr="00B62F8D">
        <w:rPr>
          <w:highlight w:val="yellow"/>
        </w:rPr>
        <w:t>recorded</w:t>
      </w:r>
      <w:r w:rsidRPr="00B62F8D">
        <w:rPr>
          <w:highlight w:val="yellow"/>
        </w:rPr>
        <w:t>.</w:t>
      </w:r>
    </w:p>
    <w:p w14:paraId="7AEB2014" w14:textId="77777777" w:rsidR="00F22EB6" w:rsidRDefault="00F22EB6" w:rsidP="00F22EB6">
      <w:pPr>
        <w:pStyle w:val="ac"/>
        <w:ind w:left="0"/>
        <w:contextualSpacing w:val="0"/>
        <w:rPr>
          <w:i/>
          <w:highlight w:val="yellow"/>
        </w:rPr>
      </w:pPr>
    </w:p>
    <w:p w14:paraId="277A52BD" w14:textId="05B1E8F8" w:rsidR="00D924E3" w:rsidRPr="00B62F8D" w:rsidRDefault="00D924E3" w:rsidP="00F22EB6">
      <w:pPr>
        <w:pStyle w:val="ac"/>
        <w:numPr>
          <w:ilvl w:val="2"/>
          <w:numId w:val="20"/>
        </w:numPr>
        <w:contextualSpacing w:val="0"/>
        <w:rPr>
          <w:highlight w:val="yellow"/>
        </w:rPr>
      </w:pPr>
      <w:r w:rsidRPr="00B62F8D">
        <w:rPr>
          <w:highlight w:val="yellow"/>
        </w:rPr>
        <w:t>Power the LIA from a clean power circuit and keep it at a distance from possibly noisy instruments.</w:t>
      </w:r>
    </w:p>
    <w:p w14:paraId="15432772" w14:textId="77777777" w:rsidR="00F22EB6" w:rsidRDefault="00F22EB6" w:rsidP="00F22EB6">
      <w:pPr>
        <w:pStyle w:val="ac"/>
        <w:ind w:left="0"/>
        <w:contextualSpacing w:val="0"/>
        <w:rPr>
          <w:i/>
          <w:highlight w:val="yellow"/>
        </w:rPr>
      </w:pPr>
    </w:p>
    <w:p w14:paraId="1AC4E39F" w14:textId="4B0148A0" w:rsidR="00624E76" w:rsidRPr="00B62F8D" w:rsidRDefault="00624E76" w:rsidP="00F22EB6">
      <w:pPr>
        <w:pStyle w:val="ac"/>
        <w:numPr>
          <w:ilvl w:val="2"/>
          <w:numId w:val="20"/>
        </w:numPr>
        <w:contextualSpacing w:val="0"/>
        <w:rPr>
          <w:highlight w:val="yellow"/>
        </w:rPr>
      </w:pPr>
      <w:r w:rsidRPr="00B62F8D">
        <w:rPr>
          <w:highlight w:val="yellow"/>
        </w:rPr>
        <w:t xml:space="preserve">Make sure that the output of the </w:t>
      </w:r>
      <w:r w:rsidR="003D6B31" w:rsidRPr="00B62F8D">
        <w:rPr>
          <w:highlight w:val="yellow"/>
        </w:rPr>
        <w:t xml:space="preserve">PA </w:t>
      </w:r>
      <w:r w:rsidRPr="00B62F8D">
        <w:rPr>
          <w:highlight w:val="yellow"/>
        </w:rPr>
        <w:t>matches the input of the LIA under all cond</w:t>
      </w:r>
      <w:r w:rsidR="0038538D" w:rsidRPr="00B62F8D">
        <w:rPr>
          <w:highlight w:val="yellow"/>
        </w:rPr>
        <w:t xml:space="preserve">itions, as oversaturation </w:t>
      </w:r>
      <w:r w:rsidRPr="00B62F8D">
        <w:rPr>
          <w:highlight w:val="yellow"/>
        </w:rPr>
        <w:t xml:space="preserve">can </w:t>
      </w:r>
      <w:r w:rsidR="005E044F" w:rsidRPr="00B62F8D">
        <w:rPr>
          <w:highlight w:val="yellow"/>
        </w:rPr>
        <w:t xml:space="preserve">damage </w:t>
      </w:r>
      <w:r w:rsidR="00920FA5" w:rsidRPr="00B62F8D">
        <w:rPr>
          <w:highlight w:val="yellow"/>
        </w:rPr>
        <w:t>the LIA</w:t>
      </w:r>
      <w:r w:rsidRPr="00B62F8D">
        <w:rPr>
          <w:highlight w:val="yellow"/>
        </w:rPr>
        <w:t xml:space="preserve">. It is good practice to </w:t>
      </w:r>
      <w:r w:rsidR="0038538D" w:rsidRPr="00B62F8D">
        <w:rPr>
          <w:highlight w:val="yellow"/>
        </w:rPr>
        <w:t>keep the LIA input range at its maximum whenever no measurement is going on to avoid accidental oversaturation.</w:t>
      </w:r>
    </w:p>
    <w:p w14:paraId="0B4C0C3A" w14:textId="77777777" w:rsidR="00F22EB6" w:rsidRDefault="00F22EB6" w:rsidP="00F22EB6">
      <w:pPr>
        <w:pStyle w:val="ac"/>
        <w:ind w:left="0"/>
        <w:contextualSpacing w:val="0"/>
        <w:rPr>
          <w:i/>
          <w:highlight w:val="yellow"/>
        </w:rPr>
      </w:pPr>
    </w:p>
    <w:p w14:paraId="5641F714" w14:textId="0B6A28DA" w:rsidR="003F55E8" w:rsidRPr="00B62F8D" w:rsidRDefault="0038538D" w:rsidP="00F22EB6">
      <w:pPr>
        <w:pStyle w:val="ac"/>
        <w:numPr>
          <w:ilvl w:val="2"/>
          <w:numId w:val="20"/>
        </w:numPr>
        <w:rPr>
          <w:highlight w:val="yellow"/>
        </w:rPr>
      </w:pPr>
      <w:r w:rsidRPr="00B62F8D">
        <w:rPr>
          <w:highlight w:val="yellow"/>
        </w:rPr>
        <w:t xml:space="preserve">Feed </w:t>
      </w:r>
      <w:r w:rsidR="00DF7713" w:rsidRPr="00B62F8D">
        <w:rPr>
          <w:highlight w:val="yellow"/>
        </w:rPr>
        <w:t xml:space="preserve">the </w:t>
      </w:r>
      <w:r w:rsidRPr="00B62F8D">
        <w:rPr>
          <w:highlight w:val="yellow"/>
        </w:rPr>
        <w:t xml:space="preserve">modulation </w:t>
      </w:r>
      <w:r w:rsidR="00DF7713" w:rsidRPr="00B62F8D">
        <w:rPr>
          <w:highlight w:val="yellow"/>
        </w:rPr>
        <w:t>frequency from the optical chopper as reference signal into the LIA.</w:t>
      </w:r>
    </w:p>
    <w:p w14:paraId="02ADD7FD" w14:textId="77777777" w:rsidR="00F22EB6" w:rsidRDefault="00F22EB6" w:rsidP="00F22EB6">
      <w:pPr>
        <w:pStyle w:val="ac"/>
        <w:ind w:left="0"/>
        <w:rPr>
          <w:i/>
          <w:highlight w:val="yellow"/>
        </w:rPr>
      </w:pPr>
    </w:p>
    <w:p w14:paraId="0E5CFEC4" w14:textId="12542689" w:rsidR="00DF7713" w:rsidRDefault="00FF2433" w:rsidP="00F22EB6">
      <w:pPr>
        <w:pStyle w:val="ac"/>
        <w:ind w:left="0"/>
        <w:contextualSpacing w:val="0"/>
      </w:pPr>
      <w:r>
        <w:t>NOTE:</w:t>
      </w:r>
      <w:r w:rsidR="003F55E8" w:rsidRPr="00F22EB6">
        <w:t xml:space="preserve"> </w:t>
      </w:r>
      <w:r w:rsidR="00AE1057">
        <w:t>The reference frequency can either be provided by an oscillator of the LIA, driving the chopper and thus allowing remotely controlling it, or being input from the chopper controller as a reference to the LIA. A combination of both is also possible.</w:t>
      </w:r>
    </w:p>
    <w:p w14:paraId="00128EA7" w14:textId="77777777" w:rsidR="00F22EB6" w:rsidRPr="00F22EB6" w:rsidRDefault="00F22EB6" w:rsidP="00F22EB6">
      <w:pPr>
        <w:pStyle w:val="ac"/>
        <w:ind w:left="0"/>
        <w:contextualSpacing w:val="0"/>
      </w:pPr>
    </w:p>
    <w:p w14:paraId="28FB1901" w14:textId="4AF39FEA" w:rsidR="0038538D" w:rsidRPr="00B62F8D" w:rsidRDefault="0038538D" w:rsidP="00F22EB6">
      <w:pPr>
        <w:pStyle w:val="ac"/>
        <w:numPr>
          <w:ilvl w:val="2"/>
          <w:numId w:val="20"/>
        </w:numPr>
        <w:contextualSpacing w:val="0"/>
        <w:rPr>
          <w:highlight w:val="yellow"/>
        </w:rPr>
      </w:pPr>
      <w:r w:rsidRPr="00B62F8D">
        <w:rPr>
          <w:highlight w:val="yellow"/>
        </w:rPr>
        <w:t xml:space="preserve">Connect the third branch of the </w:t>
      </w:r>
      <w:r w:rsidR="00271F54" w:rsidRPr="00B62F8D">
        <w:rPr>
          <w:highlight w:val="yellow"/>
        </w:rPr>
        <w:t>pre-amplified</w:t>
      </w:r>
      <w:r w:rsidRPr="00B62F8D">
        <w:rPr>
          <w:highlight w:val="yellow"/>
        </w:rPr>
        <w:t xml:space="preserve"> XBIC signal to the LIA input.</w:t>
      </w:r>
    </w:p>
    <w:p w14:paraId="7F4AB51D" w14:textId="77777777" w:rsidR="00F22EB6" w:rsidRDefault="00F22EB6" w:rsidP="00F22EB6">
      <w:pPr>
        <w:pStyle w:val="ac"/>
        <w:ind w:left="0"/>
        <w:contextualSpacing w:val="0"/>
        <w:rPr>
          <w:i/>
          <w:highlight w:val="yellow"/>
        </w:rPr>
      </w:pPr>
    </w:p>
    <w:p w14:paraId="03D21A86" w14:textId="0212E725" w:rsidR="00F22EB6" w:rsidRPr="00B62F8D" w:rsidRDefault="00576353" w:rsidP="00F22EB6">
      <w:pPr>
        <w:pStyle w:val="ac"/>
        <w:numPr>
          <w:ilvl w:val="2"/>
          <w:numId w:val="20"/>
        </w:numPr>
        <w:contextualSpacing w:val="0"/>
      </w:pPr>
      <w:r w:rsidRPr="00B62F8D">
        <w:rPr>
          <w:highlight w:val="yellow"/>
        </w:rPr>
        <w:t>Output</w:t>
      </w:r>
      <w:r w:rsidR="00D408DD" w:rsidRPr="00B62F8D">
        <w:rPr>
          <w:highlight w:val="yellow"/>
        </w:rPr>
        <w:t xml:space="preserve"> </w:t>
      </w:r>
      <w:r w:rsidR="00AA595B" w:rsidRPr="00B62F8D">
        <w:rPr>
          <w:highlight w:val="yellow"/>
        </w:rPr>
        <w:t>the root-mean</w:t>
      </w:r>
      <w:r w:rsidRPr="00B62F8D">
        <w:rPr>
          <w:highlight w:val="yellow"/>
        </w:rPr>
        <w:t xml:space="preserve">-squared (RMS) amplitude </w:t>
      </w:r>
      <m:oMath>
        <m:r>
          <w:rPr>
            <w:rFonts w:ascii="Cambria Math" w:hAnsi="Cambria Math"/>
            <w:highlight w:val="yellow"/>
          </w:rPr>
          <m:t>R</m:t>
        </m:r>
      </m:oMath>
      <w:r w:rsidR="00F402A1" w:rsidRPr="00B62F8D">
        <w:rPr>
          <w:highlight w:val="yellow"/>
        </w:rPr>
        <w:t xml:space="preserve"> </w:t>
      </w:r>
      <w:r w:rsidRPr="00B62F8D">
        <w:rPr>
          <w:highlight w:val="yellow"/>
        </w:rPr>
        <w:t xml:space="preserve">of the </w:t>
      </w:r>
      <w:r w:rsidR="00DB4131" w:rsidRPr="00B62F8D">
        <w:rPr>
          <w:highlight w:val="yellow"/>
        </w:rPr>
        <w:t xml:space="preserve">lock-in </w:t>
      </w:r>
      <w:r w:rsidRPr="00B62F8D">
        <w:rPr>
          <w:highlight w:val="yellow"/>
        </w:rPr>
        <w:t>amplified signa</w:t>
      </w:r>
      <w:r w:rsidR="00D408DD" w:rsidRPr="00B62F8D">
        <w:rPr>
          <w:highlight w:val="yellow"/>
        </w:rPr>
        <w:t xml:space="preserve">l </w:t>
      </w:r>
      <w:r w:rsidR="00DB4131" w:rsidRPr="00B62F8D">
        <w:rPr>
          <w:highlight w:val="yellow"/>
        </w:rPr>
        <w:t>a</w:t>
      </w:r>
      <w:r w:rsidRPr="00B62F8D">
        <w:rPr>
          <w:highlight w:val="yellow"/>
        </w:rPr>
        <w:t xml:space="preserve">s </w:t>
      </w:r>
      <w:r w:rsidR="005E044F" w:rsidRPr="00B62F8D">
        <w:rPr>
          <w:highlight w:val="yellow"/>
        </w:rPr>
        <w:t xml:space="preserve">analog </w:t>
      </w:r>
      <w:r w:rsidRPr="00B62F8D">
        <w:rPr>
          <w:highlight w:val="yellow"/>
        </w:rPr>
        <w:t xml:space="preserve">AC signal of the </w:t>
      </w:r>
      <w:r w:rsidR="00D4678A" w:rsidRPr="00B62F8D">
        <w:rPr>
          <w:highlight w:val="yellow"/>
        </w:rPr>
        <w:t>DUT</w:t>
      </w:r>
      <w:r w:rsidRPr="00B62F8D">
        <w:rPr>
          <w:highlight w:val="yellow"/>
        </w:rPr>
        <w:t>.</w:t>
      </w:r>
    </w:p>
    <w:p w14:paraId="3C5FBAB6" w14:textId="77777777" w:rsidR="00F22EB6" w:rsidRDefault="00F22EB6" w:rsidP="00F22EB6">
      <w:pPr>
        <w:pStyle w:val="ac"/>
      </w:pPr>
    </w:p>
    <w:p w14:paraId="2AF395E0" w14:textId="41E8349F" w:rsidR="005A2E99" w:rsidRDefault="00FF2433" w:rsidP="00F22EB6">
      <w:pPr>
        <w:pStyle w:val="ac"/>
        <w:ind w:left="0"/>
        <w:contextualSpacing w:val="0"/>
      </w:pPr>
      <w:r>
        <w:t>NOTE:</w:t>
      </w:r>
      <w:r w:rsidR="00DB4131" w:rsidRPr="00CE26F3">
        <w:t xml:space="preserve"> </w:t>
      </w:r>
      <w:r w:rsidR="00D17F9C" w:rsidRPr="00F22EB6">
        <w:t xml:space="preserve">As </w:t>
      </w:r>
      <m:oMath>
        <m:r>
          <w:rPr>
            <w:rFonts w:ascii="Cambria Math" w:hAnsi="Cambria Math"/>
          </w:rPr>
          <m:t>R</m:t>
        </m:r>
      </m:oMath>
      <w:r w:rsidR="00DB4131" w:rsidRPr="00F22EB6">
        <w:t xml:space="preserve"> is always positive, a splitting of the signal and inverting of one branch is not necessary</w:t>
      </w:r>
      <w:r w:rsidR="005E044F" w:rsidRPr="00F22EB6">
        <w:t xml:space="preserve"> </w:t>
      </w:r>
      <w:r w:rsidR="0099624A" w:rsidRPr="00F22EB6">
        <w:t xml:space="preserve">so long as </w:t>
      </w:r>
      <w:r w:rsidR="005E044F" w:rsidRPr="00F22EB6">
        <w:t>the signal</w:t>
      </w:r>
      <w:r w:rsidR="0099624A" w:rsidRPr="00F22EB6">
        <w:t xml:space="preserve"> input</w:t>
      </w:r>
      <w:r w:rsidR="005E044F" w:rsidRPr="00F22EB6">
        <w:t xml:space="preserve"> </w:t>
      </w:r>
      <w:r w:rsidR="0099624A" w:rsidRPr="00F22EB6">
        <w:t xml:space="preserve">at </w:t>
      </w:r>
      <w:r w:rsidR="005E044F" w:rsidRPr="00F22EB6">
        <w:t>the V2F converter is not negative</w:t>
      </w:r>
      <w:r w:rsidR="00DB4131" w:rsidRPr="00F22EB6">
        <w:t xml:space="preserve">. </w:t>
      </w:r>
      <w:r w:rsidR="00DB4131" w:rsidRPr="00CE26F3">
        <w:t>If the phase</w:t>
      </w:r>
      <w:r w:rsidR="00DB4131" w:rsidRPr="00D2239B">
        <w:t xml:space="preserve"> informa</w:t>
      </w:r>
      <w:r w:rsidR="00DB4131" w:rsidRPr="00CE26F3">
        <w:t>tion</w:t>
      </w:r>
      <w:r w:rsidR="00DB4131" w:rsidRPr="00313609">
        <w:t xml:space="preserve"> shall also be recorded, it is recommended to output </w:t>
      </w:r>
      <w:r w:rsidR="00D17F9C">
        <w:t xml:space="preserve">the phase </w:t>
      </w:r>
      <m:oMath>
        <m:r>
          <w:rPr>
            <w:rFonts w:ascii="Cambria Math" w:hAnsi="Cambria Math"/>
          </w:rPr>
          <m:t>θ</m:t>
        </m:r>
      </m:oMath>
      <w:r w:rsidR="006A60EF" w:rsidRPr="00313609">
        <w:t xml:space="preserve"> in addition to</w:t>
      </w:r>
      <w:r w:rsidR="00846C4B" w:rsidRPr="00F22EB6">
        <w:rPr>
          <w:i/>
        </w:rPr>
        <w:t xml:space="preserve"> </w:t>
      </w:r>
      <m:oMath>
        <m:r>
          <w:rPr>
            <w:rFonts w:ascii="Cambria Math" w:hAnsi="Cambria Math"/>
          </w:rPr>
          <m:t>R</m:t>
        </m:r>
      </m:oMath>
      <w:r w:rsidR="006A60EF" w:rsidRPr="00313609">
        <w:t>,</w:t>
      </w:r>
      <w:r w:rsidR="00C8221C" w:rsidRPr="00313609">
        <w:t xml:space="preserve"> or</w:t>
      </w:r>
      <w:r w:rsidR="00D17F9C">
        <w:t xml:space="preserve"> the in-phase component</w:t>
      </w:r>
      <w:r w:rsidR="00C8221C" w:rsidRPr="00F22EB6">
        <w:rPr>
          <w:i/>
        </w:rPr>
        <w:t xml:space="preserve"> </w:t>
      </w:r>
      <m:oMath>
        <m:r>
          <w:rPr>
            <w:rFonts w:ascii="Cambria Math" w:hAnsi="Cambria Math"/>
          </w:rPr>
          <m:t>X</m:t>
        </m:r>
      </m:oMath>
      <w:r w:rsidR="00C8221C" w:rsidRPr="00F22EB6">
        <w:rPr>
          <w:i/>
        </w:rPr>
        <w:t xml:space="preserve"> </w:t>
      </w:r>
      <w:r w:rsidR="00C8221C" w:rsidRPr="00313609">
        <w:t xml:space="preserve">and </w:t>
      </w:r>
      <w:r w:rsidR="00D17F9C">
        <w:t xml:space="preserve">quadrature component </w:t>
      </w:r>
      <m:oMath>
        <m:r>
          <w:rPr>
            <w:rFonts w:ascii="Cambria Math" w:hAnsi="Cambria Math"/>
          </w:rPr>
          <m:t>Y</m:t>
        </m:r>
      </m:oMath>
      <w:r w:rsidR="003D6B31" w:rsidRPr="00F22EB6">
        <w:rPr>
          <w:i/>
        </w:rPr>
        <w:t>.</w:t>
      </w:r>
    </w:p>
    <w:p w14:paraId="41524393" w14:textId="77777777" w:rsidR="00F22EB6" w:rsidRPr="005A2E99" w:rsidRDefault="00F22EB6" w:rsidP="00F22EB6">
      <w:pPr>
        <w:pStyle w:val="ac"/>
        <w:ind w:left="0"/>
        <w:contextualSpacing w:val="0"/>
      </w:pPr>
    </w:p>
    <w:p w14:paraId="5DC9695F" w14:textId="6ACE33D9" w:rsidR="004C4038" w:rsidRPr="00B62F8D" w:rsidRDefault="00D4678A" w:rsidP="00F22EB6">
      <w:pPr>
        <w:pStyle w:val="ac"/>
        <w:numPr>
          <w:ilvl w:val="2"/>
          <w:numId w:val="20"/>
        </w:numPr>
        <w:contextualSpacing w:val="0"/>
        <w:rPr>
          <w:highlight w:val="yellow"/>
        </w:rPr>
      </w:pPr>
      <w:r w:rsidRPr="00B62F8D">
        <w:rPr>
          <w:highlight w:val="yellow"/>
        </w:rPr>
        <w:t xml:space="preserve">Connect the </w:t>
      </w:r>
      <w:r w:rsidR="004C4038" w:rsidRPr="00B62F8D">
        <w:rPr>
          <w:highlight w:val="yellow"/>
        </w:rPr>
        <w:t xml:space="preserve">output of the </w:t>
      </w:r>
      <w:r w:rsidR="00AD115F" w:rsidRPr="00B62F8D">
        <w:rPr>
          <w:highlight w:val="yellow"/>
        </w:rPr>
        <w:t>LIA</w:t>
      </w:r>
      <w:r w:rsidR="00DB4131" w:rsidRPr="00B62F8D">
        <w:rPr>
          <w:highlight w:val="yellow"/>
        </w:rPr>
        <w:t xml:space="preserve"> to a third V2F channel.</w:t>
      </w:r>
    </w:p>
    <w:p w14:paraId="03A7EFCA" w14:textId="77777777" w:rsidR="00F22EB6" w:rsidRDefault="00F22EB6" w:rsidP="00F22EB6">
      <w:pPr>
        <w:pStyle w:val="ac"/>
        <w:ind w:left="0"/>
        <w:contextualSpacing w:val="0"/>
        <w:rPr>
          <w:i/>
          <w:highlight w:val="yellow"/>
        </w:rPr>
      </w:pPr>
    </w:p>
    <w:p w14:paraId="700F95E7" w14:textId="6FF08EEF" w:rsidR="002A6498" w:rsidRPr="00B62F8D" w:rsidRDefault="004C4038" w:rsidP="00F22EB6">
      <w:pPr>
        <w:pStyle w:val="ac"/>
        <w:numPr>
          <w:ilvl w:val="2"/>
          <w:numId w:val="20"/>
        </w:numPr>
        <w:rPr>
          <w:highlight w:val="yellow"/>
        </w:rPr>
      </w:pPr>
      <w:r w:rsidRPr="00B62F8D">
        <w:rPr>
          <w:highlight w:val="yellow"/>
        </w:rPr>
        <w:t xml:space="preserve">Connect the V2F </w:t>
      </w:r>
      <w:r w:rsidR="00DB4131" w:rsidRPr="00B62F8D">
        <w:rPr>
          <w:highlight w:val="yellow"/>
        </w:rPr>
        <w:t xml:space="preserve">converters </w:t>
      </w:r>
      <w:r w:rsidRPr="00B62F8D">
        <w:rPr>
          <w:highlight w:val="yellow"/>
        </w:rPr>
        <w:t xml:space="preserve">to the </w:t>
      </w:r>
      <w:r w:rsidR="003D6B31" w:rsidRPr="00B62F8D">
        <w:rPr>
          <w:highlight w:val="yellow"/>
        </w:rPr>
        <w:t>DAQ</w:t>
      </w:r>
      <w:r w:rsidRPr="00B62F8D">
        <w:rPr>
          <w:highlight w:val="yellow"/>
        </w:rPr>
        <w:t xml:space="preserve"> units and </w:t>
      </w:r>
      <w:r w:rsidR="000A72D3" w:rsidRPr="00B62F8D">
        <w:rPr>
          <w:highlight w:val="yellow"/>
        </w:rPr>
        <w:t>beamline software</w:t>
      </w:r>
      <w:r w:rsidRPr="00B62F8D">
        <w:rPr>
          <w:highlight w:val="yellow"/>
        </w:rPr>
        <w:t xml:space="preserve"> to store the three XBIC signal components with corresponding time and pixel information.</w:t>
      </w:r>
      <w:r w:rsidR="002A6498" w:rsidRPr="00B62F8D">
        <w:rPr>
          <w:highlight w:val="yellow"/>
        </w:rPr>
        <w:t xml:space="preserve"> </w:t>
      </w:r>
    </w:p>
    <w:p w14:paraId="7AA85E8E" w14:textId="77777777" w:rsidR="00F22EB6" w:rsidRPr="00AA595B" w:rsidRDefault="00F22EB6" w:rsidP="00F22EB6">
      <w:pPr>
        <w:pStyle w:val="ac"/>
        <w:ind w:left="0"/>
        <w:rPr>
          <w:i/>
          <w:highlight w:val="yellow"/>
        </w:rPr>
      </w:pPr>
    </w:p>
    <w:p w14:paraId="485F4263" w14:textId="61EAFD59" w:rsidR="001F73A2" w:rsidRDefault="00FF2433" w:rsidP="00F22EB6">
      <w:pPr>
        <w:pStyle w:val="ac"/>
        <w:ind w:left="0"/>
        <w:contextualSpacing w:val="0"/>
      </w:pPr>
      <w:r>
        <w:t>NOTE:</w:t>
      </w:r>
      <w:r w:rsidR="00304EB0">
        <w:t xml:space="preserve"> </w:t>
      </w:r>
      <w:r w:rsidR="002A6498" w:rsidRPr="00313609">
        <w:t xml:space="preserve">There are alternative methods to V2F converters for XBIC DAQ. For example, the voltage output from </w:t>
      </w:r>
      <w:r w:rsidR="0045191A">
        <w:t>PA</w:t>
      </w:r>
      <w:r w:rsidR="002A6498" w:rsidRPr="00313609">
        <w:t xml:space="preserve"> and LIA can be digitized directly, or digital readout of the amplifiers can be integrated in the beamline control system. However, the presented approach is compatible with most synchrotron beamlines, as V2F converters are </w:t>
      </w:r>
      <w:r w:rsidR="00AE1057">
        <w:t>generally available.</w:t>
      </w:r>
    </w:p>
    <w:p w14:paraId="171139E9" w14:textId="77777777" w:rsidR="00F22EB6" w:rsidRPr="00AA595B" w:rsidRDefault="00F22EB6" w:rsidP="00F22EB6">
      <w:pPr>
        <w:pStyle w:val="ac"/>
        <w:ind w:left="0"/>
        <w:contextualSpacing w:val="0"/>
        <w:rPr>
          <w:i/>
          <w:highlight w:val="yellow"/>
        </w:rPr>
      </w:pPr>
    </w:p>
    <w:p w14:paraId="325061CC" w14:textId="15001581" w:rsidR="00B834BF" w:rsidRDefault="00B834BF" w:rsidP="00F22EB6">
      <w:pPr>
        <w:pStyle w:val="ac"/>
        <w:numPr>
          <w:ilvl w:val="0"/>
          <w:numId w:val="20"/>
        </w:numPr>
        <w:ind w:left="0" w:firstLine="0"/>
        <w:contextualSpacing w:val="0"/>
        <w:rPr>
          <w:b/>
        </w:rPr>
      </w:pPr>
      <w:r w:rsidRPr="005D5762">
        <w:rPr>
          <w:b/>
        </w:rPr>
        <w:t xml:space="preserve">XBIC </w:t>
      </w:r>
      <w:r w:rsidR="00B62F8D">
        <w:rPr>
          <w:b/>
        </w:rPr>
        <w:t>m</w:t>
      </w:r>
      <w:r w:rsidRPr="005D5762">
        <w:rPr>
          <w:b/>
        </w:rPr>
        <w:t>easurements</w:t>
      </w:r>
    </w:p>
    <w:p w14:paraId="35875942" w14:textId="77777777" w:rsidR="00F22EB6" w:rsidRPr="005D5762" w:rsidRDefault="00F22EB6" w:rsidP="00F22EB6">
      <w:pPr>
        <w:pStyle w:val="ac"/>
        <w:ind w:left="0"/>
        <w:contextualSpacing w:val="0"/>
        <w:rPr>
          <w:b/>
        </w:rPr>
      </w:pPr>
    </w:p>
    <w:p w14:paraId="7B767034" w14:textId="749457A9" w:rsidR="00CE26F3" w:rsidRDefault="00CE26F3" w:rsidP="00F22EB6">
      <w:pPr>
        <w:pStyle w:val="ac"/>
        <w:numPr>
          <w:ilvl w:val="1"/>
          <w:numId w:val="20"/>
        </w:numPr>
        <w:ind w:left="0" w:firstLine="0"/>
        <w:contextualSpacing w:val="0"/>
      </w:pPr>
      <w:r>
        <w:t>Choose well-suited XBIC measurement conditions in the trade-off of scanning speed, chopper frequency, and low-pass filter settings as discussed later in the manuscript.</w:t>
      </w:r>
    </w:p>
    <w:p w14:paraId="79F3E8F9" w14:textId="77777777" w:rsidR="00F22EB6" w:rsidRDefault="00F22EB6" w:rsidP="00F22EB6">
      <w:pPr>
        <w:pStyle w:val="ac"/>
        <w:ind w:left="0"/>
        <w:contextualSpacing w:val="0"/>
      </w:pPr>
    </w:p>
    <w:p w14:paraId="50C48DAC" w14:textId="58B48518" w:rsidR="00B834BF" w:rsidRPr="00431DEE" w:rsidRDefault="00B834BF" w:rsidP="00F22EB6">
      <w:pPr>
        <w:pStyle w:val="ac"/>
        <w:numPr>
          <w:ilvl w:val="1"/>
          <w:numId w:val="20"/>
        </w:numPr>
        <w:ind w:left="0" w:firstLine="0"/>
        <w:contextualSpacing w:val="0"/>
        <w:rPr>
          <w:b/>
        </w:rPr>
      </w:pPr>
      <w:r w:rsidRPr="00431DEE">
        <w:rPr>
          <w:b/>
        </w:rPr>
        <w:t xml:space="preserve">Optimizing XBIC </w:t>
      </w:r>
      <w:r w:rsidR="00B62F8D" w:rsidRPr="00431DEE">
        <w:rPr>
          <w:b/>
        </w:rPr>
        <w:t>m</w:t>
      </w:r>
      <w:r w:rsidRPr="00431DEE">
        <w:rPr>
          <w:b/>
        </w:rPr>
        <w:t xml:space="preserve">easurement </w:t>
      </w:r>
      <w:r w:rsidR="00B62F8D" w:rsidRPr="00431DEE">
        <w:rPr>
          <w:b/>
        </w:rPr>
        <w:t>p</w:t>
      </w:r>
      <w:r w:rsidRPr="00431DEE">
        <w:rPr>
          <w:b/>
        </w:rPr>
        <w:t>arameters</w:t>
      </w:r>
    </w:p>
    <w:p w14:paraId="2B0AD838" w14:textId="77777777" w:rsidR="00F22EB6" w:rsidRPr="00313609" w:rsidRDefault="00F22EB6" w:rsidP="00F22EB6">
      <w:pPr>
        <w:pStyle w:val="ac"/>
        <w:ind w:left="0"/>
        <w:contextualSpacing w:val="0"/>
      </w:pPr>
    </w:p>
    <w:p w14:paraId="1F7BF307" w14:textId="54261CC7" w:rsidR="007E1221" w:rsidRPr="00B62F8D" w:rsidRDefault="007E1221" w:rsidP="00F22EB6">
      <w:pPr>
        <w:pStyle w:val="ac"/>
        <w:numPr>
          <w:ilvl w:val="2"/>
          <w:numId w:val="20"/>
        </w:numPr>
        <w:contextualSpacing w:val="0"/>
        <w:rPr>
          <w:highlight w:val="yellow"/>
        </w:rPr>
      </w:pPr>
      <w:r w:rsidRPr="00B62F8D">
        <w:rPr>
          <w:highlight w:val="yellow"/>
        </w:rPr>
        <w:t xml:space="preserve">Make sure that </w:t>
      </w:r>
      <w:r w:rsidR="00C61F9D" w:rsidRPr="00B62F8D">
        <w:rPr>
          <w:highlight w:val="yellow"/>
        </w:rPr>
        <w:t xml:space="preserve">the DUT is shielded from </w:t>
      </w:r>
      <w:r w:rsidRPr="00B62F8D">
        <w:rPr>
          <w:highlight w:val="yellow"/>
        </w:rPr>
        <w:t>all lights in the hutch.</w:t>
      </w:r>
    </w:p>
    <w:p w14:paraId="552AD343" w14:textId="77777777" w:rsidR="00F22EB6" w:rsidRPr="0081365D" w:rsidRDefault="00F22EB6" w:rsidP="00F22EB6">
      <w:pPr>
        <w:pStyle w:val="ac"/>
        <w:ind w:left="0"/>
        <w:contextualSpacing w:val="0"/>
        <w:rPr>
          <w:i/>
          <w:highlight w:val="yellow"/>
        </w:rPr>
      </w:pPr>
    </w:p>
    <w:p w14:paraId="71270A76" w14:textId="3D121BC2" w:rsidR="005F3024" w:rsidRDefault="005F3024" w:rsidP="00F22EB6">
      <w:pPr>
        <w:pStyle w:val="ac"/>
        <w:numPr>
          <w:ilvl w:val="2"/>
          <w:numId w:val="20"/>
        </w:numPr>
        <w:contextualSpacing w:val="0"/>
      </w:pPr>
      <w:r w:rsidRPr="00F22EB6">
        <w:t xml:space="preserve">Set all amplifications of </w:t>
      </w:r>
      <w:r w:rsidR="003D6B31" w:rsidRPr="00F22EB6">
        <w:t xml:space="preserve">PA </w:t>
      </w:r>
      <w:r w:rsidRPr="00F22EB6">
        <w:t>and LIA to the minimum, and input ranges to the maximum to avoid oversaturation.</w:t>
      </w:r>
    </w:p>
    <w:p w14:paraId="7ABFB6BE" w14:textId="77777777" w:rsidR="00F22EB6" w:rsidRPr="00F22EB6" w:rsidRDefault="00F22EB6" w:rsidP="00F22EB6">
      <w:pPr>
        <w:pStyle w:val="ac"/>
        <w:ind w:left="0"/>
        <w:contextualSpacing w:val="0"/>
      </w:pPr>
    </w:p>
    <w:p w14:paraId="0F046237" w14:textId="20FB792C" w:rsidR="00CE26F3" w:rsidRPr="00B62F8D" w:rsidRDefault="00C33088" w:rsidP="00F22EB6">
      <w:pPr>
        <w:pStyle w:val="ac"/>
        <w:numPr>
          <w:ilvl w:val="2"/>
          <w:numId w:val="20"/>
        </w:numPr>
        <w:rPr>
          <w:highlight w:val="yellow"/>
        </w:rPr>
      </w:pPr>
      <w:r w:rsidRPr="00B62F8D">
        <w:rPr>
          <w:highlight w:val="yellow"/>
        </w:rPr>
        <w:t>Set the frequency of the chopper, which is the modulation frequency of the signal</w:t>
      </w:r>
      <w:r w:rsidR="007728D2" w:rsidRPr="00B62F8D">
        <w:rPr>
          <w:highlight w:val="yellow"/>
        </w:rPr>
        <w:t xml:space="preserve"> and the reference frequency for its demodulation. </w:t>
      </w:r>
    </w:p>
    <w:p w14:paraId="6A644C4C" w14:textId="77777777" w:rsidR="00F22EB6" w:rsidRDefault="00F22EB6" w:rsidP="00F22EB6">
      <w:pPr>
        <w:pStyle w:val="ac"/>
        <w:ind w:left="0"/>
        <w:rPr>
          <w:i/>
          <w:highlight w:val="yellow"/>
        </w:rPr>
      </w:pPr>
    </w:p>
    <w:p w14:paraId="0088BE28" w14:textId="7D3362C6" w:rsidR="00F22EB6" w:rsidRDefault="00FF2433" w:rsidP="00F22EB6">
      <w:pPr>
        <w:pStyle w:val="ac"/>
        <w:ind w:left="0"/>
        <w:contextualSpacing w:val="0"/>
      </w:pPr>
      <w:r>
        <w:t>NOTE:</w:t>
      </w:r>
      <w:r w:rsidR="00CE26F3" w:rsidRPr="00F22EB6">
        <w:t xml:space="preserve"> </w:t>
      </w:r>
      <w:r w:rsidR="009F0123" w:rsidRPr="00F22EB6">
        <w:t>As a rule of thumb, the frequency</w:t>
      </w:r>
      <w:r w:rsidR="00D60F61" w:rsidRPr="00F22EB6">
        <w:t xml:space="preserve"> selected</w:t>
      </w:r>
      <w:r w:rsidR="009F0123" w:rsidRPr="00F22EB6">
        <w:t xml:space="preserve"> should be as high as possible under the constraints of (a) fast enough response of the DUT, (b) fast enough </w:t>
      </w:r>
      <w:r w:rsidR="009E49A3" w:rsidRPr="00F22EB6">
        <w:t>amplification</w:t>
      </w:r>
      <w:r w:rsidR="009F0123" w:rsidRPr="00F22EB6">
        <w:t xml:space="preserve"> chain, (c) acceptable level of vibrations</w:t>
      </w:r>
      <w:r w:rsidR="00C61F9D" w:rsidRPr="00F22EB6">
        <w:t xml:space="preserve"> induced by the chopper</w:t>
      </w:r>
      <w:r w:rsidR="009F0123" w:rsidRPr="00F22EB6">
        <w:t xml:space="preserve">. Furthermore, frequencies that are </w:t>
      </w:r>
      <w:r w:rsidR="00C33088" w:rsidRPr="00F22EB6">
        <w:t>multiples of common noise frequencies</w:t>
      </w:r>
      <w:r w:rsidR="00733884" w:rsidRPr="00F22EB6">
        <w:t xml:space="preserve"> such as 50/60 Hz or 45 </w:t>
      </w:r>
      <w:r w:rsidR="009F0123" w:rsidRPr="00F22EB6">
        <w:t>kHz should be avoided.</w:t>
      </w:r>
    </w:p>
    <w:p w14:paraId="793CEE16" w14:textId="77777777" w:rsidR="00F22EB6" w:rsidRPr="00F22EB6" w:rsidRDefault="00F22EB6" w:rsidP="00F22EB6">
      <w:pPr>
        <w:pStyle w:val="ac"/>
        <w:ind w:left="0"/>
        <w:contextualSpacing w:val="0"/>
      </w:pPr>
    </w:p>
    <w:p w14:paraId="2641B007" w14:textId="61638387" w:rsidR="00A604EE" w:rsidRPr="00B62F8D" w:rsidRDefault="005F3024" w:rsidP="00F22EB6">
      <w:pPr>
        <w:pStyle w:val="ac"/>
        <w:numPr>
          <w:ilvl w:val="2"/>
          <w:numId w:val="20"/>
        </w:numPr>
      </w:pPr>
      <w:r w:rsidRPr="00B62F8D">
        <w:rPr>
          <w:highlight w:val="yellow"/>
        </w:rPr>
        <w:t xml:space="preserve">Set the amplification of the </w:t>
      </w:r>
      <w:r w:rsidR="003D6B31" w:rsidRPr="00B62F8D">
        <w:rPr>
          <w:highlight w:val="yellow"/>
        </w:rPr>
        <w:t xml:space="preserve">PA </w:t>
      </w:r>
      <w:r w:rsidRPr="00B62F8D">
        <w:rPr>
          <w:highlight w:val="yellow"/>
        </w:rPr>
        <w:t xml:space="preserve">such that (a) the maximum </w:t>
      </w:r>
      <w:r w:rsidR="00597E44" w:rsidRPr="00B62F8D">
        <w:rPr>
          <w:highlight w:val="yellow"/>
        </w:rPr>
        <w:t xml:space="preserve">output </w:t>
      </w:r>
      <w:r w:rsidRPr="00B62F8D">
        <w:rPr>
          <w:highlight w:val="yellow"/>
        </w:rPr>
        <w:t xml:space="preserve">amplitude is well within the maximum input range of the LIA and (b) the response of the </w:t>
      </w:r>
      <w:r w:rsidR="003D6B31" w:rsidRPr="00B62F8D">
        <w:rPr>
          <w:highlight w:val="yellow"/>
        </w:rPr>
        <w:t xml:space="preserve">PA </w:t>
      </w:r>
      <w:r w:rsidRPr="00B62F8D">
        <w:rPr>
          <w:highlight w:val="yellow"/>
        </w:rPr>
        <w:t xml:space="preserve">is fast enough </w:t>
      </w:r>
      <w:r w:rsidR="007E1221" w:rsidRPr="00B62F8D">
        <w:rPr>
          <w:highlight w:val="yellow"/>
        </w:rPr>
        <w:t>for the chosen chopper frequency</w:t>
      </w:r>
      <w:r w:rsidR="007E1221" w:rsidRPr="00B62F8D">
        <w:t xml:space="preserve">. </w:t>
      </w:r>
      <w:r w:rsidR="00F87146" w:rsidRPr="00B62F8D">
        <w:t>F</w:t>
      </w:r>
      <w:r w:rsidR="00454ACC" w:rsidRPr="00B62F8D">
        <w:t xml:space="preserve">or the optimization of the amplifier settings in this tradeoff, we refer to the </w:t>
      </w:r>
      <w:r w:rsidR="00CC738F" w:rsidRPr="00B62F8D">
        <w:t>subsection (b) of the discussion</w:t>
      </w:r>
      <w:r w:rsidR="00454ACC" w:rsidRPr="00B62F8D">
        <w:t>.</w:t>
      </w:r>
    </w:p>
    <w:p w14:paraId="41B9C97B" w14:textId="77777777" w:rsidR="00F22EB6" w:rsidRDefault="00F22EB6" w:rsidP="00F22EB6">
      <w:pPr>
        <w:pStyle w:val="ac"/>
        <w:ind w:left="0"/>
      </w:pPr>
    </w:p>
    <w:p w14:paraId="410AD6C2" w14:textId="2D44738F" w:rsidR="00EB5E5D" w:rsidRPr="00B62F8D" w:rsidRDefault="00B62F8D" w:rsidP="00F22EB6">
      <w:pPr>
        <w:pStyle w:val="ac"/>
        <w:ind w:left="0"/>
        <w:contextualSpacing w:val="0"/>
      </w:pPr>
      <w:r w:rsidRPr="00B62F8D">
        <w:t>CAUTION</w:t>
      </w:r>
      <w:r w:rsidR="00EB5E5D" w:rsidRPr="00B62F8D">
        <w:t xml:space="preserve">: Before </w:t>
      </w:r>
      <w:r w:rsidR="00454ACC" w:rsidRPr="00B62F8D">
        <w:t>allowing more photons onto the DUT</w:t>
      </w:r>
      <w:r w:rsidRPr="00B62F8D">
        <w:t xml:space="preserve"> (</w:t>
      </w:r>
      <w:r w:rsidR="00597E44" w:rsidRPr="00B62F8D">
        <w:t>e.g.</w:t>
      </w:r>
      <w:r w:rsidRPr="00B62F8D">
        <w:t>,</w:t>
      </w:r>
      <w:r w:rsidR="00597E44" w:rsidRPr="00B62F8D">
        <w:t xml:space="preserve"> when entering the hutch</w:t>
      </w:r>
      <w:r w:rsidRPr="00B62F8D">
        <w:t>)</w:t>
      </w:r>
      <w:r w:rsidR="00454ACC" w:rsidRPr="00B62F8D">
        <w:t xml:space="preserve">, </w:t>
      </w:r>
      <w:r w:rsidR="00EB5E5D" w:rsidRPr="00B62F8D">
        <w:t xml:space="preserve">set the </w:t>
      </w:r>
      <w:r w:rsidR="00454ACC" w:rsidRPr="00B62F8D">
        <w:t>amplifiers again to their maximum input range and to their minimum amplification</w:t>
      </w:r>
      <w:r w:rsidR="009E49A3" w:rsidRPr="00B62F8D">
        <w:t xml:space="preserve"> </w:t>
      </w:r>
      <w:r w:rsidR="00EB5E5D" w:rsidRPr="00B62F8D">
        <w:t>to avoid overloading.</w:t>
      </w:r>
      <w:r w:rsidR="00454ACC" w:rsidRPr="00B62F8D">
        <w:t xml:space="preserve"> Ideally, this is implemented directly in the scan commands.</w:t>
      </w:r>
    </w:p>
    <w:p w14:paraId="1E5983E1" w14:textId="77777777" w:rsidR="00F22EB6" w:rsidRDefault="00F22EB6" w:rsidP="00F22EB6">
      <w:pPr>
        <w:pStyle w:val="ac"/>
        <w:ind w:left="0"/>
        <w:contextualSpacing w:val="0"/>
      </w:pPr>
    </w:p>
    <w:p w14:paraId="6C1B4B45" w14:textId="740337F2" w:rsidR="00454ACC" w:rsidRPr="00B62F8D" w:rsidRDefault="00454ACC" w:rsidP="00F22EB6">
      <w:pPr>
        <w:pStyle w:val="ac"/>
        <w:numPr>
          <w:ilvl w:val="2"/>
          <w:numId w:val="20"/>
        </w:numPr>
        <w:contextualSpacing w:val="0"/>
        <w:rPr>
          <w:highlight w:val="yellow"/>
        </w:rPr>
      </w:pPr>
      <w:r w:rsidRPr="00B62F8D">
        <w:rPr>
          <w:highlight w:val="yellow"/>
        </w:rPr>
        <w:t>Set the input range of the LIA to match the signal amplitude after pre</w:t>
      </w:r>
      <w:r w:rsidR="00B10984" w:rsidRPr="00B62F8D">
        <w:rPr>
          <w:highlight w:val="yellow"/>
        </w:rPr>
        <w:t>-</w:t>
      </w:r>
      <w:r w:rsidRPr="00B62F8D">
        <w:rPr>
          <w:highlight w:val="yellow"/>
        </w:rPr>
        <w:t xml:space="preserve">amplification for the </w:t>
      </w:r>
      <w:r w:rsidR="00733884" w:rsidRPr="00B62F8D">
        <w:rPr>
          <w:highlight w:val="yellow"/>
        </w:rPr>
        <w:t>region of interest</w:t>
      </w:r>
      <w:r w:rsidRPr="00B62F8D">
        <w:rPr>
          <w:highlight w:val="yellow"/>
        </w:rPr>
        <w:t xml:space="preserve"> with the strongest signal.</w:t>
      </w:r>
    </w:p>
    <w:p w14:paraId="3A863AD9" w14:textId="77777777" w:rsidR="00F22EB6" w:rsidRPr="00D67FB3" w:rsidRDefault="00F22EB6" w:rsidP="00F22EB6">
      <w:pPr>
        <w:pStyle w:val="ac"/>
        <w:ind w:left="0"/>
        <w:contextualSpacing w:val="0"/>
        <w:rPr>
          <w:i/>
          <w:highlight w:val="yellow"/>
        </w:rPr>
      </w:pPr>
    </w:p>
    <w:p w14:paraId="6123F5C3" w14:textId="68E99622" w:rsidR="00842C03" w:rsidRPr="00B62F8D" w:rsidRDefault="00842C03" w:rsidP="00F22EB6">
      <w:pPr>
        <w:pStyle w:val="ac"/>
        <w:numPr>
          <w:ilvl w:val="2"/>
          <w:numId w:val="20"/>
        </w:numPr>
        <w:contextualSpacing w:val="0"/>
        <w:rPr>
          <w:highlight w:val="yellow"/>
        </w:rPr>
      </w:pPr>
      <w:r w:rsidRPr="00B62F8D">
        <w:rPr>
          <w:highlight w:val="yellow"/>
        </w:rPr>
        <w:t>In the LIA, split and mix the signal from the DUT with the reference s</w:t>
      </w:r>
      <w:r w:rsidR="005D5762" w:rsidRPr="00B62F8D">
        <w:rPr>
          <w:highlight w:val="yellow"/>
        </w:rPr>
        <w:t>ignal from the chopper and a 90</w:t>
      </w:r>
      <w:r w:rsidRPr="00B62F8D">
        <w:rPr>
          <w:highlight w:val="yellow"/>
        </w:rPr>
        <w:t xml:space="preserve">° phase-shifted reference signal as </w:t>
      </w:r>
      <w:r w:rsidR="00CF1F9A" w:rsidRPr="00B62F8D">
        <w:rPr>
          <w:highlight w:val="yellow"/>
        </w:rPr>
        <w:t>discussed in section (c) of the Representative Results</w:t>
      </w:r>
      <w:r w:rsidRPr="00B62F8D">
        <w:rPr>
          <w:highlight w:val="yellow"/>
        </w:rPr>
        <w:t>.</w:t>
      </w:r>
    </w:p>
    <w:p w14:paraId="046E32A8" w14:textId="7C711569" w:rsidR="00475F7C" w:rsidRDefault="00475F7C" w:rsidP="00F22EB6"/>
    <w:p w14:paraId="6E238C87" w14:textId="2E693046" w:rsidR="00D258B1" w:rsidRPr="00B62F8D" w:rsidRDefault="00D258B1" w:rsidP="00F22EB6">
      <w:pPr>
        <w:pStyle w:val="ac"/>
        <w:numPr>
          <w:ilvl w:val="2"/>
          <w:numId w:val="20"/>
        </w:numPr>
        <w:rPr>
          <w:highlight w:val="yellow"/>
        </w:rPr>
      </w:pPr>
      <w:r w:rsidRPr="00B62F8D">
        <w:rPr>
          <w:highlight w:val="yellow"/>
        </w:rPr>
        <w:t xml:space="preserve">Set the low-pass filter frequency of the </w:t>
      </w:r>
      <w:r w:rsidR="000557C6" w:rsidRPr="00B62F8D">
        <w:rPr>
          <w:highlight w:val="yellow"/>
        </w:rPr>
        <w:t>LIA</w:t>
      </w:r>
      <w:r w:rsidRPr="00B62F8D">
        <w:rPr>
          <w:highlight w:val="yellow"/>
        </w:rPr>
        <w:t xml:space="preserve"> to the minimum that is compatible with the scanning speed. </w:t>
      </w:r>
    </w:p>
    <w:p w14:paraId="146DBEBB" w14:textId="77777777" w:rsidR="00F22EB6" w:rsidRPr="00D67FB3" w:rsidRDefault="00F22EB6" w:rsidP="00F22EB6">
      <w:pPr>
        <w:pStyle w:val="ac"/>
        <w:ind w:left="0"/>
        <w:rPr>
          <w:i/>
          <w:highlight w:val="yellow"/>
        </w:rPr>
      </w:pPr>
    </w:p>
    <w:p w14:paraId="08BF4EDF" w14:textId="2B3F2758" w:rsidR="00D01A27" w:rsidRDefault="00FF2433" w:rsidP="00F22EB6">
      <w:pPr>
        <w:pStyle w:val="ac"/>
        <w:ind w:left="0"/>
        <w:contextualSpacing w:val="0"/>
      </w:pPr>
      <w:r>
        <w:t>NOTE:</w:t>
      </w:r>
      <w:r w:rsidR="00D01A27">
        <w:t xml:space="preserve"> </w:t>
      </w:r>
      <w:r w:rsidR="00BD7CAC" w:rsidRPr="00BD7CAC">
        <w:t>As a rule of thumb, set it to at least an order of magnitude below the chopping frequency, and an order of magnitude above the sampling rate.</w:t>
      </w:r>
      <w:r w:rsidR="00BD7CAC">
        <w:t xml:space="preserve"> </w:t>
      </w:r>
      <w:r w:rsidR="00D01A27">
        <w:t>Ideally, the low</w:t>
      </w:r>
      <w:r w:rsidR="0054320A">
        <w:t>-</w:t>
      </w:r>
      <w:r w:rsidR="00D01A27">
        <w:t>pass filter frequency should be chosen such that common noise frequencies are not passed, most i</w:t>
      </w:r>
      <w:r w:rsidR="00CF6230">
        <w:t>mportantly below 50/60 </w:t>
      </w:r>
      <w:r w:rsidR="00D01A27">
        <w:t xml:space="preserve">Hz to cut off the grid frequency. </w:t>
      </w:r>
    </w:p>
    <w:p w14:paraId="2AD899AD" w14:textId="77777777" w:rsidR="00F22EB6" w:rsidRDefault="00F22EB6" w:rsidP="00F22EB6">
      <w:pPr>
        <w:pStyle w:val="ac"/>
        <w:ind w:left="0"/>
        <w:contextualSpacing w:val="0"/>
      </w:pPr>
    </w:p>
    <w:p w14:paraId="426F2A3F" w14:textId="5F7B96FC" w:rsidR="0077648A" w:rsidRDefault="005A2E99" w:rsidP="00F22EB6">
      <w:pPr>
        <w:pStyle w:val="ac"/>
        <w:numPr>
          <w:ilvl w:val="2"/>
          <w:numId w:val="20"/>
        </w:numPr>
        <w:contextualSpacing w:val="0"/>
      </w:pPr>
      <w:r w:rsidRPr="005A2E99">
        <w:t xml:space="preserve">Set the amplification scale for </w:t>
      </w:r>
      <w:r w:rsidR="003B6E2D">
        <w:t xml:space="preserve">the analog </w:t>
      </w:r>
      <w:r w:rsidRPr="005A2E99">
        <w:t>output</w:t>
      </w:r>
      <w:r w:rsidR="003B6E2D">
        <w:t xml:space="preserve"> of the lock-in amplified signal such that it matches the input range of the V2F</w:t>
      </w:r>
      <w:r w:rsidR="00A13BD3">
        <w:t xml:space="preserve"> and does not exceed it</w:t>
      </w:r>
      <w:r w:rsidR="00CF6230">
        <w:t>.</w:t>
      </w:r>
    </w:p>
    <w:p w14:paraId="235C39A9" w14:textId="77777777" w:rsidR="00F22EB6" w:rsidRDefault="00F22EB6" w:rsidP="00F22EB6">
      <w:pPr>
        <w:pStyle w:val="ac"/>
        <w:ind w:left="0"/>
        <w:contextualSpacing w:val="0"/>
      </w:pPr>
    </w:p>
    <w:p w14:paraId="648DEC9E" w14:textId="27427B40" w:rsidR="0011745A" w:rsidRDefault="0077648A" w:rsidP="00F22EB6">
      <w:pPr>
        <w:pStyle w:val="ac"/>
        <w:numPr>
          <w:ilvl w:val="2"/>
          <w:numId w:val="20"/>
        </w:numPr>
        <w:contextualSpacing w:val="0"/>
      </w:pPr>
      <w:r>
        <w:t>S</w:t>
      </w:r>
      <w:r w:rsidR="003B6E2D">
        <w:t>e</w:t>
      </w:r>
      <w:r w:rsidR="005A2E99">
        <w:t xml:space="preserve">t </w:t>
      </w:r>
      <w:r w:rsidR="003B6E2D">
        <w:t xml:space="preserve">soft- or hardware </w:t>
      </w:r>
      <w:r w:rsidR="005A2E99">
        <w:t xml:space="preserve">limits </w:t>
      </w:r>
      <w:r>
        <w:t>for amplifier outputs according to the input range of the following devices</w:t>
      </w:r>
      <w:r w:rsidR="00A13BD3">
        <w:t xml:space="preserve"> to prevent saturation</w:t>
      </w:r>
      <w:r w:rsidR="005A2E99">
        <w:t>.</w:t>
      </w:r>
    </w:p>
    <w:p w14:paraId="3C7F07D0" w14:textId="77777777" w:rsidR="00F22EB6" w:rsidRDefault="00F22EB6" w:rsidP="00F22EB6">
      <w:pPr>
        <w:pStyle w:val="ac"/>
        <w:ind w:left="0"/>
        <w:contextualSpacing w:val="0"/>
      </w:pPr>
    </w:p>
    <w:p w14:paraId="64A58951" w14:textId="478163A1" w:rsidR="00261154" w:rsidRPr="00431DEE" w:rsidRDefault="00261154" w:rsidP="00F22EB6">
      <w:pPr>
        <w:pStyle w:val="ac"/>
        <w:numPr>
          <w:ilvl w:val="1"/>
          <w:numId w:val="20"/>
        </w:numPr>
        <w:ind w:left="0" w:firstLine="0"/>
        <w:rPr>
          <w:b/>
        </w:rPr>
      </w:pPr>
      <w:r w:rsidRPr="00431DEE">
        <w:rPr>
          <w:b/>
        </w:rPr>
        <w:t>Tak</w:t>
      </w:r>
      <w:r w:rsidR="00431DEE" w:rsidRPr="00431DEE">
        <w:rPr>
          <w:b/>
        </w:rPr>
        <w:t>ing</w:t>
      </w:r>
      <w:r w:rsidRPr="00431DEE">
        <w:rPr>
          <w:b/>
        </w:rPr>
        <w:t xml:space="preserve"> </w:t>
      </w:r>
      <w:r w:rsidR="00B834BF" w:rsidRPr="00431DEE">
        <w:rPr>
          <w:b/>
        </w:rPr>
        <w:t xml:space="preserve">XBIC </w:t>
      </w:r>
      <w:r w:rsidR="00431DEE" w:rsidRPr="00431DEE">
        <w:rPr>
          <w:b/>
        </w:rPr>
        <w:t>m</w:t>
      </w:r>
      <w:r w:rsidR="00B834BF" w:rsidRPr="00431DEE">
        <w:rPr>
          <w:b/>
        </w:rPr>
        <w:t>easurements</w:t>
      </w:r>
    </w:p>
    <w:p w14:paraId="6C95DC30" w14:textId="77777777" w:rsidR="00F22EB6" w:rsidRDefault="00F22EB6" w:rsidP="00F22EB6">
      <w:pPr>
        <w:pStyle w:val="ac"/>
        <w:ind w:left="0"/>
      </w:pPr>
    </w:p>
    <w:p w14:paraId="333FFF20" w14:textId="7958946B" w:rsidR="00A73B25" w:rsidRDefault="00FF2433" w:rsidP="00F22EB6">
      <w:r>
        <w:t>NOTE:</w:t>
      </w:r>
      <w:r w:rsidR="00261154" w:rsidRPr="00FD2100">
        <w:t xml:space="preserve"> </w:t>
      </w:r>
      <w:r w:rsidR="00A73B25" w:rsidRPr="00F22EB6">
        <w:t>With proper amplification parameters set for XBIC measurements</w:t>
      </w:r>
      <w:r w:rsidR="00CB1817" w:rsidRPr="00F22EB6">
        <w:t>,</w:t>
      </w:r>
      <w:r w:rsidR="00A73B25" w:rsidRPr="00F22EB6">
        <w:t xml:space="preserve"> and automated control and readout</w:t>
      </w:r>
      <w:r w:rsidR="00CB1817" w:rsidRPr="00F22EB6">
        <w:t xml:space="preserve"> implemented</w:t>
      </w:r>
      <w:r w:rsidR="00A73B25" w:rsidRPr="00F22EB6">
        <w:t>, there is no further action required to take XBIC measurements</w:t>
      </w:r>
      <w:r w:rsidR="00302FBF" w:rsidRPr="00F22EB6">
        <w:t xml:space="preserve"> apart from starting a scan</w:t>
      </w:r>
      <w:r w:rsidR="00A73B25" w:rsidRPr="00F22EB6">
        <w:t>.</w:t>
      </w:r>
    </w:p>
    <w:p w14:paraId="27E60434" w14:textId="77777777" w:rsidR="00F22EB6" w:rsidRPr="00F22EB6" w:rsidRDefault="00F22EB6" w:rsidP="00F22EB6"/>
    <w:p w14:paraId="1B0BF0B6" w14:textId="61E54281" w:rsidR="00B834BF" w:rsidRPr="00431DEE" w:rsidRDefault="00B834BF" w:rsidP="00F22EB6">
      <w:pPr>
        <w:pStyle w:val="ac"/>
        <w:numPr>
          <w:ilvl w:val="1"/>
          <w:numId w:val="20"/>
        </w:numPr>
        <w:ind w:left="0" w:firstLine="0"/>
        <w:contextualSpacing w:val="0"/>
        <w:rPr>
          <w:b/>
        </w:rPr>
      </w:pPr>
      <w:r w:rsidRPr="00431DEE">
        <w:rPr>
          <w:b/>
        </w:rPr>
        <w:t>Post</w:t>
      </w:r>
      <w:r w:rsidR="002123D1" w:rsidRPr="00431DEE">
        <w:rPr>
          <w:b/>
        </w:rPr>
        <w:t>-</w:t>
      </w:r>
      <w:r w:rsidRPr="00431DEE">
        <w:rPr>
          <w:b/>
        </w:rPr>
        <w:t>processing of XBIC Data</w:t>
      </w:r>
    </w:p>
    <w:p w14:paraId="3335349E" w14:textId="77777777" w:rsidR="00F22EB6" w:rsidRPr="00AE5D50" w:rsidRDefault="00F22EB6" w:rsidP="00F22EB6">
      <w:pPr>
        <w:pStyle w:val="ac"/>
        <w:ind w:left="0"/>
        <w:contextualSpacing w:val="0"/>
      </w:pPr>
    </w:p>
    <w:p w14:paraId="341E452B" w14:textId="5495E8CC" w:rsidR="004D24B7" w:rsidRDefault="00D07F82" w:rsidP="00F22EB6">
      <w:pPr>
        <w:pStyle w:val="ac"/>
        <w:numPr>
          <w:ilvl w:val="2"/>
          <w:numId w:val="20"/>
        </w:numPr>
        <w:contextualSpacing w:val="0"/>
      </w:pPr>
      <w:r>
        <w:t xml:space="preserve">Go along the signal chain </w:t>
      </w:r>
      <w:r w:rsidR="005A67B0">
        <w:t xml:space="preserve">from the DUT to the data acquisition unit, where the signal is saved as count rate </w:t>
      </w:r>
      <m:oMath>
        <m:sSub>
          <m:sSubPr>
            <m:ctrlPr>
              <w:rPr>
                <w:rFonts w:ascii="Cambria Math" w:hAnsi="Cambria Math"/>
                <w:i/>
              </w:rPr>
            </m:ctrlPr>
          </m:sSubPr>
          <m:e>
            <m:r>
              <w:rPr>
                <w:rFonts w:ascii="Cambria Math" w:hAnsi="Cambria Math"/>
              </w:rPr>
              <m:t>f</m:t>
            </m:r>
          </m:e>
          <m:sub>
            <m:r>
              <m:rPr>
                <m:sty m:val="p"/>
              </m:rPr>
              <w:rPr>
                <w:rFonts w:ascii="Cambria Math" w:hAnsi="Cambria Math"/>
              </w:rPr>
              <m:t>DAQ</m:t>
            </m:r>
          </m:sub>
        </m:sSub>
      </m:oMath>
      <w:r w:rsidR="005A67B0" w:rsidRPr="00E17959">
        <w:t xml:space="preserve"> (Hz)</w:t>
      </w:r>
      <w:r w:rsidR="005A67B0">
        <w:t xml:space="preserve">, </w:t>
      </w:r>
      <w:r>
        <w:t xml:space="preserve">to convert the count rate back to a current. </w:t>
      </w:r>
    </w:p>
    <w:p w14:paraId="1610ACC2" w14:textId="77777777" w:rsidR="00F22EB6" w:rsidRPr="00447EB8" w:rsidRDefault="00F22EB6" w:rsidP="00F22EB6">
      <w:pPr>
        <w:pStyle w:val="ac"/>
        <w:ind w:left="0"/>
        <w:contextualSpacing w:val="0"/>
      </w:pPr>
    </w:p>
    <w:p w14:paraId="6C97AEBC" w14:textId="0B7BED7F" w:rsidR="005A67B0" w:rsidRDefault="005A67B0" w:rsidP="00F22EB6">
      <w:pPr>
        <w:pStyle w:val="ac"/>
        <w:numPr>
          <w:ilvl w:val="3"/>
          <w:numId w:val="20"/>
        </w:numPr>
        <w:contextualSpacing w:val="0"/>
      </w:pPr>
      <w:r>
        <w:t xml:space="preserve">Get the amplification factor </w:t>
      </w:r>
      <m:oMath>
        <m:sSub>
          <m:sSubPr>
            <m:ctrlPr>
              <w:rPr>
                <w:rFonts w:ascii="Cambria Math" w:hAnsi="Cambria Math"/>
                <w:i/>
              </w:rPr>
            </m:ctrlPr>
          </m:sSubPr>
          <m:e>
            <m:r>
              <w:rPr>
                <w:rFonts w:ascii="Cambria Math" w:hAnsi="Cambria Math"/>
              </w:rPr>
              <m:t>A</m:t>
            </m:r>
          </m:e>
          <m:sub>
            <m:r>
              <m:rPr>
                <m:sty m:val="p"/>
              </m:rPr>
              <w:rPr>
                <w:rFonts w:ascii="Cambria Math" w:hAnsi="Cambria Math"/>
              </w:rPr>
              <m:t>PA</m:t>
            </m:r>
          </m:sub>
        </m:sSub>
      </m:oMath>
      <w:r w:rsidRPr="00E17959">
        <w:t xml:space="preserve"> (V/A)</w:t>
      </w:r>
      <w:r>
        <w:t xml:space="preserve"> at the PA, where </w:t>
      </w:r>
      <w:r w:rsidR="00E17959">
        <w:t>t</w:t>
      </w:r>
      <w:r w:rsidR="00F2682F">
        <w:t xml:space="preserve">he </w:t>
      </w:r>
      <m:oMath>
        <m:sSub>
          <m:sSubPr>
            <m:ctrlPr>
              <w:rPr>
                <w:rFonts w:ascii="Cambria Math" w:hAnsi="Cambria Math"/>
                <w:i/>
              </w:rPr>
            </m:ctrlPr>
          </m:sSubPr>
          <m:e>
            <m:r>
              <w:rPr>
                <w:rFonts w:ascii="Cambria Math" w:hAnsi="Cambria Math"/>
              </w:rPr>
              <m:t>S</m:t>
            </m:r>
          </m:e>
          <m:sub>
            <m:r>
              <m:rPr>
                <m:sty m:val="p"/>
              </m:rPr>
              <w:rPr>
                <w:rFonts w:ascii="Cambria Math" w:hAnsi="Cambria Math"/>
              </w:rPr>
              <m:t>XBIC</m:t>
            </m:r>
          </m:sub>
        </m:sSub>
      </m:oMath>
      <w:r w:rsidR="00533747" w:rsidRPr="00E17959">
        <w:t xml:space="preserve"> </w:t>
      </w:r>
      <w:r>
        <w:t xml:space="preserve">signal </w:t>
      </w:r>
      <w:r w:rsidR="00AF79D0" w:rsidRPr="00E17959">
        <w:t>(</w:t>
      </w:r>
      <w:r w:rsidR="00E17959">
        <w:t xml:space="preserve">measured in </w:t>
      </w:r>
      <w:r w:rsidR="0032575A">
        <w:t>ampere</w:t>
      </w:r>
      <w:r w:rsidR="00AF79D0" w:rsidRPr="00E17959">
        <w:t xml:space="preserve">) </w:t>
      </w:r>
      <w:r w:rsidR="00533747" w:rsidRPr="00E17959">
        <w:t xml:space="preserve">is amplified and converted to a voltage </w:t>
      </w:r>
    </w:p>
    <w:p w14:paraId="2C52D015" w14:textId="77777777" w:rsidR="00F22EB6" w:rsidRDefault="00F22EB6" w:rsidP="00F22EB6">
      <w:pPr>
        <w:pStyle w:val="ac"/>
        <w:ind w:left="0"/>
        <w:contextualSpacing w:val="0"/>
      </w:pPr>
    </w:p>
    <w:p w14:paraId="53C59934" w14:textId="47B48B56" w:rsidR="00276EEA" w:rsidRDefault="005A67B0" w:rsidP="00F22EB6">
      <w:pPr>
        <w:pStyle w:val="ac"/>
        <w:numPr>
          <w:ilvl w:val="3"/>
          <w:numId w:val="20"/>
        </w:numPr>
        <w:contextualSpacing w:val="0"/>
      </w:pPr>
      <w:r>
        <w:t xml:space="preserve">Get the amplification factor </w:t>
      </w:r>
      <m:oMath>
        <m:sSub>
          <m:sSubPr>
            <m:ctrlPr>
              <w:rPr>
                <w:rFonts w:ascii="Cambria Math" w:hAnsi="Cambria Math"/>
                <w:i/>
              </w:rPr>
            </m:ctrlPr>
          </m:sSubPr>
          <m:e>
            <m:r>
              <w:rPr>
                <w:rFonts w:ascii="Cambria Math" w:hAnsi="Cambria Math"/>
              </w:rPr>
              <m:t>A</m:t>
            </m:r>
          </m:e>
          <m:sub>
            <m:r>
              <m:rPr>
                <m:sty m:val="p"/>
              </m:rPr>
              <w:rPr>
                <w:rFonts w:ascii="Cambria Math" w:hAnsi="Cambria Math"/>
              </w:rPr>
              <m:t>LIA</m:t>
            </m:r>
          </m:sub>
        </m:sSub>
      </m:oMath>
      <w:r w:rsidRPr="00E17959">
        <w:t xml:space="preserve"> (V/V)</w:t>
      </w:r>
      <w:r>
        <w:t xml:space="preserve"> at the LIA. </w:t>
      </w:r>
    </w:p>
    <w:p w14:paraId="74522FDD" w14:textId="77777777" w:rsidR="00F22EB6" w:rsidRDefault="00F22EB6" w:rsidP="00F22EB6">
      <w:pPr>
        <w:pStyle w:val="ac"/>
        <w:ind w:left="0"/>
        <w:contextualSpacing w:val="0"/>
      </w:pPr>
    </w:p>
    <w:p w14:paraId="7D388CF1" w14:textId="2E3D4E64" w:rsidR="005A67B0" w:rsidRPr="00AE5D50" w:rsidRDefault="005A67B0" w:rsidP="00F22EB6">
      <w:pPr>
        <w:pStyle w:val="ac"/>
        <w:numPr>
          <w:ilvl w:val="3"/>
          <w:numId w:val="20"/>
        </w:numPr>
        <w:contextualSpacing w:val="0"/>
      </w:pPr>
      <w:r>
        <w:t xml:space="preserve">Get the voltage acceptance </w:t>
      </w:r>
      <w:r w:rsidRPr="00E17959">
        <w:t xml:space="preserve">range </w:t>
      </w:r>
      <m:oMath>
        <m:sSub>
          <m:sSubPr>
            <m:ctrlPr>
              <w:rPr>
                <w:rFonts w:ascii="Cambria Math" w:hAnsi="Cambria Math"/>
                <w:i/>
              </w:rPr>
            </m:ctrlPr>
          </m:sSubPr>
          <m:e>
            <m:r>
              <w:rPr>
                <w:rFonts w:ascii="Cambria Math" w:hAnsi="Cambria Math"/>
              </w:rPr>
              <m:t>R</m:t>
            </m:r>
          </m:e>
          <m:sub>
            <m:r>
              <m:rPr>
                <m:sty m:val="p"/>
              </m:rPr>
              <w:rPr>
                <w:rFonts w:ascii="Cambria Math" w:hAnsi="Cambria Math"/>
              </w:rPr>
              <m:t>V</m:t>
            </m:r>
          </m:sub>
        </m:sSub>
      </m:oMath>
      <w:r w:rsidRPr="00E17959">
        <w:t xml:space="preserve"> (V) </w:t>
      </w:r>
      <w:r>
        <w:t xml:space="preserve">of the V2F converter that is projected onto the frequency range </w:t>
      </w:r>
      <m:oMath>
        <m:sSub>
          <m:sSubPr>
            <m:ctrlPr>
              <w:rPr>
                <w:rFonts w:ascii="Cambria Math" w:hAnsi="Cambria Math"/>
                <w:i/>
              </w:rPr>
            </m:ctrlPr>
          </m:sSubPr>
          <m:e>
            <m:r>
              <w:rPr>
                <w:rFonts w:ascii="Cambria Math" w:hAnsi="Cambria Math"/>
              </w:rPr>
              <m:t>R</m:t>
            </m:r>
          </m:e>
          <m:sub>
            <m:r>
              <m:rPr>
                <m:sty m:val="p"/>
              </m:rPr>
              <w:rPr>
                <w:rFonts w:ascii="Cambria Math" w:hAnsi="Cambria Math"/>
              </w:rPr>
              <m:t>f</m:t>
            </m:r>
          </m:sub>
        </m:sSub>
      </m:oMath>
      <w:r w:rsidRPr="00E17959">
        <w:t xml:space="preserve"> (Hz)</w:t>
      </w:r>
      <w:r>
        <w:t xml:space="preserve">. </w:t>
      </w:r>
    </w:p>
    <w:p w14:paraId="547EA58C" w14:textId="4CA1BA88" w:rsidR="00276EEA" w:rsidRPr="00FD2100" w:rsidRDefault="00276EEA" w:rsidP="00F22EB6">
      <w:pPr>
        <w:rPr>
          <w:highlight w:val="yellow"/>
        </w:rPr>
      </w:pPr>
    </w:p>
    <w:p w14:paraId="66DB1C2F" w14:textId="71850F07" w:rsidR="004E015E" w:rsidRDefault="00B31B6D" w:rsidP="00F22EB6">
      <w:pPr>
        <w:pStyle w:val="ac"/>
        <w:numPr>
          <w:ilvl w:val="3"/>
          <w:numId w:val="20"/>
        </w:numPr>
        <w:contextualSpacing w:val="0"/>
      </w:pPr>
      <w:r>
        <w:t xml:space="preserve">Consider additional waveform factors: </w:t>
      </w:r>
      <w:r w:rsidR="00970066">
        <w:t xml:space="preserve">The output signal of the LIA is the RMS amplitude, but the signal of interest is the peak-to-peak value of the modulated input signal. </w:t>
      </w:r>
    </w:p>
    <w:p w14:paraId="189E82E5" w14:textId="77777777" w:rsidR="00F22EB6" w:rsidRPr="004E015E" w:rsidRDefault="00F22EB6" w:rsidP="00F22EB6">
      <w:pPr>
        <w:pStyle w:val="ac"/>
        <w:ind w:left="0"/>
        <w:contextualSpacing w:val="0"/>
      </w:pPr>
    </w:p>
    <w:p w14:paraId="37BB1D84" w14:textId="711CB01E" w:rsidR="00B31B6D" w:rsidRPr="00AF79D0" w:rsidRDefault="00AF79D0" w:rsidP="00F22EB6">
      <w:pPr>
        <w:pStyle w:val="ac"/>
        <w:numPr>
          <w:ilvl w:val="2"/>
          <w:numId w:val="20"/>
        </w:numPr>
      </w:pPr>
      <w:r w:rsidRPr="00BD3D3D">
        <w:t xml:space="preserve">Multiply the count </w:t>
      </w:r>
      <w:r w:rsidR="00597B67" w:rsidRPr="00BD3D3D">
        <w:t xml:space="preserve">rate </w:t>
      </w:r>
      <w:r w:rsidRPr="00BD3D3D">
        <w:t xml:space="preserve">of each pixel with </w:t>
      </w:r>
      <w:r w:rsidR="00B4763C">
        <w:t>the</w:t>
      </w:r>
      <w:r w:rsidR="00B4763C" w:rsidRPr="00BD3D3D">
        <w:t xml:space="preserve"> </w:t>
      </w:r>
      <w:r w:rsidRPr="00BD3D3D">
        <w:t xml:space="preserve">conversion term </w:t>
      </w:r>
      <m:oMath>
        <m:sSub>
          <m:sSubPr>
            <m:ctrlPr>
              <w:rPr>
                <w:rFonts w:ascii="Cambria Math" w:hAnsi="Cambria Math"/>
                <w:i/>
              </w:rPr>
            </m:ctrlPr>
          </m:sSubPr>
          <m:e>
            <m:r>
              <w:rPr>
                <w:rFonts w:ascii="Cambria Math" w:hAnsi="Cambria Math"/>
              </w:rPr>
              <m:t>H</m:t>
            </m:r>
          </m:e>
          <m:sub>
            <m:r>
              <m:rPr>
                <m:sty m:val="p"/>
              </m:rPr>
              <w:rPr>
                <w:rFonts w:ascii="Cambria Math" w:hAnsi="Cambria Math"/>
              </w:rPr>
              <m:t>conv</m:t>
            </m:r>
          </m:sub>
        </m:sSub>
        <m:r>
          <w:rPr>
            <w:rFonts w:ascii="Cambria Math" w:hAnsi="Cambria Math"/>
          </w:rPr>
          <m:t xml:space="preserve"> </m:t>
        </m:r>
      </m:oMath>
      <w:r w:rsidRPr="00BD3D3D">
        <w:t xml:space="preserve"> </w:t>
      </w:r>
      <w:r w:rsidR="00B31B6D">
        <w:t xml:space="preserve">in the following equation </w:t>
      </w:r>
      <w:r w:rsidRPr="00BD3D3D">
        <w:t>to get the XBIC values i</w:t>
      </w:r>
      <w:r w:rsidR="006B4F3C" w:rsidRPr="00BD3D3D">
        <w:t xml:space="preserve">n </w:t>
      </w:r>
      <w:r w:rsidR="001B119C" w:rsidRPr="00BD3D3D">
        <w:t>a</w:t>
      </w:r>
      <w:r w:rsidR="00F2682F" w:rsidRPr="00BD3D3D">
        <w:t>mpere</w:t>
      </w:r>
      <w:r w:rsidR="00B31B6D">
        <w:t xml:space="preserve"> from the frequency values sorted by the DAQ:</w:t>
      </w:r>
    </w:p>
    <w:p w14:paraId="2068100C" w14:textId="77777777" w:rsidR="00B31B6D" w:rsidRPr="00AF79D0" w:rsidRDefault="00067EFD" w:rsidP="00F22EB6">
      <w:pPr>
        <w:jc w:val="right"/>
      </w:pPr>
      <m:oMath>
        <m:sSub>
          <m:sSubPr>
            <m:ctrlPr>
              <w:rPr>
                <w:rFonts w:ascii="Cambria Math" w:hAnsi="Cambria Math"/>
                <w:i/>
              </w:rPr>
            </m:ctrlPr>
          </m:sSubPr>
          <m:e>
            <m:r>
              <w:rPr>
                <w:rFonts w:ascii="Cambria Math" w:hAnsi="Cambria Math"/>
              </w:rPr>
              <m:t>S</m:t>
            </m:r>
          </m:e>
          <m:sub>
            <m:r>
              <m:rPr>
                <m:sty m:val="p"/>
              </m:rPr>
              <w:rPr>
                <w:rFonts w:ascii="Cambria Math" w:hAnsi="Cambria Math"/>
              </w:rPr>
              <m:t>XBIC</m:t>
            </m:r>
          </m:sub>
        </m:sSub>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DAQ</m:t>
            </m:r>
          </m:sub>
        </m:sSub>
        <m:r>
          <w:rPr>
            <w:rFonts w:ascii="Cambria Math" w:hAnsi="Cambria Math"/>
          </w:rPr>
          <m:t>∙</m:t>
        </m:r>
        <m:sSub>
          <m:sSubPr>
            <m:ctrlPr>
              <w:rPr>
                <w:rFonts w:ascii="Cambria Math" w:hAnsi="Cambria Math"/>
                <w:i/>
              </w:rPr>
            </m:ctrlPr>
          </m:sSubPr>
          <m:e>
            <m:r>
              <w:rPr>
                <w:rFonts w:ascii="Cambria Math" w:hAnsi="Cambria Math"/>
              </w:rPr>
              <m:t>H</m:t>
            </m:r>
          </m:e>
          <m:sub>
            <m:r>
              <m:rPr>
                <m:sty m:val="p"/>
              </m:rPr>
              <w:rPr>
                <w:rFonts w:ascii="Cambria Math" w:hAnsi="Cambria Math"/>
              </w:rPr>
              <m:t>conv</m:t>
            </m:r>
          </m:sub>
        </m:sSub>
        <m:r>
          <w:rPr>
            <w:rFonts w:ascii="Cambria Math" w:hAnsi="Cambria Math"/>
          </w:rPr>
          <m:t xml:space="preserve"> </m:t>
        </m:r>
        <m:r>
          <m:rPr>
            <m:nor/>
          </m:rPr>
          <w:rPr>
            <w:rFonts w:ascii="Cambria Math" w:hAnsi="Cambria Math"/>
          </w:rPr>
          <m:t xml:space="preserve"> </m:t>
        </m:r>
        <m:r>
          <w:rPr>
            <w:rFonts w:ascii="Cambria Math" w:hAnsi="Cambria Math"/>
          </w:rPr>
          <m:t xml:space="preserve"> </m:t>
        </m:r>
      </m:oMath>
      <w:r w:rsidR="00B31B6D">
        <w:t xml:space="preserve"> with </w:t>
      </w:r>
      <m:oMath>
        <m:r>
          <w:rPr>
            <w:rFonts w:ascii="Cambria Math" w:hAnsi="Cambria Math"/>
          </w:rPr>
          <m:t xml:space="preserve"> </m:t>
        </m:r>
        <m:r>
          <m:rPr>
            <m:nor/>
          </m:rPr>
          <w:rPr>
            <w:rFonts w:ascii="Cambria Math" w:hAnsi="Cambria Math"/>
          </w:rPr>
          <m:t xml:space="preserve"> </m:t>
        </m:r>
        <m:r>
          <w:rPr>
            <w:rFonts w:ascii="Cambria Math" w:hAnsi="Cambria Math"/>
          </w:rPr>
          <m:t xml:space="preserve"> </m:t>
        </m:r>
        <m:sSub>
          <m:sSubPr>
            <m:ctrlPr>
              <w:rPr>
                <w:rFonts w:ascii="Cambria Math" w:hAnsi="Cambria Math"/>
                <w:i/>
              </w:rPr>
            </m:ctrlPr>
          </m:sSubPr>
          <m:e>
            <m:r>
              <w:rPr>
                <w:rFonts w:ascii="Cambria Math" w:hAnsi="Cambria Math"/>
              </w:rPr>
              <m:t>H</m:t>
            </m:r>
          </m:e>
          <m:sub>
            <m:r>
              <m:rPr>
                <m:sty m:val="p"/>
              </m:rPr>
              <w:rPr>
                <w:rFonts w:ascii="Cambria Math" w:hAnsi="Cambria Math"/>
              </w:rPr>
              <m:t>conv</m:t>
            </m:r>
          </m:sub>
        </m:sSub>
        <m:r>
          <w:rPr>
            <w:rFonts w:ascii="Cambria Math" w:hAnsi="Cambria Math"/>
          </w:rPr>
          <m:t>=</m:t>
        </m:r>
        <m:f>
          <m:fPr>
            <m:ctrlPr>
              <w:rPr>
                <w:rFonts w:ascii="Cambria Math" w:hAnsi="Cambria Math"/>
                <w:i/>
              </w:rPr>
            </m:ctrlPr>
          </m:fPr>
          <m:num>
            <m:r>
              <w:rPr>
                <w:rFonts w:ascii="Cambria Math" w:hAnsi="Cambria Math"/>
              </w:rPr>
              <m:t>2∙</m:t>
            </m:r>
            <m:sSub>
              <m:sSubPr>
                <m:ctrlPr>
                  <w:rPr>
                    <w:rFonts w:ascii="Cambria Math" w:hAnsi="Cambria Math"/>
                    <w:i/>
                  </w:rPr>
                </m:ctrlPr>
              </m:sSubPr>
              <m:e>
                <m:r>
                  <w:rPr>
                    <w:rFonts w:ascii="Cambria Math" w:hAnsi="Cambria Math"/>
                  </w:rPr>
                  <m:t>W</m:t>
                </m:r>
              </m:e>
              <m:sub>
                <m:r>
                  <m:rPr>
                    <m:sty m:val="p"/>
                  </m:rPr>
                  <w:rPr>
                    <w:rFonts w:ascii="Cambria Math" w:hAnsi="Cambria Math"/>
                  </w:rPr>
                  <m:t>ff</m:t>
                </m:r>
              </m:sub>
            </m:sSub>
            <m:r>
              <w:rPr>
                <w:rFonts w:ascii="Cambria Math" w:hAnsi="Cambria Math"/>
              </w:rPr>
              <m:t>∙</m:t>
            </m:r>
            <m:sSub>
              <m:sSubPr>
                <m:ctrlPr>
                  <w:rPr>
                    <w:rFonts w:ascii="Cambria Math" w:hAnsi="Cambria Math"/>
                    <w:i/>
                  </w:rPr>
                </m:ctrlPr>
              </m:sSubPr>
              <m:e>
                <m:r>
                  <w:rPr>
                    <w:rFonts w:ascii="Cambria Math" w:hAnsi="Cambria Math"/>
                  </w:rPr>
                  <m:t>R</m:t>
                </m:r>
              </m:e>
              <m:sub>
                <m:r>
                  <m:rPr>
                    <m:sty m:val="p"/>
                  </m:rPr>
                  <w:rPr>
                    <w:rFonts w:ascii="Cambria Math" w:hAnsi="Cambria Math"/>
                  </w:rPr>
                  <m:t>V</m:t>
                </m:r>
              </m:sub>
            </m:sSub>
          </m:num>
          <m:den>
            <m:sSub>
              <m:sSubPr>
                <m:ctrlPr>
                  <w:rPr>
                    <w:rFonts w:ascii="Cambria Math" w:hAnsi="Cambria Math"/>
                    <w:i/>
                  </w:rPr>
                </m:ctrlPr>
              </m:sSubPr>
              <m:e>
                <m:sSub>
                  <m:sSubPr>
                    <m:ctrlPr>
                      <w:rPr>
                        <w:rFonts w:ascii="Cambria Math" w:hAnsi="Cambria Math"/>
                        <w:i/>
                      </w:rPr>
                    </m:ctrlPr>
                  </m:sSubPr>
                  <m:e>
                    <m:r>
                      <w:rPr>
                        <w:rFonts w:ascii="Cambria Math" w:hAnsi="Cambria Math"/>
                      </w:rPr>
                      <m:t>A</m:t>
                    </m:r>
                  </m:e>
                  <m:sub>
                    <m:r>
                      <m:rPr>
                        <m:sty m:val="p"/>
                      </m:rPr>
                      <w:rPr>
                        <w:rFonts w:ascii="Cambria Math" w:hAnsi="Cambria Math"/>
                      </w:rPr>
                      <m:t>PA</m:t>
                    </m:r>
                  </m:sub>
                </m:sSub>
                <m:r>
                  <w:rPr>
                    <w:rFonts w:ascii="Cambria Math" w:hAnsi="Cambria Math"/>
                  </w:rPr>
                  <m:t>∙A</m:t>
                </m:r>
              </m:e>
              <m:sub>
                <m:r>
                  <m:rPr>
                    <m:sty m:val="p"/>
                  </m:rPr>
                  <w:rPr>
                    <w:rFonts w:ascii="Cambria Math" w:hAnsi="Cambria Math"/>
                  </w:rPr>
                  <m:t>LIA</m:t>
                </m:r>
              </m:sub>
            </m:sSub>
            <m:r>
              <w:rPr>
                <w:rFonts w:ascii="Cambria Math" w:hAnsi="Cambria Math"/>
              </w:rPr>
              <m:t>∙</m:t>
            </m:r>
            <m:sSub>
              <m:sSubPr>
                <m:ctrlPr>
                  <w:rPr>
                    <w:rFonts w:ascii="Cambria Math" w:hAnsi="Cambria Math"/>
                    <w:i/>
                  </w:rPr>
                </m:ctrlPr>
              </m:sSubPr>
              <m:e>
                <m:r>
                  <w:rPr>
                    <w:rFonts w:ascii="Cambria Math" w:hAnsi="Cambria Math"/>
                  </w:rPr>
                  <m:t>R</m:t>
                </m:r>
              </m:e>
              <m:sub>
                <m:r>
                  <m:rPr>
                    <m:sty m:val="p"/>
                  </m:rPr>
                  <w:rPr>
                    <w:rFonts w:ascii="Cambria Math" w:hAnsi="Cambria Math"/>
                  </w:rPr>
                  <m:t>f</m:t>
                </m:r>
              </m:sub>
            </m:sSub>
          </m:den>
        </m:f>
      </m:oMath>
      <w:r w:rsidR="00B31B6D">
        <w:t xml:space="preserve"> ,</w:t>
      </w:r>
      <w:r w:rsidR="00B31B6D">
        <w:tab/>
      </w:r>
      <w:r w:rsidR="00B31B6D">
        <w:tab/>
      </w:r>
      <w:r w:rsidR="00B31B6D">
        <w:tab/>
        <w:t>(1)</w:t>
      </w:r>
    </w:p>
    <w:p w14:paraId="6B850D27" w14:textId="77777777" w:rsidR="00F71195" w:rsidRDefault="00B31B6D" w:rsidP="00F22EB6">
      <w:pPr>
        <w:pStyle w:val="ac"/>
        <w:ind w:left="0"/>
      </w:pPr>
      <w:r w:rsidRPr="004E015E">
        <w:t>where</w:t>
      </w:r>
      <w:r>
        <w:t xml:space="preserve"> </w:t>
      </w:r>
      <m:oMath>
        <m:sSub>
          <m:sSubPr>
            <m:ctrlPr>
              <w:rPr>
                <w:rFonts w:ascii="Cambria Math" w:hAnsi="Cambria Math"/>
                <w:i/>
              </w:rPr>
            </m:ctrlPr>
          </m:sSubPr>
          <m:e>
            <m:r>
              <w:rPr>
                <w:rFonts w:ascii="Cambria Math" w:hAnsi="Cambria Math"/>
              </w:rPr>
              <m:t>W</m:t>
            </m:r>
          </m:e>
          <m:sub>
            <m:r>
              <m:rPr>
                <m:sty m:val="p"/>
              </m:rPr>
              <w:rPr>
                <w:rFonts w:ascii="Cambria Math" w:hAnsi="Cambria Math"/>
              </w:rPr>
              <m:t>ff</m:t>
            </m:r>
          </m:sub>
        </m:sSub>
      </m:oMath>
      <w:r>
        <w:t xml:space="preserve"> is a factor which depends on the waveform of the modulation</w:t>
      </w:r>
      <w:r>
        <w:fldChar w:fldCharType="begin" w:fldLock="1"/>
      </w:r>
      <w:r>
        <w:instrText>ADDIN CSL_CITATION {"citationItems":[{"id":"ITEM-1","itemData":{"author":[{"dropping-particle":"","family":"Kitchin","given":"Charles","non-dropping-particle":"","parse-names":false,"suffix":""},{"dropping-particle":"","family":"Counts","given":"Lew","non-dropping-particle":"","parse-names":false,"suffix":""}],"edition":"2","id":"ITEM-1","issued":{"date-parts":[["1986"]]},"number-of-pages":"1","publisher":"Analog Devices, Inc.","title":"RMS To DC Conversion Application Guide","type":"book"},"uris":["http://www.mendeley.com/documents/?uuid=3ac8f132-c50e-4124-8576-e1aaaa3b5bd9"]}],"mendeley":{"formattedCitation":"&lt;sup&gt;32&lt;/sup&gt;","plainTextFormattedCitation":"32","previouslyFormattedCitation":"&lt;sup&gt;32&lt;/sup&gt;"},"properties":{"noteIndex":0},"schema":"https://github.com/citation-style-language/schema/raw/master/csl-citation.json"}</w:instrText>
      </w:r>
      <w:r>
        <w:fldChar w:fldCharType="separate"/>
      </w:r>
      <w:r w:rsidRPr="0029714F">
        <w:rPr>
          <w:noProof/>
          <w:vertAlign w:val="superscript"/>
        </w:rPr>
        <w:t>32</w:t>
      </w:r>
      <w:r>
        <w:fldChar w:fldCharType="end"/>
      </w:r>
      <w:r>
        <w:t xml:space="preserve">. </w:t>
      </w:r>
    </w:p>
    <w:p w14:paraId="0E54226F" w14:textId="77777777" w:rsidR="00F71195" w:rsidRDefault="00F71195" w:rsidP="00F22EB6">
      <w:pPr>
        <w:pStyle w:val="ac"/>
        <w:ind w:left="0"/>
      </w:pPr>
    </w:p>
    <w:p w14:paraId="54A15A38" w14:textId="5A8E9169" w:rsidR="006C53C1" w:rsidRDefault="00FF2433" w:rsidP="00F22EB6">
      <w:pPr>
        <w:pStyle w:val="ac"/>
        <w:ind w:left="0"/>
        <w:rPr>
          <w:rFonts w:asciiTheme="majorHAnsi" w:eastAsia="Arial" w:hAnsiTheme="majorHAnsi" w:cs="Arial"/>
        </w:rPr>
      </w:pPr>
      <w:r>
        <w:t>NOTE:</w:t>
      </w:r>
      <w:r w:rsidR="00F71195">
        <w:t xml:space="preserve"> </w:t>
      </w:r>
      <w:r w:rsidR="00B31B6D">
        <w:t xml:space="preserve">For an incoming sine wave, </w:t>
      </w:r>
      <m:oMath>
        <m:sSub>
          <m:sSubPr>
            <m:ctrlPr>
              <w:rPr>
                <w:rFonts w:ascii="Cambria Math" w:hAnsi="Cambria Math"/>
                <w:i/>
              </w:rPr>
            </m:ctrlPr>
          </m:sSubPr>
          <m:e>
            <m:r>
              <w:rPr>
                <w:rFonts w:ascii="Cambria Math" w:hAnsi="Cambria Math"/>
              </w:rPr>
              <m:t>W</m:t>
            </m:r>
          </m:e>
          <m:sub>
            <m:r>
              <m:rPr>
                <m:sty m:val="p"/>
              </m:rPr>
              <w:rPr>
                <w:rFonts w:ascii="Cambria Math" w:hAnsi="Cambria Math"/>
              </w:rPr>
              <m:t>ff</m:t>
            </m:r>
          </m:sub>
        </m:sSub>
        <m:r>
          <w:rPr>
            <w:rFonts w:ascii="Cambria Math" w:hAnsi="Cambria Math"/>
          </w:rPr>
          <m:t>=</m:t>
        </m:r>
      </m:oMath>
      <w:r w:rsidR="00B31B6D">
        <w:t xml:space="preserve"> </w:t>
      </w:r>
      <m:oMath>
        <m:rad>
          <m:radPr>
            <m:degHide m:val="1"/>
            <m:ctrlPr>
              <w:rPr>
                <w:rFonts w:ascii="Cambria Math" w:hAnsi="Cambria Math"/>
                <w:i/>
              </w:rPr>
            </m:ctrlPr>
          </m:radPr>
          <m:deg/>
          <m:e>
            <m:r>
              <w:rPr>
                <w:rFonts w:ascii="Cambria Math" w:hAnsi="Cambria Math"/>
              </w:rPr>
              <m:t>2</m:t>
            </m:r>
          </m:e>
        </m:rad>
      </m:oMath>
      <w:r w:rsidR="00B31B6D">
        <w:t xml:space="preserve">; for a triangle wave, </w:t>
      </w:r>
      <m:oMath>
        <m:sSub>
          <m:sSubPr>
            <m:ctrlPr>
              <w:rPr>
                <w:rFonts w:ascii="Cambria Math" w:hAnsi="Cambria Math"/>
                <w:i/>
              </w:rPr>
            </m:ctrlPr>
          </m:sSubPr>
          <m:e>
            <m:r>
              <w:rPr>
                <w:rFonts w:ascii="Cambria Math" w:hAnsi="Cambria Math"/>
              </w:rPr>
              <m:t>W</m:t>
            </m:r>
          </m:e>
          <m:sub>
            <m:r>
              <m:rPr>
                <m:sty m:val="p"/>
              </m:rPr>
              <w:rPr>
                <w:rFonts w:ascii="Cambria Math" w:hAnsi="Cambria Math"/>
              </w:rPr>
              <m:t>ff</m:t>
            </m:r>
          </m:sub>
        </m:sSub>
        <m:r>
          <w:rPr>
            <w:rFonts w:ascii="Cambria Math" w:hAnsi="Cambria Math"/>
          </w:rPr>
          <m:t>=</m:t>
        </m:r>
      </m:oMath>
      <w:r w:rsidR="00B31B6D">
        <w:t xml:space="preserve"> </w:t>
      </w:r>
      <m:oMath>
        <m:rad>
          <m:radPr>
            <m:degHide m:val="1"/>
            <m:ctrlPr>
              <w:rPr>
                <w:rFonts w:ascii="Cambria Math" w:hAnsi="Cambria Math"/>
                <w:i/>
              </w:rPr>
            </m:ctrlPr>
          </m:radPr>
          <m:deg/>
          <m:e>
            <m:r>
              <w:rPr>
                <w:rFonts w:ascii="Cambria Math" w:hAnsi="Cambria Math"/>
              </w:rPr>
              <m:t>3</m:t>
            </m:r>
          </m:e>
        </m:rad>
      </m:oMath>
      <w:r w:rsidR="00B31B6D">
        <w:t xml:space="preserve">; and for a square wave, </w:t>
      </w:r>
      <m:oMath>
        <m:sSub>
          <m:sSubPr>
            <m:ctrlPr>
              <w:rPr>
                <w:rFonts w:ascii="Cambria Math" w:hAnsi="Cambria Math"/>
                <w:i/>
              </w:rPr>
            </m:ctrlPr>
          </m:sSubPr>
          <m:e>
            <m:r>
              <w:rPr>
                <w:rFonts w:ascii="Cambria Math" w:hAnsi="Cambria Math"/>
              </w:rPr>
              <m:t>W</m:t>
            </m:r>
          </m:e>
          <m:sub>
            <m:r>
              <m:rPr>
                <m:sty m:val="p"/>
              </m:rPr>
              <w:rPr>
                <w:rFonts w:ascii="Cambria Math" w:hAnsi="Cambria Math"/>
              </w:rPr>
              <m:t>ff</m:t>
            </m:r>
          </m:sub>
        </m:sSub>
        <m:r>
          <w:rPr>
            <w:rFonts w:ascii="Cambria Math" w:hAnsi="Cambria Math"/>
          </w:rPr>
          <m:t>=1</m:t>
        </m:r>
      </m:oMath>
      <w:r w:rsidR="00B31B6D">
        <w:t>.</w:t>
      </w:r>
      <w:r w:rsidR="00B31B6D" w:rsidDel="00155F86">
        <w:t xml:space="preserve"> </w:t>
      </w:r>
      <w:r w:rsidR="00EC1AA3">
        <w:t xml:space="preserve"> </w:t>
      </w:r>
      <w:r w:rsidR="00EC1AA3" w:rsidRPr="00EC1AA3">
        <w:rPr>
          <w:rFonts w:asciiTheme="majorHAnsi" w:eastAsia="Arial" w:hAnsiTheme="majorHAnsi" w:cs="Arial"/>
          <w:color w:val="000000"/>
        </w:rPr>
        <w:t>Typical values for the measurement of thin-film solar cells at hard X-ray nanoprobes are:</w:t>
      </w:r>
      <w:r w:rsidR="00EC1AA3">
        <w:rPr>
          <w:rFonts w:asciiTheme="majorHAnsi" w:eastAsia="Arial" w:hAnsiTheme="majorHAnsi" w:cs="Arial"/>
          <w:color w:val="000000"/>
        </w:rPr>
        <w:t xml:space="preserve"> </w:t>
      </w:r>
      <m:oMath>
        <m:sSub>
          <m:sSubPr>
            <m:ctrlPr>
              <w:rPr>
                <w:rFonts w:ascii="Cambria Math" w:hAnsi="Cambria Math"/>
                <w:i/>
              </w:rPr>
            </m:ctrlPr>
          </m:sSubPr>
          <m:e>
            <m:r>
              <w:rPr>
                <w:rFonts w:ascii="Cambria Math" w:hAnsi="Cambria Math"/>
              </w:rPr>
              <m:t>A</m:t>
            </m:r>
          </m:e>
          <m:sub>
            <m:r>
              <m:rPr>
                <m:sty m:val="p"/>
              </m:rPr>
              <w:rPr>
                <w:rFonts w:ascii="Cambria Math" w:hAnsi="Cambria Math"/>
              </w:rPr>
              <m:t>PA</m:t>
            </m:r>
          </m:sub>
        </m:sSub>
        <m:r>
          <w:rPr>
            <w:rFonts w:ascii="Cambria Math" w:eastAsia="Arial" w:hAnsi="Cambria Math" w:cs="Arial"/>
          </w:rPr>
          <m:t xml:space="preserve">=1 </m:t>
        </m:r>
        <m:f>
          <m:fPr>
            <m:type m:val="lin"/>
            <m:ctrlPr>
              <w:rPr>
                <w:rFonts w:ascii="Cambria Math" w:eastAsia="Arial" w:hAnsi="Cambria Math" w:cs="Arial"/>
                <w:i/>
              </w:rPr>
            </m:ctrlPr>
          </m:fPr>
          <m:num>
            <m:r>
              <m:rPr>
                <m:sty m:val="p"/>
              </m:rPr>
              <w:rPr>
                <w:rFonts w:ascii="Cambria Math" w:eastAsia="Arial" w:hAnsi="Cambria Math" w:cs="Arial"/>
              </w:rPr>
              <m:t>MV</m:t>
            </m:r>
          </m:num>
          <m:den>
            <m:r>
              <m:rPr>
                <m:sty m:val="p"/>
              </m:rPr>
              <w:rPr>
                <w:rFonts w:ascii="Cambria Math" w:eastAsia="Arial" w:hAnsi="Cambria Math" w:cs="Arial"/>
              </w:rPr>
              <m:t>A</m:t>
            </m:r>
          </m:den>
        </m:f>
      </m:oMath>
      <w:r w:rsidR="00C82E9E">
        <w:rPr>
          <w:rFonts w:asciiTheme="majorHAnsi" w:eastAsia="Arial" w:hAnsiTheme="majorHAnsi" w:cs="Arial"/>
        </w:rPr>
        <w:t xml:space="preserve">, </w:t>
      </w:r>
      <m:oMath>
        <m:sSub>
          <m:sSubPr>
            <m:ctrlPr>
              <w:rPr>
                <w:rFonts w:ascii="Cambria Math" w:hAnsi="Cambria Math"/>
                <w:i/>
              </w:rPr>
            </m:ctrlPr>
          </m:sSubPr>
          <m:e>
            <m:r>
              <w:rPr>
                <w:rFonts w:ascii="Cambria Math" w:hAnsi="Cambria Math"/>
              </w:rPr>
              <m:t>A</m:t>
            </m:r>
          </m:e>
          <m:sub>
            <m:r>
              <m:rPr>
                <m:sty m:val="p"/>
              </m:rPr>
              <w:rPr>
                <w:rFonts w:ascii="Cambria Math" w:hAnsi="Cambria Math"/>
              </w:rPr>
              <m:t>LIA</m:t>
            </m:r>
          </m:sub>
        </m:sSub>
        <m:r>
          <w:rPr>
            <w:rFonts w:ascii="Cambria Math" w:hAnsi="Cambria Math"/>
          </w:rPr>
          <m:t xml:space="preserve">=100 </m:t>
        </m:r>
        <m:f>
          <m:fPr>
            <m:type m:val="lin"/>
            <m:ctrlPr>
              <w:rPr>
                <w:rFonts w:ascii="Cambria Math" w:hAnsi="Cambria Math"/>
                <w:i/>
              </w:rPr>
            </m:ctrlPr>
          </m:fPr>
          <m:num>
            <m:r>
              <m:rPr>
                <m:sty m:val="p"/>
              </m:rPr>
              <w:rPr>
                <w:rFonts w:ascii="Cambria Math" w:hAnsi="Cambria Math"/>
              </w:rPr>
              <m:t>V</m:t>
            </m:r>
          </m:num>
          <m:den>
            <m:r>
              <m:rPr>
                <m:sty m:val="p"/>
              </m:rPr>
              <w:rPr>
                <w:rFonts w:ascii="Cambria Math" w:hAnsi="Cambria Math"/>
              </w:rPr>
              <m:t>V</m:t>
            </m:r>
          </m:den>
        </m:f>
      </m:oMath>
      <w:r w:rsidR="00CF1A71">
        <w:rPr>
          <w:rFonts w:asciiTheme="majorHAnsi" w:eastAsia="Arial" w:hAnsiTheme="majorHAnsi" w:cs="Arial"/>
        </w:rPr>
        <w:t xml:space="preserve">, </w:t>
      </w:r>
      <m:oMath>
        <m:sSub>
          <m:sSubPr>
            <m:ctrlPr>
              <w:rPr>
                <w:rFonts w:ascii="Cambria Math" w:hAnsi="Cambria Math"/>
                <w:i/>
              </w:rPr>
            </m:ctrlPr>
          </m:sSubPr>
          <m:e>
            <m:r>
              <w:rPr>
                <w:rFonts w:ascii="Cambria Math" w:hAnsi="Cambria Math"/>
              </w:rPr>
              <m:t>R</m:t>
            </m:r>
          </m:e>
          <m:sub>
            <m:r>
              <m:rPr>
                <m:sty m:val="p"/>
              </m:rPr>
              <w:rPr>
                <w:rFonts w:ascii="Cambria Math" w:hAnsi="Cambria Math"/>
              </w:rPr>
              <m:t>V</m:t>
            </m:r>
          </m:sub>
        </m:sSub>
        <m:r>
          <w:rPr>
            <w:rFonts w:ascii="Cambria Math" w:hAnsi="Cambria Math"/>
          </w:rPr>
          <m:t xml:space="preserve">=10 </m:t>
        </m:r>
        <m:r>
          <m:rPr>
            <m:sty m:val="p"/>
          </m:rPr>
          <w:rPr>
            <w:rFonts w:ascii="Cambria Math" w:hAnsi="Cambria Math"/>
          </w:rPr>
          <m:t>V</m:t>
        </m:r>
      </m:oMath>
      <w:r w:rsidR="00CF1A71">
        <w:rPr>
          <w:rFonts w:asciiTheme="majorHAnsi" w:eastAsia="Arial" w:hAnsiTheme="majorHAnsi" w:cs="Arial"/>
        </w:rPr>
        <w:t xml:space="preserve">, </w:t>
      </w:r>
      <m:oMath>
        <m:sSub>
          <m:sSubPr>
            <m:ctrlPr>
              <w:rPr>
                <w:rFonts w:ascii="Cambria Math" w:hAnsi="Cambria Math"/>
                <w:i/>
              </w:rPr>
            </m:ctrlPr>
          </m:sSubPr>
          <m:e>
            <m:r>
              <w:rPr>
                <w:rFonts w:ascii="Cambria Math" w:hAnsi="Cambria Math"/>
              </w:rPr>
              <m:t>R</m:t>
            </m:r>
          </m:e>
          <m:sub>
            <m:r>
              <m:rPr>
                <m:sty m:val="p"/>
              </m:rPr>
              <w:rPr>
                <w:rFonts w:ascii="Cambria Math" w:hAnsi="Cambria Math"/>
              </w:rPr>
              <m:t>F</m:t>
            </m:r>
          </m:sub>
        </m:sSub>
        <m:r>
          <w:rPr>
            <w:rFonts w:ascii="Cambria Math" w:eastAsia="Arial" w:hAnsi="Cambria Math" w:cs="Arial"/>
          </w:rPr>
          <m:t>=</m:t>
        </m:r>
        <m:sSup>
          <m:sSupPr>
            <m:ctrlPr>
              <w:rPr>
                <w:rFonts w:ascii="Cambria Math" w:eastAsia="Arial" w:hAnsi="Cambria Math" w:cs="Arial"/>
                <w:i/>
              </w:rPr>
            </m:ctrlPr>
          </m:sSupPr>
          <m:e>
            <m:r>
              <w:rPr>
                <w:rFonts w:ascii="Cambria Math" w:eastAsia="Arial" w:hAnsi="Cambria Math" w:cs="Arial"/>
              </w:rPr>
              <m:t>10</m:t>
            </m:r>
          </m:e>
          <m:sup>
            <m:r>
              <w:rPr>
                <w:rFonts w:ascii="Cambria Math" w:eastAsia="Arial" w:hAnsi="Cambria Math" w:cs="Arial"/>
              </w:rPr>
              <m:t>6</m:t>
            </m:r>
          </m:sup>
        </m:sSup>
        <m:r>
          <w:rPr>
            <w:rFonts w:ascii="Cambria Math" w:eastAsia="Arial" w:hAnsi="Cambria Math" w:cs="Arial"/>
          </w:rPr>
          <m:t xml:space="preserve"> </m:t>
        </m:r>
        <m:r>
          <m:rPr>
            <m:sty m:val="p"/>
          </m:rPr>
          <w:rPr>
            <w:rFonts w:ascii="Cambria Math" w:eastAsia="Arial" w:hAnsi="Cambria Math" w:cs="Arial"/>
          </w:rPr>
          <m:t>Hz</m:t>
        </m:r>
      </m:oMath>
      <w:r w:rsidR="00CF1A71">
        <w:rPr>
          <w:rFonts w:asciiTheme="majorHAnsi" w:eastAsia="Arial" w:hAnsiTheme="majorHAnsi" w:cs="Arial"/>
        </w:rPr>
        <w:t>.</w:t>
      </w:r>
    </w:p>
    <w:p w14:paraId="7A9A5936" w14:textId="77777777" w:rsidR="00F22EB6" w:rsidRDefault="00F22EB6" w:rsidP="00F22EB6">
      <w:pPr>
        <w:pStyle w:val="ac"/>
        <w:ind w:left="0"/>
        <w:contextualSpacing w:val="0"/>
        <w:rPr>
          <w:rFonts w:asciiTheme="majorHAnsi" w:eastAsia="Arial" w:hAnsiTheme="majorHAnsi" w:cs="Arial"/>
        </w:rPr>
      </w:pPr>
    </w:p>
    <w:p w14:paraId="03BBA9BF" w14:textId="36EF9BA3" w:rsidR="00F2682F" w:rsidRPr="00E012E0" w:rsidRDefault="00F2682F" w:rsidP="00F22EB6">
      <w:pPr>
        <w:pStyle w:val="ac"/>
        <w:numPr>
          <w:ilvl w:val="2"/>
          <w:numId w:val="20"/>
        </w:numPr>
      </w:pPr>
      <w:r>
        <w:t xml:space="preserve">For </w:t>
      </w:r>
      <w:r w:rsidR="00BD5EB2">
        <w:t>the eventual</w:t>
      </w:r>
      <w:r w:rsidR="00B4763C">
        <w:t xml:space="preserve"> </w:t>
      </w:r>
      <w:r>
        <w:t xml:space="preserve">correction of the </w:t>
      </w:r>
      <w:r w:rsidR="00F71195">
        <w:t xml:space="preserve">raw </w:t>
      </w:r>
      <w:r>
        <w:t xml:space="preserve">XBIC signal </w:t>
      </w:r>
      <m:oMath>
        <m:sSub>
          <m:sSubPr>
            <m:ctrlPr>
              <w:rPr>
                <w:rFonts w:ascii="Cambria Math" w:hAnsi="Cambria Math"/>
                <w:i/>
              </w:rPr>
            </m:ctrlPr>
          </m:sSubPr>
          <m:e>
            <m:r>
              <w:rPr>
                <w:rFonts w:ascii="Cambria Math" w:hAnsi="Cambria Math"/>
              </w:rPr>
              <m:t xml:space="preserve"> S</m:t>
            </m:r>
          </m:e>
          <m:sub>
            <m:r>
              <m:rPr>
                <m:sty m:val="p"/>
              </m:rPr>
              <w:rPr>
                <w:rFonts w:ascii="Cambria Math" w:hAnsi="Cambria Math"/>
              </w:rPr>
              <m:t>XBIC</m:t>
            </m:r>
          </m:sub>
        </m:sSub>
      </m:oMath>
      <w:r w:rsidR="00F71195">
        <w:t xml:space="preserve"> </w:t>
      </w:r>
      <w:r>
        <w:t>for topological variations, use</w:t>
      </w:r>
      <w:r>
        <w:fldChar w:fldCharType="begin" w:fldLock="1"/>
      </w:r>
      <w:r w:rsidR="008F7C07">
        <w:instrText>ADDIN CSL_CITATION {"citationItems":[{"id":"ITEM-1","itemData":{"author":[{"dropping-particle":"","family":"Stuckelberger","given":"Michael E","non-dropping-particle":"","parse-names":false,"suffix":""},{"dropping-particle":"","family":"Nietzold","given":"Tara","non-dropping-particle":"","parse-names":false,"suffix":""},{"dropping-particle":"","family":"West","given":"Bradley M","non-dropping-particle":"","parse-names":false,"suffix":""},{"dropping-particle":"","family":"Lai","given":"Barry","non-dropping-particle":"","parse-names":false,"suffix":""},{"dropping-particle":"","family":"Maser","given":"M","non-dropping-particle":"","parse-names":false,"suffix":""},{"dropping-particle":"","family":"Rose","given":"Volker","non-dropping-particle":"","parse-names":false,"suffix":""},{"dropping-particle":"","family":"Bertoni","given":"Mariana I","non-dropping-particle":"","parse-names":false,"suffix":""}],"container-title":"2017 IEEE 44th Photovoltaic Specialist Conference, PVSC 2017","id":"ITEM-1","issued":{"date-parts":[["2017"]]},"title":"X-Ray Beam Induced Voltage: A Novel Technique for Electrical Nanocharacterization of Solar Cells","type":"article-journal"},"uris":["http://www.mendeley.com/documents/?uuid=4dde74b1-f089-47e8-abb8-92450878c3a5"]}],"mendeley":{"formattedCitation":"&lt;sup&gt;28&lt;/sup&gt;","plainTextFormattedCitation":"28","previouslyFormattedCitation":"&lt;sup&gt;28&lt;/sup&gt;"},"properties":{"noteIndex":0},"schema":"https://github.com/citation-style-language/schema/raw/master/csl-citation.json"}</w:instrText>
      </w:r>
      <w:r>
        <w:fldChar w:fldCharType="separate"/>
      </w:r>
      <w:r w:rsidR="001E7A73" w:rsidRPr="00BD5EB2">
        <w:rPr>
          <w:noProof/>
          <w:vertAlign w:val="superscript"/>
        </w:rPr>
        <w:t>28</w:t>
      </w:r>
      <w:r>
        <w:fldChar w:fldCharType="end"/>
      </w:r>
      <w:r w:rsidR="007B42AB">
        <w:t>:</w:t>
      </w:r>
    </w:p>
    <w:p w14:paraId="516BAE6C" w14:textId="5D4BD8D2" w:rsidR="00F2682F" w:rsidRPr="0009589B" w:rsidRDefault="00067EFD" w:rsidP="00F22EB6">
      <w:pPr>
        <w:jc w:val="right"/>
      </w:pPr>
      <m:oMath>
        <m:sSubSup>
          <m:sSubSupPr>
            <m:ctrlPr>
              <w:rPr>
                <w:rFonts w:ascii="Cambria Math" w:hAnsi="Cambria Math"/>
                <w:i/>
              </w:rPr>
            </m:ctrlPr>
          </m:sSubSupPr>
          <m:e>
            <m:r>
              <w:rPr>
                <w:rFonts w:ascii="Cambria Math" w:hAnsi="Cambria Math"/>
              </w:rPr>
              <m:t>S</m:t>
            </m:r>
          </m:e>
          <m:sub>
            <m:r>
              <m:rPr>
                <m:sty m:val="p"/>
              </m:rPr>
              <w:rPr>
                <w:rFonts w:ascii="Cambria Math" w:hAnsi="Cambria Math"/>
              </w:rPr>
              <m:t>XBIC</m:t>
            </m:r>
          </m:sub>
          <m:sup>
            <m:r>
              <w:rPr>
                <w:rFonts w:ascii="Cambria Math" w:hAnsi="Cambria Math"/>
              </w:rPr>
              <m:t>*</m:t>
            </m:r>
          </m:sup>
        </m:sSubSup>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m:rPr>
                    <m:sty m:val="p"/>
                  </m:rPr>
                  <w:rPr>
                    <w:rFonts w:ascii="Cambria Math" w:hAnsi="Cambria Math"/>
                  </w:rPr>
                  <m:t>XBIC</m:t>
                </m:r>
              </m:sub>
            </m:sSub>
          </m:num>
          <m:den>
            <m:r>
              <w:rPr>
                <w:rFonts w:ascii="Cambria Math" w:hAnsi="Cambria Math"/>
              </w:rPr>
              <m:t>1-</m:t>
            </m:r>
            <m:r>
              <m:rPr>
                <m:sty m:val="p"/>
              </m:rPr>
              <w:rPr>
                <w:rFonts w:ascii="Cambria Math" w:hAnsi="Cambria Math"/>
              </w:rPr>
              <m:t>exp⁡</m:t>
            </m:r>
            <m:r>
              <w:rPr>
                <w:rFonts w:ascii="Cambria Math" w:hAnsi="Cambria Math"/>
              </w:rPr>
              <m:t>(-</m:t>
            </m:r>
            <m:nary>
              <m:naryPr>
                <m:chr m:val="∑"/>
                <m:limLoc m:val="subSup"/>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α</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i</m:t>
                    </m:r>
                  </m:sub>
                </m:sSub>
              </m:e>
            </m:nary>
            <m:r>
              <w:rPr>
                <w:rFonts w:ascii="Cambria Math" w:hAnsi="Cambria Math"/>
              </w:rPr>
              <m:t>)</m:t>
            </m:r>
          </m:den>
        </m:f>
      </m:oMath>
      <w:r w:rsidR="001D082B">
        <w:t xml:space="preserve"> ,</w:t>
      </w:r>
      <w:r w:rsidR="00F2682F">
        <w:tab/>
      </w:r>
      <w:r w:rsidR="00F2682F">
        <w:tab/>
      </w:r>
      <w:r w:rsidR="00F2682F">
        <w:tab/>
      </w:r>
      <w:r w:rsidR="00F2682F">
        <w:tab/>
        <w:t>(2)</w:t>
      </w:r>
    </w:p>
    <w:p w14:paraId="28F1CB8A" w14:textId="076015F3" w:rsidR="00F2682F" w:rsidRDefault="00F2682F" w:rsidP="00F22EB6">
      <w:r>
        <w:t xml:space="preserve">with </w:t>
      </w:r>
      <m:oMath>
        <m:sSub>
          <m:sSubPr>
            <m:ctrlPr>
              <w:rPr>
                <w:rFonts w:ascii="Cambria Math" w:hAnsi="Cambria Math"/>
                <w:i/>
              </w:rPr>
            </m:ctrlPr>
          </m:sSubPr>
          <m:e>
            <m:r>
              <w:rPr>
                <w:rFonts w:ascii="Cambria Math" w:hAnsi="Cambria Math"/>
              </w:rPr>
              <m:t>α</m:t>
            </m:r>
          </m:e>
          <m:sub>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i</m:t>
                </m:r>
              </m:sub>
            </m:sSub>
          </m:num>
          <m:den>
            <m:sSub>
              <m:sSubPr>
                <m:ctrlPr>
                  <w:rPr>
                    <w:rFonts w:ascii="Cambria Math" w:hAnsi="Cambria Math"/>
                    <w:i/>
                  </w:rPr>
                </m:ctrlPr>
              </m:sSubPr>
              <m:e>
                <m:r>
                  <w:rPr>
                    <w:rFonts w:ascii="Cambria Math" w:hAnsi="Cambria Math"/>
                  </w:rPr>
                  <m:t>ρ</m:t>
                </m:r>
              </m:e>
              <m:sub>
                <m:r>
                  <w:rPr>
                    <w:rFonts w:ascii="Cambria Math" w:hAnsi="Cambria Math"/>
                  </w:rPr>
                  <m:t>i</m:t>
                </m:r>
              </m:sub>
            </m:sSub>
          </m:den>
        </m:f>
        <m:r>
          <w:rPr>
            <w:rFonts w:ascii="Cambria Math" w:hAnsi="Cambria Math"/>
          </w:rPr>
          <m:t xml:space="preserve"> </m:t>
        </m:r>
        <m:d>
          <m:dPr>
            <m:begChr m:val="["/>
            <m:endChr m:val="]"/>
            <m:ctrlPr>
              <w:rPr>
                <w:rFonts w:ascii="Cambria Math" w:hAnsi="Cambria Math"/>
              </w:rPr>
            </m:ctrlPr>
          </m:dPr>
          <m:e>
            <m:f>
              <m:fPr>
                <m:ctrlPr>
                  <w:rPr>
                    <w:rFonts w:ascii="Cambria Math" w:hAnsi="Cambria Math"/>
                  </w:rPr>
                </m:ctrlPr>
              </m:fPr>
              <m:num>
                <m:sSup>
                  <m:sSupPr>
                    <m:ctrlPr>
                      <w:rPr>
                        <w:rFonts w:ascii="Cambria Math" w:hAnsi="Cambria Math"/>
                      </w:rPr>
                    </m:ctrlPr>
                  </m:sSupPr>
                  <m:e>
                    <m:r>
                      <m:rPr>
                        <m:sty m:val="p"/>
                      </m:rPr>
                      <w:rPr>
                        <w:rFonts w:ascii="Cambria Math" w:hAnsi="Cambria Math"/>
                      </w:rPr>
                      <m:t>cm</m:t>
                    </m:r>
                  </m:e>
                  <m:sup>
                    <m:r>
                      <m:rPr>
                        <m:sty m:val="p"/>
                      </m:rPr>
                      <w:rPr>
                        <w:rFonts w:ascii="Cambria Math" w:hAnsi="Cambria Math"/>
                      </w:rPr>
                      <m:t>2</m:t>
                    </m:r>
                  </m:sup>
                </m:sSup>
              </m:num>
              <m:den>
                <m:r>
                  <m:rPr>
                    <m:sty m:val="p"/>
                  </m:rPr>
                  <w:rPr>
                    <w:rFonts w:ascii="Cambria Math" w:hAnsi="Cambria Math"/>
                  </w:rPr>
                  <m:t>g</m:t>
                </m:r>
              </m:den>
            </m:f>
          </m:e>
        </m:d>
      </m:oMath>
      <w:r>
        <w:t xml:space="preserve"> </w:t>
      </w:r>
      <w:r w:rsidR="00F71195">
        <w:t xml:space="preserve">being </w:t>
      </w:r>
      <w:r>
        <w:t>the X-ray attenuation coefficient</w:t>
      </w:r>
      <w:r>
        <w:fldChar w:fldCharType="begin" w:fldLock="1"/>
      </w:r>
      <w:r w:rsidR="00E12688">
        <w:instrText>ADDIN CSL_CITATION {"citationItems":[{"id":"ITEM-1","itemData":{"author":[{"dropping-particle":"","family":"Hubbell","given":"J. H.","non-dropping-particle":"","parse-names":false,"suffix":""},{"dropping-particle":"","family":"Seltzer","given":"S. M.","non-dropping-particle":"","parse-names":false,"suffix":""}],"id":"ITEM-1","issued":{"date-parts":[["2004"]]},"title":"X-Ray Mass Attenuation Coefficients - NIST Standard Reference Database 126","type":"webpage"},"uris":["http://www.mendeley.com/documents/?uuid=85b25ada-0d00-4480-9c3c-49f1cb4a8137"]}],"mendeley":{"formattedCitation":"&lt;sup&gt;33&lt;/sup&gt;","plainTextFormattedCitation":"33","previouslyFormattedCitation":"&lt;sup&gt;33&lt;/sup&gt;"},"properties":{"noteIndex":0},"schema":"https://github.com/citation-style-language/schema/raw/master/csl-citation.json"}</w:instrText>
      </w:r>
      <w:r>
        <w:fldChar w:fldCharType="separate"/>
      </w:r>
      <w:r w:rsidR="0029714F" w:rsidRPr="0029714F">
        <w:rPr>
          <w:noProof/>
          <w:vertAlign w:val="superscript"/>
        </w:rPr>
        <w:t>33</w:t>
      </w:r>
      <w:r>
        <w:fldChar w:fldCharType="end"/>
      </w:r>
      <w:r>
        <w:t xml:space="preserve"> and </w:t>
      </w:r>
      <m:oMath>
        <m:sSub>
          <m:sSubPr>
            <m:ctrlPr>
              <w:rPr>
                <w:rFonts w:ascii="Cambria Math" w:hAnsi="Cambria Math"/>
                <w:i/>
              </w:rPr>
            </m:ctrlPr>
          </m:sSubPr>
          <m:e>
            <m:r>
              <w:rPr>
                <w:rFonts w:ascii="Cambria Math" w:hAnsi="Cambria Math"/>
              </w:rPr>
              <m:t>m</m:t>
            </m:r>
          </m:e>
          <m:sub>
            <m:r>
              <w:rPr>
                <w:rFonts w:ascii="Cambria Math" w:hAnsi="Cambria Math"/>
              </w:rPr>
              <m:t>i</m:t>
            </m:r>
          </m:sub>
        </m:sSub>
        <m:r>
          <w:rPr>
            <w:rFonts w:ascii="Cambria Math" w:hAnsi="Cambria Math"/>
          </w:rPr>
          <m:t xml:space="preserve"> </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g</m:t>
                </m:r>
              </m:num>
              <m:den>
                <m:sSup>
                  <m:sSupPr>
                    <m:ctrlPr>
                      <w:rPr>
                        <w:rFonts w:ascii="Cambria Math" w:hAnsi="Cambria Math"/>
                      </w:rPr>
                    </m:ctrlPr>
                  </m:sSupPr>
                  <m:e>
                    <m:r>
                      <m:rPr>
                        <m:sty m:val="p"/>
                      </m:rPr>
                      <w:rPr>
                        <w:rFonts w:ascii="Cambria Math" w:hAnsi="Cambria Math"/>
                      </w:rPr>
                      <m:t>cm</m:t>
                    </m:r>
                  </m:e>
                  <m:sup>
                    <m:r>
                      <m:rPr>
                        <m:sty m:val="p"/>
                      </m:rPr>
                      <w:rPr>
                        <w:rFonts w:ascii="Cambria Math" w:hAnsi="Cambria Math"/>
                      </w:rPr>
                      <m:t>2</m:t>
                    </m:r>
                  </m:sup>
                </m:sSup>
              </m:den>
            </m:f>
          </m:e>
        </m:d>
      </m:oMath>
      <w:r>
        <w:t xml:space="preserve"> the mass density for the absorber element </w:t>
      </w:r>
      <m:oMath>
        <m:r>
          <w:rPr>
            <w:rFonts w:ascii="Cambria Math" w:hAnsi="Cambria Math"/>
          </w:rPr>
          <m:t>i</m:t>
        </m:r>
      </m:oMath>
      <w:r>
        <w:t xml:space="preserve"> which can be measured through simultaneous XRF measurements</w:t>
      </w:r>
      <w:r>
        <w:fldChar w:fldCharType="begin" w:fldLock="1"/>
      </w:r>
      <w:r w:rsidR="00155F86">
        <w:instrText>ADDIN CSL_CITATION {"citationItems":[{"id":"ITEM-1","itemData":{"DOI":"10.1107/S1600577516015721","ISBN":"1600-5775","ISSN":"16005775","abstract":"The study of a multilayered and multicomponent system by spatially resolved X-ray fluorescence microscopy poses unique challenges in achieving accurate quantification of elemental distributions. This is particularly true for the quantification of materials with high X-ray attenuation coefficients, depth-dependent composition variations and thickness variations. A widely applicable procedure for use after spectrum fitting and quantification is described. This procedure corrects the elemental distribution from the measured fluorescence signal, taking into account attenuation of the incident beam and generated fluorescence from multiple layers, and accounts for sample thickness variations. Deriving from Beer–Lambert's law, formulae are presented in a general integral form and numerically applicable framework. The procedure is applied using experimental data from a solar cell with a Cu(In,Ga)Se 2 absorber layer, measured at two separate synchrotron beamlines with varied measurement geometries. This example shows the importance of these corrections in real material systems, which can change the interpretation of the measured distributions dramatically.","author":[{"dropping-particle":"","family":"West","given":"Bradley M.","non-dropping-particle":"","parse-names":false,"suffix":""},{"dropping-particle":"","family":"Stuckelberger","given":"Michael","non-dropping-particle":"","parse-names":false,"suffix":""},{"dropping-particle":"","family":"Jeffries","given":"April","non-dropping-particle":"","parse-names":false,"suffix":""},{"dropping-particle":"","family":"Gangam","given":"Srikanth","non-dropping-particle":"","parse-names":false,"suffix":""},{"dropping-particle":"","family":"Lai","given":"Barry","non-dropping-particle":"","parse-names":false,"suffix":""},{"dropping-particle":"","family":"Stripe","given":"Benjamin","non-dropping-particle":"","parse-names":false,"suffix":""},{"dropping-particle":"","family":"Maser","given":"Jörg","non-dropping-particle":"","parse-names":false,"suffix":""},{"dropping-particle":"","family":"Rose","given":"Volker","non-dropping-particle":"","parse-names":false,"suffix":""},{"dropping-particle":"","family":"Vogt","given":"Stefan","non-dropping-particle":"","parse-names":false,"suffix":""},{"dropping-particle":"","family":"Bertoni","given":"Mariana I.","non-dropping-particle":"","parse-names":false,"suffix":""}],"container-title":"Journal of Synchrotron Radiation","id":"ITEM-1","issue":"1","issued":{"date-parts":[["2017"]]},"page":"288-295","publisher":"International Union of Crystallography","title":"X-ray fluorescence at nanoscale resolution for multicomponent layered structures: A solar cell case study","type":"article-journal","volume":"24"},"uris":["http://www.mendeley.com/documents/?uuid=f6492e83-45e1-4177-95b9-a7ec539e6101"]}],"mendeley":{"formattedCitation":"&lt;sup&gt;17&lt;/sup&gt;","plainTextFormattedCitation":"17","previouslyFormattedCitation":"&lt;sup&gt;17&lt;/sup&gt;"},"properties":{"noteIndex":0},"schema":"https://github.com/citation-style-language/schema/raw/master/csl-citation.json"}</w:instrText>
      </w:r>
      <w:r>
        <w:fldChar w:fldCharType="separate"/>
      </w:r>
      <w:r w:rsidR="001E7A73" w:rsidRPr="001E7A73">
        <w:rPr>
          <w:noProof/>
          <w:vertAlign w:val="superscript"/>
        </w:rPr>
        <w:t>17</w:t>
      </w:r>
      <w:r>
        <w:fldChar w:fldCharType="end"/>
      </w:r>
      <w:r w:rsidR="007B42AB">
        <w:t>.</w:t>
      </w:r>
    </w:p>
    <w:p w14:paraId="233B2C59" w14:textId="77777777" w:rsidR="00C976E3" w:rsidRDefault="00C976E3" w:rsidP="0036510A">
      <w:pPr>
        <w:pStyle w:val="ac"/>
        <w:ind w:left="0"/>
      </w:pPr>
    </w:p>
    <w:p w14:paraId="7434126E" w14:textId="6EBF5BC1" w:rsidR="004A749A" w:rsidRDefault="00C27809" w:rsidP="00F22EB6">
      <w:pPr>
        <w:pStyle w:val="ac"/>
        <w:numPr>
          <w:ilvl w:val="2"/>
          <w:numId w:val="20"/>
        </w:numPr>
      </w:pPr>
      <w:r>
        <w:t xml:space="preserve">For </w:t>
      </w:r>
      <w:r w:rsidR="00F85C74">
        <w:t>the</w:t>
      </w:r>
      <w:r w:rsidR="00BD5EB2">
        <w:t xml:space="preserve"> eventual</w:t>
      </w:r>
      <w:r w:rsidR="00F85C74">
        <w:t xml:space="preserve"> </w:t>
      </w:r>
      <w:r>
        <w:t>conversion of the XBIC signal into charge collection efficiency</w:t>
      </w:r>
      <w:r w:rsidR="00F85C74">
        <w:t>,</w:t>
      </w:r>
      <w:r w:rsidR="00D94E3A">
        <w:t xml:space="preserve"> </w:t>
      </w:r>
      <m:oMath>
        <m:r>
          <w:rPr>
            <w:rFonts w:ascii="Cambria Math" w:hAnsi="Cambria Math"/>
          </w:rPr>
          <m:t>η</m:t>
        </m:r>
      </m:oMath>
      <w:r w:rsidR="005D5762">
        <w:t>,</w:t>
      </w:r>
      <w:r>
        <w:t xml:space="preserve"> </w:t>
      </w:r>
      <w:r w:rsidR="004A749A">
        <w:t>use</w:t>
      </w:r>
      <w:r w:rsidR="007B42AB">
        <w:fldChar w:fldCharType="begin" w:fldLock="1"/>
      </w:r>
      <w:r w:rsidR="00155F86">
        <w:instrText>ADDIN CSL_CITATION {"citationItems":[{"id":"ITEM-1","itemData":{"DOI":"10.1557/jmr.2017.108","ISSN":"0884-2914","abstract":"&lt;p&gt; &lt;fig position=\"anchor\"&gt; &lt;graphic href=\"S088429141700108X_figAb\" mime-subtype=\"jpeg\" mimetype=\"image\" position=\"float\" type=\"simple\"/&gt; &lt;/fig&gt; &lt;/p&gt;","author":[{"dropping-particle":"","family":"Stuckelberger","given":"Michael","non-dropping-particle":"","parse-names":false,"suffix":""},{"dropping-particle":"","family":"West","given":"Bradley","non-dropping-particle":"","parse-names":false,"suffix":""},{"dropping-particle":"","family":"Nietzold","given":"Tara","non-dropping-particle":"","parse-names":false,"suffix":""},{"dropping-particle":"","family":"Lai","given":"Barry","non-dropping-particle":"","parse-names":false,"suffix":""},{"dropping-particle":"","family":"Maser","given":"Jörg M.","non-dropping-particle":"","parse-names":false,"suffix":""},{"dropping-particle":"","family":"Rose","given":"Volker","non-dropping-particle":"","parse-names":false,"suffix":""},{"dropping-particle":"","family":"Bertoni","given":"Mariana I.","non-dropping-particle":"","parse-names":false,"suffix":""}],"container-title":"Journal of Materials Research","id":"ITEM-1","issue":"10","issued":{"date-parts":[["2017","5"]]},"page":"1825-1854","title":"Engineering solar cells based on correlative X-ray microscopy","type":"article-journal","volume":"32"},"uris":["http://www.mendeley.com/documents/?uuid=69a80032-6bd0-4a5b-946d-74b0fa35fb62"]}],"mendeley":{"formattedCitation":"&lt;sup&gt;23&lt;/sup&gt;","plainTextFormattedCitation":"23","previouslyFormattedCitation":"&lt;sup&gt;23&lt;/sup&gt;"},"properties":{"noteIndex":0},"schema":"https://github.com/citation-style-language/schema/raw/master/csl-citation.json"}</w:instrText>
      </w:r>
      <w:r w:rsidR="007B42AB">
        <w:fldChar w:fldCharType="separate"/>
      </w:r>
      <w:r w:rsidR="007B42AB" w:rsidRPr="001E7A73">
        <w:rPr>
          <w:noProof/>
          <w:vertAlign w:val="superscript"/>
        </w:rPr>
        <w:t>23</w:t>
      </w:r>
      <w:r w:rsidR="007B42AB">
        <w:fldChar w:fldCharType="end"/>
      </w:r>
      <w:r w:rsidR="004A749A">
        <w:t>:</w:t>
      </w:r>
    </w:p>
    <w:p w14:paraId="5A77DDB1" w14:textId="196EAD52" w:rsidR="00D06799" w:rsidRDefault="00D94E3A" w:rsidP="00F22EB6">
      <w:pPr>
        <w:pStyle w:val="ac"/>
        <w:ind w:left="0"/>
        <w:jc w:val="right"/>
      </w:pPr>
      <m:oMath>
        <m:r>
          <w:rPr>
            <w:rFonts w:ascii="Cambria Math" w:hAnsi="Cambria Math"/>
          </w:rPr>
          <m:t>η</m:t>
        </m:r>
        <m:box>
          <m:boxPr>
            <m:opEmu m:val="1"/>
            <m:ctrlPr>
              <w:rPr>
                <w:rFonts w:ascii="Cambria Math" w:hAnsi="Cambria Math"/>
                <w:i/>
              </w:rPr>
            </m:ctrlPr>
          </m:boxPr>
          <m:e>
            <m:r>
              <w:rPr>
                <w:rFonts w:ascii="Cambria Math" w:hAnsi="Cambria Math"/>
              </w:rPr>
              <m:t>∶=</m:t>
            </m:r>
          </m:e>
        </m:box>
        <m:f>
          <m:fPr>
            <m:ctrlPr>
              <w:rPr>
                <w:rFonts w:ascii="Cambria Math" w:hAnsi="Cambria Math"/>
                <w:i/>
              </w:rPr>
            </m:ctrlPr>
          </m:fPr>
          <m:num>
            <m:sSubSup>
              <m:sSubSupPr>
                <m:ctrlPr>
                  <w:rPr>
                    <w:rFonts w:ascii="Cambria Math" w:hAnsi="Cambria Math"/>
                    <w:i/>
                  </w:rPr>
                </m:ctrlPr>
              </m:sSubSupPr>
              <m:e>
                <m:r>
                  <w:rPr>
                    <w:rFonts w:ascii="Cambria Math" w:hAnsi="Cambria Math"/>
                  </w:rPr>
                  <m:t>N</m:t>
                </m:r>
              </m:e>
              <m:sub>
                <m:sSup>
                  <m:sSupPr>
                    <m:ctrlPr>
                      <w:rPr>
                        <w:rFonts w:ascii="Cambria Math" w:hAnsi="Cambria Math"/>
                      </w:rPr>
                    </m:ctrlPr>
                  </m:sSupPr>
                  <m:e>
                    <m:r>
                      <m:rPr>
                        <m:sty m:val="p"/>
                      </m:rPr>
                      <w:rPr>
                        <w:rFonts w:ascii="Cambria Math" w:hAnsi="Cambria Math"/>
                      </w:rPr>
                      <m:t>e</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h</m:t>
                    </m:r>
                  </m:e>
                  <m:sup>
                    <m:r>
                      <m:rPr>
                        <m:sty m:val="p"/>
                      </m:rPr>
                      <w:rPr>
                        <w:rFonts w:ascii="Cambria Math" w:hAnsi="Cambria Math"/>
                      </w:rPr>
                      <m:t>+</m:t>
                    </m:r>
                  </m:sup>
                </m:sSup>
              </m:sub>
              <m:sup>
                <m:r>
                  <m:rPr>
                    <m:sty m:val="p"/>
                  </m:rPr>
                  <w:rPr>
                    <w:rFonts w:ascii="Cambria Math" w:hAnsi="Cambria Math"/>
                  </w:rPr>
                  <m:t>coll</m:t>
                </m:r>
              </m:sup>
            </m:sSubSup>
          </m:num>
          <m:den>
            <m:sSubSup>
              <m:sSubSupPr>
                <m:ctrlPr>
                  <w:rPr>
                    <w:rFonts w:ascii="Cambria Math" w:hAnsi="Cambria Math"/>
                    <w:i/>
                  </w:rPr>
                </m:ctrlPr>
              </m:sSubSupPr>
              <m:e>
                <m:r>
                  <w:rPr>
                    <w:rFonts w:ascii="Cambria Math" w:hAnsi="Cambria Math"/>
                  </w:rPr>
                  <m:t>N</m:t>
                </m:r>
              </m:e>
              <m:sub>
                <m:sSup>
                  <m:sSupPr>
                    <m:ctrlPr>
                      <w:rPr>
                        <w:rFonts w:ascii="Cambria Math" w:hAnsi="Cambria Math"/>
                      </w:rPr>
                    </m:ctrlPr>
                  </m:sSupPr>
                  <m:e>
                    <m:r>
                      <m:rPr>
                        <m:sty m:val="p"/>
                      </m:rPr>
                      <w:rPr>
                        <w:rFonts w:ascii="Cambria Math" w:hAnsi="Cambria Math"/>
                      </w:rPr>
                      <m:t>e</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h</m:t>
                    </m:r>
                  </m:e>
                  <m:sup>
                    <m:r>
                      <m:rPr>
                        <m:sty m:val="p"/>
                      </m:rPr>
                      <w:rPr>
                        <w:rFonts w:ascii="Cambria Math" w:hAnsi="Cambria Math"/>
                      </w:rPr>
                      <m:t>+</m:t>
                    </m:r>
                  </m:sup>
                </m:sSup>
              </m:sub>
              <m:sup>
                <m:r>
                  <m:rPr>
                    <m:sty m:val="p"/>
                  </m:rPr>
                  <w:rPr>
                    <w:rFonts w:ascii="Cambria Math" w:hAnsi="Cambria Math"/>
                  </w:rPr>
                  <m:t>gen</m:t>
                </m:r>
              </m:sup>
            </m:sSubSup>
          </m:den>
        </m:f>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N</m:t>
                </m:r>
              </m:e>
              <m:sub>
                <m:sSup>
                  <m:sSupPr>
                    <m:ctrlPr>
                      <w:rPr>
                        <w:rFonts w:ascii="Cambria Math" w:hAnsi="Cambria Math"/>
                      </w:rPr>
                    </m:ctrlPr>
                  </m:sSupPr>
                  <m:e>
                    <m:r>
                      <m:rPr>
                        <m:sty m:val="p"/>
                      </m:rPr>
                      <w:rPr>
                        <w:rFonts w:ascii="Cambria Math" w:hAnsi="Cambria Math"/>
                      </w:rPr>
                      <m:t>e</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h</m:t>
                    </m:r>
                  </m:e>
                  <m:sup>
                    <m:r>
                      <m:rPr>
                        <m:sty m:val="p"/>
                      </m:rPr>
                      <w:rPr>
                        <w:rFonts w:ascii="Cambria Math" w:hAnsi="Cambria Math"/>
                      </w:rPr>
                      <m:t>+</m:t>
                    </m:r>
                  </m:sup>
                </m:sSup>
              </m:sub>
              <m:sup>
                <m:r>
                  <m:rPr>
                    <m:sty m:val="p"/>
                  </m:rPr>
                  <w:rPr>
                    <w:rFonts w:ascii="Cambria Math" w:hAnsi="Cambria Math"/>
                  </w:rPr>
                  <m:t>coll</m:t>
                </m:r>
              </m:sup>
            </m:sSubSup>
          </m:num>
          <m:den>
            <m:sSubSup>
              <m:sSubSupPr>
                <m:ctrlPr>
                  <w:rPr>
                    <w:rFonts w:ascii="Cambria Math" w:hAnsi="Cambria Math"/>
                    <w:i/>
                  </w:rPr>
                </m:ctrlPr>
              </m:sSubSupPr>
              <m:e>
                <m:r>
                  <w:rPr>
                    <w:rFonts w:ascii="Cambria Math" w:hAnsi="Cambria Math"/>
                  </w:rPr>
                  <m:t>C∙N</m:t>
                </m:r>
              </m:e>
              <m:sub>
                <m:r>
                  <m:rPr>
                    <m:sty m:val="p"/>
                  </m:rPr>
                  <w:rPr>
                    <w:rFonts w:ascii="Cambria Math" w:hAnsi="Cambria Math"/>
                  </w:rPr>
                  <m:t>ph</m:t>
                </m:r>
              </m:sub>
              <m:sup>
                <m:r>
                  <m:rPr>
                    <m:sty m:val="p"/>
                  </m:rPr>
                  <w:rPr>
                    <w:rFonts w:ascii="Cambria Math" w:hAnsi="Cambria Math"/>
                  </w:rPr>
                  <m:t>in</m:t>
                </m:r>
              </m:sup>
            </m:sSubSup>
          </m:den>
        </m:f>
        <m:r>
          <w:rPr>
            <w:rFonts w:ascii="Cambria Math" w:hAnsi="Cambria Math"/>
          </w:rPr>
          <m:t>=</m:t>
        </m:r>
        <m:f>
          <m:fPr>
            <m:ctrlPr>
              <w:rPr>
                <w:rFonts w:ascii="Cambria Math" w:hAnsi="Cambria Math"/>
                <w:i/>
              </w:rPr>
            </m:ctrlPr>
          </m:fPr>
          <m:num>
            <m:f>
              <m:fPr>
                <m:ctrlPr>
                  <w:rPr>
                    <w:rFonts w:ascii="Cambria Math" w:hAnsi="Cambria Math"/>
                    <w:i/>
                  </w:rPr>
                </m:ctrlPr>
              </m:fPr>
              <m:num>
                <m:sSub>
                  <m:sSubPr>
                    <m:ctrlPr>
                      <w:rPr>
                        <w:rFonts w:ascii="Cambria Math" w:hAnsi="Cambria Math"/>
                        <w:i/>
                      </w:rPr>
                    </m:ctrlPr>
                  </m:sSubPr>
                  <m:e>
                    <m:r>
                      <w:rPr>
                        <w:rFonts w:ascii="Cambria Math" w:hAnsi="Cambria Math"/>
                      </w:rPr>
                      <m:t>S</m:t>
                    </m:r>
                  </m:e>
                  <m:sub>
                    <m:r>
                      <m:rPr>
                        <m:sty m:val="p"/>
                      </m:rPr>
                      <w:rPr>
                        <w:rFonts w:ascii="Cambria Math" w:hAnsi="Cambria Math"/>
                      </w:rPr>
                      <m:t>XBIC</m:t>
                    </m:r>
                  </m:sub>
                </m:sSub>
              </m:num>
              <m:den>
                <m:r>
                  <w:rPr>
                    <w:rFonts w:ascii="Cambria Math" w:hAnsi="Cambria Math"/>
                  </w:rPr>
                  <m:t>q</m:t>
                </m:r>
              </m:den>
            </m:f>
          </m:num>
          <m:den>
            <m:sSubSup>
              <m:sSubSupPr>
                <m:ctrlPr>
                  <w:rPr>
                    <w:rFonts w:ascii="Cambria Math" w:hAnsi="Cambria Math"/>
                    <w:i/>
                  </w:rPr>
                </m:ctrlPr>
              </m:sSubSupPr>
              <m:e>
                <m:r>
                  <w:rPr>
                    <w:rFonts w:ascii="Cambria Math" w:hAnsi="Cambria Math"/>
                  </w:rPr>
                  <m:t>C∙N</m:t>
                </m:r>
              </m:e>
              <m:sub>
                <m:r>
                  <m:rPr>
                    <m:sty m:val="p"/>
                  </m:rPr>
                  <w:rPr>
                    <w:rFonts w:ascii="Cambria Math" w:hAnsi="Cambria Math"/>
                  </w:rPr>
                  <m:t>ph</m:t>
                </m:r>
              </m:sub>
              <m:sup>
                <m:r>
                  <m:rPr>
                    <m:sty m:val="p"/>
                  </m:rPr>
                  <w:rPr>
                    <w:rFonts w:ascii="Cambria Math" w:hAnsi="Cambria Math"/>
                  </w:rPr>
                  <m:t>in</m:t>
                </m:r>
              </m:sup>
            </m:sSubSup>
          </m:den>
        </m:f>
      </m:oMath>
      <w:r w:rsidR="001D082B">
        <w:t xml:space="preserve"> ,</w:t>
      </w:r>
      <w:r w:rsidR="00CC738F">
        <w:tab/>
      </w:r>
      <w:r w:rsidR="00CC738F">
        <w:tab/>
      </w:r>
      <w:r w:rsidR="00CC738F">
        <w:tab/>
      </w:r>
      <w:r w:rsidR="00CC738F">
        <w:tab/>
        <w:t>(3</w:t>
      </w:r>
      <w:r w:rsidR="00D06799">
        <w:t>)</w:t>
      </w:r>
    </w:p>
    <w:p w14:paraId="6AC46576" w14:textId="6978F687" w:rsidR="007F76D6" w:rsidRDefault="001D082B" w:rsidP="00C976E3">
      <w:r>
        <w:t xml:space="preserve">where </w:t>
      </w:r>
      <m:oMath>
        <m:sSubSup>
          <m:sSubSupPr>
            <m:ctrlPr>
              <w:rPr>
                <w:rFonts w:ascii="Cambria Math" w:hAnsi="Cambria Math"/>
                <w:i/>
              </w:rPr>
            </m:ctrlPr>
          </m:sSubSupPr>
          <m:e>
            <m:r>
              <w:rPr>
                <w:rFonts w:ascii="Cambria Math" w:hAnsi="Cambria Math"/>
              </w:rPr>
              <m:t>N</m:t>
            </m:r>
          </m:e>
          <m:sub>
            <m:sSup>
              <m:sSupPr>
                <m:ctrlPr>
                  <w:rPr>
                    <w:rFonts w:ascii="Cambria Math" w:hAnsi="Cambria Math"/>
                  </w:rPr>
                </m:ctrlPr>
              </m:sSupPr>
              <m:e>
                <m:r>
                  <m:rPr>
                    <m:sty m:val="p"/>
                  </m:rPr>
                  <w:rPr>
                    <w:rFonts w:ascii="Cambria Math" w:hAnsi="Cambria Math"/>
                  </w:rPr>
                  <m:t>e</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h</m:t>
                </m:r>
              </m:e>
              <m:sup>
                <m:r>
                  <m:rPr>
                    <m:sty m:val="p"/>
                  </m:rPr>
                  <w:rPr>
                    <w:rFonts w:ascii="Cambria Math" w:hAnsi="Cambria Math"/>
                  </w:rPr>
                  <m:t>+</m:t>
                </m:r>
              </m:sup>
            </m:sSup>
          </m:sub>
          <m:sup>
            <m:r>
              <m:rPr>
                <m:sty m:val="p"/>
              </m:rPr>
              <w:rPr>
                <w:rFonts w:ascii="Cambria Math" w:hAnsi="Cambria Math"/>
              </w:rPr>
              <m:t>gen</m:t>
            </m:r>
          </m:sup>
        </m:sSubSup>
      </m:oMath>
      <w:r w:rsidR="00D963BC">
        <w:t xml:space="preserve"> and</w:t>
      </w:r>
      <w:r w:rsidR="00D06799">
        <w:t xml:space="preserve"> </w:t>
      </w:r>
      <m:oMath>
        <m:sSubSup>
          <m:sSubSupPr>
            <m:ctrlPr>
              <w:rPr>
                <w:rFonts w:ascii="Cambria Math" w:hAnsi="Cambria Math"/>
                <w:i/>
              </w:rPr>
            </m:ctrlPr>
          </m:sSubSupPr>
          <m:e>
            <m:r>
              <w:rPr>
                <w:rFonts w:ascii="Cambria Math" w:hAnsi="Cambria Math"/>
              </w:rPr>
              <m:t>N</m:t>
            </m:r>
          </m:e>
          <m:sub>
            <m:sSup>
              <m:sSupPr>
                <m:ctrlPr>
                  <w:rPr>
                    <w:rFonts w:ascii="Cambria Math" w:hAnsi="Cambria Math"/>
                  </w:rPr>
                </m:ctrlPr>
              </m:sSupPr>
              <m:e>
                <m:r>
                  <m:rPr>
                    <m:sty m:val="p"/>
                  </m:rPr>
                  <w:rPr>
                    <w:rFonts w:ascii="Cambria Math" w:hAnsi="Cambria Math"/>
                  </w:rPr>
                  <m:t>e</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h</m:t>
                </m:r>
              </m:e>
              <m:sup>
                <m:r>
                  <m:rPr>
                    <m:sty m:val="p"/>
                  </m:rPr>
                  <w:rPr>
                    <w:rFonts w:ascii="Cambria Math" w:hAnsi="Cambria Math"/>
                  </w:rPr>
                  <m:t>+</m:t>
                </m:r>
              </m:sup>
            </m:sSup>
          </m:sub>
          <m:sup>
            <m:r>
              <m:rPr>
                <m:sty m:val="p"/>
              </m:rPr>
              <w:rPr>
                <w:rFonts w:ascii="Cambria Math" w:hAnsi="Cambria Math"/>
              </w:rPr>
              <m:t>coll</m:t>
            </m:r>
          </m:sup>
        </m:sSubSup>
      </m:oMath>
      <w:r w:rsidR="00D06799">
        <w:t xml:space="preserve"> </w:t>
      </w:r>
      <w:r w:rsidR="00D963BC">
        <w:t>are</w:t>
      </w:r>
      <w:r w:rsidR="00D06799">
        <w:t xml:space="preserve"> the </w:t>
      </w:r>
      <w:r w:rsidR="00D963BC">
        <w:t xml:space="preserve">generation and </w:t>
      </w:r>
      <w:r w:rsidR="00C976E3">
        <w:t>collection rate</w:t>
      </w:r>
      <w:r w:rsidR="00D06799">
        <w:t xml:space="preserve"> </w:t>
      </w:r>
      <w:r w:rsidR="00C976E3">
        <w:t>of</w:t>
      </w:r>
      <w:r w:rsidR="00D06799">
        <w:t xml:space="preserve"> electron-hole pairs</w:t>
      </w:r>
      <w:r w:rsidR="00D963BC">
        <w:t>,</w:t>
      </w:r>
      <w:r w:rsidR="00B0127B">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ph</m:t>
            </m:r>
          </m:sub>
          <m:sup>
            <m:r>
              <m:rPr>
                <m:sty m:val="p"/>
              </m:rPr>
              <w:rPr>
                <w:rFonts w:ascii="Cambria Math" w:hAnsi="Cambria Math"/>
              </w:rPr>
              <m:t>in</m:t>
            </m:r>
          </m:sup>
        </m:sSubSup>
      </m:oMath>
      <w:r w:rsidR="007E660B">
        <w:t xml:space="preserve"> is the rate of incident photons,</w:t>
      </w:r>
      <w:r w:rsidR="00B0127B">
        <w:t xml:space="preserve"> </w:t>
      </w:r>
      <m:oMath>
        <m:r>
          <w:rPr>
            <w:rFonts w:ascii="Cambria Math" w:hAnsi="Cambria Math"/>
          </w:rPr>
          <m:t>q</m:t>
        </m:r>
      </m:oMath>
      <w:r w:rsidR="00B0127B">
        <w:t xml:space="preserve"> is the elementary charge, and </w:t>
      </w:r>
      <m:oMath>
        <m:r>
          <w:rPr>
            <w:rFonts w:ascii="Cambria Math" w:hAnsi="Cambria Math"/>
          </w:rPr>
          <m:t>C</m:t>
        </m:r>
      </m:oMath>
      <w:r w:rsidR="00B0127B">
        <w:t xml:space="preserve"> is a material constant.</w:t>
      </w:r>
      <w:r w:rsidR="005107EE">
        <w:t xml:space="preserve"> </w:t>
      </w:r>
    </w:p>
    <w:p w14:paraId="0ED45A7C" w14:textId="77777777" w:rsidR="00E41172" w:rsidRDefault="00E41172" w:rsidP="00F22EB6"/>
    <w:p w14:paraId="5114FC98" w14:textId="0FC72509" w:rsidR="00D33079" w:rsidRDefault="00D33079" w:rsidP="00D33079">
      <w:pPr>
        <w:pStyle w:val="ac"/>
        <w:numPr>
          <w:ilvl w:val="2"/>
          <w:numId w:val="20"/>
        </w:numPr>
      </w:pPr>
      <w:r>
        <w:t>For the eventual calculation of</w:t>
      </w:r>
      <w:r w:rsidR="000B7920">
        <w:t xml:space="preserve"> the material constant</w:t>
      </w:r>
      <w:r>
        <w:t xml:space="preserve"> </w:t>
      </w:r>
      <m:oMath>
        <m:r>
          <w:rPr>
            <w:rFonts w:ascii="Cambria Math" w:hAnsi="Cambria Math"/>
          </w:rPr>
          <m:t>C</m:t>
        </m:r>
      </m:oMath>
      <w:r>
        <w:t>, use:</w:t>
      </w:r>
    </w:p>
    <w:p w14:paraId="2D2B2F9B" w14:textId="60967A86" w:rsidR="00D33079" w:rsidRPr="007F76D6" w:rsidRDefault="00D33079" w:rsidP="00D33079">
      <w:pPr>
        <w:pStyle w:val="ac"/>
        <w:ind w:left="420"/>
        <w:jc w:val="right"/>
      </w:pPr>
      <m:oMath>
        <m:r>
          <w:rPr>
            <w:rFonts w:ascii="Cambria Math" w:hAnsi="Cambria Math"/>
          </w:rPr>
          <m:t>C</m:t>
        </m:r>
        <m:box>
          <m:boxPr>
            <m:opEmu m:val="1"/>
            <m:ctrlPr>
              <w:rPr>
                <w:rFonts w:ascii="Cambria Math" w:hAnsi="Cambria Math"/>
                <w:i/>
              </w:rPr>
            </m:ctrlPr>
          </m:boxPr>
          <m:e>
            <m:r>
              <w:rPr>
                <w:rFonts w:ascii="Cambria Math" w:hAnsi="Cambria Math"/>
              </w:rPr>
              <m:t>∶=</m:t>
            </m:r>
          </m:e>
        </m:box>
        <m:f>
          <m:fPr>
            <m:ctrlPr>
              <w:rPr>
                <w:rFonts w:ascii="Cambria Math" w:hAnsi="Cambria Math"/>
                <w:i/>
              </w:rPr>
            </m:ctrlPr>
          </m:fPr>
          <m:num>
            <m:sSubSup>
              <m:sSubSupPr>
                <m:ctrlPr>
                  <w:rPr>
                    <w:rFonts w:ascii="Cambria Math" w:hAnsi="Cambria Math"/>
                    <w:i/>
                  </w:rPr>
                </m:ctrlPr>
              </m:sSubSupPr>
              <m:e>
                <m:r>
                  <w:rPr>
                    <w:rFonts w:ascii="Cambria Math" w:hAnsi="Cambria Math"/>
                  </w:rPr>
                  <m:t>N</m:t>
                </m:r>
              </m:e>
              <m:sub>
                <m:sSup>
                  <m:sSupPr>
                    <m:ctrlPr>
                      <w:rPr>
                        <w:rFonts w:ascii="Cambria Math" w:hAnsi="Cambria Math"/>
                      </w:rPr>
                    </m:ctrlPr>
                  </m:sSupPr>
                  <m:e>
                    <m:r>
                      <m:rPr>
                        <m:sty m:val="p"/>
                      </m:rPr>
                      <w:rPr>
                        <w:rFonts w:ascii="Cambria Math" w:hAnsi="Cambria Math"/>
                      </w:rPr>
                      <m:t>e</m:t>
                    </m:r>
                  </m:e>
                  <m:sup>
                    <m:r>
                      <m:rPr>
                        <m:sty m:val="p"/>
                      </m:rPr>
                      <w:rPr>
                        <w:rFonts w:ascii="Cambria Math" w:hAnsi="Cambria Math"/>
                      </w:rPr>
                      <m:t>-</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h</m:t>
                    </m:r>
                  </m:e>
                  <m:sup>
                    <m:r>
                      <m:rPr>
                        <m:sty m:val="p"/>
                      </m:rPr>
                      <w:rPr>
                        <w:rFonts w:ascii="Cambria Math" w:hAnsi="Cambria Math"/>
                      </w:rPr>
                      <m:t>+</m:t>
                    </m:r>
                  </m:sup>
                </m:sSup>
              </m:sub>
              <m:sup>
                <m:r>
                  <m:rPr>
                    <m:sty m:val="p"/>
                  </m:rPr>
                  <w:rPr>
                    <w:rFonts w:ascii="Cambria Math" w:hAnsi="Cambria Math"/>
                  </w:rPr>
                  <m:t>gen</m:t>
                </m:r>
              </m:sup>
            </m:sSubSup>
          </m:num>
          <m:den>
            <m:sSubSup>
              <m:sSubSupPr>
                <m:ctrlPr>
                  <w:rPr>
                    <w:rFonts w:ascii="Cambria Math" w:hAnsi="Cambria Math"/>
                    <w:i/>
                  </w:rPr>
                </m:ctrlPr>
              </m:sSubSupPr>
              <m:e>
                <m:r>
                  <w:rPr>
                    <w:rFonts w:ascii="Cambria Math" w:hAnsi="Cambria Math"/>
                  </w:rPr>
                  <m:t>N</m:t>
                </m:r>
              </m:e>
              <m:sub>
                <m:r>
                  <m:rPr>
                    <m:sty m:val="p"/>
                  </m:rPr>
                  <w:rPr>
                    <w:rFonts w:ascii="Cambria Math" w:hAnsi="Cambria Math"/>
                  </w:rPr>
                  <m:t>ph</m:t>
                </m:r>
              </m:sub>
              <m:sup>
                <m:r>
                  <m:rPr>
                    <m:sty m:val="p"/>
                  </m:rPr>
                  <w:rPr>
                    <w:rFonts w:ascii="Cambria Math" w:hAnsi="Cambria Math"/>
                  </w:rPr>
                  <m:t>in</m:t>
                </m:r>
              </m:sup>
            </m:sSubSup>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m:t>
                </m:r>
              </m:e>
              <m:sub>
                <m:r>
                  <m:rPr>
                    <m:sty m:val="p"/>
                  </m:rPr>
                  <w:rPr>
                    <w:rFonts w:ascii="Cambria Math" w:hAnsi="Cambria Math"/>
                  </w:rPr>
                  <m:t>abs</m:t>
                </m:r>
              </m:sub>
            </m:sSub>
          </m:num>
          <m:den>
            <m:r>
              <w:rPr>
                <w:rFonts w:ascii="Cambria Math" w:hAnsi="Cambria Math"/>
              </w:rPr>
              <m:t>α∙</m:t>
            </m:r>
            <m:sSub>
              <m:sSubPr>
                <m:ctrlPr>
                  <w:rPr>
                    <w:rFonts w:ascii="Cambria Math" w:hAnsi="Cambria Math"/>
                    <w:i/>
                  </w:rPr>
                </m:ctrlPr>
              </m:sSubPr>
              <m:e>
                <m:r>
                  <w:rPr>
                    <w:rFonts w:ascii="Cambria Math" w:hAnsi="Cambria Math"/>
                  </w:rPr>
                  <m:t>E</m:t>
                </m:r>
              </m:e>
              <m:sub>
                <m:r>
                  <m:rPr>
                    <m:sty m:val="p"/>
                  </m:rPr>
                  <w:rPr>
                    <w:rFonts w:ascii="Cambria Math" w:hAnsi="Cambria Math"/>
                  </w:rPr>
                  <m:t>g</m:t>
                </m:r>
              </m:sub>
            </m:sSub>
          </m:den>
        </m:f>
      </m:oMath>
      <w:r w:rsidR="001D082B">
        <w:t xml:space="preserve"> ,</w:t>
      </w:r>
      <w:r>
        <w:tab/>
      </w:r>
      <w:r>
        <w:tab/>
      </w:r>
      <w:r>
        <w:tab/>
      </w:r>
      <w:r>
        <w:tab/>
      </w:r>
      <w:r>
        <w:tab/>
      </w:r>
      <w:r>
        <w:tab/>
        <w:t>(</w:t>
      </w:r>
      <w:r w:rsidR="000B7920">
        <w:t>4</w:t>
      </w:r>
      <w:r>
        <w:t>)</w:t>
      </w:r>
    </w:p>
    <w:p w14:paraId="6CCE25B9" w14:textId="77777777" w:rsidR="00D33079" w:rsidRDefault="00D33079" w:rsidP="00D33079">
      <w:pPr>
        <w:pStyle w:val="ac"/>
        <w:ind w:left="0"/>
      </w:pPr>
      <w:r>
        <w:t xml:space="preserve">where </w:t>
      </w:r>
      <m:oMath>
        <m:sSub>
          <m:sSubPr>
            <m:ctrlPr>
              <w:rPr>
                <w:rFonts w:ascii="Cambria Math" w:hAnsi="Cambria Math"/>
                <w:i/>
              </w:rPr>
            </m:ctrlPr>
          </m:sSubPr>
          <m:e>
            <m:r>
              <w:rPr>
                <w:rFonts w:ascii="Cambria Math" w:hAnsi="Cambria Math"/>
              </w:rPr>
              <m:t>E</m:t>
            </m:r>
          </m:e>
          <m:sub>
            <m:r>
              <m:rPr>
                <m:sty m:val="p"/>
              </m:rPr>
              <w:rPr>
                <w:rFonts w:ascii="Cambria Math" w:hAnsi="Cambria Math"/>
              </w:rPr>
              <m:t>abs</m:t>
            </m:r>
          </m:sub>
        </m:sSub>
      </m:oMath>
      <w:r>
        <w:t xml:space="preserve"> is the energy deposited in the absorber layer of the DUT per incident X-ray photon, </w:t>
      </w:r>
      <m:oMath>
        <m:sSub>
          <m:sSubPr>
            <m:ctrlPr>
              <w:rPr>
                <w:rFonts w:ascii="Cambria Math" w:hAnsi="Cambria Math"/>
                <w:i/>
              </w:rPr>
            </m:ctrlPr>
          </m:sSubPr>
          <m:e>
            <m:r>
              <w:rPr>
                <w:rFonts w:ascii="Cambria Math" w:hAnsi="Cambria Math"/>
              </w:rPr>
              <m:t>E</m:t>
            </m:r>
          </m:e>
          <m:sub>
            <m:r>
              <m:rPr>
                <m:sty m:val="p"/>
              </m:rPr>
              <w:rPr>
                <w:rFonts w:ascii="Cambria Math" w:hAnsi="Cambria Math"/>
              </w:rPr>
              <m:t>g</m:t>
            </m:r>
          </m:sub>
        </m:sSub>
      </m:oMath>
      <w:r>
        <w:t xml:space="preserve"> is the bandgap of the absorber material, and </w:t>
      </w:r>
      <m:oMath>
        <m:r>
          <w:rPr>
            <w:rFonts w:ascii="Cambria Math" w:hAnsi="Cambria Math"/>
          </w:rPr>
          <m:t>α</m:t>
        </m:r>
      </m:oMath>
      <w:r>
        <w:t xml:space="preserve"> is a </w:t>
      </w:r>
      <w:proofErr w:type="gramStart"/>
      <w:r>
        <w:t>constant.</w:t>
      </w:r>
      <w:proofErr w:type="gramEnd"/>
    </w:p>
    <w:p w14:paraId="3B8A10EF" w14:textId="77777777" w:rsidR="00D33079" w:rsidRDefault="00D33079" w:rsidP="00D33079">
      <w:pPr>
        <w:pStyle w:val="ac"/>
        <w:ind w:left="0"/>
      </w:pPr>
    </w:p>
    <w:p w14:paraId="3AB87BDD" w14:textId="3F758F47" w:rsidR="00D33079" w:rsidRDefault="00FF2433" w:rsidP="00D33079">
      <w:pPr>
        <w:pStyle w:val="ac"/>
        <w:ind w:left="0"/>
      </w:pPr>
      <w:r>
        <w:t>NOTE:</w:t>
      </w:r>
      <w:r w:rsidR="00D33079">
        <w:t xml:space="preserve"> The factor </w:t>
      </w:r>
      <m:oMath>
        <m:r>
          <w:rPr>
            <w:rFonts w:ascii="Cambria Math" w:hAnsi="Cambria Math"/>
          </w:rPr>
          <m:t>α</m:t>
        </m:r>
      </m:oMath>
      <w:r w:rsidR="00D33079">
        <w:t xml:space="preserve"> accounts for the energy efficiency of electron-hole pair generation. It is often approximated</w:t>
      </w:r>
      <w:r w:rsidR="00D33079">
        <w:fldChar w:fldCharType="begin" w:fldLock="1"/>
      </w:r>
      <w:r w:rsidR="00D33079">
        <w:instrText>ADDIN CSL_CITATION {"citationItems":[{"id":"ITEM-1","itemData":{"DOI":"10.1063/1.1656484","author":[{"dropping-particle":"","family":"Klein","given":"Claude A","non-dropping-particle":"","parse-names":false,"suffix":""}],"container-title":"Journal of Applied Physics","id":"ITEM-1","issue":"4","issued":{"date-parts":[["1967"]]},"page":"2029-2038","title":"Bandgap Dependence and Related Features of Radiation Ionization Energies in Semiconductors","type":"article-journal","volume":"39"},"uris":["http://www.mendeley.com/documents/?uuid=c6cfaad0-f78e-4434-9a4b-6404e440db29"]},{"id":"ITEM-2","itemData":{"DOI":"10.1557/jmr.2017.108","ISSN":"0884-2914","abstract":"&lt;p&gt; &lt;fig position=\"anchor\"&gt; &lt;graphic href=\"S088429141700108X_figAb\" mime-subtype=\"jpeg\" mimetype=\"image\" position=\"float\" type=\"simple\"/&gt; &lt;/fig&gt; &lt;/p&gt;","author":[{"dropping-particle":"","family":"Stuckelberger","given":"Michael","non-dropping-particle":"","parse-names":false,"suffix":""},{"dropping-particle":"","family":"West","given":"Bradley","non-dropping-particle":"","parse-names":false,"suffix":""},{"dropping-particle":"","family":"Nietzold","given":"Tara","non-dropping-particle":"","parse-names":false,"suffix":""},{"dropping-particle":"","family":"Lai","given":"Barry","non-dropping-particle":"","parse-names":false,"suffix":""},{"dropping-particle":"","family":"Maser","given":"Jörg M.","non-dropping-particle":"","parse-names":false,"suffix":""},{"dropping-particle":"","family":"Rose","given":"Volker","non-dropping-particle":"","parse-names":false,"suffix":""},{"dropping-particle":"","family":"Bertoni","given":"Mariana I.","non-dropping-particle":"","parse-names":false,"suffix":""}],"container-title":"Journal of Materials Research","id":"ITEM-2","issue":"10","issued":{"date-parts":[["2017","5"]]},"page":"1825-1854","title":"Engineering solar cells based on correlative X-ray microscopy","type":"article-journal","volume":"32"},"uris":["http://www.mendeley.com/documents/?uuid=69a80032-6bd0-4a5b-946d-74b0fa35fb62"]}],"mendeley":{"formattedCitation":"&lt;sup&gt;23,34&lt;/sup&gt;","plainTextFormattedCitation":"23,34","previouslyFormattedCitation":"&lt;sup&gt;23,34&lt;/sup&gt;"},"properties":{"noteIndex":0},"schema":"https://github.com/citation-style-language/schema/raw/master/csl-citation.json"}</w:instrText>
      </w:r>
      <w:r w:rsidR="00D33079">
        <w:fldChar w:fldCharType="separate"/>
      </w:r>
      <w:r w:rsidR="00D33079" w:rsidRPr="0029714F">
        <w:rPr>
          <w:noProof/>
          <w:vertAlign w:val="superscript"/>
        </w:rPr>
        <w:t>23,34</w:t>
      </w:r>
      <w:r w:rsidR="00D33079">
        <w:fldChar w:fldCharType="end"/>
      </w:r>
      <w:r w:rsidR="00D33079">
        <w:t xml:space="preserve"> </w:t>
      </w:r>
      <w:r w:rsidR="000B6697">
        <w:t xml:space="preserve">as </w:t>
      </w:r>
      <m:oMath>
        <m:r>
          <w:rPr>
            <w:rFonts w:ascii="Cambria Math" w:hAnsi="Cambria Math"/>
          </w:rPr>
          <m:t>α≈3</m:t>
        </m:r>
      </m:oMath>
      <w:r w:rsidR="00D33079">
        <w:t>.</w:t>
      </w:r>
    </w:p>
    <w:p w14:paraId="0D32A6FA" w14:textId="77777777" w:rsidR="00D33079" w:rsidRDefault="00D33079" w:rsidP="00F22EB6"/>
    <w:p w14:paraId="40999063" w14:textId="77777777" w:rsidR="00D33079" w:rsidRDefault="00D33079" w:rsidP="00F22EB6"/>
    <w:p w14:paraId="6A8EECAC" w14:textId="155CF0B1" w:rsidR="00881592" w:rsidRDefault="00881592" w:rsidP="00F22EB6">
      <w:pPr>
        <w:pStyle w:val="ac"/>
        <w:numPr>
          <w:ilvl w:val="2"/>
          <w:numId w:val="20"/>
        </w:numPr>
      </w:pPr>
      <w:r>
        <w:t xml:space="preserve">For the eventual estimation of </w:t>
      </w:r>
      <w:r w:rsidR="00594CBE">
        <w:t>the injection level</w:t>
      </w:r>
      <w:r w:rsidR="00667058">
        <w:t xml:space="preserve">, </w:t>
      </w:r>
      <m:oMath>
        <m:r>
          <w:rPr>
            <w:rFonts w:ascii="Cambria Math" w:hAnsi="Cambria Math"/>
          </w:rPr>
          <m:t>g</m:t>
        </m:r>
      </m:oMath>
      <w:r w:rsidR="00667058">
        <w:t>,</w:t>
      </w:r>
      <w:r w:rsidR="00594CBE">
        <w:t xml:space="preserve"> </w:t>
      </w:r>
      <w:r w:rsidR="00667058">
        <w:t>from the XBIC signal, use</w:t>
      </w:r>
      <w:r w:rsidR="001D082B">
        <w:t>:</w:t>
      </w:r>
      <w:r w:rsidR="00667058">
        <w:t xml:space="preserve"> </w:t>
      </w:r>
    </w:p>
    <w:p w14:paraId="193681D3" w14:textId="120F9537" w:rsidR="00881592" w:rsidRPr="007F76D6" w:rsidRDefault="008845B5" w:rsidP="00F22EB6">
      <w:pPr>
        <w:pStyle w:val="ac"/>
        <w:ind w:left="0"/>
        <w:jc w:val="right"/>
      </w:pPr>
      <m:oMath>
        <m:r>
          <w:rPr>
            <w:rFonts w:ascii="Cambria Math" w:hAnsi="Cambria Math"/>
          </w:rPr>
          <m:t>g=</m:t>
        </m:r>
        <m:f>
          <m:fPr>
            <m:type m:val="skw"/>
            <m:ctrlPr>
              <w:rPr>
                <w:rFonts w:ascii="Cambria Math" w:hAnsi="Cambria Math"/>
                <w:i/>
              </w:rPr>
            </m:ctrlPr>
          </m:fPr>
          <m:num>
            <m:f>
              <m:fPr>
                <m:ctrlPr>
                  <w:rPr>
                    <w:rFonts w:ascii="Cambria Math" w:hAnsi="Cambria Math"/>
                    <w:i/>
                  </w:rPr>
                </m:ctrlPr>
              </m:fPr>
              <m:num>
                <m:sSub>
                  <m:sSubPr>
                    <m:ctrlPr>
                      <w:rPr>
                        <w:rFonts w:ascii="Cambria Math" w:hAnsi="Cambria Math"/>
                        <w:i/>
                      </w:rPr>
                    </m:ctrlPr>
                  </m:sSubPr>
                  <m:e>
                    <m:r>
                      <w:rPr>
                        <w:rFonts w:ascii="Cambria Math" w:hAnsi="Cambria Math"/>
                      </w:rPr>
                      <m:t>S</m:t>
                    </m:r>
                  </m:e>
                  <m:sub>
                    <m:r>
                      <m:rPr>
                        <m:sty m:val="p"/>
                      </m:rPr>
                      <w:rPr>
                        <w:rFonts w:ascii="Cambria Math" w:hAnsi="Cambria Math"/>
                      </w:rPr>
                      <m:t>XBIC</m:t>
                    </m:r>
                  </m:sub>
                </m:sSub>
              </m:num>
              <m:den>
                <m:r>
                  <w:rPr>
                    <w:rFonts w:ascii="Cambria Math" w:hAnsi="Cambria Math"/>
                  </w:rPr>
                  <m:t>A</m:t>
                </m:r>
              </m:den>
            </m:f>
          </m:num>
          <m:den>
            <m:sSub>
              <m:sSubPr>
                <m:ctrlPr>
                  <w:rPr>
                    <w:rFonts w:ascii="Cambria Math" w:hAnsi="Cambria Math"/>
                    <w:i/>
                  </w:rPr>
                </m:ctrlPr>
              </m:sSubPr>
              <m:e>
                <m:r>
                  <w:rPr>
                    <w:rFonts w:ascii="Cambria Math" w:hAnsi="Cambria Math"/>
                  </w:rPr>
                  <m:t>J</m:t>
                </m:r>
              </m:e>
              <m:sub>
                <m:r>
                  <m:rPr>
                    <m:sty m:val="p"/>
                  </m:rPr>
                  <w:rPr>
                    <w:rFonts w:ascii="Cambria Math" w:hAnsi="Cambria Math"/>
                  </w:rPr>
                  <m:t>sc</m:t>
                </m:r>
              </m:sub>
            </m:sSub>
          </m:den>
        </m:f>
      </m:oMath>
      <w:r w:rsidR="00F403DD">
        <w:t xml:space="preserve"> </w:t>
      </w:r>
      <w:r w:rsidR="00667058">
        <w:t>,</w:t>
      </w:r>
      <w:r w:rsidR="00881592">
        <w:tab/>
      </w:r>
      <w:r w:rsidR="00881592">
        <w:tab/>
      </w:r>
      <w:r w:rsidR="00881592">
        <w:tab/>
      </w:r>
      <w:r w:rsidR="00881592">
        <w:tab/>
      </w:r>
      <w:r w:rsidR="00881592">
        <w:tab/>
      </w:r>
      <w:r w:rsidR="00881592">
        <w:tab/>
        <w:t>(5)</w:t>
      </w:r>
    </w:p>
    <w:p w14:paraId="477532F3" w14:textId="52654D75" w:rsidR="00881592" w:rsidRDefault="00667058" w:rsidP="00F22EB6">
      <w:pPr>
        <w:pStyle w:val="ac"/>
        <w:ind w:left="0"/>
      </w:pPr>
      <w:r>
        <w:t>w</w:t>
      </w:r>
      <w:r w:rsidR="00594CBE">
        <w:t>here</w:t>
      </w:r>
      <w:r>
        <w:t xml:space="preserve"> </w:t>
      </w:r>
      <m:oMath>
        <m:r>
          <w:rPr>
            <w:rFonts w:ascii="Cambria Math" w:hAnsi="Cambria Math"/>
          </w:rPr>
          <m:t>g</m:t>
        </m:r>
      </m:oMath>
      <w:r>
        <w:t xml:space="preserve"> is interpreted as the number of sun equivalents,</w:t>
      </w:r>
      <w:r w:rsidR="00594CBE">
        <w:t xml:space="preserve"> </w:t>
      </w:r>
      <m:oMath>
        <m:r>
          <w:rPr>
            <w:rFonts w:ascii="Cambria Math" w:hAnsi="Cambria Math"/>
          </w:rPr>
          <m:t>A</m:t>
        </m:r>
      </m:oMath>
      <w:r w:rsidR="00594CBE">
        <w:t xml:space="preserve"> is the </w:t>
      </w:r>
      <w:r>
        <w:t xml:space="preserve">X-ray </w:t>
      </w:r>
      <w:r w:rsidR="00594CBE">
        <w:t xml:space="preserve">beam </w:t>
      </w:r>
      <w:r w:rsidR="0079543E">
        <w:t>cross-section</w:t>
      </w:r>
      <w:r>
        <w:t>,</w:t>
      </w:r>
      <w:r w:rsidR="0079543E">
        <w:t xml:space="preserve"> </w:t>
      </w:r>
      <w:r w:rsidR="00594CBE">
        <w:t xml:space="preserve">and </w:t>
      </w:r>
      <m:oMath>
        <m:sSub>
          <m:sSubPr>
            <m:ctrlPr>
              <w:rPr>
                <w:rFonts w:ascii="Cambria Math" w:hAnsi="Cambria Math"/>
                <w:i/>
              </w:rPr>
            </m:ctrlPr>
          </m:sSubPr>
          <m:e>
            <m:r>
              <w:rPr>
                <w:rFonts w:ascii="Cambria Math" w:hAnsi="Cambria Math"/>
              </w:rPr>
              <m:t>J</m:t>
            </m:r>
          </m:e>
          <m:sub>
            <m:r>
              <m:rPr>
                <m:sty m:val="p"/>
              </m:rPr>
              <w:rPr>
                <w:rFonts w:ascii="Cambria Math" w:hAnsi="Cambria Math"/>
              </w:rPr>
              <m:t>sc</m:t>
            </m:r>
          </m:sub>
        </m:sSub>
      </m:oMath>
      <w:r w:rsidR="00594CBE">
        <w:t xml:space="preserve"> is the short-circuit current density under standard measurement conditions</w:t>
      </w:r>
      <w:r w:rsidR="00594CBE">
        <w:fldChar w:fldCharType="begin" w:fldLock="1"/>
      </w:r>
      <w:r w:rsidR="003D2185">
        <w:instrText>ADDIN CSL_CITATION {"citationItems":[{"id":"ITEM-1","itemData":{"author":[{"dropping-particle":"","family":"IEC","given":"","non-dropping-particle":"","parse-names":false,"suffix":""}],"id":"ITEM-1","issued":{"date-parts":[["2006"]]},"title":"IEC (International Electrotechnical Commission) 60904-3 Ed.2: Photovoltaic devices - Part 3: Measurement principles for terrestrial photovoltaic (PV) solar devices with reference spectral irradiance data, 2006.","type":"article"},"uris":["http://www.mendeley.com/documents/?uuid=d603dbaf-cce2-47fc-a025-ebe3c0862cc3"]}],"mendeley":{"formattedCitation":"&lt;sup&gt;35&lt;/sup&gt;","plainTextFormattedCitation":"35","previouslyFormattedCitation":"&lt;sup&gt;35&lt;/sup&gt;"},"properties":{"noteIndex":0},"schema":"https://github.com/citation-style-language/schema/raw/master/csl-citation.json"}</w:instrText>
      </w:r>
      <w:r w:rsidR="00594CBE">
        <w:fldChar w:fldCharType="separate"/>
      </w:r>
      <w:r w:rsidR="00594CBE" w:rsidRPr="00594CBE">
        <w:rPr>
          <w:noProof/>
          <w:vertAlign w:val="superscript"/>
        </w:rPr>
        <w:t>35</w:t>
      </w:r>
      <w:r w:rsidR="00594CBE">
        <w:fldChar w:fldCharType="end"/>
      </w:r>
      <w:r w:rsidR="00594CBE">
        <w:t>.</w:t>
      </w:r>
    </w:p>
    <w:p w14:paraId="312BF411" w14:textId="77777777" w:rsidR="00F90EDC" w:rsidRDefault="00F90EDC" w:rsidP="00F22EB6">
      <w:pPr>
        <w:jc w:val="left"/>
      </w:pPr>
    </w:p>
    <w:p w14:paraId="7E3EF4A8" w14:textId="40D73F94" w:rsidR="00F90EDC" w:rsidRDefault="00B15F13" w:rsidP="00F22EB6">
      <w:pPr>
        <w:jc w:val="left"/>
        <w:rPr>
          <w:color w:val="000000"/>
        </w:rPr>
      </w:pPr>
      <w:r>
        <w:rPr>
          <w:b/>
          <w:color w:val="000000"/>
        </w:rPr>
        <w:t>REPRESENTATIVE RESULTS:</w:t>
      </w:r>
    </w:p>
    <w:p w14:paraId="48507B40" w14:textId="78FCD632" w:rsidR="00EB39E1" w:rsidRDefault="00EB39E1" w:rsidP="00F22EB6">
      <w:r>
        <w:t xml:space="preserve">The </w:t>
      </w:r>
      <w:r w:rsidR="009B2BC0">
        <w:t xml:space="preserve">key </w:t>
      </w:r>
      <w:r>
        <w:t>advantage of using lock-in amplification for XBIC measurements is the dramatic increase of the signal</w:t>
      </w:r>
      <w:r w:rsidR="005E6486">
        <w:t>-to-</w:t>
      </w:r>
      <w:r>
        <w:t>noise ratio as compared to measurements</w:t>
      </w:r>
      <w:r w:rsidR="009B2BC0">
        <w:t xml:space="preserve"> with standard amplification</w:t>
      </w:r>
      <w:r>
        <w:t xml:space="preserve">. </w:t>
      </w:r>
      <w:r w:rsidR="009B2BC0">
        <w:t>T</w:t>
      </w:r>
      <w:r w:rsidR="00EF3D10">
        <w:t xml:space="preserve">he </w:t>
      </w:r>
      <w:r>
        <w:t xml:space="preserve">measurement settings </w:t>
      </w:r>
      <w:r w:rsidR="00691B49">
        <w:t xml:space="preserve">that </w:t>
      </w:r>
      <w:r>
        <w:t xml:space="preserve">are </w:t>
      </w:r>
      <w:r w:rsidR="009B2BC0">
        <w:t xml:space="preserve">particularly </w:t>
      </w:r>
      <w:r>
        <w:t xml:space="preserve">critical </w:t>
      </w:r>
      <w:r w:rsidR="009B2BC0">
        <w:t xml:space="preserve">for successful lock-in-amplified XBIC measurements </w:t>
      </w:r>
      <w:r>
        <w:t xml:space="preserve">will be discussed in the </w:t>
      </w:r>
      <w:r w:rsidR="00691B49">
        <w:t>first five sections</w:t>
      </w:r>
      <w:r w:rsidR="002B75A3">
        <w:t xml:space="preserve">. They are: </w:t>
      </w:r>
      <w:r>
        <w:t>(</w:t>
      </w:r>
      <w:r w:rsidR="0076758E">
        <w:t xml:space="preserve">a) </w:t>
      </w:r>
      <w:r w:rsidR="00EF3D10">
        <w:t>s</w:t>
      </w:r>
      <w:r>
        <w:t>ignal</w:t>
      </w:r>
      <w:r w:rsidR="00EF3D10">
        <w:t xml:space="preserve"> modulation</w:t>
      </w:r>
      <w:r>
        <w:t xml:space="preserve">; (b) </w:t>
      </w:r>
      <w:r w:rsidR="003D779A">
        <w:t>pre-</w:t>
      </w:r>
      <w:r w:rsidR="00EF3D10">
        <w:t>amplification</w:t>
      </w:r>
      <w:r>
        <w:t xml:space="preserve">; (c) </w:t>
      </w:r>
      <w:r w:rsidR="00691B49">
        <w:t xml:space="preserve">signal mixing in the LIA; (d) </w:t>
      </w:r>
      <w:r>
        <w:t>low-pas</w:t>
      </w:r>
      <w:r w:rsidR="00D67FB3">
        <w:t>s filter frequency of the LIA</w:t>
      </w:r>
      <w:r w:rsidR="00691B49">
        <w:t>; (e) low-pass filter roll-off of the LIA</w:t>
      </w:r>
      <w:r w:rsidR="00D67FB3">
        <w:t>.</w:t>
      </w:r>
    </w:p>
    <w:p w14:paraId="529523C2" w14:textId="77777777" w:rsidR="00F90EDC" w:rsidRDefault="00F90EDC" w:rsidP="00F22EB6"/>
    <w:p w14:paraId="3E89BDB1" w14:textId="66610889" w:rsidR="0076758E" w:rsidRDefault="002B75A3" w:rsidP="00F22EB6">
      <w:r>
        <w:t>I</w:t>
      </w:r>
      <w:r w:rsidR="006E0E97">
        <w:t>llustration</w:t>
      </w:r>
      <w:r>
        <w:t>s</w:t>
      </w:r>
      <w:r w:rsidR="00FD4847">
        <w:t xml:space="preserve"> of the</w:t>
      </w:r>
      <w:r>
        <w:t xml:space="preserve"> impacts of these</w:t>
      </w:r>
      <w:r w:rsidR="00FD4847">
        <w:t xml:space="preserve"> settings</w:t>
      </w:r>
      <w:r>
        <w:t xml:space="preserve"> are demonstrated in</w:t>
      </w:r>
      <w:r w:rsidR="00211462">
        <w:t xml:space="preserve"> </w:t>
      </w:r>
      <w:r w:rsidR="00211462" w:rsidRPr="00552035">
        <w:rPr>
          <w:b/>
        </w:rPr>
        <w:t>Fig</w:t>
      </w:r>
      <w:r w:rsidR="00552035" w:rsidRPr="00552035">
        <w:rPr>
          <w:b/>
        </w:rPr>
        <w:t>ures</w:t>
      </w:r>
      <w:r w:rsidR="00211462" w:rsidRPr="00552035">
        <w:rPr>
          <w:b/>
        </w:rPr>
        <w:t xml:space="preserve"> </w:t>
      </w:r>
      <w:r w:rsidR="00A52A6F" w:rsidRPr="00552035">
        <w:rPr>
          <w:b/>
        </w:rPr>
        <w:t>3</w:t>
      </w:r>
      <w:r w:rsidR="00F13DD3">
        <w:rPr>
          <w:b/>
        </w:rPr>
        <w:t>-</w:t>
      </w:r>
      <w:r w:rsidR="00C701D9">
        <w:rPr>
          <w:b/>
        </w:rPr>
        <w:t>5</w:t>
      </w:r>
      <w:r>
        <w:t>.</w:t>
      </w:r>
      <w:r w:rsidR="006E0E97">
        <w:t xml:space="preserve"> </w:t>
      </w:r>
      <w:r w:rsidR="00797DE0">
        <w:t xml:space="preserve">For the measurements, </w:t>
      </w:r>
      <w:r w:rsidR="00FD4847">
        <w:t>a laboratory setup used</w:t>
      </w:r>
      <w:r w:rsidR="00EF3D10">
        <w:t xml:space="preserve"> a </w:t>
      </w:r>
      <w:r w:rsidR="000D6A05">
        <w:t xml:space="preserve">red </w:t>
      </w:r>
      <w:r w:rsidR="00EF3D10">
        <w:t>laser (</w:t>
      </w:r>
      <m:oMath>
        <m:r>
          <w:rPr>
            <w:rFonts w:ascii="Cambria Math" w:hAnsi="Cambria Math"/>
          </w:rPr>
          <m:t>λ=650 </m:t>
        </m:r>
        <m:r>
          <m:rPr>
            <m:sty m:val="p"/>
          </m:rPr>
          <w:rPr>
            <w:rFonts w:ascii="Cambria Math" w:hAnsi="Cambria Math"/>
          </w:rPr>
          <m:t>nm</m:t>
        </m:r>
      </m:oMath>
      <w:r w:rsidR="00EF3D10">
        <w:t>)</w:t>
      </w:r>
      <w:r w:rsidR="003D779A">
        <w:t xml:space="preserve"> </w:t>
      </w:r>
      <w:r w:rsidR="00797DE0">
        <w:t xml:space="preserve">in place </w:t>
      </w:r>
      <w:r w:rsidR="003D779A">
        <w:t xml:space="preserve">of </w:t>
      </w:r>
      <w:r w:rsidR="00797DE0">
        <w:t xml:space="preserve">an </w:t>
      </w:r>
      <w:r w:rsidR="003D779A">
        <w:t>X-ray beam</w:t>
      </w:r>
      <w:r w:rsidR="00EF3D10">
        <w:t xml:space="preserve">, modulated at </w:t>
      </w:r>
      <m:oMath>
        <m:sSub>
          <m:sSubPr>
            <m:ctrlPr>
              <w:rPr>
                <w:rFonts w:ascii="Cambria Math" w:hAnsi="Cambria Math"/>
                <w:i/>
              </w:rPr>
            </m:ctrlPr>
          </m:sSubPr>
          <m:e>
            <m:r>
              <w:rPr>
                <w:rFonts w:ascii="Cambria Math" w:hAnsi="Cambria Math"/>
              </w:rPr>
              <m:t>f</m:t>
            </m:r>
          </m:e>
          <m:sub>
            <m:r>
              <m:rPr>
                <m:sty m:val="p"/>
              </m:rPr>
              <w:rPr>
                <w:rFonts w:ascii="Cambria Math" w:hAnsi="Cambria Math"/>
              </w:rPr>
              <m:t>mod</m:t>
            </m:r>
          </m:sub>
        </m:sSub>
        <m:r>
          <w:rPr>
            <w:rFonts w:ascii="Cambria Math" w:hAnsi="Cambria Math"/>
          </w:rPr>
          <m:t>=</m:t>
        </m:r>
      </m:oMath>
      <w:r w:rsidR="00EF3D10">
        <w:t xml:space="preserve"> 2177.7</w:t>
      </w:r>
      <w:r w:rsidR="00FE4A6B">
        <w:t> </w:t>
      </w:r>
      <w:r w:rsidR="00EF3D10">
        <w:t>Hz</w:t>
      </w:r>
      <w:r w:rsidR="00FC645E">
        <w:t xml:space="preserve"> by an optical chopper</w:t>
      </w:r>
      <w:r w:rsidR="00FD4847">
        <w:t xml:space="preserve">. </w:t>
      </w:r>
      <w:r w:rsidR="006B4822">
        <w:t xml:space="preserve">Fluorescent tubes served as source for bias light. </w:t>
      </w:r>
      <w:r w:rsidR="00B15F13">
        <w:t xml:space="preserve">The </w:t>
      </w:r>
      <w:r w:rsidR="0044433A">
        <w:t>DUT</w:t>
      </w:r>
      <w:r w:rsidR="00B15F13">
        <w:t xml:space="preserve"> was a </w:t>
      </w:r>
      <w:r w:rsidR="00EF3D10">
        <w:t xml:space="preserve">thin-film </w:t>
      </w:r>
      <w:r w:rsidR="00211462">
        <w:t xml:space="preserve">solar cell with a </w:t>
      </w:r>
      <w:proofErr w:type="gramStart"/>
      <w:r w:rsidR="00B15F13">
        <w:t>Cu</w:t>
      </w:r>
      <w:r w:rsidR="00211462">
        <w:t>(</w:t>
      </w:r>
      <w:proofErr w:type="gramEnd"/>
      <w:r w:rsidR="00B15F13">
        <w:t>In</w:t>
      </w:r>
      <w:r w:rsidR="00211462">
        <w:t>,</w:t>
      </w:r>
      <w:r w:rsidR="00B15F13">
        <w:t>Ga</w:t>
      </w:r>
      <w:r w:rsidR="00211462">
        <w:t>)</w:t>
      </w:r>
      <w:r w:rsidR="00B15F13">
        <w:t>Se</w:t>
      </w:r>
      <w:r w:rsidR="00B15F13">
        <w:rPr>
          <w:vertAlign w:val="subscript"/>
        </w:rPr>
        <w:t>2</w:t>
      </w:r>
      <w:r w:rsidR="00B15F13">
        <w:t xml:space="preserve"> </w:t>
      </w:r>
      <w:r w:rsidR="00824C61">
        <w:t xml:space="preserve">(CIGS) </w:t>
      </w:r>
      <w:r w:rsidR="00211462">
        <w:t>absorber</w:t>
      </w:r>
      <w:r w:rsidR="007665F5">
        <w:t xml:space="preserve">. Although different measurement settings would be chosen for other DUT, the general </w:t>
      </w:r>
      <w:r w:rsidR="00AE01EE">
        <w:t>guidelines</w:t>
      </w:r>
      <w:r w:rsidR="007665F5">
        <w:t xml:space="preserve"> described here to find suited settings are valid for a variety of DUT such as solar cells with different absorber layers or nanowires. </w:t>
      </w:r>
      <w:r w:rsidR="004F460B">
        <w:t xml:space="preserve">The </w:t>
      </w:r>
      <w:r w:rsidR="007665F5">
        <w:t xml:space="preserve">PA </w:t>
      </w:r>
      <w:r w:rsidR="004A3F7E">
        <w:t xml:space="preserve">was used with an amplification factor of </w:t>
      </w:r>
      <m:oMath>
        <m:sSup>
          <m:sSupPr>
            <m:ctrlPr>
              <w:rPr>
                <w:rFonts w:ascii="Cambria Math" w:hAnsi="Cambria Math"/>
                <w:i/>
              </w:rPr>
            </m:ctrlPr>
          </m:sSupPr>
          <m:e>
            <m:r>
              <w:rPr>
                <w:rFonts w:ascii="Cambria Math" w:hAnsi="Cambria Math"/>
              </w:rPr>
              <m:t>10</m:t>
            </m:r>
          </m:e>
          <m:sup>
            <m:r>
              <w:rPr>
                <w:rFonts w:ascii="Cambria Math" w:hAnsi="Cambria Math"/>
              </w:rPr>
              <m:t>4</m:t>
            </m:r>
          </m:sup>
        </m:sSup>
        <m:r>
          <w:rPr>
            <w:rFonts w:ascii="Cambria Math" w:hAnsi="Cambria Math"/>
          </w:rPr>
          <m:t xml:space="preserve"> </m:t>
        </m:r>
        <m:r>
          <m:rPr>
            <m:sty m:val="p"/>
          </m:rPr>
          <w:rPr>
            <w:rFonts w:ascii="Cambria Math" w:hAnsi="Cambria Math"/>
          </w:rPr>
          <m:t>V</m:t>
        </m:r>
        <m:r>
          <w:rPr>
            <w:rFonts w:ascii="Cambria Math" w:hAnsi="Cambria Math"/>
          </w:rPr>
          <m:t>/</m:t>
        </m:r>
        <m:r>
          <m:rPr>
            <m:sty m:val="p"/>
          </m:rPr>
          <w:rPr>
            <w:rFonts w:ascii="Cambria Math" w:hAnsi="Cambria Math"/>
          </w:rPr>
          <m:t>A</m:t>
        </m:r>
      </m:oMath>
      <w:r w:rsidR="00B15F13">
        <w:t>.</w:t>
      </w:r>
      <w:r w:rsidR="00627DF7">
        <w:t xml:space="preserve"> The effects discussed here apply</w:t>
      </w:r>
      <w:r w:rsidR="00797DE0">
        <w:t xml:space="preserve"> equally</w:t>
      </w:r>
      <w:r w:rsidR="00627DF7">
        <w:t xml:space="preserve"> to other </w:t>
      </w:r>
      <w:r w:rsidR="00F116E3">
        <w:t>pre-amplifier</w:t>
      </w:r>
      <w:r w:rsidR="00627DF7">
        <w:t>s.</w:t>
      </w:r>
      <w:r w:rsidR="00B15F13">
        <w:t xml:space="preserve"> </w:t>
      </w:r>
      <w:r w:rsidR="005867FC">
        <w:t xml:space="preserve">If nothing else </w:t>
      </w:r>
      <w:r w:rsidR="006F1E41">
        <w:t xml:space="preserve">is </w:t>
      </w:r>
      <w:r w:rsidR="005867FC">
        <w:t>specified, the low-pass filter roll-off of the LIA was 48 dB/oct.</w:t>
      </w:r>
    </w:p>
    <w:p w14:paraId="0251041B" w14:textId="77777777" w:rsidR="002F53D3" w:rsidRDefault="002F53D3" w:rsidP="00F22EB6"/>
    <w:p w14:paraId="79172545" w14:textId="5F40A0E5" w:rsidR="002F53D3" w:rsidRDefault="005305CB" w:rsidP="00F22EB6">
      <w:r>
        <w:t>The following sections (</w:t>
      </w:r>
      <w:r w:rsidR="00691B49">
        <w:t>f</w:t>
      </w:r>
      <w:r>
        <w:t>)</w:t>
      </w:r>
      <w:r w:rsidR="00797DE0">
        <w:t>-</w:t>
      </w:r>
      <w:r>
        <w:t>(</w:t>
      </w:r>
      <w:proofErr w:type="spellStart"/>
      <w:r w:rsidR="00691B49">
        <w:t>i</w:t>
      </w:r>
      <w:proofErr w:type="spellEnd"/>
      <w:r w:rsidR="002F53D3">
        <w:t xml:space="preserve">) show exemplary </w:t>
      </w:r>
      <w:r w:rsidR="009B2BC0">
        <w:t>results</w:t>
      </w:r>
      <w:r w:rsidR="002F53D3">
        <w:t xml:space="preserve"> to display the possibilities and challenges of XBIC measurements in conjunction with other measurement modes. In (</w:t>
      </w:r>
      <w:r w:rsidR="00691B49">
        <w:t>f</w:t>
      </w:r>
      <w:r w:rsidR="002F53D3">
        <w:t>),</w:t>
      </w:r>
      <w:r w:rsidR="002C1FE9">
        <w:t xml:space="preserve"> </w:t>
      </w:r>
      <w:r w:rsidR="00C055F6">
        <w:t>specific challenges of XBIC measurements in</w:t>
      </w:r>
      <w:r w:rsidR="002C1FE9">
        <w:t xml:space="preserve"> fly</w:t>
      </w:r>
      <w:r w:rsidR="000D6A05">
        <w:t>-</w:t>
      </w:r>
      <w:r>
        <w:t>scanning mode are discussed. In (</w:t>
      </w:r>
      <w:r w:rsidR="00691B49">
        <w:t>g</w:t>
      </w:r>
      <w:r>
        <w:t>),</w:t>
      </w:r>
      <w:r w:rsidR="002F53D3">
        <w:t xml:space="preserve"> XBIC </w:t>
      </w:r>
      <w:r w:rsidR="00A43743">
        <w:t xml:space="preserve">and XRF measurements </w:t>
      </w:r>
      <w:r w:rsidR="002F53D3">
        <w:t xml:space="preserve">of a CIGS solar cell </w:t>
      </w:r>
      <w:r w:rsidR="00A43743">
        <w:t xml:space="preserve">are </w:t>
      </w:r>
      <w:r w:rsidR="002F53D3">
        <w:t xml:space="preserve">combined, and the effect of lock-in amplification is discussed </w:t>
      </w:r>
      <w:r>
        <w:t>with bias voltage applied. In (</w:t>
      </w:r>
      <w:r w:rsidR="00691B49">
        <w:t>h</w:t>
      </w:r>
      <w:r w:rsidR="002F53D3">
        <w:t>), XBIV is added as a measurement mode for a CIGS solar cell</w:t>
      </w:r>
      <w:r>
        <w:t>. In (</w:t>
      </w:r>
      <w:proofErr w:type="spellStart"/>
      <w:r w:rsidR="00691B49">
        <w:t>i</w:t>
      </w:r>
      <w:proofErr w:type="spellEnd"/>
      <w:r w:rsidR="002F53D3">
        <w:t xml:space="preserve">), XBIC and </w:t>
      </w:r>
      <w:r w:rsidR="00A43743">
        <w:t xml:space="preserve">compositional data from </w:t>
      </w:r>
      <w:r w:rsidR="002F53D3">
        <w:t xml:space="preserve">XRF </w:t>
      </w:r>
      <w:r w:rsidR="00A43743">
        <w:t xml:space="preserve">of </w:t>
      </w:r>
      <w:r w:rsidR="002F53D3">
        <w:t xml:space="preserve">a </w:t>
      </w:r>
      <w:proofErr w:type="spellStart"/>
      <w:r w:rsidR="002F53D3">
        <w:t>CdS</w:t>
      </w:r>
      <w:proofErr w:type="spellEnd"/>
      <w:r w:rsidR="002F53D3">
        <w:t xml:space="preserve"> nanowire are shown. For all XBIC measurements</w:t>
      </w:r>
      <w:r w:rsidR="00C055F6">
        <w:t xml:space="preserve"> in sections (</w:t>
      </w:r>
      <w:r w:rsidR="00691B49">
        <w:t>f</w:t>
      </w:r>
      <w:r w:rsidR="00C055F6">
        <w:t>) to (</w:t>
      </w:r>
      <w:proofErr w:type="spellStart"/>
      <w:r w:rsidR="00691B49">
        <w:t>i</w:t>
      </w:r>
      <w:proofErr w:type="spellEnd"/>
      <w:r w:rsidR="00C055F6">
        <w:t>)</w:t>
      </w:r>
      <w:r w:rsidR="00A24D4D">
        <w:t xml:space="preserve">, we used a </w:t>
      </w:r>
      <w:r w:rsidR="002F53D3">
        <w:t xml:space="preserve">PA and a </w:t>
      </w:r>
      <w:r w:rsidR="00A43743">
        <w:t>LIA</w:t>
      </w:r>
      <w:r w:rsidR="003E2801">
        <w:t xml:space="preserve"> as specified in the Table of Materials and Reagents</w:t>
      </w:r>
      <w:r w:rsidR="002F53D3">
        <w:t>.</w:t>
      </w:r>
    </w:p>
    <w:p w14:paraId="453EFE93" w14:textId="77777777" w:rsidR="0076758E" w:rsidRDefault="0076758E" w:rsidP="00F22EB6"/>
    <w:p w14:paraId="1CB92DFD" w14:textId="686B92A4" w:rsidR="0076758E" w:rsidRPr="00552035" w:rsidRDefault="00A15D05" w:rsidP="00F22EB6">
      <w:pPr>
        <w:pStyle w:val="ac"/>
        <w:numPr>
          <w:ilvl w:val="0"/>
          <w:numId w:val="29"/>
        </w:numPr>
        <w:ind w:left="0" w:firstLine="0"/>
        <w:rPr>
          <w:b/>
        </w:rPr>
      </w:pPr>
      <w:r w:rsidRPr="00552035">
        <w:rPr>
          <w:b/>
        </w:rPr>
        <w:t>Modulation of the Incoming S</w:t>
      </w:r>
      <w:r w:rsidR="0076758E" w:rsidRPr="00552035">
        <w:rPr>
          <w:b/>
        </w:rPr>
        <w:t>ignal</w:t>
      </w:r>
    </w:p>
    <w:p w14:paraId="00EC19DB" w14:textId="64F10FBC" w:rsidR="00B758ED" w:rsidRDefault="005D5F78" w:rsidP="00F22EB6">
      <w:r w:rsidRPr="00067EFD">
        <w:rPr>
          <w:b/>
        </w:rPr>
        <w:t xml:space="preserve">Figure </w:t>
      </w:r>
      <w:r w:rsidR="00321596" w:rsidRPr="00067EFD">
        <w:rPr>
          <w:b/>
        </w:rPr>
        <w:t>3</w:t>
      </w:r>
      <w:r w:rsidR="00321596">
        <w:t xml:space="preserve"> </w:t>
      </w:r>
      <w:r w:rsidR="00B15F13">
        <w:t xml:space="preserve">shows </w:t>
      </w:r>
      <w:r w:rsidR="009E35EE">
        <w:t>the pre-amplified</w:t>
      </w:r>
      <w:r w:rsidR="0076758E">
        <w:t xml:space="preserve"> </w:t>
      </w:r>
      <w:r w:rsidR="00BC577A">
        <w:t xml:space="preserve">DUT </w:t>
      </w:r>
      <w:r w:rsidR="0076758E">
        <w:t xml:space="preserve">response </w:t>
      </w:r>
      <w:r w:rsidR="00BC577A">
        <w:t xml:space="preserve">measured by </w:t>
      </w:r>
      <w:r w:rsidR="00CF2D0F">
        <w:t>a scope with</w:t>
      </w:r>
      <w:r w:rsidR="00BC577A">
        <w:t>out (top row) and with (bottom row)</w:t>
      </w:r>
      <w:r w:rsidR="00CF2D0F">
        <w:t xml:space="preserve"> </w:t>
      </w:r>
      <w:r w:rsidR="005B38CF">
        <w:t>bias</w:t>
      </w:r>
      <w:r w:rsidR="00CF2D0F">
        <w:t xml:space="preserve"> light turned on. </w:t>
      </w:r>
      <w:r w:rsidR="009E35EE">
        <w:t>As the PA converts currents to voltages</w:t>
      </w:r>
      <w:r w:rsidR="00E70835">
        <w:t>,</w:t>
      </w:r>
      <w:r w:rsidR="009E35EE">
        <w:t xml:space="preserve"> the displayed signal is in volt</w:t>
      </w:r>
      <w:r w:rsidR="00E70835">
        <w:t>s</w:t>
      </w:r>
      <w:r w:rsidR="009E35EE">
        <w:t>. It</w:t>
      </w:r>
      <w:r w:rsidR="00B758ED">
        <w:t xml:space="preserve"> is negative due to the contacting of the solar cell, with the p- and n-type contacts connected to the shield and core of the input of the PA</w:t>
      </w:r>
      <w:r w:rsidR="00E70835">
        <w:t>, respectively</w:t>
      </w:r>
      <w:r w:rsidR="00B758ED">
        <w:t xml:space="preserve">. In XBIC measurements, the solar cell contacting is </w:t>
      </w:r>
      <w:r w:rsidR="006B4822">
        <w:t xml:space="preserve">governed </w:t>
      </w:r>
      <w:r w:rsidR="00B758ED">
        <w:t>by the necessary grounding of the front contact as discussed in section 1.2.</w:t>
      </w:r>
      <w:r w:rsidR="00572DE0">
        <w:t>6</w:t>
      </w:r>
      <w:r w:rsidR="00B758ED">
        <w:t>. of the protocol.</w:t>
      </w:r>
      <w:r w:rsidR="00E70835">
        <w:t xml:space="preserve"> </w:t>
      </w:r>
    </w:p>
    <w:p w14:paraId="0EF59649" w14:textId="77777777" w:rsidR="00552035" w:rsidRDefault="00552035" w:rsidP="00F22EB6"/>
    <w:p w14:paraId="6FA07AB9" w14:textId="7D8C6701" w:rsidR="00552035" w:rsidRDefault="005B38CF" w:rsidP="00F22EB6">
      <w:r>
        <w:t xml:space="preserve">Comparing </w:t>
      </w:r>
      <w:r w:rsidR="00067EFD" w:rsidRPr="00067EFD">
        <w:rPr>
          <w:b/>
        </w:rPr>
        <w:t>Figure</w:t>
      </w:r>
      <w:r w:rsidRPr="00067EFD">
        <w:rPr>
          <w:b/>
        </w:rPr>
        <w:t xml:space="preserve"> </w:t>
      </w:r>
      <w:r w:rsidR="00321596" w:rsidRPr="00067EFD">
        <w:rPr>
          <w:b/>
        </w:rPr>
        <w:t>3A</w:t>
      </w:r>
      <w:r w:rsidR="00321596">
        <w:t xml:space="preserve"> </w:t>
      </w:r>
      <w:r>
        <w:t xml:space="preserve">and </w:t>
      </w:r>
      <w:r w:rsidR="00067EFD" w:rsidRPr="00067EFD">
        <w:rPr>
          <w:b/>
        </w:rPr>
        <w:t>Figure 3</w:t>
      </w:r>
      <w:r w:rsidR="00067EFD">
        <w:rPr>
          <w:b/>
        </w:rPr>
        <w:t>D</w:t>
      </w:r>
      <w:r w:rsidR="00564A7E">
        <w:t xml:space="preserve">, we note an offset signal on the order of 8 mV that is shifted to -65 mV by turning on the bias light </w:t>
      </w:r>
      <w:r w:rsidR="00B758ED">
        <w:t xml:space="preserve">from </w:t>
      </w:r>
      <w:r w:rsidR="00564A7E">
        <w:t>fluorescence</w:t>
      </w:r>
      <w:r w:rsidR="00FE2059">
        <w:t xml:space="preserve"> tubes</w:t>
      </w:r>
      <w:r w:rsidR="00B758ED">
        <w:t>.</w:t>
      </w:r>
      <w:r w:rsidR="00FE2059">
        <w:t xml:space="preserve"> </w:t>
      </w:r>
      <w:r w:rsidR="00B758ED">
        <w:t>F</w:t>
      </w:r>
      <w:r w:rsidR="00FE2059">
        <w:t xml:space="preserve">urthermore, the signal variation </w:t>
      </w:r>
      <w:r w:rsidR="00680325">
        <w:t xml:space="preserve">on short timescales </w:t>
      </w:r>
      <w:r w:rsidR="00FE2059">
        <w:t>is significantly enhanced by the bias light.</w:t>
      </w:r>
      <w:r w:rsidR="00D43D61">
        <w:t xml:space="preserve"> </w:t>
      </w:r>
      <w:r w:rsidR="00552A3E">
        <w:t>Such a</w:t>
      </w:r>
      <w:r w:rsidR="00D43D61">
        <w:t xml:space="preserve"> bias offset of roughly 70 mV can prove problematic, </w:t>
      </w:r>
      <w:r w:rsidR="00895EF6">
        <w:t xml:space="preserve">due to limits in </w:t>
      </w:r>
      <w:r w:rsidR="00D43D61">
        <w:t>the acceptance range of the PA and LIA</w:t>
      </w:r>
      <w:r w:rsidR="00B64B6D">
        <w:t xml:space="preserve">. As </w:t>
      </w:r>
      <w:r>
        <w:t>we would like to use the full</w:t>
      </w:r>
      <w:r w:rsidR="00D43D61">
        <w:t xml:space="preserve"> range</w:t>
      </w:r>
      <w:r w:rsidR="00D362B1">
        <w:t xml:space="preserve"> of the PA,</w:t>
      </w:r>
      <w:r>
        <w:t xml:space="preserve"> a</w:t>
      </w:r>
      <w:r w:rsidR="006C1432">
        <w:t xml:space="preserve"> </w:t>
      </w:r>
      <w:r w:rsidR="00460BE3">
        <w:t xml:space="preserve">small offset as in </w:t>
      </w:r>
      <w:r w:rsidR="00067EFD" w:rsidRPr="00067EFD">
        <w:rPr>
          <w:b/>
        </w:rPr>
        <w:t xml:space="preserve">Figure </w:t>
      </w:r>
      <w:r w:rsidR="0030702E" w:rsidRPr="00067EFD">
        <w:rPr>
          <w:b/>
        </w:rPr>
        <w:t>3</w:t>
      </w:r>
      <w:r w:rsidR="00460BE3" w:rsidRPr="00067EFD">
        <w:rPr>
          <w:b/>
        </w:rPr>
        <w:t>A</w:t>
      </w:r>
      <w:r w:rsidR="00067EFD" w:rsidRPr="00067EFD">
        <w:rPr>
          <w:b/>
        </w:rPr>
        <w:t>-C</w:t>
      </w:r>
      <w:r w:rsidR="006C1432">
        <w:t xml:space="preserve"> is preferable</w:t>
      </w:r>
      <w:r w:rsidR="00B64B6D">
        <w:t>. Therefore,</w:t>
      </w:r>
      <w:r w:rsidR="006C1432">
        <w:t xml:space="preserve"> all sources of unintentional bias</w:t>
      </w:r>
      <w:r w:rsidR="00B64B6D">
        <w:t>, such as ambient lighting,</w:t>
      </w:r>
      <w:r w:rsidR="006C1432">
        <w:t xml:space="preserve"> should b</w:t>
      </w:r>
      <w:r>
        <w:t>e eliminated</w:t>
      </w:r>
      <w:r w:rsidR="006C1432">
        <w:t>.</w:t>
      </w:r>
    </w:p>
    <w:p w14:paraId="34D21D97" w14:textId="77777777" w:rsidR="00552035" w:rsidRDefault="00552035" w:rsidP="00F22EB6"/>
    <w:p w14:paraId="374DCB8E" w14:textId="073C3703" w:rsidR="00CF2D0F" w:rsidRDefault="00FE2059" w:rsidP="00F22EB6">
      <w:r>
        <w:t>Adding a chopped photon sourc</w:t>
      </w:r>
      <w:r w:rsidR="00460BE3">
        <w:t xml:space="preserve">e, as displayed in </w:t>
      </w:r>
      <w:r w:rsidR="00067EFD" w:rsidRPr="00067EFD">
        <w:rPr>
          <w:b/>
        </w:rPr>
        <w:t>Figure</w:t>
      </w:r>
      <w:r w:rsidR="00460BE3" w:rsidRPr="00067EFD">
        <w:rPr>
          <w:b/>
        </w:rPr>
        <w:t xml:space="preserve"> </w:t>
      </w:r>
      <w:r w:rsidR="0030702E" w:rsidRPr="00067EFD">
        <w:rPr>
          <w:b/>
        </w:rPr>
        <w:t>3</w:t>
      </w:r>
      <w:r w:rsidR="00460BE3" w:rsidRPr="00067EFD">
        <w:rPr>
          <w:b/>
        </w:rPr>
        <w:t>B,C</w:t>
      </w:r>
      <w:r w:rsidR="00067EFD" w:rsidRPr="00067EFD">
        <w:rPr>
          <w:b/>
        </w:rPr>
        <w:t>,</w:t>
      </w:r>
      <w:r w:rsidR="00460BE3" w:rsidRPr="00067EFD">
        <w:rPr>
          <w:b/>
        </w:rPr>
        <w:t>E</w:t>
      </w:r>
      <w:r w:rsidR="0030702E" w:rsidRPr="00067EFD">
        <w:rPr>
          <w:b/>
        </w:rPr>
        <w:t>,</w:t>
      </w:r>
      <w:r w:rsidR="00460BE3" w:rsidRPr="00067EFD">
        <w:rPr>
          <w:b/>
        </w:rPr>
        <w:t>F</w:t>
      </w:r>
      <w:r>
        <w:t>, increases the i</w:t>
      </w:r>
      <w:r w:rsidR="0032575A">
        <w:t>nduced signal</w:t>
      </w:r>
      <w:r>
        <w:t xml:space="preserve"> </w:t>
      </w:r>
      <w:r w:rsidR="00B758ED">
        <w:t xml:space="preserve">by </w:t>
      </w:r>
      <w:r>
        <w:t>the same am</w:t>
      </w:r>
      <w:r w:rsidR="00680325">
        <w:t>ount – roughly 66</w:t>
      </w:r>
      <w:r>
        <w:t xml:space="preserve"> mV – for both with and without bias light, when the beam passes </w:t>
      </w:r>
      <w:r w:rsidR="00771FD8">
        <w:t xml:space="preserve">through </w:t>
      </w:r>
      <w:r>
        <w:t>the chopper blade</w:t>
      </w:r>
      <w:r w:rsidR="0032575A">
        <w:t>; when the beam is blocked</w:t>
      </w:r>
      <w:r w:rsidR="00771FD8">
        <w:t xml:space="preserve"> by the blade</w:t>
      </w:r>
      <w:r w:rsidR="00627DF7">
        <w:t xml:space="preserve">, the signal </w:t>
      </w:r>
      <w:r>
        <w:t>remains at the level of the respective offset</w:t>
      </w:r>
      <w:r w:rsidR="00771FD8">
        <w:t>, as is expected</w:t>
      </w:r>
      <w:r>
        <w:t>.</w:t>
      </w:r>
      <w:r w:rsidR="007C6AEC">
        <w:t xml:space="preserve"> The frequency of the chopper is distinc</w:t>
      </w:r>
      <w:r w:rsidR="00460BE3">
        <w:t xml:space="preserve">t in the signal of subfigures </w:t>
      </w:r>
      <w:r w:rsidR="007469BC">
        <w:t>3</w:t>
      </w:r>
      <w:r w:rsidR="00460BE3">
        <w:t xml:space="preserve">B and </w:t>
      </w:r>
      <w:r w:rsidR="007469BC">
        <w:t>3</w:t>
      </w:r>
      <w:r w:rsidR="00460BE3">
        <w:t>E</w:t>
      </w:r>
      <w:r w:rsidR="007C6AEC">
        <w:t xml:space="preserve"> with a period of </w:t>
      </w:r>
      <m:oMath>
        <m:sSub>
          <m:sSubPr>
            <m:ctrlPr>
              <w:rPr>
                <w:rFonts w:ascii="Cambria Math" w:hAnsi="Cambria Math"/>
                <w:i/>
              </w:rPr>
            </m:ctrlPr>
          </m:sSubPr>
          <m:e>
            <m:r>
              <w:rPr>
                <w:rFonts w:ascii="Cambria Math" w:hAnsi="Cambria Math"/>
              </w:rPr>
              <m:t>τ</m:t>
            </m:r>
          </m:e>
          <m:sub>
            <m:r>
              <m:rPr>
                <m:sty m:val="p"/>
              </m:rPr>
              <w:rPr>
                <w:rFonts w:ascii="Cambria Math" w:hAnsi="Cambria Math"/>
              </w:rPr>
              <m:t>mod</m:t>
            </m:r>
          </m:sub>
        </m:sSub>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f</m:t>
                </m:r>
              </m:e>
              <m:sub>
                <m:r>
                  <m:rPr>
                    <m:sty m:val="p"/>
                  </m:rPr>
                  <w:rPr>
                    <w:rFonts w:ascii="Cambria Math" w:hAnsi="Cambria Math"/>
                  </w:rPr>
                  <m:t>mod</m:t>
                </m:r>
              </m:sub>
            </m:sSub>
          </m:den>
        </m:f>
        <m:r>
          <w:rPr>
            <w:rFonts w:ascii="Cambria Math" w:hAnsi="Cambria Math"/>
          </w:rPr>
          <m:t>=0.46</m:t>
        </m:r>
      </m:oMath>
      <w:r w:rsidR="007C6AEC">
        <w:t> ms.</w:t>
      </w:r>
    </w:p>
    <w:p w14:paraId="05202536" w14:textId="77777777" w:rsidR="00552035" w:rsidRDefault="00552035" w:rsidP="00F22EB6"/>
    <w:p w14:paraId="7A4EAB12" w14:textId="0CD29887" w:rsidR="00F90EDC" w:rsidRDefault="00B15F13" w:rsidP="00F22EB6">
      <w:r>
        <w:t xml:space="preserve">In </w:t>
      </w:r>
      <w:r w:rsidR="00067EFD" w:rsidRPr="00067EFD">
        <w:rPr>
          <w:b/>
        </w:rPr>
        <w:t>Figure 3</w:t>
      </w:r>
      <w:r w:rsidR="00067EFD">
        <w:rPr>
          <w:b/>
        </w:rPr>
        <w:t>D</w:t>
      </w:r>
      <w:r w:rsidR="00067EFD" w:rsidRPr="00067EFD">
        <w:rPr>
          <w:b/>
        </w:rPr>
        <w:t>-</w:t>
      </w:r>
      <w:r w:rsidR="00067EFD">
        <w:rPr>
          <w:b/>
        </w:rPr>
        <w:t>F</w:t>
      </w:r>
      <w:r w:rsidR="00031A70">
        <w:t>,</w:t>
      </w:r>
      <w:r w:rsidR="00CF2D0F">
        <w:t xml:space="preserve"> </w:t>
      </w:r>
      <w:r w:rsidR="00A13CAE">
        <w:t xml:space="preserve">we note </w:t>
      </w:r>
      <w:r w:rsidR="00926227">
        <w:t>a</w:t>
      </w:r>
      <w:r w:rsidR="00A13CAE">
        <w:t xml:space="preserve">n additional </w:t>
      </w:r>
      <w:r w:rsidR="00031A70">
        <w:t xml:space="preserve">modulation </w:t>
      </w:r>
      <w:r w:rsidR="00A13CAE">
        <w:t>at a</w:t>
      </w:r>
      <w:r w:rsidR="00926227">
        <w:t xml:space="preserve"> frequency of 90 </w:t>
      </w:r>
      <w:r>
        <w:t xml:space="preserve">kHz. The source of this </w:t>
      </w:r>
      <w:r w:rsidR="00A13CAE">
        <w:t xml:space="preserve">high-frequency </w:t>
      </w:r>
      <w:r w:rsidR="00031A70">
        <w:t xml:space="preserve">modulation </w:t>
      </w:r>
      <w:r>
        <w:t>is the el</w:t>
      </w:r>
      <w:r w:rsidR="006B03DB">
        <w:t>ectronic ballast of the fluorescent tube</w:t>
      </w:r>
      <w:r w:rsidR="00CF2D0F">
        <w:t>,</w:t>
      </w:r>
      <w:r w:rsidR="00926227">
        <w:t xml:space="preserve"> which is driven at 45 </w:t>
      </w:r>
      <w:r w:rsidR="00A13CAE">
        <w:t>kH</w:t>
      </w:r>
      <w:r w:rsidR="00031A70">
        <w:t>z</w:t>
      </w:r>
      <w:r w:rsidR="00926227">
        <w:t xml:space="preserve">. </w:t>
      </w:r>
      <w:r w:rsidR="00A13CAE">
        <w:t xml:space="preserve">Although lock-in amplification </w:t>
      </w:r>
      <w:proofErr w:type="gramStart"/>
      <w:r w:rsidR="009C23B6">
        <w:t xml:space="preserve">is capable of </w:t>
      </w:r>
      <w:r w:rsidR="00A13CAE">
        <w:t>differentiat</w:t>
      </w:r>
      <w:r w:rsidR="009C23B6">
        <w:t>ing</w:t>
      </w:r>
      <w:proofErr w:type="gramEnd"/>
      <w:r w:rsidR="00A13CAE">
        <w:t xml:space="preserve"> the contributions from different modulation frequencies</w:t>
      </w:r>
      <w:r w:rsidR="009C23B6">
        <w:t>,</w:t>
      </w:r>
      <w:r w:rsidR="00A13CAE">
        <w:t xml:space="preserve"> as will be shown in </w:t>
      </w:r>
      <w:r w:rsidR="00A13CAE" w:rsidRPr="00067EFD">
        <w:rPr>
          <w:b/>
        </w:rPr>
        <w:t>Fig</w:t>
      </w:r>
      <w:r w:rsidR="00067EFD" w:rsidRPr="00067EFD">
        <w:rPr>
          <w:b/>
        </w:rPr>
        <w:t>ure</w:t>
      </w:r>
      <w:r w:rsidR="00A13CAE" w:rsidRPr="00067EFD">
        <w:rPr>
          <w:b/>
        </w:rPr>
        <w:t xml:space="preserve"> </w:t>
      </w:r>
      <w:r w:rsidR="00C701D9" w:rsidRPr="00067EFD">
        <w:rPr>
          <w:b/>
        </w:rPr>
        <w:t>5</w:t>
      </w:r>
      <w:r w:rsidR="00A13CAE">
        <w:t xml:space="preserve">, the reduction of noise signal is paramount for a good measurement. </w:t>
      </w:r>
      <w:r>
        <w:t xml:space="preserve">Ambient light is just one possible source, </w:t>
      </w:r>
      <w:r w:rsidR="009C23B6">
        <w:t xml:space="preserve">but </w:t>
      </w:r>
      <w:r>
        <w:t>other electronics can also induce noise</w:t>
      </w:r>
      <w:r w:rsidR="003506B1">
        <w:t>,</w:t>
      </w:r>
      <w:r>
        <w:t xml:space="preserve"> which then would b</w:t>
      </w:r>
      <w:r w:rsidR="00680325">
        <w:t>e superimposed onto the signal.</w:t>
      </w:r>
      <w:r w:rsidR="00751EED">
        <w:t xml:space="preserve"> Note that bias light is not </w:t>
      </w:r>
      <w:r w:rsidR="008770B1">
        <w:t xml:space="preserve">always </w:t>
      </w:r>
      <w:r w:rsidR="00751EED">
        <w:t>unwanted noise, but often bias light is applied on purpose to set the DUT into operating conditions.</w:t>
      </w:r>
    </w:p>
    <w:p w14:paraId="4E079043" w14:textId="77777777" w:rsidR="00552035" w:rsidRDefault="00552035" w:rsidP="00F22EB6"/>
    <w:p w14:paraId="5EBF6FA9" w14:textId="67EB1A16" w:rsidR="00050C1E" w:rsidRDefault="00050C1E" w:rsidP="00F22EB6">
      <w:r>
        <w:t xml:space="preserve">In </w:t>
      </w:r>
      <w:r w:rsidR="00067EFD" w:rsidRPr="00067EFD">
        <w:rPr>
          <w:b/>
        </w:rPr>
        <w:t>Figure 3</w:t>
      </w:r>
      <w:proofErr w:type="gramStart"/>
      <w:r w:rsidR="00067EFD" w:rsidRPr="00067EFD">
        <w:rPr>
          <w:b/>
        </w:rPr>
        <w:t>B,C</w:t>
      </w:r>
      <w:proofErr w:type="gramEnd"/>
      <w:r w:rsidR="00067EFD" w:rsidRPr="00067EFD">
        <w:rPr>
          <w:b/>
        </w:rPr>
        <w:t>,E,F</w:t>
      </w:r>
      <w:r>
        <w:t>, we note further that the response of the DUT upon change of the irradiation intensity is delayed. These rise-time effects will be discussed in greater detail in the next section and originate here from two distinct effects: first, the steep increase and decrease of the DUT response upon the 2177.7-Hz modulation is delayed by the low-pass filter in the PA. Second, the signal continues to increase</w:t>
      </w:r>
      <w:r w:rsidR="006671F6">
        <w:t>/decrease at slower time scales (</w:t>
      </w:r>
      <w:r w:rsidR="00067EFD">
        <w:t xml:space="preserve">e.g., </w:t>
      </w:r>
      <w:r>
        <w:t xml:space="preserve">visible between 0.68 and 0.80 </w:t>
      </w:r>
      <w:proofErr w:type="spellStart"/>
      <w:r>
        <w:t>ms</w:t>
      </w:r>
      <w:proofErr w:type="spellEnd"/>
      <w:r>
        <w:t xml:space="preserve"> in </w:t>
      </w:r>
      <w:r w:rsidRPr="00067EFD">
        <w:rPr>
          <w:b/>
        </w:rPr>
        <w:t>Fig</w:t>
      </w:r>
      <w:r w:rsidR="00067EFD" w:rsidRPr="00067EFD">
        <w:rPr>
          <w:b/>
        </w:rPr>
        <w:t>ure</w:t>
      </w:r>
      <w:r w:rsidRPr="00067EFD">
        <w:rPr>
          <w:b/>
        </w:rPr>
        <w:t xml:space="preserve"> 3C</w:t>
      </w:r>
      <w:r w:rsidR="006671F6">
        <w:t>), which w</w:t>
      </w:r>
      <w:r>
        <w:t xml:space="preserve">e attribute to the </w:t>
      </w:r>
      <w:r w:rsidR="006671F6">
        <w:t>occupation kinetics of defect states in the solar cell.</w:t>
      </w:r>
    </w:p>
    <w:p w14:paraId="75FE0ADE" w14:textId="77777777" w:rsidR="00361626" w:rsidRDefault="00361626" w:rsidP="00F22EB6"/>
    <w:p w14:paraId="2DF3DF96" w14:textId="0F70C63A" w:rsidR="00361626" w:rsidRPr="00552035" w:rsidRDefault="00A15D05" w:rsidP="00F22EB6">
      <w:pPr>
        <w:pStyle w:val="ac"/>
        <w:numPr>
          <w:ilvl w:val="0"/>
          <w:numId w:val="29"/>
        </w:numPr>
        <w:ind w:left="0" w:firstLine="0"/>
        <w:rPr>
          <w:b/>
        </w:rPr>
      </w:pPr>
      <w:r w:rsidRPr="00552035">
        <w:rPr>
          <w:b/>
        </w:rPr>
        <w:t>Pre-A</w:t>
      </w:r>
      <w:r w:rsidR="002B5736" w:rsidRPr="00552035">
        <w:rPr>
          <w:b/>
        </w:rPr>
        <w:t>mplification</w:t>
      </w:r>
    </w:p>
    <w:p w14:paraId="0CD42CBC" w14:textId="7912C97C" w:rsidR="009D3143" w:rsidRDefault="002B5736" w:rsidP="00F22EB6">
      <w:r>
        <w:t xml:space="preserve">The </w:t>
      </w:r>
      <w:r w:rsidR="000D26EC">
        <w:t>PA</w:t>
      </w:r>
      <w:r>
        <w:t xml:space="preserve"> </w:t>
      </w:r>
      <w:r w:rsidR="00796F0B">
        <w:t xml:space="preserve">not only amplifies the </w:t>
      </w:r>
      <w:r>
        <w:t>modulated signal of the DUT</w:t>
      </w:r>
      <w:r w:rsidR="00796F0B">
        <w:t xml:space="preserve"> but can significantly change its wave form</w:t>
      </w:r>
      <w:r>
        <w:t>.</w:t>
      </w:r>
      <w:r w:rsidR="009D3143">
        <w:t xml:space="preserve"> </w:t>
      </w:r>
      <w:r w:rsidR="00796F0B">
        <w:t>As detailed above</w:t>
      </w:r>
      <w:r w:rsidR="00627DF7">
        <w:t>,</w:t>
      </w:r>
      <w:r w:rsidR="00796F0B">
        <w:t xml:space="preserve"> </w:t>
      </w:r>
      <w:r w:rsidR="00D6613B">
        <w:t>the contact</w:t>
      </w:r>
      <w:r w:rsidR="00796F0B">
        <w:t>s</w:t>
      </w:r>
      <w:r w:rsidR="00D6613B">
        <w:t xml:space="preserve"> of the solar cell </w:t>
      </w:r>
      <w:r w:rsidR="00796F0B">
        <w:t>are</w:t>
      </w:r>
      <w:r w:rsidR="00D6613B">
        <w:t xml:space="preserve"> such that a negative voltage is measured</w:t>
      </w:r>
      <w:r w:rsidR="00796F0B">
        <w:t xml:space="preserve"> upon illumination</w:t>
      </w:r>
      <w:r w:rsidR="00D6613B">
        <w:t>. No bias light was added</w:t>
      </w:r>
      <w:r w:rsidR="00031A70">
        <w:t xml:space="preserve"> for the measurements shown in </w:t>
      </w:r>
      <w:r w:rsidR="00031A70" w:rsidRPr="00067EFD">
        <w:rPr>
          <w:b/>
        </w:rPr>
        <w:t>Fig</w:t>
      </w:r>
      <w:r w:rsidR="00067EFD" w:rsidRPr="00067EFD">
        <w:rPr>
          <w:b/>
        </w:rPr>
        <w:t>ure</w:t>
      </w:r>
      <w:r w:rsidR="00031A70" w:rsidRPr="00067EFD">
        <w:rPr>
          <w:b/>
        </w:rPr>
        <w:t xml:space="preserve"> </w:t>
      </w:r>
      <w:r w:rsidR="00DA0009" w:rsidRPr="00067EFD">
        <w:rPr>
          <w:b/>
        </w:rPr>
        <w:t>4</w:t>
      </w:r>
      <w:r w:rsidR="00D6613B">
        <w:t>.</w:t>
      </w:r>
    </w:p>
    <w:p w14:paraId="79093B52" w14:textId="77777777" w:rsidR="00552035" w:rsidRDefault="00552035" w:rsidP="00F22EB6"/>
    <w:p w14:paraId="4F96C26C" w14:textId="7DFC06DD" w:rsidR="000D26EC" w:rsidRDefault="009D3143" w:rsidP="00F22EB6">
      <w:r>
        <w:t xml:space="preserve">The </w:t>
      </w:r>
      <w:r w:rsidR="00031A70">
        <w:t>measurements</w:t>
      </w:r>
      <w:r>
        <w:t xml:space="preserve"> were taken with </w:t>
      </w:r>
      <w:r w:rsidR="0000322D">
        <w:t xml:space="preserve">increasing </w:t>
      </w:r>
      <w:r>
        <w:t>filter rise times to demonstrate their effects</w:t>
      </w:r>
      <w:r w:rsidR="005E7A9A">
        <w:t xml:space="preserve"> wh</w:t>
      </w:r>
      <w:r w:rsidR="0000322D">
        <w:t>en</w:t>
      </w:r>
      <w:r w:rsidR="005E7A9A">
        <w:t xml:space="preserve"> amplification strength </w:t>
      </w:r>
      <w:r w:rsidR="0000322D">
        <w:t>is held constant</w:t>
      </w:r>
      <w:r>
        <w:t xml:space="preserve">. </w:t>
      </w:r>
      <w:r w:rsidR="00796F0B">
        <w:t>In many cases,</w:t>
      </w:r>
      <w:r w:rsidR="000D26EC">
        <w:t xml:space="preserve"> filter rise times are </w:t>
      </w:r>
      <w:r w:rsidR="00031A70">
        <w:t>hardware-</w:t>
      </w:r>
      <w:r w:rsidR="000D26EC">
        <w:t xml:space="preserve">coupled </w:t>
      </w:r>
      <w:r w:rsidR="00796F0B">
        <w:t xml:space="preserve">to the </w:t>
      </w:r>
      <w:r w:rsidR="000D26EC">
        <w:t xml:space="preserve">amplification. The stronger the amplification is, the longer the </w:t>
      </w:r>
      <w:r w:rsidR="00031A70">
        <w:t>response</w:t>
      </w:r>
      <w:r w:rsidR="000D26EC">
        <w:t xml:space="preserve"> time</w:t>
      </w:r>
      <w:r w:rsidR="0000322D">
        <w:t xml:space="preserve"> is</w:t>
      </w:r>
      <w:r w:rsidR="00031A70">
        <w:t>,</w:t>
      </w:r>
      <w:r w:rsidR="001E1556">
        <w:t xml:space="preserve"> and the smaller is the </w:t>
      </w:r>
      <w:r w:rsidR="00073260">
        <w:t>cut-</w:t>
      </w:r>
      <w:r w:rsidR="001E1556">
        <w:t>off frequency of the low</w:t>
      </w:r>
      <w:r w:rsidR="0054320A">
        <w:t>-</w:t>
      </w:r>
      <w:r w:rsidR="001E1556">
        <w:t>pass filter in the PA</w:t>
      </w:r>
      <w:r w:rsidR="0017724E">
        <w:fldChar w:fldCharType="begin" w:fldLock="1"/>
      </w:r>
      <w:r w:rsidR="003D2185">
        <w:instrText>ADDIN CSL_CITATION {"citationItems":[{"id":"ITEM-1","itemData":{"author":[{"dropping-particle":"","family":"Keithley","given":"","non-dropping-particle":"","parse-names":false,"suffix":""}],"id":"ITEM-1","issued":{"date-parts":[["2000"]]},"title":"Keithley 487/86 Pico-ammeter instruction manual","type":"article"},"uris":["http://www.mendeley.com/documents/?uuid=d0af1b8a-50a3-4f25-a3fb-1a934893dac9"]},{"id":"ITEM-2","itemData":{"author":[{"dropping-particle":"","family":"ThinkSRS","given":"","non-dropping-particle":"","parse-names":false,"suffix":""}],"id":"ITEM-2","issue":"408","issued":{"date-parts":[["2015"]]},"publisher":"ThinkSRS","title":"MODEL SR570 Low-Noise Current Preamplifier","type":"webpage"},"uris":["http://www.mendeley.com/documents/?uuid=636fa531-db91-4332-bc23-ef84e5ec27cb"]}],"mendeley":{"formattedCitation":"&lt;sup&gt;36,37&lt;/sup&gt;","plainTextFormattedCitation":"36,37","previouslyFormattedCitation":"&lt;sup&gt;36,37&lt;/sup&gt;"},"properties":{"noteIndex":0},"schema":"https://github.com/citation-style-language/schema/raw/master/csl-citation.json"}</w:instrText>
      </w:r>
      <w:r w:rsidR="0017724E">
        <w:fldChar w:fldCharType="separate"/>
      </w:r>
      <w:r w:rsidR="00594CBE" w:rsidRPr="00594CBE">
        <w:rPr>
          <w:noProof/>
          <w:vertAlign w:val="superscript"/>
        </w:rPr>
        <w:t>36,37</w:t>
      </w:r>
      <w:r w:rsidR="0017724E">
        <w:fldChar w:fldCharType="end"/>
      </w:r>
      <w:r w:rsidR="00D51BB7">
        <w:t>.</w:t>
      </w:r>
    </w:p>
    <w:p w14:paraId="48A04F69" w14:textId="77777777" w:rsidR="00552035" w:rsidRDefault="00552035" w:rsidP="00F22EB6"/>
    <w:p w14:paraId="1FF10C4A" w14:textId="328D1822" w:rsidR="00F46513" w:rsidRDefault="009D3143" w:rsidP="00F22EB6">
      <w:r>
        <w:t>With a filter rise time of</w:t>
      </w:r>
      <w:r w:rsidR="002322C4">
        <w:t xml:space="preserve"> 10 </w:t>
      </w:r>
      <w:r w:rsidR="0035145A">
        <w:t>µs</w:t>
      </w:r>
      <w:r>
        <w:t xml:space="preserve"> as in the top panel of </w:t>
      </w:r>
      <w:r w:rsidR="00DA0009" w:rsidRPr="00067EFD">
        <w:rPr>
          <w:b/>
        </w:rPr>
        <w:t>Fig</w:t>
      </w:r>
      <w:r w:rsidR="00067EFD" w:rsidRPr="00067EFD">
        <w:rPr>
          <w:b/>
        </w:rPr>
        <w:t>ure</w:t>
      </w:r>
      <w:r w:rsidR="00DA0009" w:rsidRPr="00067EFD">
        <w:rPr>
          <w:b/>
        </w:rPr>
        <w:t xml:space="preserve"> 4</w:t>
      </w:r>
      <w:r w:rsidR="00796F0B">
        <w:t>,</w:t>
      </w:r>
      <w:r w:rsidR="0035145A">
        <w:t xml:space="preserve"> the signal </w:t>
      </w:r>
      <w:r w:rsidR="00796F0B">
        <w:t>is barely delayed</w:t>
      </w:r>
      <w:r w:rsidR="009161E4">
        <w:t>,</w:t>
      </w:r>
      <w:r w:rsidR="0035145A">
        <w:t xml:space="preserve"> </w:t>
      </w:r>
      <w:r w:rsidR="009161E4">
        <w:t>spans the nominal peak-to-peak range from roughly 10 mV to -65 mV, and reaches plateaus at the peak values</w:t>
      </w:r>
      <w:r w:rsidR="002322C4">
        <w:t>. With 100 </w:t>
      </w:r>
      <w:r w:rsidR="0035145A">
        <w:t>µs filter rise time</w:t>
      </w:r>
      <w:r w:rsidR="000D26EC">
        <w:t>,</w:t>
      </w:r>
      <w:r w:rsidR="0035145A">
        <w:t xml:space="preserve"> delay effects are visible in the modulated signal but the modulation is still distin</w:t>
      </w:r>
      <w:r w:rsidR="005E7A9A">
        <w:t>ct</w:t>
      </w:r>
      <w:r w:rsidR="002322C4">
        <w:t xml:space="preserve"> and the amplitude</w:t>
      </w:r>
      <w:r w:rsidR="009E5739">
        <w:t xml:space="preserve"> is</w:t>
      </w:r>
      <w:r w:rsidR="000D26EC">
        <w:t xml:space="preserve"> in a similar range as for 10 µs</w:t>
      </w:r>
      <w:r w:rsidR="002322C4">
        <w:t>. A filter rise time of 1 </w:t>
      </w:r>
      <w:proofErr w:type="spellStart"/>
      <w:r w:rsidR="0035145A">
        <w:t>ms</w:t>
      </w:r>
      <w:proofErr w:type="spellEnd"/>
      <w:r w:rsidR="009E5739">
        <w:t xml:space="preserve"> </w:t>
      </w:r>
      <w:r w:rsidR="0035145A">
        <w:t>is long</w:t>
      </w:r>
      <w:r w:rsidR="00A655C5">
        <w:t xml:space="preserve">er than the </w:t>
      </w:r>
      <w:r w:rsidR="00D362B1">
        <w:t>period of the modulation (0.46</w:t>
      </w:r>
      <w:r w:rsidR="002322C4">
        <w:t> </w:t>
      </w:r>
      <w:proofErr w:type="spellStart"/>
      <w:r w:rsidR="00A655C5">
        <w:t>ms</w:t>
      </w:r>
      <w:proofErr w:type="spellEnd"/>
      <w:r w:rsidR="00A655C5">
        <w:t>)</w:t>
      </w:r>
      <w:r w:rsidR="00796F0B">
        <w:t>. T</w:t>
      </w:r>
      <w:r w:rsidR="0035145A">
        <w:t>herefore</w:t>
      </w:r>
      <w:r w:rsidR="00796F0B">
        <w:t>,</w:t>
      </w:r>
      <w:r w:rsidR="0035145A">
        <w:t xml:space="preserve"> the </w:t>
      </w:r>
      <w:r w:rsidR="00A655C5">
        <w:t>modulation</w:t>
      </w:r>
      <w:r w:rsidR="00796F0B">
        <w:t xml:space="preserve"> is</w:t>
      </w:r>
      <w:r w:rsidR="00A655C5">
        <w:t xml:space="preserve"> suppressed </w:t>
      </w:r>
      <w:r w:rsidR="00C04A21">
        <w:t xml:space="preserve">to amplitudes below 10 mV and the shape reflects only the beginning </w:t>
      </w:r>
      <w:r w:rsidR="0017724E">
        <w:t>of the rising and falling edge</w:t>
      </w:r>
      <w:r w:rsidR="001A2A03">
        <w:t>, which is obviously not suited for quantitative XBIC measurements</w:t>
      </w:r>
      <w:r w:rsidR="0017724E">
        <w:t>.</w:t>
      </w:r>
      <w:r w:rsidR="00552035">
        <w:t xml:space="preserve"> </w:t>
      </w:r>
      <w:r w:rsidR="00C04A21">
        <w:t>This connection between gain and filter rise time</w:t>
      </w:r>
      <w:r w:rsidR="00F46513">
        <w:t xml:space="preserve"> </w:t>
      </w:r>
      <w:proofErr w:type="gramStart"/>
      <w:r w:rsidR="00F46513">
        <w:t>has to</w:t>
      </w:r>
      <w:proofErr w:type="gramEnd"/>
      <w:r w:rsidR="00F46513">
        <w:t xml:space="preserve"> be kept in mind </w:t>
      </w:r>
      <w:r w:rsidR="00C04A21">
        <w:t xml:space="preserve">particularly for the combination of fast </w:t>
      </w:r>
      <w:r w:rsidR="00F46513">
        <w:t xml:space="preserve">modulation </w:t>
      </w:r>
      <w:r w:rsidR="00C04A21">
        <w:t>frequencies</w:t>
      </w:r>
      <w:r w:rsidR="0000322D">
        <w:t>,</w:t>
      </w:r>
      <w:r w:rsidR="00C04A21">
        <w:t xml:space="preserve"> </w:t>
      </w:r>
      <m:oMath>
        <m:sSub>
          <m:sSubPr>
            <m:ctrlPr>
              <w:rPr>
                <w:rFonts w:ascii="Cambria Math" w:hAnsi="Cambria Math"/>
                <w:i/>
              </w:rPr>
            </m:ctrlPr>
          </m:sSubPr>
          <m:e>
            <m:r>
              <w:rPr>
                <w:rFonts w:ascii="Cambria Math" w:hAnsi="Cambria Math"/>
              </w:rPr>
              <m:t>f</m:t>
            </m:r>
          </m:e>
          <m:sub>
            <m:r>
              <m:rPr>
                <m:sty m:val="p"/>
              </m:rPr>
              <w:rPr>
                <w:rFonts w:ascii="Cambria Math" w:hAnsi="Cambria Math"/>
              </w:rPr>
              <m:t>mod</m:t>
            </m:r>
          </m:sub>
        </m:sSub>
      </m:oMath>
      <w:r w:rsidR="0000322D">
        <w:t>,</w:t>
      </w:r>
      <w:r w:rsidR="00C04A21">
        <w:t xml:space="preserve"> with strong amplification</w:t>
      </w:r>
      <w:r w:rsidR="007D14D0">
        <w:t>.</w:t>
      </w:r>
    </w:p>
    <w:p w14:paraId="0449762F" w14:textId="77777777" w:rsidR="00FD4847" w:rsidRPr="00552035" w:rsidRDefault="00FD4847" w:rsidP="00F22EB6">
      <w:pPr>
        <w:rPr>
          <w:b/>
        </w:rPr>
      </w:pPr>
    </w:p>
    <w:p w14:paraId="4F783D41" w14:textId="27EDF937" w:rsidR="00CF1F9A" w:rsidRPr="00552035" w:rsidRDefault="00CF1F9A" w:rsidP="00F22EB6">
      <w:pPr>
        <w:pStyle w:val="ac"/>
        <w:numPr>
          <w:ilvl w:val="0"/>
          <w:numId w:val="29"/>
        </w:numPr>
        <w:ind w:left="0" w:firstLine="0"/>
        <w:rPr>
          <w:b/>
        </w:rPr>
      </w:pPr>
      <w:r w:rsidRPr="00552035">
        <w:rPr>
          <w:b/>
        </w:rPr>
        <w:t>Signal Mixing</w:t>
      </w:r>
    </w:p>
    <w:p w14:paraId="230803CF" w14:textId="25DD66CC" w:rsidR="00CF1F9A" w:rsidRDefault="000D5C14" w:rsidP="00F22EB6">
      <w:r>
        <w:t>The key difference between standard signal amplification and lock-in amplification is the mixing of the DUT signal with a reference signal and the subsequent suppression of high frequencies by a low-pass filter.</w:t>
      </w:r>
    </w:p>
    <w:p w14:paraId="10679E11" w14:textId="77777777" w:rsidR="006653AB" w:rsidRDefault="006653AB" w:rsidP="00F22EB6"/>
    <w:p w14:paraId="741E5C04" w14:textId="1E66E048" w:rsidR="000D5C14" w:rsidRDefault="0014585B" w:rsidP="00F22EB6">
      <w:pPr>
        <w:pStyle w:val="ac"/>
        <w:ind w:left="0"/>
      </w:pPr>
      <w:r>
        <w:t xml:space="preserve">The signal path for the mixing is depicted in </w:t>
      </w:r>
      <w:r w:rsidRPr="00067EFD">
        <w:rPr>
          <w:b/>
        </w:rPr>
        <w:t>Fig</w:t>
      </w:r>
      <w:r w:rsidR="00067EFD" w:rsidRPr="00067EFD">
        <w:rPr>
          <w:b/>
        </w:rPr>
        <w:t>ure</w:t>
      </w:r>
      <w:r w:rsidRPr="00067EFD">
        <w:rPr>
          <w:b/>
        </w:rPr>
        <w:t xml:space="preserve"> </w:t>
      </w:r>
      <w:r w:rsidR="00C701D9" w:rsidRPr="00067EFD">
        <w:rPr>
          <w:b/>
        </w:rPr>
        <w:t>6</w:t>
      </w:r>
      <w:r>
        <w:t>. For the discussion of</w:t>
      </w:r>
      <w:r w:rsidR="000D5C14">
        <w:t xml:space="preserve"> the </w:t>
      </w:r>
      <w:r>
        <w:t xml:space="preserve">signal </w:t>
      </w:r>
      <w:r w:rsidR="000D5C14">
        <w:t>mixing, a few simplifications are made. The reference signal can be described as a sinusoidal signal</w:t>
      </w:r>
    </w:p>
    <w:p w14:paraId="4BBD026F" w14:textId="71209F2D" w:rsidR="000D5C14" w:rsidRDefault="00067EFD" w:rsidP="00F22EB6">
      <w:pPr>
        <w:pStyle w:val="ac"/>
        <w:ind w:left="0"/>
        <w:jc w:val="right"/>
      </w:pPr>
      <m:oMath>
        <m:sSub>
          <m:sSubPr>
            <m:ctrlPr>
              <w:rPr>
                <w:rFonts w:ascii="Cambria Math" w:hAnsi="Cambria Math"/>
                <w:i/>
              </w:rPr>
            </m:ctrlPr>
          </m:sSubPr>
          <m:e>
            <m:r>
              <w:rPr>
                <w:rFonts w:ascii="Cambria Math" w:hAnsi="Cambria Math"/>
              </w:rPr>
              <m:t>S</m:t>
            </m:r>
          </m:e>
          <m:sub>
            <m:r>
              <m:rPr>
                <m:sty m:val="p"/>
              </m:rPr>
              <w:rPr>
                <w:rFonts w:ascii="Cambria Math" w:hAnsi="Cambria Math"/>
              </w:rPr>
              <m:t>ref</m:t>
            </m:r>
          </m:sub>
        </m:sSub>
        <m:r>
          <w:rPr>
            <w:rFonts w:ascii="Cambria Math" w:hAnsi="Cambria Math"/>
          </w:rPr>
          <m:t>=</m:t>
        </m:r>
        <m:sSubSup>
          <m:sSubSupPr>
            <m:ctrlPr>
              <w:rPr>
                <w:rFonts w:ascii="Cambria Math" w:hAnsi="Cambria Math"/>
                <w:i/>
              </w:rPr>
            </m:ctrlPr>
          </m:sSubSupPr>
          <m:e>
            <m:r>
              <w:rPr>
                <w:rFonts w:ascii="Cambria Math" w:hAnsi="Cambria Math"/>
              </w:rPr>
              <m:t>S</m:t>
            </m:r>
          </m:e>
          <m:sub>
            <m:r>
              <m:rPr>
                <m:sty m:val="p"/>
              </m:rPr>
              <w:rPr>
                <w:rFonts w:ascii="Cambria Math" w:hAnsi="Cambria Math"/>
              </w:rPr>
              <m:t>ref</m:t>
            </m:r>
          </m:sub>
          <m:sup>
            <m:r>
              <m:rPr>
                <m:sty m:val="p"/>
              </m:rPr>
              <w:rPr>
                <w:rFonts w:ascii="Cambria Math" w:hAnsi="Cambria Math"/>
              </w:rPr>
              <m:t>0</m:t>
            </m:r>
          </m:sup>
        </m:sSubSup>
        <m:r>
          <m:rPr>
            <m:sty m:val="p"/>
          </m:rPr>
          <w:rPr>
            <w:rFonts w:ascii="Cambria Math" w:hAnsi="Cambria Math"/>
          </w:rPr>
          <m:t>∙cos⁡</m:t>
        </m:r>
        <m:r>
          <w:rPr>
            <w:rFonts w:ascii="Cambria Math" w:hAnsi="Cambria Math"/>
          </w:rPr>
          <m:t>(2π</m:t>
        </m:r>
        <m:sSub>
          <m:sSubPr>
            <m:ctrlPr>
              <w:rPr>
                <w:rFonts w:ascii="Cambria Math" w:hAnsi="Cambria Math"/>
                <w:i/>
              </w:rPr>
            </m:ctrlPr>
          </m:sSubPr>
          <m:e>
            <m:r>
              <w:rPr>
                <w:rFonts w:ascii="Cambria Math" w:hAnsi="Cambria Math"/>
              </w:rPr>
              <m:t>f</m:t>
            </m:r>
          </m:e>
          <m:sub>
            <m:r>
              <m:rPr>
                <m:sty m:val="p"/>
              </m:rPr>
              <w:rPr>
                <w:rFonts w:ascii="Cambria Math" w:hAnsi="Cambria Math"/>
              </w:rPr>
              <m:t>1</m:t>
            </m:r>
          </m:sub>
        </m:sSub>
        <m:r>
          <w:rPr>
            <w:rFonts w:ascii="Cambria Math" w:hAnsi="Cambria Math"/>
          </w:rPr>
          <m:t>∙t)</m:t>
        </m:r>
      </m:oMath>
      <w:r w:rsidR="000D5C14">
        <w:t xml:space="preserve"> </w:t>
      </w:r>
      <w:r w:rsidR="000D5C14">
        <w:tab/>
      </w:r>
      <w:r w:rsidR="000D5C14">
        <w:tab/>
      </w:r>
      <w:r w:rsidR="000D5C14">
        <w:tab/>
      </w:r>
      <w:r w:rsidR="000D5C14">
        <w:tab/>
        <w:t>(</w:t>
      </w:r>
      <w:r w:rsidR="00E45799">
        <w:t>6</w:t>
      </w:r>
      <w:r w:rsidR="000D5C14">
        <w:t>)</w:t>
      </w:r>
    </w:p>
    <w:p w14:paraId="2D133544" w14:textId="77777777" w:rsidR="000D5C14" w:rsidRDefault="000D5C14" w:rsidP="00F22EB6">
      <w:pPr>
        <w:pStyle w:val="ac"/>
        <w:ind w:left="0"/>
      </w:pPr>
      <w:r>
        <w:t xml:space="preserve">where </w:t>
      </w:r>
      <m:oMath>
        <m:sSubSup>
          <m:sSubSupPr>
            <m:ctrlPr>
              <w:rPr>
                <w:rFonts w:ascii="Cambria Math" w:hAnsi="Cambria Math"/>
                <w:i/>
              </w:rPr>
            </m:ctrlPr>
          </m:sSubSupPr>
          <m:e>
            <m:r>
              <w:rPr>
                <w:rFonts w:ascii="Cambria Math" w:hAnsi="Cambria Math"/>
              </w:rPr>
              <m:t>S</m:t>
            </m:r>
          </m:e>
          <m:sub>
            <m:r>
              <m:rPr>
                <m:sty m:val="p"/>
              </m:rPr>
              <w:rPr>
                <w:rFonts w:ascii="Cambria Math" w:hAnsi="Cambria Math"/>
              </w:rPr>
              <m:t>ref</m:t>
            </m:r>
          </m:sub>
          <m:sup>
            <m:r>
              <m:rPr>
                <m:sty m:val="p"/>
              </m:rPr>
              <w:rPr>
                <w:rFonts w:ascii="Cambria Math" w:hAnsi="Cambria Math"/>
              </w:rPr>
              <m:t>0</m:t>
            </m:r>
          </m:sup>
        </m:sSubSup>
      </m:oMath>
      <w:r>
        <w:t xml:space="preserve"> is the amplitude and </w:t>
      </w:r>
      <m:oMath>
        <m:sSub>
          <m:sSubPr>
            <m:ctrlPr>
              <w:rPr>
                <w:rFonts w:ascii="Cambria Math" w:hAnsi="Cambria Math"/>
                <w:i/>
              </w:rPr>
            </m:ctrlPr>
          </m:sSubPr>
          <m:e>
            <m:r>
              <w:rPr>
                <w:rFonts w:ascii="Cambria Math" w:hAnsi="Cambria Math"/>
              </w:rPr>
              <m:t>f</m:t>
            </m:r>
          </m:e>
          <m:sub>
            <m:r>
              <m:rPr>
                <m:sty m:val="p"/>
              </m:rPr>
              <w:rPr>
                <w:rFonts w:ascii="Cambria Math" w:hAnsi="Cambria Math"/>
              </w:rPr>
              <m:t>1</m:t>
            </m:r>
          </m:sub>
        </m:sSub>
      </m:oMath>
      <w:r>
        <w:t xml:space="preserve"> is the modulation frequency of the reference </w:t>
      </w:r>
      <w:proofErr w:type="gramStart"/>
      <w:r>
        <w:t>signal.</w:t>
      </w:r>
      <w:proofErr w:type="gramEnd"/>
      <w:r>
        <w:t xml:space="preserve"> The modulated signal of the DUT fed into the LIA can be represented in a similar fashion as</w:t>
      </w:r>
    </w:p>
    <w:p w14:paraId="54EF3C7B" w14:textId="64FE1885" w:rsidR="000D5C14" w:rsidRDefault="00067EFD" w:rsidP="00F22EB6">
      <w:pPr>
        <w:jc w:val="right"/>
      </w:pPr>
      <m:oMath>
        <m:sSub>
          <m:sSubPr>
            <m:ctrlPr>
              <w:rPr>
                <w:rFonts w:ascii="Cambria Math" w:hAnsi="Cambria Math"/>
                <w:i/>
              </w:rPr>
            </m:ctrlPr>
          </m:sSubPr>
          <m:e>
            <m:r>
              <w:rPr>
                <w:rFonts w:ascii="Cambria Math" w:hAnsi="Cambria Math"/>
              </w:rPr>
              <m:t>S</m:t>
            </m:r>
          </m:e>
          <m:sub>
            <m:r>
              <m:rPr>
                <m:sty m:val="p"/>
              </m:rPr>
              <w:rPr>
                <w:rFonts w:ascii="Cambria Math" w:hAnsi="Cambria Math"/>
              </w:rPr>
              <m:t>DUT</m:t>
            </m:r>
          </m:sub>
        </m:sSub>
        <m:r>
          <w:rPr>
            <w:rFonts w:ascii="Cambria Math" w:hAnsi="Cambria Math"/>
          </w:rPr>
          <m:t>=</m:t>
        </m:r>
        <m:sSubSup>
          <m:sSubSupPr>
            <m:ctrlPr>
              <w:rPr>
                <w:rFonts w:ascii="Cambria Math" w:hAnsi="Cambria Math"/>
                <w:i/>
              </w:rPr>
            </m:ctrlPr>
          </m:sSubSupPr>
          <m:e>
            <m:r>
              <w:rPr>
                <w:rFonts w:ascii="Cambria Math" w:hAnsi="Cambria Math"/>
              </w:rPr>
              <m:t>S</m:t>
            </m:r>
          </m:e>
          <m:sub>
            <m:r>
              <m:rPr>
                <m:sty m:val="p"/>
              </m:rPr>
              <w:rPr>
                <w:rFonts w:ascii="Cambria Math" w:hAnsi="Cambria Math"/>
              </w:rPr>
              <m:t>DUT</m:t>
            </m:r>
          </m:sub>
          <m:sup>
            <m:r>
              <m:rPr>
                <m:sty m:val="p"/>
              </m:rPr>
              <w:rPr>
                <w:rFonts w:ascii="Cambria Math" w:hAnsi="Cambria Math"/>
              </w:rPr>
              <m:t>0</m:t>
            </m:r>
          </m:sup>
        </m:sSubSup>
        <m:r>
          <m:rPr>
            <m:sty m:val="p"/>
          </m:rPr>
          <w:rPr>
            <w:rFonts w:ascii="Cambria Math" w:hAnsi="Cambria Math"/>
          </w:rPr>
          <m:t>∙cos⁡</m:t>
        </m:r>
        <m:r>
          <w:rPr>
            <w:rFonts w:ascii="Cambria Math" w:hAnsi="Cambria Math"/>
          </w:rPr>
          <m:t>(2π</m:t>
        </m:r>
        <m:sSub>
          <m:sSubPr>
            <m:ctrlPr>
              <w:rPr>
                <w:rFonts w:ascii="Cambria Math" w:hAnsi="Cambria Math"/>
                <w:i/>
              </w:rPr>
            </m:ctrlPr>
          </m:sSubPr>
          <m:e>
            <m:r>
              <w:rPr>
                <w:rFonts w:ascii="Cambria Math" w:hAnsi="Cambria Math"/>
              </w:rPr>
              <m:t>f</m:t>
            </m:r>
          </m:e>
          <m:sub>
            <m:r>
              <m:rPr>
                <m:sty m:val="p"/>
              </m:rPr>
              <w:rPr>
                <w:rFonts w:ascii="Cambria Math" w:hAnsi="Cambria Math"/>
              </w:rPr>
              <m:t>2</m:t>
            </m:r>
          </m:sub>
        </m:sSub>
        <m:r>
          <w:rPr>
            <w:rFonts w:ascii="Cambria Math" w:hAnsi="Cambria Math"/>
          </w:rPr>
          <m:t>∙t+ϕ)</m:t>
        </m:r>
      </m:oMath>
      <w:r w:rsidR="000D5C14">
        <w:tab/>
      </w:r>
      <w:r w:rsidR="000D5C14">
        <w:tab/>
      </w:r>
      <w:r w:rsidR="000D5C14">
        <w:tab/>
      </w:r>
      <w:r w:rsidR="000D5C14">
        <w:tab/>
        <w:t>(</w:t>
      </w:r>
      <w:r w:rsidR="00E45799">
        <w:t>7</w:t>
      </w:r>
      <w:r w:rsidR="000D5C14">
        <w:t>)</w:t>
      </w:r>
    </w:p>
    <w:p w14:paraId="78F01F29" w14:textId="77777777" w:rsidR="000D5C14" w:rsidRDefault="000D5C14" w:rsidP="00F22EB6">
      <w:pPr>
        <w:pStyle w:val="ac"/>
        <w:ind w:left="0"/>
      </w:pPr>
      <w:r>
        <w:t xml:space="preserve">where </w:t>
      </w:r>
      <m:oMath>
        <m:sSubSup>
          <m:sSubSupPr>
            <m:ctrlPr>
              <w:rPr>
                <w:rFonts w:ascii="Cambria Math" w:hAnsi="Cambria Math"/>
                <w:i/>
              </w:rPr>
            </m:ctrlPr>
          </m:sSubSupPr>
          <m:e>
            <m:r>
              <w:rPr>
                <w:rFonts w:ascii="Cambria Math" w:hAnsi="Cambria Math"/>
              </w:rPr>
              <m:t>S</m:t>
            </m:r>
          </m:e>
          <m:sub>
            <m:r>
              <m:rPr>
                <m:sty m:val="p"/>
              </m:rPr>
              <w:rPr>
                <w:rFonts w:ascii="Cambria Math" w:hAnsi="Cambria Math"/>
              </w:rPr>
              <m:t>DUT</m:t>
            </m:r>
          </m:sub>
          <m:sup>
            <m:r>
              <m:rPr>
                <m:sty m:val="p"/>
              </m:rPr>
              <w:rPr>
                <w:rFonts w:ascii="Cambria Math" w:hAnsi="Cambria Math"/>
              </w:rPr>
              <m:t>0</m:t>
            </m:r>
          </m:sup>
        </m:sSubSup>
      </m:oMath>
      <w:r>
        <w:t xml:space="preserve"> is the amplitude and </w:t>
      </w:r>
      <m:oMath>
        <m:sSub>
          <m:sSubPr>
            <m:ctrlPr>
              <w:rPr>
                <w:rFonts w:ascii="Cambria Math" w:hAnsi="Cambria Math"/>
                <w:i/>
              </w:rPr>
            </m:ctrlPr>
          </m:sSubPr>
          <m:e>
            <m:r>
              <w:rPr>
                <w:rFonts w:ascii="Cambria Math" w:hAnsi="Cambria Math"/>
              </w:rPr>
              <m:t>f</m:t>
            </m:r>
          </m:e>
          <m:sub>
            <m:r>
              <m:rPr>
                <m:sty m:val="p"/>
              </m:rPr>
              <w:rPr>
                <w:rFonts w:ascii="Cambria Math" w:hAnsi="Cambria Math"/>
              </w:rPr>
              <m:t>2</m:t>
            </m:r>
          </m:sub>
        </m:sSub>
      </m:oMath>
      <w:r>
        <w:t xml:space="preserve"> is the modulation frequency of the DUT signal, and </w:t>
      </w:r>
      <m:oMath>
        <m:r>
          <w:rPr>
            <w:rFonts w:ascii="Cambria Math" w:hAnsi="Cambria Math"/>
          </w:rPr>
          <m:t>ϕ</m:t>
        </m:r>
      </m:oMath>
      <w:r>
        <w:t xml:space="preserve"> is a phase offset of the DUT signal to the reference </w:t>
      </w:r>
      <w:proofErr w:type="gramStart"/>
      <w:r>
        <w:t>signal.</w:t>
      </w:r>
      <w:proofErr w:type="gramEnd"/>
    </w:p>
    <w:p w14:paraId="2EE857FD" w14:textId="77777777" w:rsidR="000D5C14" w:rsidRDefault="000D5C14" w:rsidP="00F22EB6">
      <w:pPr>
        <w:pStyle w:val="ac"/>
        <w:ind w:left="0"/>
      </w:pPr>
      <w:r>
        <w:t>Following from (1) and (2), the mixed signal is:</w:t>
      </w:r>
    </w:p>
    <w:p w14:paraId="22845490" w14:textId="247EAFAC" w:rsidR="000D5C14" w:rsidRDefault="00067EFD" w:rsidP="00F22EB6">
      <w:pPr>
        <w:pStyle w:val="ac"/>
        <w:ind w:left="0"/>
        <w:jc w:val="right"/>
      </w:pPr>
      <m:oMath>
        <m:sSub>
          <m:sSubPr>
            <m:ctrlPr>
              <w:rPr>
                <w:rFonts w:ascii="Cambria Math" w:hAnsi="Cambria Math"/>
                <w:i/>
              </w:rPr>
            </m:ctrlPr>
          </m:sSubPr>
          <m:e>
            <m:r>
              <w:rPr>
                <w:rFonts w:ascii="Cambria Math" w:hAnsi="Cambria Math"/>
              </w:rPr>
              <m:t>S</m:t>
            </m:r>
          </m:e>
          <m:sub>
            <m:r>
              <m:rPr>
                <m:sty m:val="p"/>
              </m:rPr>
              <w:rPr>
                <w:rFonts w:ascii="Cambria Math" w:hAnsi="Cambria Math"/>
              </w:rPr>
              <m:t>mixed</m:t>
            </m:r>
          </m:sub>
        </m:sSub>
        <m:r>
          <w:rPr>
            <w:rFonts w:ascii="Cambria Math" w:hAnsi="Cambria Math"/>
          </w:rPr>
          <m:t>≔</m:t>
        </m:r>
        <m:sSub>
          <m:sSubPr>
            <m:ctrlPr>
              <w:rPr>
                <w:rFonts w:ascii="Cambria Math" w:hAnsi="Cambria Math"/>
                <w:i/>
              </w:rPr>
            </m:ctrlPr>
          </m:sSubPr>
          <m:e>
            <m:r>
              <w:rPr>
                <w:rFonts w:ascii="Cambria Math" w:hAnsi="Cambria Math"/>
              </w:rPr>
              <m:t>S</m:t>
            </m:r>
          </m:e>
          <m:sub>
            <m:r>
              <m:rPr>
                <m:sty m:val="p"/>
              </m:rPr>
              <w:rPr>
                <w:rFonts w:ascii="Cambria Math" w:hAnsi="Cambria Math"/>
              </w:rPr>
              <m:t>ref</m:t>
            </m:r>
          </m:sub>
        </m:sSub>
        <m:r>
          <w:rPr>
            <w:rFonts w:ascii="Cambria Math" w:hAnsi="Cambria Math"/>
          </w:rPr>
          <m:t>∙</m:t>
        </m:r>
        <m:sSub>
          <m:sSubPr>
            <m:ctrlPr>
              <w:rPr>
                <w:rFonts w:ascii="Cambria Math" w:hAnsi="Cambria Math"/>
                <w:i/>
              </w:rPr>
            </m:ctrlPr>
          </m:sSubPr>
          <m:e>
            <m:r>
              <w:rPr>
                <w:rFonts w:ascii="Cambria Math" w:hAnsi="Cambria Math"/>
              </w:rPr>
              <m:t>S</m:t>
            </m:r>
          </m:e>
          <m:sub>
            <m:r>
              <m:rPr>
                <m:sty m:val="p"/>
              </m:rPr>
              <w:rPr>
                <w:rFonts w:ascii="Cambria Math" w:hAnsi="Cambria Math"/>
              </w:rPr>
              <m:t>DUT</m:t>
            </m:r>
          </m:sub>
        </m:sSub>
        <m:r>
          <w:rPr>
            <w:rFonts w:ascii="Cambria Math" w:hAnsi="Cambria Math"/>
          </w:rPr>
          <m:t>=</m:t>
        </m:r>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S</m:t>
                </m:r>
              </m:e>
              <m:sub>
                <m:r>
                  <m:rPr>
                    <m:sty m:val="p"/>
                  </m:rPr>
                  <w:rPr>
                    <w:rFonts w:ascii="Cambria Math" w:hAnsi="Cambria Math"/>
                  </w:rPr>
                  <m:t>ref</m:t>
                </m:r>
              </m:sub>
              <m:sup>
                <m:r>
                  <m:rPr>
                    <m:sty m:val="p"/>
                  </m:rPr>
                  <w:rPr>
                    <w:rFonts w:ascii="Cambria Math" w:hAnsi="Cambria Math"/>
                  </w:rPr>
                  <m:t>0</m:t>
                </m:r>
              </m:sup>
            </m:sSubSup>
            <m:r>
              <w:rPr>
                <w:rFonts w:ascii="Cambria Math" w:hAnsi="Cambria Math"/>
              </w:rPr>
              <m:t>∙S</m:t>
            </m:r>
          </m:e>
          <m:sub>
            <m:r>
              <m:rPr>
                <m:sty m:val="p"/>
              </m:rPr>
              <w:rPr>
                <w:rFonts w:ascii="Cambria Math" w:hAnsi="Cambria Math"/>
              </w:rPr>
              <m:t>DUT</m:t>
            </m:r>
          </m:sub>
          <m:sup>
            <m:r>
              <m:rPr>
                <m:sty m:val="p"/>
              </m:rPr>
              <w:rPr>
                <w:rFonts w:ascii="Cambria Math" w:hAnsi="Cambria Math"/>
              </w:rPr>
              <m:t>0</m:t>
            </m:r>
          </m:sup>
        </m:sSubSup>
        <m:r>
          <m:rPr>
            <m:sty m:val="p"/>
          </m:rPr>
          <w:rPr>
            <w:rFonts w:ascii="Cambria Math" w:hAnsi="Cambria Math"/>
          </w:rPr>
          <m:t>∙cos⁡</m:t>
        </m:r>
        <m:r>
          <w:rPr>
            <w:rFonts w:ascii="Cambria Math" w:hAnsi="Cambria Math"/>
          </w:rPr>
          <m:t>(2π</m:t>
        </m:r>
        <m:sSub>
          <m:sSubPr>
            <m:ctrlPr>
              <w:rPr>
                <w:rFonts w:ascii="Cambria Math" w:hAnsi="Cambria Math"/>
                <w:i/>
              </w:rPr>
            </m:ctrlPr>
          </m:sSubPr>
          <m:e>
            <m:r>
              <w:rPr>
                <w:rFonts w:ascii="Cambria Math" w:hAnsi="Cambria Math"/>
              </w:rPr>
              <m:t>f</m:t>
            </m:r>
          </m:e>
          <m:sub>
            <m:r>
              <m:rPr>
                <m:sty m:val="p"/>
              </m:rPr>
              <w:rPr>
                <w:rFonts w:ascii="Cambria Math" w:hAnsi="Cambria Math"/>
              </w:rPr>
              <m:t>1</m:t>
            </m:r>
          </m:sub>
        </m:sSub>
        <m:r>
          <w:rPr>
            <w:rFonts w:ascii="Cambria Math" w:hAnsi="Cambria Math"/>
          </w:rPr>
          <m:t>∙t)∙</m:t>
        </m:r>
        <m:r>
          <m:rPr>
            <m:sty m:val="p"/>
          </m:rPr>
          <w:rPr>
            <w:rFonts w:ascii="Cambria Math" w:hAnsi="Cambria Math"/>
          </w:rPr>
          <m:t>cos⁡</m:t>
        </m:r>
        <m:r>
          <w:rPr>
            <w:rFonts w:ascii="Cambria Math" w:hAnsi="Cambria Math"/>
          </w:rPr>
          <m:t>(</m:t>
        </m:r>
        <m:sSub>
          <m:sSubPr>
            <m:ctrlPr>
              <w:rPr>
                <w:rFonts w:ascii="Cambria Math" w:hAnsi="Cambria Math"/>
                <w:i/>
              </w:rPr>
            </m:ctrlPr>
          </m:sSubPr>
          <m:e>
            <m:r>
              <w:rPr>
                <w:rFonts w:ascii="Cambria Math" w:hAnsi="Cambria Math"/>
              </w:rPr>
              <m:t>2πf</m:t>
            </m:r>
          </m:e>
          <m:sub>
            <m:r>
              <m:rPr>
                <m:sty m:val="p"/>
              </m:rPr>
              <w:rPr>
                <w:rFonts w:ascii="Cambria Math" w:hAnsi="Cambria Math"/>
              </w:rPr>
              <m:t>2</m:t>
            </m:r>
          </m:sub>
        </m:sSub>
        <m:r>
          <w:rPr>
            <w:rFonts w:ascii="Cambria Math" w:hAnsi="Cambria Math"/>
          </w:rPr>
          <m:t>∙t+ϕ)</m:t>
        </m:r>
      </m:oMath>
      <w:r w:rsidR="000D5C14">
        <w:t>.</w:t>
      </w:r>
      <w:r w:rsidR="000D5C14">
        <w:tab/>
      </w:r>
      <w:r w:rsidR="000D5C14">
        <w:tab/>
        <w:t>(</w:t>
      </w:r>
      <w:r w:rsidR="00E45799">
        <w:t>8</w:t>
      </w:r>
      <w:r w:rsidR="000D5C14">
        <w:t>)</w:t>
      </w:r>
    </w:p>
    <w:p w14:paraId="49ACCF03" w14:textId="77777777" w:rsidR="000D5C14" w:rsidRDefault="000D5C14" w:rsidP="00F22EB6">
      <w:pPr>
        <w:pStyle w:val="ac"/>
        <w:ind w:left="0"/>
      </w:pPr>
      <w:r>
        <w:t xml:space="preserve">The modulation frequency of the DUT is the reference frequency, </w:t>
      </w:r>
      <m:oMath>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2</m:t>
            </m:r>
          </m:sub>
        </m:sSub>
      </m:oMath>
      <w:r>
        <w:t>. Therefore, the trigonometric principle</w:t>
      </w:r>
    </w:p>
    <w:p w14:paraId="058E707F" w14:textId="70026890" w:rsidR="000D5C14" w:rsidRPr="004929CE" w:rsidRDefault="00067EFD" w:rsidP="00F22EB6">
      <w:pPr>
        <w:pStyle w:val="ac"/>
        <w:ind w:left="0"/>
        <w:jc w:val="right"/>
      </w:pPr>
      <m:oMath>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sSub>
                  <m:sSubPr>
                    <m:ctrlPr>
                      <w:rPr>
                        <w:rFonts w:ascii="Cambria Math" w:hAnsi="Cambria Math"/>
                        <w:i/>
                      </w:rPr>
                    </m:ctrlPr>
                  </m:sSubPr>
                  <m:e>
                    <m:r>
                      <w:rPr>
                        <w:rFonts w:ascii="Cambria Math" w:hAnsi="Cambria Math"/>
                      </w:rPr>
                      <m:t>2πf</m:t>
                    </m:r>
                  </m:e>
                  <m:sub>
                    <m:r>
                      <w:rPr>
                        <w:rFonts w:ascii="Cambria Math" w:hAnsi="Cambria Math"/>
                      </w:rPr>
                      <m:t>1</m:t>
                    </m:r>
                  </m:sub>
                </m:sSub>
              </m:e>
            </m:d>
          </m:e>
        </m:func>
        <m:r>
          <w:rPr>
            <w:rFonts w:ascii="Cambria Math" w:hAnsi="Cambria Math"/>
          </w:rPr>
          <m:t>∙</m:t>
        </m:r>
        <m:func>
          <m:funcPr>
            <m:ctrlPr>
              <w:rPr>
                <w:rFonts w:ascii="Cambria Math" w:hAnsi="Cambria Math"/>
              </w:rPr>
            </m:ctrlPr>
          </m:funcPr>
          <m:fName>
            <m:r>
              <m:rPr>
                <m:sty m:val="p"/>
              </m:rPr>
              <w:rPr>
                <w:rFonts w:ascii="Cambria Math" w:hAnsi="Cambria Math"/>
              </w:rPr>
              <m:t>cos</m:t>
            </m:r>
            <m:ctrlPr>
              <w:rPr>
                <w:rFonts w:ascii="Cambria Math" w:hAnsi="Cambria Math"/>
                <w:i/>
              </w:rPr>
            </m:ctrlPr>
          </m:fName>
          <m:e>
            <m:d>
              <m:dPr>
                <m:ctrlPr>
                  <w:rPr>
                    <w:rFonts w:ascii="Cambria Math" w:hAnsi="Cambria Math"/>
                    <w:i/>
                  </w:rPr>
                </m:ctrlPr>
              </m:dPr>
              <m:e>
                <m:sSub>
                  <m:sSubPr>
                    <m:ctrlPr>
                      <w:rPr>
                        <w:rFonts w:ascii="Cambria Math" w:hAnsi="Cambria Math"/>
                        <w:i/>
                      </w:rPr>
                    </m:ctrlPr>
                  </m:sSubPr>
                  <m:e>
                    <m:r>
                      <w:rPr>
                        <w:rFonts w:ascii="Cambria Math" w:hAnsi="Cambria Math"/>
                      </w:rPr>
                      <m:t>2πf</m:t>
                    </m:r>
                  </m:e>
                  <m:sub>
                    <m:r>
                      <w:rPr>
                        <w:rFonts w:ascii="Cambria Math" w:hAnsi="Cambria Math"/>
                      </w:rPr>
                      <m:t>2</m:t>
                    </m:r>
                  </m:sub>
                </m:sSub>
              </m:e>
            </m:d>
          </m:e>
        </m:func>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sSub>
                  <m:sSubPr>
                    <m:ctrlPr>
                      <w:rPr>
                        <w:rFonts w:ascii="Cambria Math" w:hAnsi="Cambria Math"/>
                        <w:i/>
                      </w:rPr>
                    </m:ctrlPr>
                  </m:sSubPr>
                  <m:e>
                    <m:r>
                      <w:rPr>
                        <w:rFonts w:ascii="Cambria Math" w:hAnsi="Cambria Math"/>
                      </w:rPr>
                      <m:t>2πf</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2πf</m:t>
                    </m:r>
                  </m:e>
                  <m:sub>
                    <m:r>
                      <w:rPr>
                        <w:rFonts w:ascii="Cambria Math" w:hAnsi="Cambria Math"/>
                      </w:rPr>
                      <m:t>2</m:t>
                    </m:r>
                  </m:sub>
                </m:sSub>
              </m:e>
            </m:d>
          </m:e>
        </m:func>
        <m:r>
          <m:rPr>
            <m:sty m:val="p"/>
          </m:rPr>
          <w:rPr>
            <w:rFonts w:ascii="Cambria Math" w:hAnsi="Cambria Math"/>
          </w:rPr>
          <m:t>+cos⁡</m:t>
        </m:r>
        <m:r>
          <w:rPr>
            <w:rFonts w:ascii="Cambria Math" w:hAnsi="Cambria Math"/>
          </w:rPr>
          <m:t>(</m:t>
        </m:r>
        <m:sSub>
          <m:sSubPr>
            <m:ctrlPr>
              <w:rPr>
                <w:rFonts w:ascii="Cambria Math" w:hAnsi="Cambria Math"/>
                <w:i/>
              </w:rPr>
            </m:ctrlPr>
          </m:sSubPr>
          <m:e>
            <m:r>
              <w:rPr>
                <w:rFonts w:ascii="Cambria Math" w:hAnsi="Cambria Math"/>
              </w:rPr>
              <m:t>2πf</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2πf</m:t>
            </m:r>
          </m:e>
          <m:sub>
            <m:r>
              <w:rPr>
                <w:rFonts w:ascii="Cambria Math" w:hAnsi="Cambria Math"/>
              </w:rPr>
              <m:t>2</m:t>
            </m:r>
          </m:sub>
        </m:sSub>
        <m:r>
          <w:rPr>
            <w:rFonts w:ascii="Cambria Math" w:hAnsi="Cambria Math"/>
          </w:rPr>
          <m:t>)]</m:t>
        </m:r>
      </m:oMath>
      <w:r w:rsidR="000D5C14">
        <w:tab/>
        <w:t>(</w:t>
      </w:r>
      <w:r w:rsidR="00E45799">
        <w:t>9</w:t>
      </w:r>
      <w:r w:rsidR="000D5C14">
        <w:t>)</w:t>
      </w:r>
    </w:p>
    <w:p w14:paraId="447E79C6" w14:textId="77777777" w:rsidR="000D5C14" w:rsidRDefault="000D5C14" w:rsidP="00F22EB6">
      <w:pPr>
        <w:pStyle w:val="ac"/>
        <w:ind w:left="0"/>
      </w:pPr>
      <w:r>
        <w:t xml:space="preserve">can be used to rewrite </w:t>
      </w:r>
      <m:oMath>
        <m:sSub>
          <m:sSubPr>
            <m:ctrlPr>
              <w:rPr>
                <w:rFonts w:ascii="Cambria Math" w:hAnsi="Cambria Math"/>
                <w:i/>
              </w:rPr>
            </m:ctrlPr>
          </m:sSubPr>
          <m:e>
            <m:r>
              <w:rPr>
                <w:rFonts w:ascii="Cambria Math" w:hAnsi="Cambria Math"/>
              </w:rPr>
              <m:t>S</m:t>
            </m:r>
          </m:e>
          <m:sub>
            <m:r>
              <m:rPr>
                <m:sty m:val="p"/>
              </m:rPr>
              <w:rPr>
                <w:rFonts w:ascii="Cambria Math" w:hAnsi="Cambria Math"/>
              </w:rPr>
              <m:t>mixed</m:t>
            </m:r>
          </m:sub>
        </m:sSub>
      </m:oMath>
      <w:r>
        <w:t xml:space="preserve"> as the sum of two terms with different frequencies:</w:t>
      </w:r>
    </w:p>
    <w:p w14:paraId="43127F44" w14:textId="66F860DB" w:rsidR="000D5C14" w:rsidRPr="008F7C45" w:rsidRDefault="00067EFD" w:rsidP="00F22EB6">
      <w:pPr>
        <w:pStyle w:val="ac"/>
        <w:ind w:left="0"/>
        <w:jc w:val="right"/>
      </w:pPr>
      <m:oMath>
        <m:sSub>
          <m:sSubPr>
            <m:ctrlPr>
              <w:rPr>
                <w:rFonts w:ascii="Cambria Math" w:hAnsi="Cambria Math"/>
                <w:i/>
              </w:rPr>
            </m:ctrlPr>
          </m:sSubPr>
          <m:e>
            <m:r>
              <w:rPr>
                <w:rFonts w:ascii="Cambria Math" w:hAnsi="Cambria Math"/>
              </w:rPr>
              <m:t>S</m:t>
            </m:r>
          </m:e>
          <m:sub>
            <m:r>
              <m:rPr>
                <m:sty m:val="p"/>
              </m:rPr>
              <w:rPr>
                <w:rFonts w:ascii="Cambria Math" w:hAnsi="Cambria Math"/>
              </w:rPr>
              <m:t>mixed</m:t>
            </m:r>
          </m:sub>
        </m:sSub>
        <m:r>
          <w:rPr>
            <w:rFonts w:ascii="Cambria Math" w:hAnsi="Cambria Math"/>
          </w:rPr>
          <m:t>=</m:t>
        </m:r>
        <m:sSubSup>
          <m:sSubSupPr>
            <m:ctrlPr>
              <w:rPr>
                <w:rFonts w:ascii="Cambria Math" w:hAnsi="Cambria Math"/>
                <w:i/>
              </w:rPr>
            </m:ctrlPr>
          </m:sSubSupPr>
          <m:e>
            <m:sSub>
              <m:sSubPr>
                <m:ctrlPr>
                  <w:rPr>
                    <w:rFonts w:ascii="Cambria Math" w:hAnsi="Cambria Math"/>
                    <w:i/>
                  </w:rPr>
                </m:ctrlPr>
              </m:sSubPr>
              <m:e>
                <m:r>
                  <w:rPr>
                    <w:rFonts w:ascii="Cambria Math" w:hAnsi="Cambria Math"/>
                  </w:rPr>
                  <m:t>S</m:t>
                </m:r>
              </m:e>
              <m:sub>
                <m:r>
                  <m:rPr>
                    <m:sty m:val="p"/>
                  </m:rPr>
                  <w:rPr>
                    <w:rFonts w:ascii="Cambria Math" w:hAnsi="Cambria Math"/>
                  </w:rPr>
                  <m:t>slow</m:t>
                </m:r>
              </m:sub>
            </m:sSub>
            <m:r>
              <w:rPr>
                <w:rFonts w:ascii="Cambria Math" w:hAnsi="Cambria Math"/>
              </w:rPr>
              <m:t>+</m:t>
            </m:r>
            <m:sSub>
              <m:sSubPr>
                <m:ctrlPr>
                  <w:rPr>
                    <w:rFonts w:ascii="Cambria Math" w:hAnsi="Cambria Math"/>
                    <w:i/>
                  </w:rPr>
                </m:ctrlPr>
              </m:sSubPr>
              <m:e>
                <m:r>
                  <w:rPr>
                    <w:rFonts w:ascii="Cambria Math" w:hAnsi="Cambria Math"/>
                  </w:rPr>
                  <m:t>S</m:t>
                </m:r>
              </m:e>
              <m:sub>
                <m:r>
                  <m:rPr>
                    <m:sty m:val="p"/>
                  </m:rPr>
                  <w:rPr>
                    <w:rFonts w:ascii="Cambria Math" w:hAnsi="Cambria Math"/>
                  </w:rPr>
                  <m:t>fast</m:t>
                </m:r>
              </m:sub>
            </m:sSub>
            <m:r>
              <w:rPr>
                <w:rFonts w:ascii="Cambria Math" w:hAnsi="Cambria Math"/>
              </w:rPr>
              <m:t>=</m:t>
            </m:r>
            <m:sSubSup>
              <m:sSubSupPr>
                <m:ctrlPr>
                  <w:rPr>
                    <w:rFonts w:ascii="Cambria Math" w:hAnsi="Cambria Math"/>
                    <w:i/>
                  </w:rPr>
                </m:ctrlPr>
              </m:sSubSupPr>
              <m:e>
                <m:r>
                  <w:rPr>
                    <w:rFonts w:ascii="Cambria Math" w:hAnsi="Cambria Math"/>
                  </w:rPr>
                  <m:t>S</m:t>
                </m:r>
              </m:e>
              <m:sub>
                <m:r>
                  <m:rPr>
                    <m:sty m:val="p"/>
                  </m:rPr>
                  <w:rPr>
                    <w:rFonts w:ascii="Cambria Math" w:hAnsi="Cambria Math"/>
                  </w:rPr>
                  <m:t>ref</m:t>
                </m:r>
              </m:sub>
              <m:sup>
                <m:r>
                  <m:rPr>
                    <m:sty m:val="p"/>
                  </m:rPr>
                  <w:rPr>
                    <w:rFonts w:ascii="Cambria Math" w:hAnsi="Cambria Math"/>
                  </w:rPr>
                  <m:t>0</m:t>
                </m:r>
              </m:sup>
            </m:sSubSup>
            <m:r>
              <w:rPr>
                <w:rFonts w:ascii="Cambria Math" w:hAnsi="Cambria Math"/>
              </w:rPr>
              <m:t>⋅S</m:t>
            </m:r>
          </m:e>
          <m:sub>
            <m:r>
              <m:rPr>
                <m:sty m:val="p"/>
              </m:rPr>
              <w:rPr>
                <w:rFonts w:ascii="Cambria Math" w:hAnsi="Cambria Math"/>
              </w:rPr>
              <m:t>DUT</m:t>
            </m:r>
          </m:sub>
          <m:sup>
            <m:r>
              <m:rPr>
                <m:sty m:val="p"/>
              </m:rPr>
              <w:rPr>
                <w:rFonts w:ascii="Cambria Math" w:hAnsi="Cambria Math"/>
              </w:rPr>
              <m:t>0</m:t>
            </m:r>
          </m:sup>
        </m:sSubSup>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func>
          <m:funcPr>
            <m:ctrlPr>
              <w:rPr>
                <w:rFonts w:ascii="Cambria Math" w:hAnsi="Cambria Math"/>
              </w:rPr>
            </m:ctrlPr>
          </m:funcPr>
          <m:fName>
            <m:r>
              <m:rPr>
                <m:sty m:val="p"/>
              </m:rPr>
              <w:rPr>
                <w:rFonts w:ascii="Cambria Math" w:hAnsi="Cambria Math"/>
              </w:rPr>
              <m:t>cos</m:t>
            </m:r>
          </m:fName>
          <m:e>
            <m:r>
              <w:rPr>
                <w:rFonts w:ascii="Cambria Math" w:hAnsi="Cambria Math"/>
              </w:rPr>
              <m:t>(ϕ)</m:t>
            </m:r>
          </m:e>
        </m:func>
        <m:r>
          <m:rPr>
            <m:sty m:val="p"/>
          </m:rPr>
          <w:rPr>
            <w:rFonts w:ascii="Cambria Math" w:hAnsi="Cambria Math"/>
          </w:rPr>
          <m:t>+</m:t>
        </m:r>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S</m:t>
                </m:r>
              </m:e>
              <m:sub>
                <m:r>
                  <m:rPr>
                    <m:sty m:val="p"/>
                  </m:rPr>
                  <w:rPr>
                    <w:rFonts w:ascii="Cambria Math" w:hAnsi="Cambria Math"/>
                  </w:rPr>
                  <m:t>ref</m:t>
                </m:r>
              </m:sub>
              <m:sup>
                <m:r>
                  <m:rPr>
                    <m:sty m:val="p"/>
                  </m:rPr>
                  <w:rPr>
                    <w:rFonts w:ascii="Cambria Math" w:hAnsi="Cambria Math"/>
                  </w:rPr>
                  <m:t>0</m:t>
                </m:r>
              </m:sup>
            </m:sSubSup>
            <m:r>
              <w:rPr>
                <w:rFonts w:ascii="Cambria Math" w:hAnsi="Cambria Math"/>
              </w:rPr>
              <m:t>⋅S</m:t>
            </m:r>
          </m:e>
          <m:sub>
            <m:r>
              <m:rPr>
                <m:sty m:val="p"/>
              </m:rPr>
              <w:rPr>
                <w:rFonts w:ascii="Cambria Math" w:hAnsi="Cambria Math"/>
              </w:rPr>
              <m:t>DUT</m:t>
            </m:r>
          </m:sub>
          <m:sup>
            <m:r>
              <m:rPr>
                <m:sty m:val="p"/>
              </m:rPr>
              <w:rPr>
                <w:rFonts w:ascii="Cambria Math" w:hAnsi="Cambria Math"/>
              </w:rPr>
              <m:t>0</m:t>
            </m:r>
          </m:sup>
        </m:sSubSup>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func>
          <m:funcPr>
            <m:ctrlPr>
              <w:rPr>
                <w:rFonts w:ascii="Cambria Math" w:hAnsi="Cambria Math"/>
              </w:rPr>
            </m:ctrlPr>
          </m:funcPr>
          <m:fName>
            <m:r>
              <m:rPr>
                <m:sty m:val="p"/>
              </m:rPr>
              <w:rPr>
                <w:rFonts w:ascii="Cambria Math" w:hAnsi="Cambria Math"/>
              </w:rPr>
              <m:t>cos</m:t>
            </m:r>
          </m:fName>
          <m:e>
            <m:r>
              <w:rPr>
                <w:rFonts w:ascii="Cambria Math" w:hAnsi="Cambria Math"/>
              </w:rPr>
              <m:t>(2∙</m:t>
            </m:r>
            <m:sSub>
              <m:sSubPr>
                <m:ctrlPr>
                  <w:rPr>
                    <w:rFonts w:ascii="Cambria Math" w:hAnsi="Cambria Math"/>
                    <w:i/>
                  </w:rPr>
                </m:ctrlPr>
              </m:sSubPr>
              <m:e>
                <m:r>
                  <w:rPr>
                    <w:rFonts w:ascii="Cambria Math" w:hAnsi="Cambria Math"/>
                  </w:rPr>
                  <m:t>2πf</m:t>
                </m:r>
              </m:e>
              <m:sub>
                <m:r>
                  <m:rPr>
                    <m:sty m:val="p"/>
                  </m:rPr>
                  <w:rPr>
                    <w:rFonts w:ascii="Cambria Math" w:hAnsi="Cambria Math"/>
                  </w:rPr>
                  <m:t>1</m:t>
                </m:r>
              </m:sub>
            </m:sSub>
            <m:r>
              <w:rPr>
                <w:rFonts w:ascii="Cambria Math" w:hAnsi="Cambria Math"/>
              </w:rPr>
              <m:t>⋅t+ϕ)</m:t>
            </m:r>
          </m:e>
        </m:func>
      </m:oMath>
      <w:r w:rsidR="000D5C14">
        <w:t>. (</w:t>
      </w:r>
      <w:r w:rsidR="00E45799">
        <w:t>10</w:t>
      </w:r>
      <w:r w:rsidR="000D5C14">
        <w:t>)</w:t>
      </w:r>
    </w:p>
    <w:p w14:paraId="37A9217B" w14:textId="03787E57" w:rsidR="000D5C14" w:rsidRDefault="000D5C14" w:rsidP="00F22EB6">
      <w:pPr>
        <w:pStyle w:val="ac"/>
        <w:ind w:left="0"/>
      </w:pPr>
      <w:r>
        <w:t xml:space="preserve">The low-pass filter mitigates the fast signal </w:t>
      </w:r>
      <m:oMath>
        <m:sSub>
          <m:sSubPr>
            <m:ctrlPr>
              <w:rPr>
                <w:rFonts w:ascii="Cambria Math" w:hAnsi="Cambria Math"/>
                <w:i/>
              </w:rPr>
            </m:ctrlPr>
          </m:sSubPr>
          <m:e>
            <m:r>
              <w:rPr>
                <w:rFonts w:ascii="Cambria Math" w:hAnsi="Cambria Math"/>
              </w:rPr>
              <m:t>S</m:t>
            </m:r>
          </m:e>
          <m:sub>
            <m:r>
              <m:rPr>
                <m:sty m:val="p"/>
              </m:rPr>
              <w:rPr>
                <w:rFonts w:ascii="Cambria Math" w:hAnsi="Cambria Math"/>
              </w:rPr>
              <m:t>fast</m:t>
            </m:r>
          </m:sub>
        </m:sSub>
      </m:oMath>
      <w:r>
        <w:t xml:space="preserve"> such that the lock-in amplified signal can be approximated</w:t>
      </w:r>
      <w:r>
        <w:fldChar w:fldCharType="begin" w:fldLock="1"/>
      </w:r>
      <w:r w:rsidR="003D2185">
        <w:instrText>ADDIN CSL_CITATION {"citationItems":[{"id":"ITEM-1","itemData":{"DOI":"10.1119/1.17629","ISBN":"0002-9505","ISSN":"0002-9505","abstract":"The basic principles behind the operation of a lock-in amplifier are described. Particular emphasis is placed on looking at the frequency components of the signal present at the various stages of the lock-in during a typical measurement. The description presented here has been used successfully to explain lock-in operation to upper-level laboratory students at Oberlin College.","author":[{"dropping-particle":"","family":"Scofield","given":"John H.","non-dropping-particle":"","parse-names":false,"suffix":""}],"container-title":"American Journal of Physics","id":"ITEM-1","issue":"2","issued":{"date-parts":[["1994"]]},"page":"129-133","title":"Frequency‐domain description of a lock‐in amplifier","type":"article-journal","volume":"62"},"uris":["http://www.mendeley.com/documents/?uuid=ae40c3be-834f-4766-88db-8cf1c09ccfc9"]}],"mendeley":{"formattedCitation":"&lt;sup&gt;38&lt;/sup&gt;","plainTextFormattedCitation":"38","previouslyFormattedCitation":"&lt;sup&gt;38&lt;/sup&gt;"},"properties":{"noteIndex":0},"schema":"https://github.com/citation-style-language/schema/raw/master/csl-citation.json"}</w:instrText>
      </w:r>
      <w:r>
        <w:fldChar w:fldCharType="separate"/>
      </w:r>
      <w:r w:rsidR="00594CBE" w:rsidRPr="00594CBE">
        <w:rPr>
          <w:noProof/>
          <w:vertAlign w:val="superscript"/>
        </w:rPr>
        <w:t>38</w:t>
      </w:r>
      <w:r>
        <w:fldChar w:fldCharType="end"/>
      </w:r>
      <w:r>
        <w:rPr>
          <w:vertAlign w:val="superscript"/>
        </w:rPr>
        <w:t>,</w:t>
      </w:r>
      <w:r>
        <w:fldChar w:fldCharType="begin" w:fldLock="1"/>
      </w:r>
      <w:r w:rsidR="003D2185">
        <w:instrText>ADDIN CSL_CITATION {"citationItems":[{"id":"ITEM-1","itemData":{"DOI":"10.1016/8978-O-12-809283-5 00821-1","author":[{"dropping-particle":"","family":"Poon","given":"T-C","non-dropping-particle":"","parse-names":false,"suffix":""}],"container-title":"Encyclopedia of Modern Optics II, Volume 1","edition":"2nd","id":"ITEM-1","issued":{"date-parts":[["2005"]]},"page":"373","publisher":"Elsevier Ltd.","title":"Heterodyning","type":"chapter"},"uris":["http://www.mendeley.com/documents/?uuid=a4a33d0b-1b13-405c-98ea-57d8d0ff1551"]}],"mendeley":{"formattedCitation":"&lt;sup&gt;39&lt;/sup&gt;","plainTextFormattedCitation":"39","previouslyFormattedCitation":"&lt;sup&gt;39&lt;/sup&gt;"},"properties":{"noteIndex":0},"schema":"https://github.com/citation-style-language/schema/raw/master/csl-citation.json"}</w:instrText>
      </w:r>
      <w:r>
        <w:fldChar w:fldCharType="separate"/>
      </w:r>
      <w:r w:rsidR="00594CBE" w:rsidRPr="00594CBE">
        <w:rPr>
          <w:noProof/>
          <w:vertAlign w:val="superscript"/>
        </w:rPr>
        <w:t>39</w:t>
      </w:r>
      <w:r>
        <w:fldChar w:fldCharType="end"/>
      </w:r>
      <w:r>
        <w:t xml:space="preserve"> as</w:t>
      </w:r>
    </w:p>
    <w:p w14:paraId="6E7633FD" w14:textId="1E28C97E" w:rsidR="000D5C14" w:rsidRDefault="00067EFD" w:rsidP="00F22EB6">
      <w:pPr>
        <w:pStyle w:val="ac"/>
        <w:ind w:left="0"/>
        <w:jc w:val="right"/>
      </w:pPr>
      <m:oMath>
        <m:sSub>
          <m:sSubPr>
            <m:ctrlPr>
              <w:rPr>
                <w:rFonts w:ascii="Cambria Math" w:hAnsi="Cambria Math"/>
                <w:i/>
              </w:rPr>
            </m:ctrlPr>
          </m:sSubPr>
          <m:e>
            <m:r>
              <w:rPr>
                <w:rFonts w:ascii="Cambria Math" w:hAnsi="Cambria Math"/>
              </w:rPr>
              <m:t>S</m:t>
            </m:r>
          </m:e>
          <m:sub>
            <m:r>
              <m:rPr>
                <m:sty m:val="p"/>
              </m:rPr>
              <w:rPr>
                <w:rFonts w:ascii="Cambria Math" w:hAnsi="Cambria Math"/>
              </w:rPr>
              <m:t>mixed</m:t>
            </m:r>
          </m:sub>
        </m:sSub>
        <m:r>
          <w:rPr>
            <w:rFonts w:ascii="Cambria Math" w:hAnsi="Cambria Math"/>
          </w:rPr>
          <m:t>≈</m:t>
        </m:r>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S</m:t>
                </m:r>
              </m:e>
              <m:sub>
                <m:r>
                  <m:rPr>
                    <m:sty m:val="p"/>
                  </m:rPr>
                  <w:rPr>
                    <w:rFonts w:ascii="Cambria Math" w:hAnsi="Cambria Math"/>
                  </w:rPr>
                  <m:t>ref</m:t>
                </m:r>
              </m:sub>
              <m:sup>
                <m:r>
                  <m:rPr>
                    <m:sty m:val="p"/>
                  </m:rPr>
                  <w:rPr>
                    <w:rFonts w:ascii="Cambria Math" w:hAnsi="Cambria Math"/>
                  </w:rPr>
                  <m:t>0</m:t>
                </m:r>
              </m:sup>
            </m:sSubSup>
            <m:r>
              <w:rPr>
                <w:rFonts w:ascii="Cambria Math" w:hAnsi="Cambria Math"/>
              </w:rPr>
              <m:t>⋅S</m:t>
            </m:r>
          </m:e>
          <m:sub>
            <m:r>
              <m:rPr>
                <m:sty m:val="p"/>
              </m:rPr>
              <w:rPr>
                <w:rFonts w:ascii="Cambria Math" w:hAnsi="Cambria Math"/>
              </w:rPr>
              <m:t>DUT</m:t>
            </m:r>
          </m:sub>
          <m:sup>
            <m:r>
              <m:rPr>
                <m:sty m:val="p"/>
              </m:rPr>
              <w:rPr>
                <w:rFonts w:ascii="Cambria Math" w:hAnsi="Cambria Math"/>
              </w:rPr>
              <m:t>0</m:t>
            </m:r>
          </m:sup>
        </m:sSubSup>
        <m:r>
          <w:rPr>
            <w:rFonts w:ascii="Cambria Math" w:hAnsi="Cambria Math"/>
          </w:rPr>
          <m:t>∙</m:t>
        </m:r>
        <m:func>
          <m:funcPr>
            <m:ctrlPr>
              <w:rPr>
                <w:rFonts w:ascii="Cambria Math" w:hAnsi="Cambria Math"/>
              </w:rPr>
            </m:ctrlPr>
          </m:funcPr>
          <m:fName>
            <m:f>
              <m:fPr>
                <m:ctrlPr>
                  <w:rPr>
                    <w:rFonts w:ascii="Cambria Math" w:hAnsi="Cambria Math"/>
                  </w:rPr>
                </m:ctrlPr>
              </m:fPr>
              <m:num>
                <m:r>
                  <w:rPr>
                    <w:rFonts w:ascii="Cambria Math" w:hAnsi="Cambria Math"/>
                  </w:rPr>
                  <m:t>1</m:t>
                </m:r>
              </m:num>
              <m:den>
                <m:r>
                  <w:rPr>
                    <w:rFonts w:ascii="Cambria Math" w:hAnsi="Cambria Math"/>
                  </w:rPr>
                  <m:t>2</m:t>
                </m:r>
              </m:den>
            </m:f>
            <m:r>
              <m:rPr>
                <m:sty m:val="p"/>
              </m:rPr>
              <w:rPr>
                <w:rFonts w:ascii="Cambria Math" w:hAnsi="Cambria Math"/>
              </w:rPr>
              <m:t>cos</m:t>
            </m:r>
          </m:fName>
          <m:e>
            <m:r>
              <w:rPr>
                <w:rFonts w:ascii="Cambria Math" w:hAnsi="Cambria Math"/>
              </w:rPr>
              <m:t>(ϕ)</m:t>
            </m:r>
          </m:e>
        </m:func>
      </m:oMath>
      <w:r w:rsidR="000D5C14">
        <w:t>.</w:t>
      </w:r>
      <w:r w:rsidR="000D5C14">
        <w:tab/>
      </w:r>
      <w:r w:rsidR="000D5C14">
        <w:tab/>
      </w:r>
      <w:r w:rsidR="000D5C14">
        <w:tab/>
      </w:r>
      <w:r w:rsidR="000D5C14">
        <w:tab/>
        <w:t>(1</w:t>
      </w:r>
      <w:r w:rsidR="00E45799">
        <w:t>1</w:t>
      </w:r>
      <w:r w:rsidR="000D5C14">
        <w:t>)</w:t>
      </w:r>
    </w:p>
    <w:p w14:paraId="47B5559D" w14:textId="77777777" w:rsidR="000D5C14" w:rsidRDefault="000D5C14" w:rsidP="00F22EB6">
      <w:pPr>
        <w:pStyle w:val="ac"/>
        <w:ind w:left="0"/>
      </w:pPr>
      <w:r w:rsidRPr="00DF7713">
        <w:t>The DUT signal mixed with the reference signal is called the in-phase component</w:t>
      </w:r>
      <w:r>
        <w:t xml:space="preserve"> </w:t>
      </w:r>
      <m:oMath>
        <m:r>
          <w:rPr>
            <w:rFonts w:ascii="Cambria Math" w:hAnsi="Cambria Math"/>
          </w:rPr>
          <m:t>X</m:t>
        </m:r>
      </m:oMath>
      <w:r>
        <w:t>,</w:t>
      </w:r>
      <w:r w:rsidRPr="00DF7713">
        <w:t xml:space="preserve"> and t</w:t>
      </w:r>
      <w:r>
        <w:t>he DUT signal mixed with the 90 </w:t>
      </w:r>
      <w:r w:rsidRPr="00D67FB3">
        <w:rPr>
          <w:i/>
        </w:rPr>
        <w:t>°</w:t>
      </w:r>
      <w:r w:rsidRPr="00DF7713">
        <w:t xml:space="preserve"> </w:t>
      </w:r>
      <w:r>
        <w:t>phase-</w:t>
      </w:r>
      <w:r w:rsidRPr="00DF7713">
        <w:t xml:space="preserve">shifted reference is called the quadrature component </w:t>
      </w:r>
      <m:oMath>
        <m:r>
          <w:rPr>
            <w:rFonts w:ascii="Cambria Math" w:hAnsi="Cambria Math"/>
          </w:rPr>
          <m:t>Y</m:t>
        </m:r>
      </m:oMath>
      <w:r>
        <w:t>:</w:t>
      </w:r>
    </w:p>
    <w:p w14:paraId="12A246AC" w14:textId="66A28039" w:rsidR="000D5C14" w:rsidRPr="00F87DE9" w:rsidRDefault="000D5C14" w:rsidP="00F22EB6">
      <w:pPr>
        <w:pStyle w:val="ac"/>
        <w:ind w:left="0"/>
        <w:jc w:val="right"/>
      </w:pPr>
      <m:oMath>
        <m:r>
          <w:rPr>
            <w:rFonts w:ascii="Cambria Math" w:hAnsi="Cambria Math"/>
          </w:rPr>
          <m:t>X=</m:t>
        </m:r>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S</m:t>
                </m:r>
              </m:e>
              <m:sub>
                <m:r>
                  <m:rPr>
                    <m:sty m:val="p"/>
                  </m:rPr>
                  <w:rPr>
                    <w:rFonts w:ascii="Cambria Math" w:hAnsi="Cambria Math"/>
                  </w:rPr>
                  <m:t>ref</m:t>
                </m:r>
              </m:sub>
              <m:sup>
                <m:r>
                  <m:rPr>
                    <m:sty m:val="p"/>
                  </m:rPr>
                  <w:rPr>
                    <w:rFonts w:ascii="Cambria Math" w:hAnsi="Cambria Math"/>
                  </w:rPr>
                  <m:t>0</m:t>
                </m:r>
              </m:sup>
            </m:sSubSup>
            <m:r>
              <w:rPr>
                <w:rFonts w:ascii="Cambria Math" w:hAnsi="Cambria Math"/>
              </w:rPr>
              <m:t>⋅S</m:t>
            </m:r>
          </m:e>
          <m:sub>
            <m:r>
              <m:rPr>
                <m:sty m:val="p"/>
              </m:rPr>
              <w:rPr>
                <w:rFonts w:ascii="Cambria Math" w:hAnsi="Cambria Math"/>
              </w:rPr>
              <m:t xml:space="preserve">DUT </m:t>
            </m:r>
          </m:sub>
          <m:sup>
            <m:r>
              <m:rPr>
                <m:sty m:val="p"/>
              </m:rPr>
              <w:rPr>
                <w:rFonts w:ascii="Cambria Math" w:hAnsi="Cambria Math"/>
              </w:rPr>
              <m:t>0</m:t>
            </m:r>
          </m:sup>
        </m:sSubSup>
        <m:r>
          <w:rPr>
            <w:rFonts w:ascii="Cambria Math" w:hAnsi="Cambria Math"/>
          </w:rPr>
          <m:t>⋅</m:t>
        </m:r>
        <m:func>
          <m:funcPr>
            <m:ctrlPr>
              <w:rPr>
                <w:rFonts w:ascii="Cambria Math" w:hAnsi="Cambria Math"/>
              </w:rPr>
            </m:ctrlPr>
          </m:funcPr>
          <m:fName>
            <m:f>
              <m:fPr>
                <m:ctrlPr>
                  <w:rPr>
                    <w:rFonts w:ascii="Cambria Math" w:hAnsi="Cambria Math"/>
                  </w:rPr>
                </m:ctrlPr>
              </m:fPr>
              <m:num>
                <m:r>
                  <w:rPr>
                    <w:rFonts w:ascii="Cambria Math" w:hAnsi="Cambria Math"/>
                  </w:rPr>
                  <m:t>1</m:t>
                </m:r>
              </m:num>
              <m:den>
                <m:r>
                  <w:rPr>
                    <w:rFonts w:ascii="Cambria Math" w:hAnsi="Cambria Math"/>
                  </w:rPr>
                  <m:t>2</m:t>
                </m:r>
              </m:den>
            </m:f>
            <m:r>
              <m:rPr>
                <m:sty m:val="p"/>
              </m:rPr>
              <w:rPr>
                <w:rFonts w:ascii="Cambria Math" w:hAnsi="Cambria Math"/>
              </w:rPr>
              <m:t>cos</m:t>
            </m:r>
          </m:fName>
          <m:e>
            <m:r>
              <w:rPr>
                <w:rFonts w:ascii="Cambria Math" w:hAnsi="Cambria Math"/>
              </w:rPr>
              <m:t>(ϕ)</m:t>
            </m:r>
          </m:e>
        </m:func>
      </m:oMath>
      <w:r>
        <w:tab/>
      </w:r>
      <w:r>
        <w:tab/>
      </w:r>
      <w:r>
        <w:tab/>
      </w:r>
      <w:r>
        <w:tab/>
        <w:t>(1</w:t>
      </w:r>
      <w:r w:rsidR="00E45799">
        <w:t>2</w:t>
      </w:r>
      <w:r>
        <w:t>)</w:t>
      </w:r>
    </w:p>
    <w:p w14:paraId="767DF7C4" w14:textId="2F17668A" w:rsidR="000D5C14" w:rsidRPr="00321DA4" w:rsidRDefault="000D5C14" w:rsidP="00F22EB6">
      <w:pPr>
        <w:pStyle w:val="ac"/>
        <w:ind w:left="0"/>
        <w:jc w:val="right"/>
      </w:pPr>
      <m:oMath>
        <m:r>
          <w:rPr>
            <w:rFonts w:ascii="Cambria Math" w:hAnsi="Cambria Math"/>
          </w:rPr>
          <m:t>Y=</m:t>
        </m:r>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S</m:t>
                </m:r>
              </m:e>
              <m:sub>
                <m:r>
                  <m:rPr>
                    <m:sty m:val="p"/>
                  </m:rPr>
                  <w:rPr>
                    <w:rFonts w:ascii="Cambria Math" w:hAnsi="Cambria Math"/>
                  </w:rPr>
                  <m:t>ref</m:t>
                </m:r>
              </m:sub>
              <m:sup>
                <m:r>
                  <m:rPr>
                    <m:sty m:val="p"/>
                  </m:rPr>
                  <w:rPr>
                    <w:rFonts w:ascii="Cambria Math" w:hAnsi="Cambria Math"/>
                  </w:rPr>
                  <m:t>0</m:t>
                </m:r>
              </m:sup>
            </m:sSubSup>
            <m:r>
              <w:rPr>
                <w:rFonts w:ascii="Cambria Math" w:hAnsi="Cambria Math"/>
              </w:rPr>
              <m:t>⋅S</m:t>
            </m:r>
          </m:e>
          <m:sub>
            <m:r>
              <m:rPr>
                <m:sty m:val="p"/>
              </m:rPr>
              <w:rPr>
                <w:rFonts w:ascii="Cambria Math" w:hAnsi="Cambria Math"/>
              </w:rPr>
              <m:t>DUT</m:t>
            </m:r>
          </m:sub>
          <m:sup>
            <m:r>
              <m:rPr>
                <m:sty m:val="p"/>
              </m:rPr>
              <w:rPr>
                <w:rFonts w:ascii="Cambria Math" w:hAnsi="Cambria Math"/>
              </w:rPr>
              <m:t>0</m:t>
            </m:r>
          </m:sup>
        </m:sSubSup>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func>
          <m:funcPr>
            <m:ctrlPr>
              <w:rPr>
                <w:rFonts w:ascii="Cambria Math" w:hAnsi="Cambria Math"/>
              </w:rPr>
            </m:ctrlPr>
          </m:funcPr>
          <m:fName>
            <m:r>
              <m:rPr>
                <m:sty m:val="p"/>
              </m:rPr>
              <w:rPr>
                <w:rFonts w:ascii="Cambria Math" w:hAnsi="Cambria Math"/>
              </w:rPr>
              <m:t>cos</m:t>
            </m:r>
          </m:fName>
          <m:e>
            <m:r>
              <w:rPr>
                <w:rFonts w:ascii="Cambria Math" w:hAnsi="Cambria Math"/>
              </w:rPr>
              <m:t>(ϕ-90 °)</m:t>
            </m:r>
          </m:e>
        </m:func>
      </m:oMath>
      <w:r>
        <w:t>.</w:t>
      </w:r>
      <w:r>
        <w:tab/>
      </w:r>
      <w:r>
        <w:tab/>
      </w:r>
      <w:r>
        <w:tab/>
        <w:t>(1</w:t>
      </w:r>
      <w:r w:rsidR="00E45799">
        <w:t>3</w:t>
      </w:r>
      <w:r>
        <w:t>)</w:t>
      </w:r>
    </w:p>
    <w:p w14:paraId="59971EC0" w14:textId="2FC57ED3" w:rsidR="000D5C14" w:rsidRDefault="000D5C14" w:rsidP="00F22EB6">
      <w:pPr>
        <w:pStyle w:val="ac"/>
        <w:ind w:left="0"/>
      </w:pPr>
      <w:r>
        <w:t xml:space="preserve">From </w:t>
      </w:r>
      <w:r w:rsidR="00F43B23">
        <w:t xml:space="preserve">Eq. </w:t>
      </w:r>
      <w:r>
        <w:t>(</w:t>
      </w:r>
      <w:r w:rsidR="00F43B23">
        <w:t>12</w:t>
      </w:r>
      <w:r>
        <w:t>) and (</w:t>
      </w:r>
      <w:r w:rsidR="00F43B23">
        <w:t>13</w:t>
      </w:r>
      <w:r>
        <w:t xml:space="preserve">8), the RMS amplitude </w:t>
      </w:r>
    </w:p>
    <w:p w14:paraId="15839208" w14:textId="61EBCA75" w:rsidR="000D5C14" w:rsidRDefault="000D5C14" w:rsidP="00F22EB6">
      <w:pPr>
        <w:pStyle w:val="ac"/>
        <w:ind w:left="0"/>
        <w:jc w:val="right"/>
      </w:pPr>
      <m:oMath>
        <m:r>
          <w:rPr>
            <w:rFonts w:ascii="Cambria Math" w:hAnsi="Cambria Math"/>
          </w:rPr>
          <m:t>R=</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e>
        </m:rad>
      </m:oMath>
      <w:r>
        <w:t>,</w:t>
      </w:r>
      <w:r>
        <w:tab/>
      </w:r>
      <w:r>
        <w:tab/>
      </w:r>
      <w:r>
        <w:tab/>
      </w:r>
      <w:r>
        <w:tab/>
      </w:r>
      <w:r>
        <w:tab/>
        <w:t>(1</w:t>
      </w:r>
      <w:r w:rsidR="00E45799">
        <w:t>4</w:t>
      </w:r>
      <w:r>
        <w:t>)</w:t>
      </w:r>
    </w:p>
    <w:p w14:paraId="7385EE0E" w14:textId="77777777" w:rsidR="000D5C14" w:rsidRDefault="000D5C14" w:rsidP="00F22EB6">
      <w:pPr>
        <w:pStyle w:val="ac"/>
        <w:ind w:left="0"/>
      </w:pPr>
      <w:r>
        <w:t xml:space="preserve">as well as the phase </w:t>
      </w:r>
    </w:p>
    <w:p w14:paraId="740A9548" w14:textId="27FB2737" w:rsidR="000D5C14" w:rsidRDefault="000D5C14" w:rsidP="00F22EB6">
      <w:pPr>
        <w:pStyle w:val="ac"/>
        <w:ind w:left="0"/>
        <w:jc w:val="right"/>
      </w:pPr>
      <m:oMath>
        <m:r>
          <w:rPr>
            <w:rFonts w:ascii="Cambria Math" w:hAnsi="Cambria Math"/>
          </w:rPr>
          <m:t>θ=</m:t>
        </m:r>
        <m:r>
          <m:rPr>
            <m:sty m:val="p"/>
          </m:rPr>
          <w:rPr>
            <w:rFonts w:ascii="Cambria Math" w:hAnsi="Cambria Math"/>
          </w:rPr>
          <m:t>atan2</m:t>
        </m:r>
        <m:d>
          <m:dPr>
            <m:ctrlPr>
              <w:rPr>
                <w:rFonts w:ascii="Cambria Math" w:hAnsi="Cambria Math"/>
                <w:i/>
              </w:rPr>
            </m:ctrlPr>
          </m:dPr>
          <m:e>
            <m:r>
              <w:rPr>
                <w:rFonts w:ascii="Cambria Math" w:hAnsi="Cambria Math"/>
              </w:rPr>
              <m:t>Y,X</m:t>
            </m:r>
          </m:e>
        </m:d>
      </m:oMath>
      <w:r>
        <w:tab/>
      </w:r>
      <w:r>
        <w:tab/>
      </w:r>
      <w:r>
        <w:tab/>
      </w:r>
      <w:r>
        <w:tab/>
      </w:r>
      <w:r>
        <w:tab/>
        <w:t>(1</w:t>
      </w:r>
      <w:r w:rsidR="00E45799">
        <w:t>5</w:t>
      </w:r>
      <w:r>
        <w:t>)</w:t>
      </w:r>
    </w:p>
    <w:p w14:paraId="550DD148" w14:textId="77777777" w:rsidR="000D5C14" w:rsidDel="00FD43E2" w:rsidRDefault="000D5C14" w:rsidP="00F22EB6">
      <w:pPr>
        <w:pStyle w:val="ac"/>
        <w:ind w:left="0"/>
      </w:pPr>
      <w:r>
        <w:t xml:space="preserve">of the mixed signal can be obtained with the two-argument arcus tangent function. </w:t>
      </w:r>
      <w:r w:rsidDel="00FD43E2">
        <w:t xml:space="preserve">Many LIA have an internal phase adjust to set </w:t>
      </w:r>
      <m:oMath>
        <m:r>
          <w:rPr>
            <w:rFonts w:ascii="Cambria Math" w:hAnsi="Cambria Math"/>
          </w:rPr>
          <m:t>ϕ</m:t>
        </m:r>
      </m:oMath>
      <w:r w:rsidDel="00FD43E2">
        <w:t xml:space="preserve"> to zero during measurements.</w:t>
      </w:r>
    </w:p>
    <w:p w14:paraId="76929F4A" w14:textId="77777777" w:rsidR="00CF1F9A" w:rsidRDefault="00CF1F9A" w:rsidP="00F22EB6"/>
    <w:p w14:paraId="2AC7E25E" w14:textId="7967ADB1" w:rsidR="00552035" w:rsidRDefault="00A655C5" w:rsidP="00552035">
      <w:pPr>
        <w:pStyle w:val="ac"/>
        <w:numPr>
          <w:ilvl w:val="0"/>
          <w:numId w:val="29"/>
        </w:numPr>
        <w:ind w:left="0" w:firstLine="0"/>
      </w:pPr>
      <w:r>
        <w:t>Low</w:t>
      </w:r>
      <w:r w:rsidR="0054320A">
        <w:t>-</w:t>
      </w:r>
      <w:r w:rsidR="00A15D05">
        <w:t>Pass Filter F</w:t>
      </w:r>
      <w:r>
        <w:t>requency</w:t>
      </w:r>
    </w:p>
    <w:p w14:paraId="0A6704AE" w14:textId="31A6D200" w:rsidR="001D4DBE" w:rsidRDefault="00EC5CD0" w:rsidP="00F22EB6">
      <w:r w:rsidRPr="00067EFD">
        <w:rPr>
          <w:b/>
        </w:rPr>
        <w:t xml:space="preserve">Figure </w:t>
      </w:r>
      <w:r w:rsidR="00C701D9" w:rsidRPr="00067EFD">
        <w:rPr>
          <w:b/>
        </w:rPr>
        <w:t>5</w:t>
      </w:r>
      <w:r w:rsidR="00C701D9">
        <w:t xml:space="preserve"> </w:t>
      </w:r>
      <w:r w:rsidR="00B15F13">
        <w:t xml:space="preserve">shows the effect of </w:t>
      </w:r>
      <w:r w:rsidR="001D4DBE">
        <w:t xml:space="preserve">bias light and different </w:t>
      </w:r>
      <w:r w:rsidR="00B15F13">
        <w:t>low</w:t>
      </w:r>
      <w:r w:rsidR="0054320A">
        <w:t>-</w:t>
      </w:r>
      <w:r w:rsidR="00B15F13">
        <w:t>pass filter</w:t>
      </w:r>
      <w:r w:rsidR="001D4DBE">
        <w:t xml:space="preserve"> settings </w:t>
      </w:r>
      <w:r w:rsidR="00B15F13">
        <w:t xml:space="preserve">on the </w:t>
      </w:r>
      <w:r>
        <w:t xml:space="preserve">lock-in amplified </w:t>
      </w:r>
      <w:r w:rsidR="007D14D0">
        <w:t xml:space="preserve">RMS </w:t>
      </w:r>
      <w:r w:rsidR="00F9672E">
        <w:t>amplitude</w:t>
      </w:r>
      <w:r w:rsidR="00C77382">
        <w:t>,</w:t>
      </w:r>
      <w:r w:rsidR="00F9672E">
        <w:t xml:space="preserve"> </w:t>
      </w:r>
      <m:oMath>
        <m:r>
          <w:rPr>
            <w:rFonts w:ascii="Cambria Math" w:hAnsi="Cambria Math"/>
          </w:rPr>
          <m:t>R</m:t>
        </m:r>
      </m:oMath>
      <w:r>
        <w:t xml:space="preserve">. </w:t>
      </w:r>
      <w:r w:rsidR="007731A9">
        <w:t xml:space="preserve">We used </w:t>
      </w:r>
      <w:r w:rsidR="00217C71">
        <w:t xml:space="preserve">a LIA </w:t>
      </w:r>
      <w:r w:rsidR="00F7643D">
        <w:t>allowing to</w:t>
      </w:r>
      <w:r w:rsidR="007731A9">
        <w:t xml:space="preserve"> record </w:t>
      </w:r>
      <w:r w:rsidR="001D4DBE">
        <w:t>the signal resulting f</w:t>
      </w:r>
      <w:r w:rsidR="00C77382">
        <w:t>ro</w:t>
      </w:r>
      <w:r w:rsidR="001D4DBE">
        <w:t>m</w:t>
      </w:r>
      <w:r w:rsidR="007731A9">
        <w:t xml:space="preserve"> different f</w:t>
      </w:r>
      <w:r w:rsidR="001D4DBE">
        <w:t>ilter parameters simultaneously.</w:t>
      </w:r>
    </w:p>
    <w:p w14:paraId="490BA574" w14:textId="77777777" w:rsidR="00552035" w:rsidRDefault="00552035" w:rsidP="00F22EB6"/>
    <w:p w14:paraId="4302C5E6" w14:textId="336EA390" w:rsidR="004501E0" w:rsidRDefault="00731C4E" w:rsidP="00F22EB6">
      <w:r>
        <w:t xml:space="preserve">The cut-off frequency </w:t>
      </w:r>
      <m:oMath>
        <m:sSub>
          <m:sSubPr>
            <m:ctrlPr>
              <w:rPr>
                <w:rFonts w:ascii="Cambria Math" w:hAnsi="Cambria Math"/>
                <w:i/>
              </w:rPr>
            </m:ctrlPr>
          </m:sSubPr>
          <m:e>
            <m:r>
              <w:rPr>
                <w:rFonts w:ascii="Cambria Math" w:hAnsi="Cambria Math"/>
              </w:rPr>
              <m:t>f</m:t>
            </m:r>
          </m:e>
          <m:sub>
            <m:r>
              <m:rPr>
                <m:nor/>
              </m:rPr>
              <w:rPr>
                <w:rFonts w:ascii="Cambria Math" w:hAnsi="Cambria Math"/>
              </w:rPr>
              <m:t>cut-off</m:t>
            </m:r>
          </m:sub>
        </m:sSub>
      </m:oMath>
      <w:r>
        <w:t xml:space="preserve"> of a low-pass filter defines the frequency, at which the signal is attenuated to 50%. Lower frequencies pass, higher frequencies are suppressed. </w:t>
      </w:r>
      <w:r w:rsidR="00067EFD" w:rsidRPr="00067EFD">
        <w:rPr>
          <w:b/>
        </w:rPr>
        <w:t>Figure</w:t>
      </w:r>
      <w:r w:rsidR="00FA3710" w:rsidRPr="00067EFD">
        <w:rPr>
          <w:b/>
        </w:rPr>
        <w:t xml:space="preserve"> </w:t>
      </w:r>
      <w:r w:rsidR="00C701D9" w:rsidRPr="00067EFD">
        <w:rPr>
          <w:b/>
        </w:rPr>
        <w:t>5</w:t>
      </w:r>
      <w:proofErr w:type="gramStart"/>
      <w:r w:rsidR="00C701D9" w:rsidRPr="00067EFD">
        <w:rPr>
          <w:b/>
        </w:rPr>
        <w:t>A</w:t>
      </w:r>
      <w:r w:rsidR="00067EFD" w:rsidRPr="00067EFD">
        <w:rPr>
          <w:b/>
        </w:rPr>
        <w:t>,</w:t>
      </w:r>
      <w:r w:rsidR="00C701D9" w:rsidRPr="00067EFD">
        <w:rPr>
          <w:b/>
        </w:rPr>
        <w:t>E</w:t>
      </w:r>
      <w:proofErr w:type="gramEnd"/>
      <w:r w:rsidR="00C701D9">
        <w:t xml:space="preserve"> </w:t>
      </w:r>
      <w:r w:rsidR="00EC5CD0">
        <w:t xml:space="preserve">show the direct signal </w:t>
      </w:r>
      <w:r>
        <w:t xml:space="preserve">with </w:t>
      </w:r>
      <m:oMath>
        <m:sSub>
          <m:sSubPr>
            <m:ctrlPr>
              <w:rPr>
                <w:rFonts w:ascii="Cambria Math" w:hAnsi="Cambria Math"/>
                <w:i/>
              </w:rPr>
            </m:ctrlPr>
          </m:sSubPr>
          <m:e>
            <m:r>
              <w:rPr>
                <w:rFonts w:ascii="Cambria Math" w:hAnsi="Cambria Math"/>
              </w:rPr>
              <m:t>f</m:t>
            </m:r>
          </m:e>
          <m:sub>
            <m:r>
              <m:rPr>
                <m:nor/>
              </m:rPr>
              <w:rPr>
                <w:rFonts w:ascii="Cambria Math" w:hAnsi="Cambria Math"/>
              </w:rPr>
              <m:t>cut-off</m:t>
            </m:r>
          </m:sub>
        </m:sSub>
      </m:oMath>
      <w:r w:rsidR="00954954">
        <w:t xml:space="preserve"> </w:t>
      </w:r>
      <w:r>
        <w:t>= 466.7 kHz</w:t>
      </w:r>
      <w:r w:rsidR="00EC5CD0">
        <w:t>, which effe</w:t>
      </w:r>
      <w:r w:rsidR="007731A9">
        <w:t>c</w:t>
      </w:r>
      <w:r w:rsidR="00EC5CD0">
        <w:t>t</w:t>
      </w:r>
      <w:r w:rsidR="007731A9">
        <w:t>iv</w:t>
      </w:r>
      <w:r w:rsidR="00EC5CD0">
        <w:t>ely does not eliminate noise</w:t>
      </w:r>
      <w:r w:rsidR="00C80E0B">
        <w:t xml:space="preserve"> or lower-frequency modulations</w:t>
      </w:r>
      <w:r w:rsidR="00EC5CD0">
        <w:t xml:space="preserve"> </w:t>
      </w:r>
      <w:r w:rsidR="006C50E0">
        <w:t xml:space="preserve">but lets </w:t>
      </w:r>
      <w:r w:rsidR="00C80E0B">
        <w:t xml:space="preserve">them </w:t>
      </w:r>
      <w:r w:rsidR="006C50E0">
        <w:t xml:space="preserve">pass with </w:t>
      </w:r>
      <w:r w:rsidR="00EC5CD0">
        <w:t xml:space="preserve">the </w:t>
      </w:r>
      <w:r w:rsidR="00C80E0B">
        <w:t xml:space="preserve">raw </w:t>
      </w:r>
      <w:r w:rsidR="00EC5CD0">
        <w:t>signal.</w:t>
      </w:r>
      <w:r w:rsidR="00314D50">
        <w:t xml:space="preserve"> </w:t>
      </w:r>
      <w:r w:rsidR="00685670">
        <w:t xml:space="preserve">The </w:t>
      </w:r>
      <w:r w:rsidR="00C77382">
        <w:t>conversion</w:t>
      </w:r>
      <w:r w:rsidR="00685670">
        <w:t xml:space="preserve"> </w:t>
      </w:r>
      <w:r w:rsidR="00C77382">
        <w:t>of</w:t>
      </w:r>
      <w:r w:rsidR="00685670">
        <w:t xml:space="preserve"> the raw </w:t>
      </w:r>
      <w:r w:rsidR="00271F54">
        <w:t>pre-amplified</w:t>
      </w:r>
      <w:r w:rsidR="00685670">
        <w:t xml:space="preserve"> signal to the RMS amplitude </w:t>
      </w:r>
      <m:oMath>
        <m:r>
          <w:rPr>
            <w:rFonts w:ascii="Cambria Math" w:hAnsi="Cambria Math"/>
          </w:rPr>
          <m:t>R</m:t>
        </m:r>
      </m:oMath>
      <w:r w:rsidR="00685670">
        <w:t xml:space="preserve"> leads to an additional factor of </w:t>
      </w:r>
      <m:oMath>
        <m:rad>
          <m:radPr>
            <m:degHide m:val="1"/>
            <m:ctrlPr>
              <w:rPr>
                <w:rFonts w:ascii="Cambria Math" w:hAnsi="Cambria Math"/>
                <w:i/>
              </w:rPr>
            </m:ctrlPr>
          </m:radPr>
          <m:deg/>
          <m:e>
            <m:r>
              <w:rPr>
                <w:rFonts w:ascii="Cambria Math" w:hAnsi="Cambria Math"/>
              </w:rPr>
              <m:t>2</m:t>
            </m:r>
          </m:e>
        </m:rad>
      </m:oMath>
      <w:r w:rsidR="00685670">
        <w:t xml:space="preserve"> for frequencies sufficiently below </w:t>
      </w:r>
      <m:oMath>
        <m:sSub>
          <m:sSubPr>
            <m:ctrlPr>
              <w:rPr>
                <w:rFonts w:ascii="Cambria Math" w:hAnsi="Cambria Math"/>
                <w:i/>
              </w:rPr>
            </m:ctrlPr>
          </m:sSubPr>
          <m:e>
            <m:r>
              <w:rPr>
                <w:rFonts w:ascii="Cambria Math" w:hAnsi="Cambria Math"/>
              </w:rPr>
              <m:t>f</m:t>
            </m:r>
          </m:e>
          <m:sub>
            <m:r>
              <m:rPr>
                <m:nor/>
              </m:rPr>
              <w:rPr>
                <w:rFonts w:ascii="Cambria Math" w:hAnsi="Cambria Math"/>
              </w:rPr>
              <m:t>cut-off</m:t>
            </m:r>
          </m:sub>
        </m:sSub>
      </m:oMath>
      <w:r w:rsidR="00685670">
        <w:t xml:space="preserve">. For example, a constant input voltage of </w:t>
      </w:r>
      <m:oMath>
        <m:sSub>
          <m:sSubPr>
            <m:ctrlPr>
              <w:rPr>
                <w:rFonts w:ascii="Cambria Math" w:hAnsi="Cambria Math"/>
                <w:i/>
              </w:rPr>
            </m:ctrlPr>
          </m:sSubPr>
          <m:e>
            <m:r>
              <w:rPr>
                <w:rFonts w:ascii="Cambria Math" w:hAnsi="Cambria Math"/>
              </w:rPr>
              <m:t>V</m:t>
            </m:r>
          </m:e>
          <m:sub>
            <m:r>
              <m:rPr>
                <m:sty m:val="p"/>
              </m:rPr>
              <w:rPr>
                <w:rFonts w:ascii="Cambria Math" w:hAnsi="Cambria Math"/>
              </w:rPr>
              <m:t>raw</m:t>
            </m:r>
          </m:sub>
        </m:sSub>
        <m:r>
          <w:rPr>
            <w:rFonts w:ascii="Cambria Math" w:hAnsi="Cambria Math"/>
          </w:rPr>
          <m:t xml:space="preserve">=1 </m:t>
        </m:r>
        <m:r>
          <m:rPr>
            <m:sty m:val="p"/>
          </m:rPr>
          <w:rPr>
            <w:rFonts w:ascii="Cambria Math" w:hAnsi="Cambria Math"/>
          </w:rPr>
          <m:t>V</m:t>
        </m:r>
      </m:oMath>
      <w:r w:rsidR="00685670">
        <w:t xml:space="preserve"> is output as </w:t>
      </w:r>
      <m:oMath>
        <m:r>
          <w:rPr>
            <w:rFonts w:ascii="Cambria Math" w:hAnsi="Cambria Math"/>
          </w:rPr>
          <m:t xml:space="preserve">R=1.41 </m:t>
        </m:r>
        <m:r>
          <m:rPr>
            <m:sty m:val="p"/>
          </m:rPr>
          <w:rPr>
            <w:rFonts w:ascii="Cambria Math" w:hAnsi="Cambria Math"/>
          </w:rPr>
          <m:t>V</m:t>
        </m:r>
      </m:oMath>
      <w:r w:rsidR="00D94E3A">
        <w:t>.</w:t>
      </w:r>
    </w:p>
    <w:p w14:paraId="5D1AF316" w14:textId="77777777" w:rsidR="00552035" w:rsidRPr="00685670" w:rsidRDefault="00552035" w:rsidP="00F22EB6"/>
    <w:p w14:paraId="40CF6A75" w14:textId="3EC263D1" w:rsidR="00A42724" w:rsidRDefault="006C50E0" w:rsidP="00F22EB6">
      <w:r>
        <w:t>Whereas the average offset</w:t>
      </w:r>
      <w:r w:rsidR="004501E0">
        <w:t xml:space="preserve"> in </w:t>
      </w:r>
      <w:r w:rsidR="004501E0" w:rsidRPr="00067EFD">
        <w:rPr>
          <w:b/>
        </w:rPr>
        <w:t>Fig</w:t>
      </w:r>
      <w:r w:rsidR="00067EFD" w:rsidRPr="00067EFD">
        <w:rPr>
          <w:b/>
        </w:rPr>
        <w:t>ure</w:t>
      </w:r>
      <w:r w:rsidR="004501E0" w:rsidRPr="00067EFD">
        <w:rPr>
          <w:b/>
        </w:rPr>
        <w:t xml:space="preserve"> </w:t>
      </w:r>
      <w:r w:rsidR="00C701D9" w:rsidRPr="00067EFD">
        <w:rPr>
          <w:b/>
        </w:rPr>
        <w:t>5E</w:t>
      </w:r>
      <w:r w:rsidR="00C701D9">
        <w:t xml:space="preserve"> </w:t>
      </w:r>
      <w:r>
        <w:t>is negligible without bias light (</w:t>
      </w:r>
      <w:r w:rsidR="004501E0">
        <w:t xml:space="preserve">in average </w:t>
      </w:r>
      <w:r>
        <w:t>2 mV), it increases to</w:t>
      </w:r>
      <w:r w:rsidR="00870E2A">
        <w:t xml:space="preserve"> </w:t>
      </w:r>
      <w:r w:rsidR="00E21830">
        <w:t xml:space="preserve">an average </w:t>
      </w:r>
      <w:r>
        <w:t>around 75</w:t>
      </w:r>
      <w:r w:rsidR="00217C71">
        <w:t> mV</w:t>
      </w:r>
      <w:r w:rsidR="00FA3710">
        <w:t xml:space="preserve"> with bias light (</w:t>
      </w:r>
      <w:r w:rsidR="00FA3710" w:rsidRPr="00067EFD">
        <w:rPr>
          <w:b/>
        </w:rPr>
        <w:t>Fig</w:t>
      </w:r>
      <w:r w:rsidR="00067EFD" w:rsidRPr="00067EFD">
        <w:rPr>
          <w:b/>
        </w:rPr>
        <w:t>ure</w:t>
      </w:r>
      <w:r w:rsidR="00FA3710" w:rsidRPr="00067EFD">
        <w:rPr>
          <w:b/>
        </w:rPr>
        <w:t xml:space="preserve"> </w:t>
      </w:r>
      <w:r w:rsidR="00C701D9" w:rsidRPr="00067EFD">
        <w:rPr>
          <w:b/>
        </w:rPr>
        <w:t>5A</w:t>
      </w:r>
      <w:r>
        <w:t>)</w:t>
      </w:r>
      <w:r w:rsidR="008F6D3D">
        <w:t xml:space="preserve">. </w:t>
      </w:r>
      <w:r w:rsidR="00A42724">
        <w:t xml:space="preserve">The difference is of comparable strength as between </w:t>
      </w:r>
      <w:r w:rsidR="00A42724" w:rsidRPr="00067EFD">
        <w:rPr>
          <w:b/>
        </w:rPr>
        <w:t>Fig</w:t>
      </w:r>
      <w:r w:rsidR="00067EFD" w:rsidRPr="00067EFD">
        <w:rPr>
          <w:b/>
        </w:rPr>
        <w:t>ure</w:t>
      </w:r>
      <w:r w:rsidR="00A42724" w:rsidRPr="00067EFD">
        <w:rPr>
          <w:b/>
        </w:rPr>
        <w:t xml:space="preserve"> </w:t>
      </w:r>
      <w:r w:rsidR="001D2B48" w:rsidRPr="00067EFD">
        <w:rPr>
          <w:b/>
        </w:rPr>
        <w:t>3</w:t>
      </w:r>
      <w:proofErr w:type="gramStart"/>
      <w:r w:rsidR="00067EFD" w:rsidRPr="00067EFD">
        <w:rPr>
          <w:b/>
        </w:rPr>
        <w:t>A,</w:t>
      </w:r>
      <w:r w:rsidR="001D2B48" w:rsidRPr="00067EFD">
        <w:rPr>
          <w:b/>
        </w:rPr>
        <w:t>D</w:t>
      </w:r>
      <w:proofErr w:type="gramEnd"/>
      <w:r w:rsidR="004501E0">
        <w:t>, but</w:t>
      </w:r>
      <w:r w:rsidR="00685670">
        <w:t xml:space="preserve"> </w:t>
      </w:r>
      <w:r w:rsidR="004501E0">
        <w:t>b</w:t>
      </w:r>
      <w:r w:rsidR="00A42724">
        <w:t xml:space="preserve">eware that these were </w:t>
      </w:r>
      <w:r w:rsidR="00314D50">
        <w:t>sepa</w:t>
      </w:r>
      <w:r w:rsidR="002E0D22">
        <w:t>rate</w:t>
      </w:r>
      <w:r w:rsidR="00A42724">
        <w:t xml:space="preserve"> measurements</w:t>
      </w:r>
      <w:r w:rsidR="00B37D25">
        <w:t>.</w:t>
      </w:r>
      <w:r w:rsidR="00A42724">
        <w:t xml:space="preserve"> In both cases, turning on the chopp</w:t>
      </w:r>
      <w:r w:rsidR="00191DED">
        <w:t>ing</w:t>
      </w:r>
      <w:r w:rsidR="00A42724">
        <w:t xml:space="preserve"> source leads to a significant increase </w:t>
      </w:r>
      <w:r w:rsidR="00191DED">
        <w:t xml:space="preserve">in </w:t>
      </w:r>
      <m:oMath>
        <m:r>
          <w:rPr>
            <w:rFonts w:ascii="Cambria Math" w:hAnsi="Cambria Math"/>
          </w:rPr>
          <m:t>R</m:t>
        </m:r>
      </m:oMath>
      <w:r w:rsidR="004501E0">
        <w:t xml:space="preserve">, and </w:t>
      </w:r>
      <w:r w:rsidR="00A42724">
        <w:t xml:space="preserve">the </w:t>
      </w:r>
      <w:r w:rsidR="004501E0">
        <w:t>peak-to-</w:t>
      </w:r>
      <w:r w:rsidR="00B37D25">
        <w:t>peak</w:t>
      </w:r>
      <w:r w:rsidR="00A42724">
        <w:t xml:space="preserve"> </w:t>
      </w:r>
      <w:r w:rsidR="004501E0">
        <w:t xml:space="preserve">variation of </w:t>
      </w:r>
      <m:oMath>
        <m:r>
          <w:rPr>
            <w:rFonts w:ascii="Cambria Math" w:hAnsi="Cambria Math"/>
          </w:rPr>
          <m:t>R</m:t>
        </m:r>
      </m:oMath>
      <w:r w:rsidR="004501E0">
        <w:t xml:space="preserve"> </w:t>
      </w:r>
      <w:r w:rsidR="00A42724">
        <w:t>correspond</w:t>
      </w:r>
      <w:r w:rsidR="004501E0">
        <w:t>s</w:t>
      </w:r>
      <w:r w:rsidR="00A42724">
        <w:t xml:space="preserve"> to the </w:t>
      </w:r>
      <w:r w:rsidR="004501E0">
        <w:t xml:space="preserve">peak-to-peak variation of the raw signal shown </w:t>
      </w:r>
      <w:r w:rsidR="002E0D22">
        <w:t xml:space="preserve">in </w:t>
      </w:r>
      <w:r w:rsidR="002E0D22" w:rsidRPr="00067EFD">
        <w:rPr>
          <w:b/>
        </w:rPr>
        <w:t>Fig</w:t>
      </w:r>
      <w:r w:rsidR="00067EFD" w:rsidRPr="00067EFD">
        <w:rPr>
          <w:b/>
        </w:rPr>
        <w:t>ure</w:t>
      </w:r>
      <w:r w:rsidR="002E0D22" w:rsidRPr="00067EFD">
        <w:rPr>
          <w:b/>
        </w:rPr>
        <w:t xml:space="preserve"> </w:t>
      </w:r>
      <w:r w:rsidR="001D2B48" w:rsidRPr="00067EFD">
        <w:rPr>
          <w:b/>
        </w:rPr>
        <w:t>3</w:t>
      </w:r>
      <w:proofErr w:type="gramStart"/>
      <w:r w:rsidR="001D2B48" w:rsidRPr="00067EFD">
        <w:rPr>
          <w:b/>
        </w:rPr>
        <w:t>B</w:t>
      </w:r>
      <w:r w:rsidR="00067EFD" w:rsidRPr="00067EFD">
        <w:rPr>
          <w:b/>
        </w:rPr>
        <w:t>,</w:t>
      </w:r>
      <w:r w:rsidR="001D2B48" w:rsidRPr="00067EFD">
        <w:rPr>
          <w:b/>
        </w:rPr>
        <w:t>E</w:t>
      </w:r>
      <w:r w:rsidR="002E0D22">
        <w:t>.</w:t>
      </w:r>
      <w:proofErr w:type="gramEnd"/>
    </w:p>
    <w:p w14:paraId="3CC2E8FF" w14:textId="77777777" w:rsidR="00552035" w:rsidRDefault="00552035" w:rsidP="00F22EB6"/>
    <w:p w14:paraId="0BD2B77A" w14:textId="513A33C5" w:rsidR="00F32CC1" w:rsidRDefault="008F6D3D" w:rsidP="00F22EB6">
      <w:r>
        <w:t xml:space="preserve">In </w:t>
      </w:r>
      <w:r w:rsidR="00067EFD" w:rsidRPr="00067EFD">
        <w:rPr>
          <w:b/>
        </w:rPr>
        <w:t>Figure</w:t>
      </w:r>
      <w:r w:rsidRPr="00067EFD">
        <w:rPr>
          <w:b/>
        </w:rPr>
        <w:t xml:space="preserve"> </w:t>
      </w:r>
      <w:r w:rsidR="00C701D9" w:rsidRPr="00067EFD">
        <w:rPr>
          <w:b/>
        </w:rPr>
        <w:t>5</w:t>
      </w:r>
      <w:proofErr w:type="gramStart"/>
      <w:r w:rsidR="00C701D9" w:rsidRPr="00067EFD">
        <w:rPr>
          <w:b/>
        </w:rPr>
        <w:t>B</w:t>
      </w:r>
      <w:r w:rsidR="00067EFD" w:rsidRPr="00067EFD">
        <w:rPr>
          <w:b/>
        </w:rPr>
        <w:t>,</w:t>
      </w:r>
      <w:r w:rsidR="00C701D9" w:rsidRPr="00067EFD">
        <w:rPr>
          <w:b/>
        </w:rPr>
        <w:t>F</w:t>
      </w:r>
      <w:proofErr w:type="gramEnd"/>
      <w:r>
        <w:t xml:space="preserve">, the RMS amplitude </w:t>
      </w:r>
      <m:oMath>
        <m:r>
          <w:rPr>
            <w:rFonts w:ascii="Cambria Math" w:hAnsi="Cambria Math"/>
          </w:rPr>
          <m:t>R</m:t>
        </m:r>
      </m:oMath>
      <w:r>
        <w:t xml:space="preserve"> is displayed after using a </w:t>
      </w:r>
      <w:r w:rsidR="00EF485A">
        <w:t>low</w:t>
      </w:r>
      <w:r w:rsidR="0054320A">
        <w:t>-</w:t>
      </w:r>
      <w:r w:rsidR="005D5762">
        <w:t xml:space="preserve">pass filter with </w:t>
      </w:r>
      <m:oMath>
        <m:sSub>
          <m:sSubPr>
            <m:ctrlPr>
              <w:rPr>
                <w:rFonts w:ascii="Cambria Math" w:hAnsi="Cambria Math"/>
                <w:i/>
              </w:rPr>
            </m:ctrlPr>
          </m:sSubPr>
          <m:e>
            <m:r>
              <w:rPr>
                <w:rFonts w:ascii="Cambria Math" w:hAnsi="Cambria Math"/>
              </w:rPr>
              <m:t>f</m:t>
            </m:r>
          </m:e>
          <m:sub>
            <m:r>
              <m:rPr>
                <m:nor/>
              </m:rPr>
              <w:rPr>
                <w:rFonts w:ascii="Cambria Math" w:hAnsi="Cambria Math"/>
              </w:rPr>
              <m:t>cut-off</m:t>
            </m:r>
          </m:sub>
        </m:sSub>
        <m:r>
          <w:rPr>
            <w:rFonts w:ascii="Cambria Math" w:hAnsi="Cambria Math"/>
          </w:rPr>
          <m:t xml:space="preserve">= </m:t>
        </m:r>
      </m:oMath>
      <w:r w:rsidR="005D5762">
        <w:t>1000 </w:t>
      </w:r>
      <w:r w:rsidR="00EF485A">
        <w:t>Hz. Again</w:t>
      </w:r>
      <w:r w:rsidR="00FA3710">
        <w:t xml:space="preserve"> an offset can be observed in </w:t>
      </w:r>
      <w:r w:rsidR="00F32CC1">
        <w:t>6</w:t>
      </w:r>
      <w:r w:rsidR="00FA3710">
        <w:t>B</w:t>
      </w:r>
      <w:r w:rsidR="00EF485A">
        <w:t xml:space="preserve"> due to the bias light</w:t>
      </w:r>
      <w:r>
        <w:t>,</w:t>
      </w:r>
      <w:r w:rsidR="00E502B6">
        <w:t xml:space="preserve"> but the offset is smaller with around 18 mV</w:t>
      </w:r>
      <w:r w:rsidR="00F32CC1">
        <w:t xml:space="preserve"> on average</w:t>
      </w:r>
      <w:r>
        <w:t>. This offset is caused by the 100 Hz modulation of the fluorescent light, whereas the 90 kHz modulation is blocked by the low-pass filter</w:t>
      </w:r>
      <w:r w:rsidR="00E502B6">
        <w:t>. F</w:t>
      </w:r>
      <w:r w:rsidR="00EF485A">
        <w:t xml:space="preserve">urthermore, the noise level of the </w:t>
      </w:r>
      <w:r w:rsidR="007B76AB">
        <w:t>‘</w:t>
      </w:r>
      <w:r w:rsidR="00EF485A">
        <w:t>beam on</w:t>
      </w:r>
      <w:r w:rsidR="007B76AB">
        <w:t>’</w:t>
      </w:r>
      <w:r w:rsidR="00EF485A">
        <w:t xml:space="preserve"> state is </w:t>
      </w:r>
      <w:r w:rsidR="00E502B6">
        <w:t xml:space="preserve">still </w:t>
      </w:r>
      <w:r w:rsidR="00EF485A">
        <w:t>significant</w:t>
      </w:r>
      <w:r w:rsidR="00F32CC1">
        <w:t xml:space="preserve"> with a </w:t>
      </w:r>
      <w:r w:rsidR="003D1F1A">
        <w:t>peak-to-</w:t>
      </w:r>
      <w:r w:rsidR="00F32CC1">
        <w:t xml:space="preserve">peak </w:t>
      </w:r>
      <w:r w:rsidR="003D1F1A">
        <w:t>variation</w:t>
      </w:r>
      <w:r w:rsidR="007B76AB">
        <w:t xml:space="preserve"> </w:t>
      </w:r>
      <w:r w:rsidR="00F32CC1">
        <w:t xml:space="preserve">around </w:t>
      </w:r>
      <w:r w:rsidR="007B76AB">
        <w:t>46</w:t>
      </w:r>
      <w:r w:rsidR="00E502B6">
        <w:t> mV</w:t>
      </w:r>
      <w:r w:rsidR="007B76AB">
        <w:t>, while the average signal value amounts to 32 mV</w:t>
      </w:r>
      <w:r w:rsidR="00EF485A">
        <w:t>.</w:t>
      </w:r>
      <w:r w:rsidR="00E502B6">
        <w:t xml:space="preserve"> </w:t>
      </w:r>
      <w:r w:rsidR="007B76AB">
        <w:t>W</w:t>
      </w:r>
      <w:r w:rsidR="00C42F02">
        <w:t>ithout bias light</w:t>
      </w:r>
      <w:r w:rsidR="00FA3710">
        <w:t xml:space="preserve"> (</w:t>
      </w:r>
      <w:r w:rsidR="00067EFD" w:rsidRPr="00067EFD">
        <w:rPr>
          <w:b/>
        </w:rPr>
        <w:t>Figure 5F</w:t>
      </w:r>
      <w:r w:rsidR="007B76AB">
        <w:t xml:space="preserve">) the </w:t>
      </w:r>
      <w:r w:rsidR="003D1F1A">
        <w:t>peak-to-peak variation amounts to about</w:t>
      </w:r>
      <w:r w:rsidR="00C42F02">
        <w:t xml:space="preserve"> </w:t>
      </w:r>
      <w:r w:rsidR="00F32CC1">
        <w:t>17</w:t>
      </w:r>
      <w:r w:rsidR="007B76AB">
        <w:t> mV during ‘beam on’ with an average value of 23.5 mV</w:t>
      </w:r>
      <w:r w:rsidR="003D1F1A">
        <w:t>. T</w:t>
      </w:r>
      <w:r w:rsidR="007B76AB">
        <w:t xml:space="preserve">he </w:t>
      </w:r>
      <w:r w:rsidR="003D1F1A">
        <w:t xml:space="preserve">average </w:t>
      </w:r>
      <w:r w:rsidR="007B76AB">
        <w:t xml:space="preserve">offset during </w:t>
      </w:r>
      <w:r w:rsidR="003D1F1A">
        <w:t>‘</w:t>
      </w:r>
      <w:r w:rsidR="007B76AB">
        <w:t>beam off</w:t>
      </w:r>
      <w:r w:rsidR="003D1F1A">
        <w:t>’</w:t>
      </w:r>
      <w:r w:rsidR="007B76AB">
        <w:t xml:space="preserve"> is </w:t>
      </w:r>
      <w:r w:rsidR="00017D32">
        <w:t>smaller than 0.5 mV</w:t>
      </w:r>
      <w:r w:rsidR="007B76AB">
        <w:t xml:space="preserve">. </w:t>
      </w:r>
      <w:r w:rsidR="003D1F1A">
        <w:t xml:space="preserve">These measurements show that the combination of a low-pass filter with </w:t>
      </w:r>
      <m:oMath>
        <m:sSub>
          <m:sSubPr>
            <m:ctrlPr>
              <w:rPr>
                <w:rFonts w:ascii="Cambria Math" w:hAnsi="Cambria Math"/>
                <w:i/>
              </w:rPr>
            </m:ctrlPr>
          </m:sSubPr>
          <m:e>
            <m:r>
              <w:rPr>
                <w:rFonts w:ascii="Cambria Math" w:hAnsi="Cambria Math"/>
              </w:rPr>
              <m:t>f</m:t>
            </m:r>
          </m:e>
          <m:sub>
            <m:r>
              <m:rPr>
                <m:nor/>
              </m:rPr>
              <w:rPr>
                <w:rFonts w:ascii="Cambria Math" w:hAnsi="Cambria Math"/>
              </w:rPr>
              <m:t>cut-off</m:t>
            </m:r>
          </m:sub>
        </m:sSub>
        <m:r>
          <w:rPr>
            <w:rFonts w:ascii="Cambria Math" w:hAnsi="Cambria Math"/>
          </w:rPr>
          <m:t xml:space="preserve">= </m:t>
        </m:r>
      </m:oMath>
      <w:r w:rsidR="003D1F1A">
        <w:t xml:space="preserve">1000 Hz and a chopping frequency of </w:t>
      </w:r>
      <m:oMath>
        <m:sSub>
          <m:sSubPr>
            <m:ctrlPr>
              <w:rPr>
                <w:rFonts w:ascii="Cambria Math" w:hAnsi="Cambria Math"/>
                <w:i/>
              </w:rPr>
            </m:ctrlPr>
          </m:sSubPr>
          <m:e>
            <m:r>
              <w:rPr>
                <w:rFonts w:ascii="Cambria Math" w:hAnsi="Cambria Math"/>
              </w:rPr>
              <m:t>f</m:t>
            </m:r>
          </m:e>
          <m:sub>
            <m:r>
              <m:rPr>
                <m:sty m:val="p"/>
              </m:rPr>
              <w:rPr>
                <w:rFonts w:ascii="Cambria Math" w:hAnsi="Cambria Math"/>
              </w:rPr>
              <m:t>mod</m:t>
            </m:r>
          </m:sub>
        </m:sSub>
        <m:r>
          <w:rPr>
            <w:rFonts w:ascii="Cambria Math" w:hAnsi="Cambria Math"/>
          </w:rPr>
          <m:t>=</m:t>
        </m:r>
      </m:oMath>
      <w:r w:rsidR="003D1F1A">
        <w:t xml:space="preserve"> 2177.7 Hz is not ideal: the signal carrying the modulation frequency is only partially </w:t>
      </w:r>
      <w:r w:rsidR="005E5BA9">
        <w:t xml:space="preserve">removed </w:t>
      </w:r>
      <w:r w:rsidR="003D1F1A">
        <w:t xml:space="preserve">but not entirely suppressed by the low-pass filter. The remaining part leads to </w:t>
      </w:r>
      <w:r w:rsidR="00F32CC1">
        <w:t xml:space="preserve">significant peak-to-peak </w:t>
      </w:r>
      <w:r w:rsidR="003D1F1A">
        <w:t xml:space="preserve">variations of </w:t>
      </w:r>
      <m:oMath>
        <m:r>
          <w:rPr>
            <w:rFonts w:ascii="Cambria Math" w:hAnsi="Cambria Math"/>
          </w:rPr>
          <m:t>R</m:t>
        </m:r>
      </m:oMath>
      <w:r w:rsidR="003D1F1A">
        <w:t xml:space="preserve"> </w:t>
      </w:r>
      <w:r w:rsidR="00F32CC1">
        <w:t xml:space="preserve">during </w:t>
      </w:r>
      <w:r w:rsidR="003D1F1A">
        <w:t xml:space="preserve">the </w:t>
      </w:r>
      <w:r w:rsidR="00F32CC1">
        <w:t xml:space="preserve">‘beam on’ </w:t>
      </w:r>
      <w:r w:rsidR="003D1F1A">
        <w:t xml:space="preserve">state. </w:t>
      </w:r>
      <w:r w:rsidR="00017D32">
        <w:t>When bias light is present</w:t>
      </w:r>
      <w:r w:rsidR="003D1F1A">
        <w:t>,</w:t>
      </w:r>
      <w:r w:rsidR="003801DE">
        <w:t xml:space="preserve"> the 100 Hz modulation due to</w:t>
      </w:r>
      <w:r w:rsidR="00017D32">
        <w:t xml:space="preserve"> </w:t>
      </w:r>
      <w:r w:rsidR="003801DE">
        <w:t xml:space="preserve">net frequency of </w:t>
      </w:r>
      <w:r w:rsidR="00017D32">
        <w:t xml:space="preserve">the fluorescence lamps additionally </w:t>
      </w:r>
      <w:r w:rsidR="00422815">
        <w:t xml:space="preserve">increases </w:t>
      </w:r>
      <w:r w:rsidR="00017D32">
        <w:t>the peak-to-peak values.</w:t>
      </w:r>
    </w:p>
    <w:p w14:paraId="6E8EA859" w14:textId="77777777" w:rsidR="00552035" w:rsidRDefault="00552035" w:rsidP="00F22EB6"/>
    <w:p w14:paraId="54C5A058" w14:textId="27398CC6" w:rsidR="00A17931" w:rsidRDefault="00FA3710" w:rsidP="00F22EB6">
      <w:r>
        <w:t xml:space="preserve">In </w:t>
      </w:r>
      <w:r w:rsidR="00067EFD" w:rsidRPr="00067EFD">
        <w:rPr>
          <w:b/>
        </w:rPr>
        <w:t>Figure 5</w:t>
      </w:r>
      <w:proofErr w:type="gramStart"/>
      <w:r w:rsidR="00067EFD">
        <w:rPr>
          <w:b/>
        </w:rPr>
        <w:t>C</w:t>
      </w:r>
      <w:r w:rsidR="00067EFD" w:rsidRPr="00067EFD">
        <w:rPr>
          <w:b/>
        </w:rPr>
        <w:t>,</w:t>
      </w:r>
      <w:r w:rsidR="00067EFD">
        <w:rPr>
          <w:b/>
        </w:rPr>
        <w:t>G</w:t>
      </w:r>
      <w:proofErr w:type="gramEnd"/>
      <w:r w:rsidR="00C66CB1">
        <w:t>,</w:t>
      </w:r>
      <w:r>
        <w:t xml:space="preserve"> </w:t>
      </w:r>
      <w:r w:rsidR="00445C39">
        <w:t>the influence of the bi</w:t>
      </w:r>
      <w:r w:rsidR="003801DE">
        <w:t>as light can be seen as minimal:</w:t>
      </w:r>
      <w:r w:rsidR="0017724E">
        <w:t xml:space="preserve"> the 10.27 </w:t>
      </w:r>
      <w:r w:rsidR="00445C39">
        <w:t>Hz low</w:t>
      </w:r>
      <w:r w:rsidR="0054320A">
        <w:t>-</w:t>
      </w:r>
      <w:r w:rsidR="00445C39">
        <w:t>pass filter</w:t>
      </w:r>
      <w:r w:rsidR="00854EBD">
        <w:t xml:space="preserve"> </w:t>
      </w:r>
      <w:r w:rsidR="003801DE">
        <w:t>cuts</w:t>
      </w:r>
      <w:r w:rsidR="00445C39">
        <w:t xml:space="preserve"> off most </w:t>
      </w:r>
      <w:r w:rsidR="00854EBD">
        <w:t>noise</w:t>
      </w:r>
      <w:r w:rsidR="007A6F89">
        <w:t xml:space="preserve"> and modulation of the fluorescent light</w:t>
      </w:r>
      <w:r w:rsidR="003801DE">
        <w:t>, and a clear beam-induced signal can be extracted</w:t>
      </w:r>
      <w:r w:rsidR="00445C39">
        <w:t xml:space="preserve">. </w:t>
      </w:r>
      <w:r w:rsidR="00075924">
        <w:t>Albeit hardly visible here, t</w:t>
      </w:r>
      <w:r w:rsidR="003801DE">
        <w:t>he offset and spread of noise are</w:t>
      </w:r>
      <w:r w:rsidR="00445C39">
        <w:t xml:space="preserve"> still</w:t>
      </w:r>
      <w:r w:rsidR="003801DE">
        <w:t xml:space="preserve"> slightly</w:t>
      </w:r>
      <w:r w:rsidR="00445C39">
        <w:t xml:space="preserve"> greater wit</w:t>
      </w:r>
      <w:r w:rsidR="00854EBD">
        <w:t xml:space="preserve">h bias light. This </w:t>
      </w:r>
      <w:r w:rsidR="00445C39">
        <w:t xml:space="preserve">can </w:t>
      </w:r>
      <w:r w:rsidR="008D1E97">
        <w:t xml:space="preserve">be </w:t>
      </w:r>
      <w:r w:rsidR="00854EBD">
        <w:t>caused by</w:t>
      </w:r>
      <w:r w:rsidR="00C66CB1">
        <w:t xml:space="preserve"> stray light passing</w:t>
      </w:r>
      <w:r w:rsidR="00445C39">
        <w:t xml:space="preserve"> through the chopper wheel onto the DUT. Therefore, it is advisable to </w:t>
      </w:r>
      <w:r w:rsidR="00B9190E">
        <w:t>implement the chopper far upstream to avoi</w:t>
      </w:r>
      <w:r w:rsidR="00C66CB1">
        <w:t>d the modulation of stray light</w:t>
      </w:r>
      <w:r w:rsidR="00B9190E">
        <w:t>.</w:t>
      </w:r>
    </w:p>
    <w:p w14:paraId="394DD85C" w14:textId="77777777" w:rsidR="00552035" w:rsidRDefault="00552035" w:rsidP="00F22EB6"/>
    <w:p w14:paraId="4F3517F2" w14:textId="706C05FC" w:rsidR="00EC5CD0" w:rsidRDefault="00067EFD" w:rsidP="00F22EB6">
      <w:r w:rsidRPr="00067EFD">
        <w:rPr>
          <w:b/>
        </w:rPr>
        <w:t>Figure 5</w:t>
      </w:r>
      <w:proofErr w:type="gramStart"/>
      <w:r>
        <w:rPr>
          <w:b/>
        </w:rPr>
        <w:t>D</w:t>
      </w:r>
      <w:r w:rsidRPr="00067EFD">
        <w:rPr>
          <w:b/>
        </w:rPr>
        <w:t>,</w:t>
      </w:r>
      <w:r>
        <w:rPr>
          <w:b/>
        </w:rPr>
        <w:t>H</w:t>
      </w:r>
      <w:proofErr w:type="gramEnd"/>
      <w:r>
        <w:t xml:space="preserve"> </w:t>
      </w:r>
      <w:r w:rsidR="004A2684">
        <w:t>are a zoom into the change fro</w:t>
      </w:r>
      <w:r w:rsidR="00DC05BE">
        <w:t xml:space="preserve">m </w:t>
      </w:r>
      <w:r w:rsidR="008D1E97">
        <w:t>‘</w:t>
      </w:r>
      <w:r w:rsidR="00DC05BE">
        <w:t>beam on</w:t>
      </w:r>
      <w:r w:rsidR="008D1E97">
        <w:t>’</w:t>
      </w:r>
      <w:r w:rsidR="00DC05BE">
        <w:t xml:space="preserve"> to </w:t>
      </w:r>
      <w:r w:rsidR="008D1E97">
        <w:t>‘</w:t>
      </w:r>
      <w:r w:rsidR="00DC05BE">
        <w:t>beam off</w:t>
      </w:r>
      <w:r w:rsidR="008D1E97">
        <w:t>’</w:t>
      </w:r>
      <w:r w:rsidR="00DC05BE">
        <w:t xml:space="preserve"> af</w:t>
      </w:r>
      <w:r w:rsidR="00FA3710">
        <w:t>ter 6</w:t>
      </w:r>
      <w:r w:rsidR="007A6F89">
        <w:t> </w:t>
      </w:r>
      <w:r w:rsidR="00FA3710">
        <w:t xml:space="preserve">s in </w:t>
      </w:r>
      <w:r w:rsidRPr="00503A14">
        <w:rPr>
          <w:b/>
        </w:rPr>
        <w:t xml:space="preserve">Figure </w:t>
      </w:r>
      <w:r w:rsidR="00C701D9" w:rsidRPr="00503A14">
        <w:rPr>
          <w:b/>
        </w:rPr>
        <w:t>5B</w:t>
      </w:r>
      <w:r w:rsidR="00FA3710" w:rsidRPr="00503A14">
        <w:rPr>
          <w:b/>
        </w:rPr>
        <w:t>,</w:t>
      </w:r>
      <w:r w:rsidR="00C701D9" w:rsidRPr="00503A14">
        <w:rPr>
          <w:b/>
        </w:rPr>
        <w:t>C</w:t>
      </w:r>
      <w:r w:rsidR="00FA3710" w:rsidRPr="00503A14">
        <w:rPr>
          <w:b/>
        </w:rPr>
        <w:t>,</w:t>
      </w:r>
      <w:r w:rsidR="00C701D9" w:rsidRPr="00503A14">
        <w:rPr>
          <w:b/>
        </w:rPr>
        <w:t>F</w:t>
      </w:r>
      <w:r w:rsidR="00FA3710" w:rsidRPr="00503A14">
        <w:rPr>
          <w:b/>
        </w:rPr>
        <w:t>,</w:t>
      </w:r>
      <w:r w:rsidR="00C701D9" w:rsidRPr="00503A14">
        <w:rPr>
          <w:b/>
        </w:rPr>
        <w:t>G</w:t>
      </w:r>
      <w:r w:rsidR="00503A14">
        <w:t>,</w:t>
      </w:r>
      <w:r w:rsidR="00C701D9">
        <w:t xml:space="preserve"> </w:t>
      </w:r>
      <w:r w:rsidR="00DC05BE">
        <w:t>respectively</w:t>
      </w:r>
      <w:r w:rsidR="00854EBD">
        <w:t xml:space="preserve">. </w:t>
      </w:r>
      <w:r w:rsidR="003801DE">
        <w:t xml:space="preserve">The superimposed </w:t>
      </w:r>
      <w:r w:rsidR="007A6F89">
        <w:t>modulation at</w:t>
      </w:r>
      <w:r w:rsidR="003801DE">
        <w:t xml:space="preserve"> 100 </w:t>
      </w:r>
      <w:r w:rsidR="00DC05BE">
        <w:t>Hz</w:t>
      </w:r>
      <w:r w:rsidR="004A2684">
        <w:t xml:space="preserve"> (fluorescence lamps</w:t>
      </w:r>
      <w:r w:rsidR="003801DE">
        <w:t xml:space="preserve"> frequency)</w:t>
      </w:r>
      <w:r w:rsidR="00DC05BE">
        <w:t xml:space="preserve"> </w:t>
      </w:r>
      <w:r w:rsidR="003801DE">
        <w:t>is visible</w:t>
      </w:r>
      <w:r w:rsidR="00FA3710">
        <w:t xml:space="preserve"> in </w:t>
      </w:r>
      <w:r w:rsidR="003801DE">
        <w:t>6</w:t>
      </w:r>
      <w:r w:rsidR="00FA3710">
        <w:t>D</w:t>
      </w:r>
      <w:r w:rsidR="007A6F89">
        <w:t xml:space="preserve"> for the </w:t>
      </w:r>
      <w:r w:rsidR="00954954">
        <w:t xml:space="preserve">low-pass filter with </w:t>
      </w:r>
      <m:oMath>
        <m:sSub>
          <m:sSubPr>
            <m:ctrlPr>
              <w:rPr>
                <w:rFonts w:ascii="Cambria Math" w:hAnsi="Cambria Math"/>
                <w:i/>
              </w:rPr>
            </m:ctrlPr>
          </m:sSubPr>
          <m:e>
            <m:r>
              <w:rPr>
                <w:rFonts w:ascii="Cambria Math" w:hAnsi="Cambria Math"/>
              </w:rPr>
              <m:t>f</m:t>
            </m:r>
          </m:e>
          <m:sub>
            <m:r>
              <m:rPr>
                <m:nor/>
              </m:rPr>
              <w:rPr>
                <w:rFonts w:ascii="Cambria Math" w:hAnsi="Cambria Math"/>
              </w:rPr>
              <m:t>cut-off</m:t>
            </m:r>
          </m:sub>
        </m:sSub>
        <m:r>
          <w:rPr>
            <w:rFonts w:ascii="Cambria Math" w:hAnsi="Cambria Math"/>
          </w:rPr>
          <m:t xml:space="preserve">= </m:t>
        </m:r>
      </m:oMath>
      <w:r w:rsidR="007A6F89">
        <w:t>1000 Hz</w:t>
      </w:r>
      <w:r w:rsidR="00DC05BE">
        <w:t xml:space="preserve">. </w:t>
      </w:r>
      <w:r w:rsidR="004A2684">
        <w:t>Note also</w:t>
      </w:r>
      <w:r w:rsidR="00DC05BE">
        <w:t xml:space="preserve"> the delay in the </w:t>
      </w:r>
      <w:r w:rsidR="007A6F89">
        <w:t>signal after the</w:t>
      </w:r>
      <w:r w:rsidR="00954954">
        <w:t xml:space="preserve"> filter with </w:t>
      </w:r>
      <m:oMath>
        <m:sSub>
          <m:sSubPr>
            <m:ctrlPr>
              <w:rPr>
                <w:rFonts w:ascii="Cambria Math" w:hAnsi="Cambria Math"/>
                <w:i/>
              </w:rPr>
            </m:ctrlPr>
          </m:sSubPr>
          <m:e>
            <m:r>
              <w:rPr>
                <w:rFonts w:ascii="Cambria Math" w:hAnsi="Cambria Math"/>
              </w:rPr>
              <m:t>f</m:t>
            </m:r>
          </m:e>
          <m:sub>
            <m:r>
              <m:rPr>
                <m:nor/>
              </m:rPr>
              <w:rPr>
                <w:rFonts w:ascii="Cambria Math" w:hAnsi="Cambria Math"/>
              </w:rPr>
              <m:t>cut-off</m:t>
            </m:r>
          </m:sub>
        </m:sSub>
        <m:r>
          <w:rPr>
            <w:rFonts w:ascii="Cambria Math" w:hAnsi="Cambria Math"/>
          </w:rPr>
          <m:t>=</m:t>
        </m:r>
      </m:oMath>
      <w:r w:rsidR="007A6F89">
        <w:t xml:space="preserve"> 10.27 Hz</w:t>
      </w:r>
      <w:r w:rsidR="00DC05BE">
        <w:t xml:space="preserve"> compared to the signal </w:t>
      </w:r>
      <w:r w:rsidR="007A6F89">
        <w:t xml:space="preserve">after the </w:t>
      </w:r>
      <w:r w:rsidR="00954954">
        <w:t xml:space="preserve">filter with </w:t>
      </w:r>
      <m:oMath>
        <m:sSub>
          <m:sSubPr>
            <m:ctrlPr>
              <w:rPr>
                <w:rFonts w:ascii="Cambria Math" w:hAnsi="Cambria Math"/>
                <w:i/>
              </w:rPr>
            </m:ctrlPr>
          </m:sSubPr>
          <m:e>
            <m:r>
              <w:rPr>
                <w:rFonts w:ascii="Cambria Math" w:hAnsi="Cambria Math"/>
              </w:rPr>
              <m:t>f</m:t>
            </m:r>
          </m:e>
          <m:sub>
            <m:r>
              <m:rPr>
                <m:nor/>
              </m:rPr>
              <w:rPr>
                <w:rFonts w:ascii="Cambria Math" w:hAnsi="Cambria Math"/>
              </w:rPr>
              <m:t>cut-off</m:t>
            </m:r>
          </m:sub>
        </m:sSub>
        <m:r>
          <w:rPr>
            <w:rFonts w:ascii="Cambria Math" w:hAnsi="Cambria Math"/>
          </w:rPr>
          <m:t xml:space="preserve">= </m:t>
        </m:r>
      </m:oMath>
      <w:r w:rsidR="007A6F89">
        <w:t xml:space="preserve">1000 Hz, </w:t>
      </w:r>
      <w:r w:rsidR="00DC05BE">
        <w:t xml:space="preserve">when the beam </w:t>
      </w:r>
      <w:r w:rsidR="00A127F7">
        <w:t xml:space="preserve">is </w:t>
      </w:r>
      <w:r w:rsidR="00DC05BE">
        <w:t>turn</w:t>
      </w:r>
      <w:r w:rsidR="00A127F7">
        <w:t>ed</w:t>
      </w:r>
      <w:r w:rsidR="00DC05BE">
        <w:t xml:space="preserve"> off. </w:t>
      </w:r>
      <w:r w:rsidR="007A6F89">
        <w:t>Same as</w:t>
      </w:r>
      <w:r w:rsidR="00422815">
        <w:t xml:space="preserve"> was the case for</w:t>
      </w:r>
      <w:r w:rsidR="007A6F89">
        <w:t xml:space="preserve"> slow </w:t>
      </w:r>
      <w:r w:rsidR="00EE0C11">
        <w:t xml:space="preserve">rise times of the PA, </w:t>
      </w:r>
      <w:r w:rsidR="00DC05BE">
        <w:t xml:space="preserve">low </w:t>
      </w:r>
      <m:oMath>
        <m:sSub>
          <m:sSubPr>
            <m:ctrlPr>
              <w:rPr>
                <w:rFonts w:ascii="Cambria Math" w:hAnsi="Cambria Math"/>
                <w:i/>
              </w:rPr>
            </m:ctrlPr>
          </m:sSubPr>
          <m:e>
            <m:r>
              <w:rPr>
                <w:rFonts w:ascii="Cambria Math" w:hAnsi="Cambria Math"/>
              </w:rPr>
              <m:t>f</m:t>
            </m:r>
          </m:e>
          <m:sub>
            <m:r>
              <m:rPr>
                <m:nor/>
              </m:rPr>
              <w:rPr>
                <w:rFonts w:ascii="Cambria Math" w:hAnsi="Cambria Math"/>
              </w:rPr>
              <m:t>cut-off</m:t>
            </m:r>
          </m:sub>
        </m:sSub>
      </m:oMath>
      <w:r w:rsidR="008D1E97">
        <w:t xml:space="preserve"> of the low</w:t>
      </w:r>
      <w:r w:rsidR="0054320A">
        <w:t>-</w:t>
      </w:r>
      <w:r w:rsidR="008D1E97">
        <w:t>pass filter</w:t>
      </w:r>
      <w:r w:rsidR="00DC05BE">
        <w:t xml:space="preserve"> </w:t>
      </w:r>
      <w:r w:rsidR="00EE0C11">
        <w:t>in the LIA cause</w:t>
      </w:r>
      <w:r w:rsidR="00DC05BE">
        <w:t xml:space="preserve"> </w:t>
      </w:r>
      <w:r w:rsidR="00EE0C11">
        <w:t>slower adaptation of</w:t>
      </w:r>
      <w:r w:rsidR="00DC05BE">
        <w:t xml:space="preserve"> </w:t>
      </w:r>
      <m:oMath>
        <m:r>
          <w:rPr>
            <w:rFonts w:ascii="Cambria Math" w:hAnsi="Cambria Math"/>
          </w:rPr>
          <m:t>R</m:t>
        </m:r>
      </m:oMath>
      <w:r w:rsidR="00DC05BE">
        <w:t xml:space="preserve"> to signal changes.</w:t>
      </w:r>
    </w:p>
    <w:p w14:paraId="7D1D3D9F" w14:textId="77777777" w:rsidR="00552035" w:rsidRDefault="00552035" w:rsidP="00F22EB6"/>
    <w:p w14:paraId="60426246" w14:textId="08CE24FB" w:rsidR="00751EED" w:rsidRDefault="00751EED" w:rsidP="00F22EB6">
      <w:r>
        <w:t xml:space="preserve">Altogether, </w:t>
      </w:r>
      <w:r w:rsidR="0070365C">
        <w:t xml:space="preserve">we have found that a low-pass filter with </w:t>
      </w:r>
      <m:oMath>
        <m:sSub>
          <m:sSubPr>
            <m:ctrlPr>
              <w:rPr>
                <w:rFonts w:ascii="Cambria Math" w:hAnsi="Cambria Math"/>
                <w:i/>
              </w:rPr>
            </m:ctrlPr>
          </m:sSubPr>
          <m:e>
            <m:r>
              <w:rPr>
                <w:rFonts w:ascii="Cambria Math" w:hAnsi="Cambria Math"/>
              </w:rPr>
              <m:t>f</m:t>
            </m:r>
          </m:e>
          <m:sub>
            <m:r>
              <m:rPr>
                <m:nor/>
              </m:rPr>
              <w:rPr>
                <w:rFonts w:ascii="Cambria Math" w:hAnsi="Cambria Math"/>
              </w:rPr>
              <m:t>cut-off</m:t>
            </m:r>
          </m:sub>
        </m:sSub>
        <m:r>
          <w:rPr>
            <w:rFonts w:ascii="Cambria Math" w:hAnsi="Cambria Math"/>
          </w:rPr>
          <m:t>=</m:t>
        </m:r>
      </m:oMath>
      <w:r w:rsidR="0070365C">
        <w:t xml:space="preserve"> 10.27 Hz and a roll-off of 48 dB/oct (see next section) offers the best compromise between fast scanning speed (in favor of high </w:t>
      </w:r>
      <m:oMath>
        <m:sSub>
          <m:sSubPr>
            <m:ctrlPr>
              <w:rPr>
                <w:rFonts w:ascii="Cambria Math" w:hAnsi="Cambria Math"/>
                <w:i/>
              </w:rPr>
            </m:ctrlPr>
          </m:sSubPr>
          <m:e>
            <m:r>
              <w:rPr>
                <w:rFonts w:ascii="Cambria Math" w:hAnsi="Cambria Math"/>
              </w:rPr>
              <m:t>f</m:t>
            </m:r>
          </m:e>
          <m:sub>
            <m:r>
              <m:rPr>
                <m:nor/>
              </m:rPr>
              <w:rPr>
                <w:rFonts w:ascii="Cambria Math" w:hAnsi="Cambria Math"/>
              </w:rPr>
              <m:t>cut-off</m:t>
            </m:r>
          </m:sub>
        </m:sSub>
      </m:oMath>
      <w:r w:rsidR="0070365C">
        <w:t xml:space="preserve"> values) and suppression of bias light or noise (in favor of low </w:t>
      </w:r>
      <m:oMath>
        <m:sSub>
          <m:sSubPr>
            <m:ctrlPr>
              <w:rPr>
                <w:rFonts w:ascii="Cambria Math" w:hAnsi="Cambria Math"/>
                <w:i/>
              </w:rPr>
            </m:ctrlPr>
          </m:sSubPr>
          <m:e>
            <m:r>
              <w:rPr>
                <w:rFonts w:ascii="Cambria Math" w:hAnsi="Cambria Math"/>
              </w:rPr>
              <m:t>f</m:t>
            </m:r>
          </m:e>
          <m:sub>
            <m:r>
              <m:rPr>
                <m:nor/>
              </m:rPr>
              <w:rPr>
                <w:rFonts w:ascii="Cambria Math" w:hAnsi="Cambria Math"/>
              </w:rPr>
              <m:t>cut-off</m:t>
            </m:r>
          </m:sub>
        </m:sSub>
      </m:oMath>
      <w:r w:rsidR="0070365C">
        <w:t xml:space="preserve"> values, most importantly below the grid frequency 50 Hz).</w:t>
      </w:r>
    </w:p>
    <w:p w14:paraId="2BC89EA1" w14:textId="77777777" w:rsidR="00A144C4" w:rsidRDefault="00A144C4" w:rsidP="00F22EB6"/>
    <w:p w14:paraId="358F0E39" w14:textId="76811475" w:rsidR="00CF1F9A" w:rsidRPr="00552035" w:rsidRDefault="00D97F64" w:rsidP="00F22EB6">
      <w:pPr>
        <w:pStyle w:val="ac"/>
        <w:numPr>
          <w:ilvl w:val="0"/>
          <w:numId w:val="29"/>
        </w:numPr>
        <w:ind w:left="0" w:firstLine="0"/>
        <w:rPr>
          <w:b/>
        </w:rPr>
      </w:pPr>
      <w:r w:rsidRPr="00552035">
        <w:rPr>
          <w:b/>
        </w:rPr>
        <w:t>Low-Pass Filter Roll-off</w:t>
      </w:r>
    </w:p>
    <w:p w14:paraId="5976193C" w14:textId="5E43DCC0" w:rsidR="003751F5" w:rsidRDefault="003751F5" w:rsidP="00F22EB6">
      <w:r>
        <w:t xml:space="preserve">As many digital lock-in amplifiers, the </w:t>
      </w:r>
      <w:r w:rsidR="00AE3DD0">
        <w:t>model</w:t>
      </w:r>
      <w:r>
        <w:t xml:space="preserve"> that was used here employs so-called discrete-time RC filters or exponential running average filters whose characteristics are very close to those of an analog resistor-capacitor RC filter</w:t>
      </w:r>
      <w:r>
        <w:fldChar w:fldCharType="begin" w:fldLock="1"/>
      </w:r>
      <w:r w:rsidR="003D2185">
        <w:instrText>ADDIN CSL_CITATION {"citationItems":[{"id":"ITEM-1","itemData":{"author":[{"dropping-particle":"","family":"Zurich Instruments","given":"","non-dropping-particle":"","parse-names":false,"suffix":""}],"id":"ITEM-1","issued":{"date-parts":[["2018"]]},"number-of-pages":"Revision 58300","title":"UHF User Manual","type":"report"},"uris":["http://www.mendeley.com/documents/?uuid=84fc6e09-72b6-4214-a4d4-56af3a4f3060"]}],"mendeley":{"formattedCitation":"&lt;sup&gt;40&lt;/sup&gt;","plainTextFormattedCitation":"40","previouslyFormattedCitation":"&lt;sup&gt;40&lt;/sup&gt;"},"properties":{"noteIndex":0},"schema":"https://github.com/citation-style-language/schema/raw/master/csl-citation.json"}</w:instrText>
      </w:r>
      <w:r>
        <w:fldChar w:fldCharType="separate"/>
      </w:r>
      <w:r w:rsidR="00594CBE" w:rsidRPr="00594CBE">
        <w:rPr>
          <w:noProof/>
          <w:vertAlign w:val="superscript"/>
        </w:rPr>
        <w:t>40</w:t>
      </w:r>
      <w:r>
        <w:fldChar w:fldCharType="end"/>
      </w:r>
      <w:r>
        <w:t>. Apart from the filter cut-off frequency that has been discussed in the previous section, there is only one free parameter, the filter order</w:t>
      </w:r>
      <w:r w:rsidR="008D562D">
        <w:t xml:space="preserve"> </w:t>
      </w:r>
      <m:oMath>
        <m:r>
          <w:rPr>
            <w:rFonts w:ascii="Cambria Math" w:hAnsi="Cambria Math"/>
          </w:rPr>
          <m:t>n</m:t>
        </m:r>
      </m:oMath>
      <w:r>
        <w:t xml:space="preserve">, that defines the slope of the cut-off </w:t>
      </w:r>
      <w:r w:rsidR="00316301">
        <w:t xml:space="preserve">as </w:t>
      </w:r>
      <m:oMath>
        <m:r>
          <w:rPr>
            <w:rFonts w:ascii="Cambria Math" w:hAnsi="Cambria Math"/>
          </w:rPr>
          <m:t>n∙</m:t>
        </m:r>
        <m:r>
          <m:rPr>
            <m:sty m:val="p"/>
          </m:rPr>
          <w:rPr>
            <w:rFonts w:ascii="Cambria Math" w:hAnsi="Cambria Math"/>
          </w:rPr>
          <m:t>6 </m:t>
        </m:r>
      </m:oMath>
      <w:r w:rsidR="00213514">
        <w:t>dB/oct</w:t>
      </w:r>
      <w:r>
        <w:t xml:space="preserve">. </w:t>
      </w:r>
    </w:p>
    <w:p w14:paraId="0B8311EC" w14:textId="77777777" w:rsidR="008D562D" w:rsidRDefault="008D562D" w:rsidP="00F22EB6"/>
    <w:p w14:paraId="72C6CCDA" w14:textId="0B1C6823" w:rsidR="003751F5" w:rsidRDefault="003751F5" w:rsidP="00F22EB6">
      <w:r w:rsidRPr="00503A14">
        <w:rPr>
          <w:b/>
        </w:rPr>
        <w:t>Figure 7A</w:t>
      </w:r>
      <w:r>
        <w:t xml:space="preserve"> shows the effect of the filter order on the frequency-dependent attenuation for different cut-off frequencies that correspond to time constants </w:t>
      </w:r>
      <m:oMath>
        <m:sSub>
          <m:sSubPr>
            <m:ctrlPr>
              <w:rPr>
                <w:rFonts w:ascii="Cambria Math" w:hAnsi="Cambria Math"/>
                <w:i/>
              </w:rPr>
            </m:ctrlPr>
          </m:sSubPr>
          <m:e>
            <m:r>
              <w:rPr>
                <w:rFonts w:ascii="Cambria Math" w:hAnsi="Cambria Math"/>
              </w:rPr>
              <m:t>τ</m:t>
            </m:r>
          </m:e>
          <m:sub>
            <m:r>
              <m:rPr>
                <m:nor/>
              </m:rPr>
              <w:rPr>
                <w:rFonts w:ascii="Cambria Math" w:hAnsi="Cambria Math"/>
              </w:rPr>
              <m:t>c</m:t>
            </m:r>
          </m:sub>
        </m:sSub>
        <m:r>
          <w:rPr>
            <w:rFonts w:ascii="Cambria Math" w:hAnsi="Cambria Math"/>
          </w:rPr>
          <m:t>=100</m:t>
        </m:r>
      </m:oMath>
      <w:r>
        <w:t xml:space="preserve"> ms and </w:t>
      </w:r>
      <m:oMath>
        <m:sSub>
          <m:sSubPr>
            <m:ctrlPr>
              <w:rPr>
                <w:rFonts w:ascii="Cambria Math" w:hAnsi="Cambria Math"/>
                <w:i/>
              </w:rPr>
            </m:ctrlPr>
          </m:sSubPr>
          <m:e>
            <m:r>
              <w:rPr>
                <w:rFonts w:ascii="Cambria Math" w:hAnsi="Cambria Math"/>
              </w:rPr>
              <m:t>τ</m:t>
            </m:r>
          </m:e>
          <m:sub>
            <m:r>
              <m:rPr>
                <m:nor/>
              </m:rPr>
              <w:rPr>
                <w:rFonts w:ascii="Cambria Math" w:hAnsi="Cambria Math"/>
              </w:rPr>
              <m:t>c</m:t>
            </m:r>
          </m:sub>
        </m:sSub>
        <m:r>
          <w:rPr>
            <w:rFonts w:ascii="Cambria Math" w:hAnsi="Cambria Math"/>
          </w:rPr>
          <m:t>=0.1</m:t>
        </m:r>
      </m:oMath>
      <w:r>
        <w:t xml:space="preserve"> ms. </w:t>
      </w:r>
      <w:r w:rsidR="008D562D">
        <w:t>T</w:t>
      </w:r>
      <w:r>
        <w:t>ime constants between these two extremes</w:t>
      </w:r>
      <w:r w:rsidR="008D562D">
        <w:t xml:space="preserve"> are suitable for most XBIC measurements</w:t>
      </w:r>
      <w:r>
        <w:t>. The filter attenuation has been calculated</w:t>
      </w:r>
      <w:r>
        <w:fldChar w:fldCharType="begin" w:fldLock="1"/>
      </w:r>
      <w:r w:rsidR="003D2185">
        <w:instrText>ADDIN CSL_CITATION {"citationItems":[{"id":"ITEM-1","itemData":{"author":[{"dropping-particle":"","family":"Zurich Instruments","given":"","non-dropping-particle":"","parse-names":false,"suffix":""}],"id":"ITEM-1","issued":{"date-parts":[["2018"]]},"number-of-pages":"Revision 58300","title":"UHF User Manual","type":"report"},"uris":["http://www.mendeley.com/documents/?uuid=84fc6e09-72b6-4214-a4d4-56af3a4f3060"]}],"mendeley":{"formattedCitation":"&lt;sup&gt;40&lt;/sup&gt;","plainTextFormattedCitation":"40","previouslyFormattedCitation":"&lt;sup&gt;40&lt;/sup&gt;"},"properties":{"noteIndex":0},"schema":"https://github.com/citation-style-language/schema/raw/master/csl-citation.json"}</w:instrText>
      </w:r>
      <w:r>
        <w:fldChar w:fldCharType="separate"/>
      </w:r>
      <w:r w:rsidR="00594CBE" w:rsidRPr="00594CBE">
        <w:rPr>
          <w:noProof/>
          <w:vertAlign w:val="superscript"/>
        </w:rPr>
        <w:t>40</w:t>
      </w:r>
      <w:r>
        <w:fldChar w:fldCharType="end"/>
      </w:r>
      <w:r>
        <w:t xml:space="preserve"> in the frequency space as the absolute value squared </w:t>
      </w:r>
      <m:oMath>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n</m:t>
                    </m:r>
                  </m:sub>
                </m:sSub>
                <m:r>
                  <w:rPr>
                    <w:rFonts w:ascii="Cambria Math" w:hAnsi="Cambria Math"/>
                  </w:rPr>
                  <m:t>(f)</m:t>
                </m:r>
              </m:e>
            </m:d>
          </m:e>
          <m:sup>
            <m:r>
              <w:rPr>
                <w:rFonts w:ascii="Cambria Math" w:hAnsi="Cambria Math"/>
              </w:rPr>
              <m:t>2</m:t>
            </m:r>
          </m:sup>
        </m:sSup>
      </m:oMath>
      <w:r>
        <w:t xml:space="preserve"> of the complex transfer function</w:t>
      </w:r>
    </w:p>
    <w:p w14:paraId="4FADAED2" w14:textId="4A47C682" w:rsidR="003751F5" w:rsidRDefault="00067EFD" w:rsidP="00F22EB6">
      <w:pPr>
        <w:pStyle w:val="ac"/>
        <w:ind w:left="0"/>
        <w:jc w:val="right"/>
      </w:pPr>
      <m:oMath>
        <m:sSub>
          <m:sSubPr>
            <m:ctrlPr>
              <w:rPr>
                <w:rFonts w:ascii="Cambria Math" w:hAnsi="Cambria Math"/>
                <w:i/>
              </w:rPr>
            </m:ctrlPr>
          </m:sSubPr>
          <m:e>
            <m:r>
              <w:rPr>
                <w:rFonts w:ascii="Cambria Math" w:hAnsi="Cambria Math"/>
              </w:rPr>
              <m:t>H</m:t>
            </m:r>
          </m:e>
          <m:sub>
            <m:r>
              <w:rPr>
                <w:rFonts w:ascii="Cambria Math" w:hAnsi="Cambria Math"/>
              </w:rPr>
              <m:t>n</m:t>
            </m:r>
          </m:sub>
        </m:sSub>
        <m:d>
          <m:dPr>
            <m:ctrlPr>
              <w:rPr>
                <w:rFonts w:ascii="Cambria Math" w:hAnsi="Cambria Math"/>
                <w:i/>
              </w:rPr>
            </m:ctrlPr>
          </m:dPr>
          <m:e>
            <m:r>
              <w:rPr>
                <w:rFonts w:ascii="Cambria Math" w:hAnsi="Cambria Math"/>
              </w:rPr>
              <m:t>f</m:t>
            </m:r>
          </m:e>
        </m:d>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r>
                      <w:rPr>
                        <w:rFonts w:ascii="Cambria Math" w:hAnsi="Cambria Math"/>
                      </w:rPr>
                      <m:t>1+i∙2π∙f∙</m:t>
                    </m:r>
                    <m:sSub>
                      <m:sSubPr>
                        <m:ctrlPr>
                          <w:rPr>
                            <w:rFonts w:ascii="Cambria Math" w:hAnsi="Cambria Math"/>
                            <w:i/>
                          </w:rPr>
                        </m:ctrlPr>
                      </m:sSubPr>
                      <m:e>
                        <m:r>
                          <w:rPr>
                            <w:rFonts w:ascii="Cambria Math" w:hAnsi="Cambria Math"/>
                          </w:rPr>
                          <m:t>τ</m:t>
                        </m:r>
                      </m:e>
                      <m:sub>
                        <m:r>
                          <m:rPr>
                            <m:nor/>
                          </m:rPr>
                          <w:rPr>
                            <w:rFonts w:ascii="Cambria Math" w:hAnsi="Cambria Math"/>
                          </w:rPr>
                          <m:t>c</m:t>
                        </m:r>
                      </m:sub>
                    </m:sSub>
                  </m:e>
                </m:d>
              </m:e>
              <m:sup>
                <m:r>
                  <w:rPr>
                    <w:rFonts w:ascii="Cambria Math" w:hAnsi="Cambria Math"/>
                  </w:rPr>
                  <m:t>n</m:t>
                </m:r>
              </m:sup>
            </m:sSup>
          </m:den>
        </m:f>
        <m:r>
          <w:rPr>
            <w:rFonts w:ascii="Cambria Math" w:hAnsi="Cambria Math"/>
          </w:rPr>
          <m:t>,</m:t>
        </m:r>
      </m:oMath>
      <w:r w:rsidR="003751F5">
        <w:tab/>
      </w:r>
      <w:r w:rsidR="003751F5">
        <w:tab/>
      </w:r>
      <w:r w:rsidR="003751F5">
        <w:tab/>
      </w:r>
      <w:r w:rsidR="003751F5">
        <w:tab/>
      </w:r>
      <w:r w:rsidR="003751F5">
        <w:tab/>
        <w:t>(1</w:t>
      </w:r>
      <w:r w:rsidR="00E45799">
        <w:t>6</w:t>
      </w:r>
      <w:r w:rsidR="003751F5">
        <w:t>)</w:t>
      </w:r>
    </w:p>
    <w:p w14:paraId="2A619DB2" w14:textId="766AE7FD" w:rsidR="003751F5" w:rsidRDefault="003751F5" w:rsidP="00F22EB6">
      <w:r>
        <w:t xml:space="preserve">as a function of the frequency </w:t>
      </w:r>
      <m:oMath>
        <m:r>
          <w:rPr>
            <w:rFonts w:ascii="Cambria Math" w:hAnsi="Cambria Math"/>
          </w:rPr>
          <m:t>f</m:t>
        </m:r>
      </m:oMath>
      <w:r>
        <w:t xml:space="preserve"> and a filter of order </w:t>
      </w:r>
      <m:oMath>
        <m:r>
          <w:rPr>
            <w:rFonts w:ascii="Cambria Math" w:hAnsi="Cambria Math"/>
          </w:rPr>
          <m:t>n</m:t>
        </m:r>
      </m:oMath>
      <w:r>
        <w:t xml:space="preserve"> with a time constant </w:t>
      </w:r>
      <m:oMath>
        <m:sSub>
          <m:sSubPr>
            <m:ctrlPr>
              <w:rPr>
                <w:rFonts w:ascii="Cambria Math" w:hAnsi="Cambria Math"/>
                <w:i/>
              </w:rPr>
            </m:ctrlPr>
          </m:sSubPr>
          <m:e>
            <m:r>
              <w:rPr>
                <w:rFonts w:ascii="Cambria Math" w:hAnsi="Cambria Math"/>
              </w:rPr>
              <m:t>τ</m:t>
            </m:r>
          </m:e>
          <m:sub>
            <m:r>
              <m:rPr>
                <m:nor/>
              </m:rPr>
              <w:rPr>
                <w:rFonts w:ascii="Cambria Math" w:hAnsi="Cambria Math"/>
              </w:rPr>
              <m:t>c</m:t>
            </m:r>
          </m:sub>
        </m:sSub>
      </m:oMath>
      <w:r>
        <w:t xml:space="preserve">. Transfer functions of higher order filters are obtained by multiplication of the transfer functions of the </w:t>
      </w:r>
      <w:r w:rsidR="008D562D">
        <w:t xml:space="preserve">serially connected </w:t>
      </w:r>
      <w:r>
        <w:t xml:space="preserve">individual filters. Similar to </w:t>
      </w:r>
      <m:oMath>
        <m:sSub>
          <m:sSubPr>
            <m:ctrlPr>
              <w:rPr>
                <w:rFonts w:ascii="Cambria Math" w:hAnsi="Cambria Math"/>
                <w:i/>
              </w:rPr>
            </m:ctrlPr>
          </m:sSubPr>
          <m:e>
            <m:r>
              <w:rPr>
                <w:rFonts w:ascii="Cambria Math" w:hAnsi="Cambria Math"/>
              </w:rPr>
              <m:t>f</m:t>
            </m:r>
          </m:e>
          <m:sub>
            <m:r>
              <m:rPr>
                <m:nor/>
              </m:rPr>
              <w:rPr>
                <w:rFonts w:ascii="Cambria Math" w:hAnsi="Cambria Math"/>
              </w:rPr>
              <m:t>cut-off</m:t>
            </m:r>
          </m:sub>
        </m:sSub>
        <m:box>
          <m:boxPr>
            <m:opEmu m:val="1"/>
            <m:ctrlPr>
              <w:rPr>
                <w:rFonts w:ascii="Cambria Math" w:hAnsi="Cambria Math"/>
                <w:i/>
              </w:rPr>
            </m:ctrlPr>
          </m:boxPr>
          <m:e>
            <m:r>
              <w:rPr>
                <w:rFonts w:ascii="Cambria Math" w:hAnsi="Cambria Math"/>
              </w:rPr>
              <m:t>∶=</m:t>
            </m:r>
          </m:e>
        </m:box>
        <m:sSub>
          <m:sSubPr>
            <m:ctrlPr>
              <w:rPr>
                <w:rFonts w:ascii="Cambria Math" w:hAnsi="Cambria Math"/>
                <w:i/>
              </w:rPr>
            </m:ctrlPr>
          </m:sSubPr>
          <m:e>
            <m:r>
              <w:rPr>
                <w:rFonts w:ascii="Cambria Math" w:hAnsi="Cambria Math"/>
              </w:rPr>
              <m:t>f</m:t>
            </m:r>
          </m:e>
          <m:sub>
            <m:r>
              <m:rPr>
                <m:nor/>
              </m:rPr>
              <w:rPr>
                <w:rFonts w:ascii="Cambria Math" w:hAnsi="Cambria Math"/>
              </w:rPr>
              <m:t>50%</m:t>
            </m:r>
          </m:sub>
        </m:sSub>
      </m:oMath>
      <w:r>
        <w:t xml:space="preserve">, we define </w:t>
      </w:r>
      <m:oMath>
        <m:sSub>
          <m:sSubPr>
            <m:ctrlPr>
              <w:rPr>
                <w:rFonts w:ascii="Cambria Math" w:hAnsi="Cambria Math"/>
                <w:i/>
              </w:rPr>
            </m:ctrlPr>
          </m:sSubPr>
          <m:e>
            <m:r>
              <w:rPr>
                <w:rFonts w:ascii="Cambria Math" w:hAnsi="Cambria Math"/>
              </w:rPr>
              <m:t>f</m:t>
            </m:r>
          </m:e>
          <m:sub>
            <m:r>
              <m:rPr>
                <m:nor/>
              </m:rPr>
              <w:rPr>
                <w:rFonts w:ascii="Cambria Math" w:hAnsi="Cambria Math"/>
              </w:rPr>
              <m:t>5%</m:t>
            </m:r>
          </m:sub>
        </m:sSub>
      </m:oMath>
      <w:r>
        <w:t xml:space="preserve"> and </w:t>
      </w:r>
      <m:oMath>
        <m:sSub>
          <m:sSubPr>
            <m:ctrlPr>
              <w:rPr>
                <w:rFonts w:ascii="Cambria Math" w:hAnsi="Cambria Math"/>
                <w:i/>
              </w:rPr>
            </m:ctrlPr>
          </m:sSubPr>
          <m:e>
            <m:r>
              <w:rPr>
                <w:rFonts w:ascii="Cambria Math" w:hAnsi="Cambria Math"/>
              </w:rPr>
              <m:t>f</m:t>
            </m:r>
          </m:e>
          <m:sub>
            <m:r>
              <m:rPr>
                <m:nor/>
              </m:rPr>
              <w:rPr>
                <w:rFonts w:ascii="Cambria Math" w:hAnsi="Cambria Math"/>
              </w:rPr>
              <m:t>95%</m:t>
            </m:r>
          </m:sub>
        </m:sSub>
      </m:oMath>
      <w:r>
        <w:t xml:space="preserve"> as the frequencies, at which the attenuation is 5% and 95%, respectively. The product of these frequencies </w:t>
      </w:r>
      <m:oMath>
        <m:r>
          <w:rPr>
            <w:rFonts w:ascii="Cambria Math" w:hAnsi="Cambria Math"/>
          </w:rPr>
          <m:t xml:space="preserve"> </m:t>
        </m:r>
      </m:oMath>
      <w:r>
        <w:t xml:space="preserve">and </w:t>
      </w:r>
      <m:oMath>
        <m:sSub>
          <m:sSubPr>
            <m:ctrlPr>
              <w:rPr>
                <w:rFonts w:ascii="Cambria Math" w:hAnsi="Cambria Math"/>
                <w:i/>
              </w:rPr>
            </m:ctrlPr>
          </m:sSubPr>
          <m:e>
            <m:r>
              <w:rPr>
                <w:rFonts w:ascii="Cambria Math" w:hAnsi="Cambria Math"/>
              </w:rPr>
              <m:t>τ</m:t>
            </m:r>
          </m:e>
          <m:sub>
            <m:r>
              <m:rPr>
                <m:nor/>
              </m:rPr>
              <w:rPr>
                <w:rFonts w:ascii="Cambria Math" w:hAnsi="Cambria Math"/>
              </w:rPr>
              <m:t>c</m:t>
            </m:r>
          </m:sub>
        </m:sSub>
        <m:r>
          <w:rPr>
            <w:rFonts w:ascii="Cambria Math" w:hAnsi="Cambria Math"/>
          </w:rPr>
          <m:t xml:space="preserve"> </m:t>
        </m:r>
      </m:oMath>
      <w:r>
        <w:t>is constant and given in</w:t>
      </w:r>
      <w:r w:rsidRPr="00503A14">
        <w:rPr>
          <w:b/>
        </w:rPr>
        <w:t xml:space="preserve"> Tab</w:t>
      </w:r>
      <w:r w:rsidR="00503A14" w:rsidRPr="00503A14">
        <w:rPr>
          <w:b/>
        </w:rPr>
        <w:t>le</w:t>
      </w:r>
      <w:r w:rsidRPr="00503A14">
        <w:rPr>
          <w:b/>
        </w:rPr>
        <w:t xml:space="preserve"> 1 </w:t>
      </w:r>
      <w:r>
        <w:t xml:space="preserve">for conversion between the cut-off frequencies and the filter time constant. </w:t>
      </w:r>
    </w:p>
    <w:p w14:paraId="3D04242A" w14:textId="77777777" w:rsidR="008D562D" w:rsidRDefault="008D562D" w:rsidP="00F22EB6"/>
    <w:p w14:paraId="709B947D" w14:textId="77777777" w:rsidR="003751F5" w:rsidRDefault="003751F5" w:rsidP="00F22EB6">
      <w:r>
        <w:t xml:space="preserve">In the time space, the filter response </w:t>
      </w:r>
      <m:oMath>
        <m:sSub>
          <m:sSubPr>
            <m:ctrlPr>
              <w:rPr>
                <w:rFonts w:ascii="Cambria Math" w:hAnsi="Cambria Math"/>
                <w:i/>
              </w:rPr>
            </m:ctrlPr>
          </m:sSubPr>
          <m:e>
            <m:r>
              <w:rPr>
                <w:rFonts w:ascii="Cambria Math" w:hAnsi="Cambria Math"/>
              </w:rPr>
              <m:t>S</m:t>
            </m:r>
          </m:e>
          <m:sub>
            <m:r>
              <m:rPr>
                <m:nor/>
              </m:rPr>
              <w:rPr>
                <w:rFonts w:ascii="Cambria Math" w:hAnsi="Cambria Math"/>
              </w:rPr>
              <m:t>out</m:t>
            </m:r>
          </m:sub>
        </m:sSub>
        <m:d>
          <m:dPr>
            <m:begChr m:val="["/>
            <m:endChr m:val="]"/>
            <m:ctrlPr>
              <w:rPr>
                <w:rFonts w:ascii="Cambria Math" w:hAnsi="Cambria Math"/>
                <w:i/>
              </w:rPr>
            </m:ctrlPr>
          </m:dPr>
          <m:e>
            <m:r>
              <w:rPr>
                <w:rFonts w:ascii="Cambria Math" w:hAnsi="Cambria Math"/>
              </w:rPr>
              <m:t>i</m:t>
            </m:r>
          </m:e>
        </m:d>
      </m:oMath>
      <w:r>
        <w:t xml:space="preserve"> for </w:t>
      </w:r>
      <m:oMath>
        <m:r>
          <w:rPr>
            <w:rFonts w:ascii="Cambria Math" w:hAnsi="Cambria Math"/>
          </w:rPr>
          <m:t xml:space="preserve">n=1 </m:t>
        </m:r>
      </m:oMath>
      <w:r>
        <w:t xml:space="preserve">is recursively calculated from an input signal </w:t>
      </w:r>
      <m:oMath>
        <m:sSub>
          <m:sSubPr>
            <m:ctrlPr>
              <w:rPr>
                <w:rFonts w:ascii="Cambria Math" w:hAnsi="Cambria Math"/>
                <w:i/>
              </w:rPr>
            </m:ctrlPr>
          </m:sSubPr>
          <m:e>
            <m:r>
              <w:rPr>
                <w:rFonts w:ascii="Cambria Math" w:hAnsi="Cambria Math"/>
              </w:rPr>
              <m:t>S</m:t>
            </m:r>
          </m:e>
          <m:sub>
            <m:r>
              <m:rPr>
                <m:nor/>
              </m:rPr>
              <w:rPr>
                <w:rFonts w:ascii="Cambria Math" w:hAnsi="Cambria Math"/>
              </w:rPr>
              <m:t>in</m:t>
            </m:r>
          </m:sub>
        </m:sSub>
        <m:d>
          <m:dPr>
            <m:begChr m:val="["/>
            <m:endChr m:val="]"/>
            <m:ctrlPr>
              <w:rPr>
                <w:rFonts w:ascii="Cambria Math" w:hAnsi="Cambria Math"/>
                <w:i/>
              </w:rPr>
            </m:ctrlPr>
          </m:dPr>
          <m:e>
            <m:r>
              <w:rPr>
                <w:rFonts w:ascii="Cambria Math" w:hAnsi="Cambria Math"/>
              </w:rPr>
              <m:t>i</m:t>
            </m:r>
          </m:e>
        </m:d>
      </m:oMath>
      <w:r>
        <w:t xml:space="preserve"> that is defined at discrete times </w:t>
      </w:r>
      <m:oMath>
        <m:r>
          <w:rPr>
            <w:rFonts w:ascii="Cambria Math" w:hAnsi="Cambria Math"/>
          </w:rPr>
          <m:t>i∙</m:t>
        </m:r>
        <m:sSub>
          <m:sSubPr>
            <m:ctrlPr>
              <w:rPr>
                <w:rFonts w:ascii="Cambria Math" w:hAnsi="Cambria Math"/>
                <w:i/>
              </w:rPr>
            </m:ctrlPr>
          </m:sSubPr>
          <m:e>
            <m:r>
              <w:rPr>
                <w:rFonts w:ascii="Cambria Math" w:hAnsi="Cambria Math"/>
              </w:rPr>
              <m:t>τ</m:t>
            </m:r>
          </m:e>
          <m:sub>
            <m:r>
              <m:rPr>
                <m:nor/>
              </m:rPr>
              <w:rPr>
                <w:rFonts w:ascii="Cambria Math" w:hAnsi="Cambria Math"/>
              </w:rPr>
              <m:t>s</m:t>
            </m:r>
          </m:sub>
        </m:sSub>
      </m:oMath>
      <w:r>
        <w:t xml:space="preserve">, </w:t>
      </w:r>
      <m:oMath>
        <m:r>
          <w:rPr>
            <w:rFonts w:ascii="Cambria Math" w:hAnsi="Cambria Math"/>
          </w:rPr>
          <m:t>(i+1)∙</m:t>
        </m:r>
        <m:sSub>
          <m:sSubPr>
            <m:ctrlPr>
              <w:rPr>
                <w:rFonts w:ascii="Cambria Math" w:hAnsi="Cambria Math"/>
                <w:i/>
              </w:rPr>
            </m:ctrlPr>
          </m:sSubPr>
          <m:e>
            <m:r>
              <w:rPr>
                <w:rFonts w:ascii="Cambria Math" w:hAnsi="Cambria Math"/>
              </w:rPr>
              <m:t>τ</m:t>
            </m:r>
          </m:e>
          <m:sub>
            <m:r>
              <m:rPr>
                <m:nor/>
              </m:rPr>
              <w:rPr>
                <w:rFonts w:ascii="Cambria Math" w:hAnsi="Cambria Math"/>
              </w:rPr>
              <m:t>s</m:t>
            </m:r>
          </m:sub>
        </m:sSub>
      </m:oMath>
      <w:r>
        <w:t xml:space="preserve">, </w:t>
      </w:r>
      <m:oMath>
        <m:d>
          <m:dPr>
            <m:ctrlPr>
              <w:rPr>
                <w:rFonts w:ascii="Cambria Math" w:hAnsi="Cambria Math"/>
                <w:i/>
              </w:rPr>
            </m:ctrlPr>
          </m:dPr>
          <m:e>
            <m:r>
              <w:rPr>
                <w:rFonts w:ascii="Cambria Math" w:hAnsi="Cambria Math"/>
              </w:rPr>
              <m:t>i+2</m:t>
            </m:r>
          </m:e>
        </m:d>
        <m:r>
          <w:rPr>
            <w:rFonts w:ascii="Cambria Math" w:hAnsi="Cambria Math"/>
          </w:rPr>
          <m:t>∙</m:t>
        </m:r>
        <m:sSub>
          <m:sSubPr>
            <m:ctrlPr>
              <w:rPr>
                <w:rFonts w:ascii="Cambria Math" w:hAnsi="Cambria Math"/>
                <w:i/>
              </w:rPr>
            </m:ctrlPr>
          </m:sSubPr>
          <m:e>
            <m:r>
              <w:rPr>
                <w:rFonts w:ascii="Cambria Math" w:hAnsi="Cambria Math"/>
              </w:rPr>
              <m:t>τ</m:t>
            </m:r>
          </m:e>
          <m:sub>
            <m:r>
              <m:rPr>
                <m:nor/>
              </m:rPr>
              <w:rPr>
                <w:rFonts w:ascii="Cambria Math" w:hAnsi="Cambria Math"/>
              </w:rPr>
              <m:t>s</m:t>
            </m:r>
          </m:sub>
        </m:sSub>
      </m:oMath>
      <w:r>
        <w:t xml:space="preserve">, </w:t>
      </w:r>
      <w:r w:rsidRPr="00F22EB6">
        <w:rPr>
          <w:i/>
        </w:rPr>
        <w:t>etc</w:t>
      </w:r>
      <w:r>
        <w:t xml:space="preserve">., spaced by the sampling time </w:t>
      </w:r>
      <m:oMath>
        <m:sSub>
          <m:sSubPr>
            <m:ctrlPr>
              <w:rPr>
                <w:rFonts w:ascii="Cambria Math" w:hAnsi="Cambria Math"/>
                <w:i/>
              </w:rPr>
            </m:ctrlPr>
          </m:sSubPr>
          <m:e>
            <m:r>
              <w:rPr>
                <w:rFonts w:ascii="Cambria Math" w:hAnsi="Cambria Math"/>
              </w:rPr>
              <m:t>τ</m:t>
            </m:r>
          </m:e>
          <m:sub>
            <m:r>
              <m:rPr>
                <m:nor/>
              </m:rPr>
              <w:rPr>
                <w:rFonts w:ascii="Cambria Math" w:hAnsi="Cambria Math"/>
              </w:rPr>
              <m:t>s</m:t>
            </m:r>
          </m:sub>
        </m:sSub>
      </m:oMath>
      <w:r>
        <w:t>:</w:t>
      </w:r>
    </w:p>
    <w:p w14:paraId="1B9C7174" w14:textId="49999B9D" w:rsidR="003751F5" w:rsidRDefault="00067EFD" w:rsidP="00F22EB6">
      <w:pPr>
        <w:pStyle w:val="ac"/>
        <w:ind w:left="0"/>
        <w:jc w:val="right"/>
      </w:pPr>
      <m:oMath>
        <m:sSub>
          <m:sSubPr>
            <m:ctrlPr>
              <w:rPr>
                <w:rFonts w:ascii="Cambria Math" w:hAnsi="Cambria Math"/>
                <w:i/>
              </w:rPr>
            </m:ctrlPr>
          </m:sSubPr>
          <m:e>
            <m:r>
              <w:rPr>
                <w:rFonts w:ascii="Cambria Math" w:hAnsi="Cambria Math"/>
              </w:rPr>
              <m:t>S</m:t>
            </m:r>
          </m:e>
          <m:sub>
            <m:r>
              <m:rPr>
                <m:nor/>
              </m:rPr>
              <w:rPr>
                <w:rFonts w:ascii="Cambria Math" w:hAnsi="Cambria Math"/>
              </w:rPr>
              <m:t>out</m:t>
            </m:r>
          </m:sub>
        </m:sSub>
        <m:d>
          <m:dPr>
            <m:begChr m:val="["/>
            <m:endChr m:val="]"/>
            <m:ctrlPr>
              <w:rPr>
                <w:rFonts w:ascii="Cambria Math" w:hAnsi="Cambria Math"/>
                <w:i/>
              </w:rPr>
            </m:ctrlPr>
          </m:dPr>
          <m:e>
            <m:r>
              <w:rPr>
                <w:rFonts w:ascii="Cambria Math" w:hAnsi="Cambria Math"/>
              </w:rPr>
              <m:t>i</m:t>
            </m:r>
          </m:e>
        </m:d>
        <m:r>
          <w:rPr>
            <w:rFonts w:ascii="Cambria Math" w:hAnsi="Cambria Math"/>
          </w:rPr>
          <m:t>=</m:t>
        </m:r>
        <m:r>
          <m:rPr>
            <m:nor/>
          </m:rPr>
          <w:rPr>
            <w:rFonts w:ascii="Cambria Math" w:hAnsi="Cambria Math"/>
          </w:rPr>
          <m:t>exp</m:t>
        </m:r>
        <m:d>
          <m:dPr>
            <m:ctrlPr>
              <w:rPr>
                <w:rFonts w:ascii="Cambria Math" w:hAnsi="Cambria Math"/>
                <w:i/>
              </w:rPr>
            </m:ctrlPr>
          </m:dPr>
          <m:e>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τ</m:t>
                    </m:r>
                  </m:e>
                  <m:sub>
                    <m:r>
                      <m:rPr>
                        <m:nor/>
                      </m:rPr>
                      <w:rPr>
                        <w:rFonts w:ascii="Cambria Math" w:hAnsi="Cambria Math"/>
                      </w:rPr>
                      <m:t>s</m:t>
                    </m:r>
                  </m:sub>
                </m:sSub>
              </m:num>
              <m:den>
                <m:sSub>
                  <m:sSubPr>
                    <m:ctrlPr>
                      <w:rPr>
                        <w:rFonts w:ascii="Cambria Math" w:hAnsi="Cambria Math"/>
                        <w:i/>
                      </w:rPr>
                    </m:ctrlPr>
                  </m:sSubPr>
                  <m:e>
                    <m:r>
                      <w:rPr>
                        <w:rFonts w:ascii="Cambria Math" w:hAnsi="Cambria Math"/>
                      </w:rPr>
                      <m:t>τ</m:t>
                    </m:r>
                  </m:e>
                  <m:sub>
                    <m:r>
                      <m:rPr>
                        <m:nor/>
                      </m:rPr>
                      <w:rPr>
                        <w:rFonts w:ascii="Cambria Math" w:hAnsi="Cambria Math"/>
                      </w:rPr>
                      <m:t>c</m:t>
                    </m:r>
                  </m:sub>
                </m:sSub>
              </m:den>
            </m:f>
          </m:e>
        </m:d>
        <m:r>
          <w:rPr>
            <w:rFonts w:ascii="Cambria Math" w:hAnsi="Cambria Math"/>
          </w:rPr>
          <m:t>∙</m:t>
        </m:r>
        <m:sSub>
          <m:sSubPr>
            <m:ctrlPr>
              <w:rPr>
                <w:rFonts w:ascii="Cambria Math" w:hAnsi="Cambria Math"/>
                <w:i/>
              </w:rPr>
            </m:ctrlPr>
          </m:sSubPr>
          <m:e>
            <m:r>
              <w:rPr>
                <w:rFonts w:ascii="Cambria Math" w:hAnsi="Cambria Math"/>
              </w:rPr>
              <m:t>S</m:t>
            </m:r>
          </m:e>
          <m:sub>
            <m:r>
              <m:rPr>
                <m:nor/>
              </m:rPr>
              <w:rPr>
                <w:rFonts w:ascii="Cambria Math" w:hAnsi="Cambria Math"/>
              </w:rPr>
              <m:t>out</m:t>
            </m:r>
          </m:sub>
        </m:sSub>
        <m:d>
          <m:dPr>
            <m:begChr m:val="["/>
            <m:endChr m:val="]"/>
            <m:ctrlPr>
              <w:rPr>
                <w:rFonts w:ascii="Cambria Math" w:hAnsi="Cambria Math"/>
                <w:i/>
              </w:rPr>
            </m:ctrlPr>
          </m:dPr>
          <m:e>
            <m:r>
              <w:rPr>
                <w:rFonts w:ascii="Cambria Math" w:hAnsi="Cambria Math"/>
              </w:rPr>
              <m:t>i-1</m:t>
            </m:r>
          </m:e>
        </m:d>
        <m:r>
          <w:rPr>
            <w:rFonts w:ascii="Cambria Math" w:hAnsi="Cambria Math"/>
          </w:rPr>
          <m:t>+</m:t>
        </m:r>
        <m:d>
          <m:dPr>
            <m:begChr m:val="["/>
            <m:endChr m:val="]"/>
            <m:ctrlPr>
              <w:rPr>
                <w:rFonts w:ascii="Cambria Math" w:hAnsi="Cambria Math"/>
                <w:i/>
              </w:rPr>
            </m:ctrlPr>
          </m:dPr>
          <m:e>
            <m:r>
              <w:rPr>
                <w:rFonts w:ascii="Cambria Math" w:hAnsi="Cambria Math"/>
              </w:rPr>
              <m:t>1-</m:t>
            </m:r>
            <m:r>
              <m:rPr>
                <m:nor/>
              </m:rPr>
              <w:rPr>
                <w:rFonts w:ascii="Cambria Math" w:hAnsi="Cambria Math"/>
              </w:rPr>
              <m:t>exp</m:t>
            </m:r>
            <m:d>
              <m:dPr>
                <m:ctrlPr>
                  <w:rPr>
                    <w:rFonts w:ascii="Cambria Math" w:hAnsi="Cambria Math"/>
                    <w:i/>
                  </w:rPr>
                </m:ctrlPr>
              </m:dPr>
              <m:e>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τ</m:t>
                        </m:r>
                      </m:e>
                      <m:sub>
                        <m:r>
                          <m:rPr>
                            <m:nor/>
                          </m:rPr>
                          <w:rPr>
                            <w:rFonts w:ascii="Cambria Math" w:hAnsi="Cambria Math"/>
                          </w:rPr>
                          <m:t>s</m:t>
                        </m:r>
                      </m:sub>
                    </m:sSub>
                  </m:num>
                  <m:den>
                    <m:sSub>
                      <m:sSubPr>
                        <m:ctrlPr>
                          <w:rPr>
                            <w:rFonts w:ascii="Cambria Math" w:hAnsi="Cambria Math"/>
                            <w:i/>
                          </w:rPr>
                        </m:ctrlPr>
                      </m:sSubPr>
                      <m:e>
                        <m:r>
                          <w:rPr>
                            <w:rFonts w:ascii="Cambria Math" w:hAnsi="Cambria Math"/>
                          </w:rPr>
                          <m:t>τ</m:t>
                        </m:r>
                      </m:e>
                      <m:sub>
                        <m:r>
                          <m:rPr>
                            <m:nor/>
                          </m:rPr>
                          <w:rPr>
                            <w:rFonts w:ascii="Cambria Math" w:hAnsi="Cambria Math"/>
                          </w:rPr>
                          <m:t>c</m:t>
                        </m:r>
                      </m:sub>
                    </m:sSub>
                  </m:den>
                </m:f>
              </m:e>
            </m:d>
          </m:e>
        </m:d>
        <m:r>
          <w:rPr>
            <w:rFonts w:ascii="Cambria Math" w:hAnsi="Cambria Math"/>
          </w:rPr>
          <m:t>∙</m:t>
        </m:r>
        <m:sSub>
          <m:sSubPr>
            <m:ctrlPr>
              <w:rPr>
                <w:rFonts w:ascii="Cambria Math" w:hAnsi="Cambria Math"/>
                <w:i/>
              </w:rPr>
            </m:ctrlPr>
          </m:sSubPr>
          <m:e>
            <m:r>
              <w:rPr>
                <w:rFonts w:ascii="Cambria Math" w:hAnsi="Cambria Math"/>
              </w:rPr>
              <m:t>S</m:t>
            </m:r>
          </m:e>
          <m:sub>
            <m:r>
              <m:rPr>
                <m:nor/>
              </m:rPr>
              <w:rPr>
                <w:rFonts w:ascii="Cambria Math" w:hAnsi="Cambria Math"/>
              </w:rPr>
              <m:t>in</m:t>
            </m:r>
          </m:sub>
        </m:sSub>
        <m:d>
          <m:dPr>
            <m:begChr m:val="["/>
            <m:endChr m:val="]"/>
            <m:ctrlPr>
              <w:rPr>
                <w:rFonts w:ascii="Cambria Math" w:hAnsi="Cambria Math"/>
                <w:i/>
              </w:rPr>
            </m:ctrlPr>
          </m:dPr>
          <m:e>
            <m:r>
              <w:rPr>
                <w:rFonts w:ascii="Cambria Math" w:hAnsi="Cambria Math"/>
              </w:rPr>
              <m:t>i</m:t>
            </m:r>
          </m:e>
        </m:d>
        <m:r>
          <w:rPr>
            <w:rFonts w:ascii="Cambria Math" w:hAnsi="Cambria Math"/>
          </w:rPr>
          <m:t>.</m:t>
        </m:r>
      </m:oMath>
      <w:r w:rsidR="003751F5">
        <w:tab/>
      </w:r>
      <w:r w:rsidR="003751F5">
        <w:tab/>
        <w:t>(1</w:t>
      </w:r>
      <w:r w:rsidR="00E45799">
        <w:t>7</w:t>
      </w:r>
      <w:r w:rsidR="003751F5">
        <w:t>)</w:t>
      </w:r>
    </w:p>
    <w:p w14:paraId="5BB93426" w14:textId="125E8F21" w:rsidR="003751F5" w:rsidRDefault="003751F5" w:rsidP="00F22EB6">
      <w:r>
        <w:t xml:space="preserve">The response of filters with </w:t>
      </w:r>
      <m:oMath>
        <m:r>
          <w:rPr>
            <w:rFonts w:ascii="Cambria Math" w:hAnsi="Cambria Math"/>
          </w:rPr>
          <m:t xml:space="preserve">n&gt;1 </m:t>
        </m:r>
      </m:oMath>
      <w:r>
        <w:t>is calculated by multiple operation of Eq. 1</w:t>
      </w:r>
      <w:r w:rsidR="007C30C8">
        <w:t>7</w:t>
      </w:r>
      <w:r>
        <w:t xml:space="preserve"> with </w:t>
      </w:r>
      <m:oMath>
        <m:sSub>
          <m:sSubPr>
            <m:ctrlPr>
              <w:rPr>
                <w:rFonts w:ascii="Cambria Math" w:hAnsi="Cambria Math"/>
                <w:i/>
              </w:rPr>
            </m:ctrlPr>
          </m:sSubPr>
          <m:e>
            <m:r>
              <w:rPr>
                <w:rFonts w:ascii="Cambria Math" w:hAnsi="Cambria Math"/>
              </w:rPr>
              <m:t>S</m:t>
            </m:r>
          </m:e>
          <m:sub>
            <m:r>
              <m:rPr>
                <m:nor/>
              </m:rPr>
              <w:rPr>
                <w:rFonts w:ascii="Cambria Math" w:hAnsi="Cambria Math"/>
              </w:rPr>
              <m:t>out</m:t>
            </m:r>
          </m:sub>
        </m:sSub>
        <m:d>
          <m:dPr>
            <m:begChr m:val="["/>
            <m:endChr m:val="]"/>
            <m:ctrlPr>
              <w:rPr>
                <w:rFonts w:ascii="Cambria Math" w:hAnsi="Cambria Math"/>
                <w:i/>
              </w:rPr>
            </m:ctrlPr>
          </m:dPr>
          <m:e>
            <m:r>
              <w:rPr>
                <w:rFonts w:ascii="Cambria Math" w:hAnsi="Cambria Math"/>
              </w:rPr>
              <m:t>i,n</m:t>
            </m:r>
          </m:e>
        </m:d>
      </m:oMath>
      <w:r>
        <w:t xml:space="preserve"> calculated from </w:t>
      </w:r>
      <m:oMath>
        <m:sSub>
          <m:sSubPr>
            <m:ctrlPr>
              <w:rPr>
                <w:rFonts w:ascii="Cambria Math" w:hAnsi="Cambria Math"/>
                <w:i/>
              </w:rPr>
            </m:ctrlPr>
          </m:sSubPr>
          <m:e>
            <m:r>
              <w:rPr>
                <w:rFonts w:ascii="Cambria Math" w:hAnsi="Cambria Math"/>
              </w:rPr>
              <m:t>S</m:t>
            </m:r>
          </m:e>
          <m:sub>
            <m:r>
              <m:rPr>
                <m:nor/>
              </m:rPr>
              <w:rPr>
                <w:rFonts w:ascii="Cambria Math" w:hAnsi="Cambria Math"/>
              </w:rPr>
              <m:t>out</m:t>
            </m:r>
          </m:sub>
        </m:sSub>
        <m:d>
          <m:dPr>
            <m:begChr m:val="["/>
            <m:endChr m:val="]"/>
            <m:ctrlPr>
              <w:rPr>
                <w:rFonts w:ascii="Cambria Math" w:hAnsi="Cambria Math"/>
                <w:i/>
              </w:rPr>
            </m:ctrlPr>
          </m:dPr>
          <m:e>
            <m:r>
              <w:rPr>
                <w:rFonts w:ascii="Cambria Math" w:hAnsi="Cambria Math"/>
              </w:rPr>
              <m:t>i-1,n</m:t>
            </m:r>
          </m:e>
        </m:d>
      </m:oMath>
      <w:r>
        <w:t xml:space="preserve"> and </w:t>
      </w:r>
      <m:oMath>
        <m:sSub>
          <m:sSubPr>
            <m:ctrlPr>
              <w:rPr>
                <w:rFonts w:ascii="Cambria Math" w:hAnsi="Cambria Math"/>
                <w:i/>
              </w:rPr>
            </m:ctrlPr>
          </m:sSubPr>
          <m:e>
            <m:r>
              <w:rPr>
                <w:rFonts w:ascii="Cambria Math" w:hAnsi="Cambria Math"/>
              </w:rPr>
              <m:t>S</m:t>
            </m:r>
          </m:e>
          <m:sub>
            <m:r>
              <m:rPr>
                <m:nor/>
              </m:rPr>
              <w:rPr>
                <w:rFonts w:ascii="Cambria Math" w:hAnsi="Cambria Math"/>
              </w:rPr>
              <m:t>out</m:t>
            </m:r>
          </m:sub>
        </m:sSub>
        <m:d>
          <m:dPr>
            <m:begChr m:val="["/>
            <m:endChr m:val="]"/>
            <m:ctrlPr>
              <w:rPr>
                <w:rFonts w:ascii="Cambria Math" w:hAnsi="Cambria Math"/>
                <w:i/>
              </w:rPr>
            </m:ctrlPr>
          </m:dPr>
          <m:e>
            <m:r>
              <w:rPr>
                <w:rFonts w:ascii="Cambria Math" w:hAnsi="Cambria Math"/>
              </w:rPr>
              <m:t>i,n-1</m:t>
            </m:r>
          </m:e>
        </m:d>
      </m:oMath>
      <w:r>
        <w:t xml:space="preserve">. The filter response to an increasing (at time 0) and decreasing step function (at time </w:t>
      </w:r>
      <m:oMath>
        <m:r>
          <w:rPr>
            <w:rFonts w:ascii="Cambria Math" w:hAnsi="Cambria Math"/>
          </w:rPr>
          <m:t>20∙</m:t>
        </m:r>
        <m:sSub>
          <m:sSubPr>
            <m:ctrlPr>
              <w:rPr>
                <w:rFonts w:ascii="Cambria Math" w:hAnsi="Cambria Math"/>
                <w:i/>
              </w:rPr>
            </m:ctrlPr>
          </m:sSubPr>
          <m:e>
            <m:r>
              <w:rPr>
                <w:rFonts w:ascii="Cambria Math" w:hAnsi="Cambria Math"/>
              </w:rPr>
              <m:t>τ</m:t>
            </m:r>
          </m:e>
          <m:sub>
            <m:r>
              <m:rPr>
                <m:nor/>
              </m:rPr>
              <w:rPr>
                <w:rFonts w:ascii="Cambria Math" w:hAnsi="Cambria Math"/>
              </w:rPr>
              <m:t>c</m:t>
            </m:r>
          </m:sub>
        </m:sSub>
      </m:oMath>
      <w:r>
        <w:t xml:space="preserve">) is shown in </w:t>
      </w:r>
      <w:r w:rsidRPr="00503A14">
        <w:rPr>
          <w:b/>
        </w:rPr>
        <w:t>Fig</w:t>
      </w:r>
      <w:r w:rsidR="00503A14" w:rsidRPr="00503A14">
        <w:rPr>
          <w:b/>
        </w:rPr>
        <w:t>ure</w:t>
      </w:r>
      <w:r w:rsidRPr="00503A14">
        <w:rPr>
          <w:b/>
        </w:rPr>
        <w:t xml:space="preserve"> 7B</w:t>
      </w:r>
      <w:r>
        <w:t xml:space="preserve"> for filter orders 1 to 8, as a function </w:t>
      </w:r>
      <w:r w:rsidR="00DA0C91">
        <w:t xml:space="preserve">of </w:t>
      </w:r>
      <w:r>
        <w:t xml:space="preserve">the time in units of </w:t>
      </w:r>
      <m:oMath>
        <m:sSub>
          <m:sSubPr>
            <m:ctrlPr>
              <w:rPr>
                <w:rFonts w:ascii="Cambria Math" w:hAnsi="Cambria Math"/>
                <w:i/>
              </w:rPr>
            </m:ctrlPr>
          </m:sSubPr>
          <m:e>
            <m:r>
              <w:rPr>
                <w:rFonts w:ascii="Cambria Math" w:hAnsi="Cambria Math"/>
              </w:rPr>
              <m:t>τ</m:t>
            </m:r>
          </m:e>
          <m:sub>
            <m:r>
              <m:rPr>
                <m:nor/>
              </m:rPr>
              <w:rPr>
                <w:rFonts w:ascii="Cambria Math" w:hAnsi="Cambria Math"/>
              </w:rPr>
              <m:t>c</m:t>
            </m:r>
          </m:sub>
        </m:sSub>
      </m:oMath>
      <w:r>
        <w:t>. Note that the response is delayed with respect to the input signal and that th</w:t>
      </w:r>
      <w:r w:rsidR="004B0F9B">
        <w:t>is</w:t>
      </w:r>
      <w:r>
        <w:t xml:space="preserve"> delay increases with </w:t>
      </w:r>
      <m:oMath>
        <m:r>
          <w:rPr>
            <w:rFonts w:ascii="Cambria Math" w:hAnsi="Cambria Math"/>
          </w:rPr>
          <m:t>n</m:t>
        </m:r>
      </m:oMath>
      <w:r>
        <w:t xml:space="preserve">. The delay is quantified in </w:t>
      </w:r>
      <w:r w:rsidRPr="00503A14">
        <w:rPr>
          <w:b/>
        </w:rPr>
        <w:t>Tab</w:t>
      </w:r>
      <w:r w:rsidR="00503A14" w:rsidRPr="00503A14">
        <w:rPr>
          <w:b/>
        </w:rPr>
        <w:t>le</w:t>
      </w:r>
      <w:r w:rsidRPr="00503A14">
        <w:rPr>
          <w:b/>
        </w:rPr>
        <w:t xml:space="preserve"> 1</w:t>
      </w:r>
      <w:r>
        <w:t xml:space="preserve"> as the times </w:t>
      </w:r>
      <m:oMath>
        <m:sSub>
          <m:sSubPr>
            <m:ctrlPr>
              <w:rPr>
                <w:rFonts w:ascii="Cambria Math" w:hAnsi="Cambria Math"/>
                <w:i/>
              </w:rPr>
            </m:ctrlPr>
          </m:sSubPr>
          <m:e>
            <m:r>
              <w:rPr>
                <w:rFonts w:ascii="Cambria Math" w:hAnsi="Cambria Math"/>
              </w:rPr>
              <m:t>τ</m:t>
            </m:r>
          </m:e>
          <m:sub>
            <m:r>
              <m:rPr>
                <m:nor/>
              </m:rPr>
              <w:rPr>
                <w:rFonts w:ascii="Cambria Math" w:hAnsi="Cambria Math"/>
              </w:rPr>
              <m:t>5%</m:t>
            </m:r>
          </m:sub>
        </m:sSub>
      </m:oMath>
      <w:r>
        <w:t xml:space="preserve">, </w:t>
      </w:r>
      <m:oMath>
        <m:sSub>
          <m:sSubPr>
            <m:ctrlPr>
              <w:rPr>
                <w:rFonts w:ascii="Cambria Math" w:hAnsi="Cambria Math"/>
                <w:i/>
              </w:rPr>
            </m:ctrlPr>
          </m:sSubPr>
          <m:e>
            <m:r>
              <w:rPr>
                <w:rFonts w:ascii="Cambria Math" w:hAnsi="Cambria Math"/>
              </w:rPr>
              <m:t>τ</m:t>
            </m:r>
          </m:e>
          <m:sub>
            <m:r>
              <m:rPr>
                <m:nor/>
              </m:rPr>
              <w:rPr>
                <w:rFonts w:ascii="Cambria Math" w:hAnsi="Cambria Math"/>
              </w:rPr>
              <m:t>50%</m:t>
            </m:r>
          </m:sub>
        </m:sSub>
      </m:oMath>
      <w:r>
        <w:t xml:space="preserve">, and </w:t>
      </w:r>
      <m:oMath>
        <m:sSub>
          <m:sSubPr>
            <m:ctrlPr>
              <w:rPr>
                <w:rFonts w:ascii="Cambria Math" w:hAnsi="Cambria Math"/>
                <w:i/>
              </w:rPr>
            </m:ctrlPr>
          </m:sSubPr>
          <m:e>
            <m:r>
              <w:rPr>
                <w:rFonts w:ascii="Cambria Math" w:hAnsi="Cambria Math"/>
              </w:rPr>
              <m:t>τ</m:t>
            </m:r>
          </m:e>
          <m:sub>
            <m:r>
              <m:rPr>
                <m:nor/>
              </m:rPr>
              <w:rPr>
                <w:rFonts w:ascii="Cambria Math" w:hAnsi="Cambria Math"/>
              </w:rPr>
              <m:t>95%</m:t>
            </m:r>
          </m:sub>
        </m:sSub>
      </m:oMath>
      <w:r>
        <w:t>, within which the transmitted signal reaches 5%, 50%, or 95%, respectively.</w:t>
      </w:r>
    </w:p>
    <w:p w14:paraId="7F9532AD" w14:textId="77777777" w:rsidR="00503A14" w:rsidRDefault="00503A14" w:rsidP="00F22EB6"/>
    <w:p w14:paraId="6B127ACE" w14:textId="330E4FC5" w:rsidR="003751F5" w:rsidRDefault="003751F5" w:rsidP="00F22EB6">
      <w:r>
        <w:t xml:space="preserve">The choice of the correct filter roll-off is as critical as </w:t>
      </w:r>
      <w:r w:rsidR="003B74AB">
        <w:t xml:space="preserve">of </w:t>
      </w:r>
      <w:r>
        <w:t xml:space="preserve">the cut-off frequency when designing the experiment. In </w:t>
      </w:r>
      <w:r w:rsidR="00C701D9">
        <w:t>application 1 presented in section (g)</w:t>
      </w:r>
      <w:r>
        <w:t xml:space="preserve">, high-quality XBIC measurements have been obtained with a chopper frequency of 1177 Hz, dwell time of </w:t>
      </w:r>
      <w:r w:rsidR="001D2B48">
        <w:t>10</w:t>
      </w:r>
      <w:r>
        <w:t xml:space="preserve">0 </w:t>
      </w:r>
      <w:proofErr w:type="spellStart"/>
      <w:r>
        <w:t>ms</w:t>
      </w:r>
      <w:proofErr w:type="spellEnd"/>
      <w:r>
        <w:t xml:space="preserve">, and cut-off frequency of 40 Hz at filter order 8. With the numbers from </w:t>
      </w:r>
      <w:r w:rsidRPr="00503A14">
        <w:rPr>
          <w:b/>
        </w:rPr>
        <w:t>Tab</w:t>
      </w:r>
      <w:r w:rsidR="00503A14" w:rsidRPr="00503A14">
        <w:rPr>
          <w:b/>
        </w:rPr>
        <w:t>le</w:t>
      </w:r>
      <w:r w:rsidRPr="00503A14">
        <w:rPr>
          <w:b/>
        </w:rPr>
        <w:t xml:space="preserve"> 1</w:t>
      </w:r>
      <w:r>
        <w:t xml:space="preserve">, this translates into </w:t>
      </w:r>
      <m:oMath>
        <m:sSub>
          <m:sSubPr>
            <m:ctrlPr>
              <w:rPr>
                <w:rFonts w:ascii="Cambria Math" w:hAnsi="Cambria Math"/>
                <w:i/>
              </w:rPr>
            </m:ctrlPr>
          </m:sSubPr>
          <m:e>
            <m:r>
              <w:rPr>
                <w:rFonts w:ascii="Cambria Math" w:hAnsi="Cambria Math"/>
              </w:rPr>
              <m:t>τ</m:t>
            </m:r>
          </m:e>
          <m:sub>
            <m:r>
              <m:rPr>
                <m:nor/>
              </m:rPr>
              <w:rPr>
                <w:rFonts w:ascii="Cambria Math" w:hAnsi="Cambria Math"/>
              </w:rPr>
              <m:t>c</m:t>
            </m:r>
          </m:sub>
        </m:sSub>
        <m:r>
          <w:rPr>
            <w:rFonts w:ascii="Cambria Math" w:hAnsi="Cambria Math"/>
          </w:rPr>
          <m:t>=</m:t>
        </m:r>
        <m:f>
          <m:fPr>
            <m:type m:val="lin"/>
            <m:ctrlPr>
              <w:rPr>
                <w:rFonts w:ascii="Cambria Math" w:hAnsi="Cambria Math"/>
                <w:i/>
              </w:rPr>
            </m:ctrlPr>
          </m:fPr>
          <m:num>
            <m:r>
              <w:rPr>
                <w:rFonts w:ascii="Cambria Math" w:hAnsi="Cambria Math"/>
              </w:rPr>
              <m:t>0.0479</m:t>
            </m:r>
          </m:num>
          <m:den>
            <m:r>
              <w:rPr>
                <w:rFonts w:ascii="Cambria Math" w:hAnsi="Cambria Math"/>
              </w:rPr>
              <m:t>40</m:t>
            </m:r>
            <m:r>
              <m:rPr>
                <m:nor/>
              </m:rPr>
              <w:rPr>
                <w:rFonts w:ascii="Cambria Math" w:hAnsi="Cambria Math"/>
              </w:rPr>
              <m:t xml:space="preserve"> </m:t>
            </m:r>
            <m:r>
              <m:rPr>
                <m:nor/>
              </m:rPr>
              <w:rPr>
                <w:rFonts w:asciiTheme="majorHAnsi" w:hAnsiTheme="majorHAnsi" w:cstheme="majorHAnsi"/>
              </w:rPr>
              <m:t>Hz</m:t>
            </m:r>
          </m:den>
        </m:f>
        <m:r>
          <w:rPr>
            <w:rFonts w:ascii="Cambria Math" w:hAnsi="Cambria Math"/>
          </w:rPr>
          <m:t>=1.1975</m:t>
        </m:r>
        <m:r>
          <m:rPr>
            <m:nor/>
          </m:rPr>
          <w:rPr>
            <w:rFonts w:ascii="Cambria Math" w:hAnsi="Cambria Math"/>
          </w:rPr>
          <m:t xml:space="preserve"> </m:t>
        </m:r>
        <w:proofErr w:type="spellStart"/>
        <m:r>
          <m:rPr>
            <m:nor/>
          </m:rPr>
          <w:rPr>
            <w:rFonts w:asciiTheme="majorHAnsi" w:hAnsiTheme="majorHAnsi" w:cstheme="majorHAnsi"/>
          </w:rPr>
          <m:t>ms</m:t>
        </m:r>
      </m:oMath>
      <w:proofErr w:type="spellEnd"/>
      <w:r>
        <w:t xml:space="preserve">, and </w:t>
      </w:r>
      <m:oMath>
        <m:sSub>
          <m:sSubPr>
            <m:ctrlPr>
              <w:rPr>
                <w:rFonts w:ascii="Cambria Math" w:hAnsi="Cambria Math"/>
                <w:i/>
              </w:rPr>
            </m:ctrlPr>
          </m:sSubPr>
          <m:e>
            <m:r>
              <w:rPr>
                <w:rFonts w:ascii="Cambria Math" w:hAnsi="Cambria Math"/>
              </w:rPr>
              <m:t>f</m:t>
            </m:r>
          </m:e>
          <m:sub>
            <m:r>
              <m:rPr>
                <m:nor/>
              </m:rPr>
              <w:rPr>
                <w:rFonts w:ascii="Cambria Math" w:hAnsi="Cambria Math"/>
              </w:rPr>
              <m:t>95%</m:t>
            </m:r>
          </m:sub>
        </m:sSub>
        <m:r>
          <w:rPr>
            <w:rFonts w:ascii="Cambria Math" w:hAnsi="Cambria Math"/>
          </w:rPr>
          <m:t>=13.144∙</m:t>
        </m:r>
        <m:sSub>
          <m:sSubPr>
            <m:ctrlPr>
              <w:rPr>
                <w:rFonts w:ascii="Cambria Math" w:hAnsi="Cambria Math"/>
                <w:i/>
              </w:rPr>
            </m:ctrlPr>
          </m:sSubPr>
          <m:e>
            <m:r>
              <w:rPr>
                <w:rFonts w:ascii="Cambria Math" w:hAnsi="Cambria Math"/>
              </w:rPr>
              <m:t>τ</m:t>
            </m:r>
          </m:e>
          <m:sub>
            <m:r>
              <m:rPr>
                <m:nor/>
              </m:rPr>
              <w:rPr>
                <w:rFonts w:ascii="Cambria Math" w:hAnsi="Cambria Math"/>
              </w:rPr>
              <m:t>c</m:t>
            </m:r>
          </m:sub>
        </m:sSub>
        <m:r>
          <w:rPr>
            <w:rFonts w:ascii="Cambria Math" w:hAnsi="Cambria Math"/>
          </w:rPr>
          <m:t>=15.74</m:t>
        </m:r>
        <m:r>
          <m:rPr>
            <m:nor/>
          </m:rPr>
          <w:rPr>
            <w:rFonts w:ascii="Cambria Math" w:hAnsi="Cambria Math"/>
          </w:rPr>
          <m:t xml:space="preserve"> </m:t>
        </m:r>
        <w:proofErr w:type="spellStart"/>
        <m:r>
          <m:rPr>
            <m:nor/>
          </m:rPr>
          <m:t>ms</m:t>
        </m:r>
      </m:oMath>
      <w:r>
        <w:t>.</w:t>
      </w:r>
      <w:proofErr w:type="spellEnd"/>
      <w:r>
        <w:t xml:space="preserve"> This </w:t>
      </w:r>
      <w:r w:rsidR="000905CA">
        <w:t xml:space="preserve">time </w:t>
      </w:r>
      <w:r>
        <w:t xml:space="preserve">is considerably </w:t>
      </w:r>
      <w:r w:rsidR="00991624">
        <w:t xml:space="preserve">shorter </w:t>
      </w:r>
      <w:r>
        <w:t xml:space="preserve">than the dwell time, and the oversampling helps further </w:t>
      </w:r>
      <w:r w:rsidR="005E50BC">
        <w:t xml:space="preserve">such </w:t>
      </w:r>
      <w:r>
        <w:t>that no delay-artifacts are introduced.</w:t>
      </w:r>
    </w:p>
    <w:p w14:paraId="7B520479" w14:textId="77777777" w:rsidR="00CF1F9A" w:rsidRPr="00552035" w:rsidRDefault="00CF1F9A" w:rsidP="00F22EB6">
      <w:pPr>
        <w:rPr>
          <w:b/>
        </w:rPr>
      </w:pPr>
    </w:p>
    <w:p w14:paraId="61286348" w14:textId="6640D830" w:rsidR="00B71380" w:rsidRPr="00552035" w:rsidRDefault="00A15D05" w:rsidP="00F22EB6">
      <w:pPr>
        <w:pStyle w:val="ac"/>
        <w:numPr>
          <w:ilvl w:val="0"/>
          <w:numId w:val="29"/>
        </w:numPr>
        <w:ind w:left="0" w:firstLine="0"/>
        <w:rPr>
          <w:b/>
        </w:rPr>
      </w:pPr>
      <w:r w:rsidRPr="00552035">
        <w:rPr>
          <w:b/>
        </w:rPr>
        <w:t>Dwell T</w:t>
      </w:r>
      <w:r w:rsidR="00B71380" w:rsidRPr="00552035">
        <w:rPr>
          <w:b/>
        </w:rPr>
        <w:t xml:space="preserve">ime </w:t>
      </w:r>
      <w:r w:rsidRPr="00552035">
        <w:rPr>
          <w:b/>
        </w:rPr>
        <w:t>C</w:t>
      </w:r>
      <w:r w:rsidR="00B71380" w:rsidRPr="00552035">
        <w:rPr>
          <w:b/>
        </w:rPr>
        <w:t>orrection</w:t>
      </w:r>
    </w:p>
    <w:p w14:paraId="65759885" w14:textId="577D1CD7" w:rsidR="00B71380" w:rsidRDefault="00B71380" w:rsidP="00F22EB6">
      <w:r>
        <w:t xml:space="preserve">In classical step-mode measurements, the scanning stage moves to the nominal position, and the start of the measurement </w:t>
      </w:r>
      <w:r w:rsidR="00C00FDA">
        <w:t xml:space="preserve">at that pixel position </w:t>
      </w:r>
      <w:r>
        <w:t>is triggered after the precise position is reached. For short dwell times, the settling time becomes limiting for the overall scan time, which motivates so-called fly</w:t>
      </w:r>
      <w:r w:rsidR="00986279">
        <w:t>-</w:t>
      </w:r>
      <w:r>
        <w:t xml:space="preserve">scan or continuous measurement modes: there, the scan stage moves continuously, and the measurement data is </w:t>
      </w:r>
      <w:r w:rsidR="00C00FDA">
        <w:t xml:space="preserve">attributed to pixels </w:t>
      </w:r>
      <w:r>
        <w:t xml:space="preserve">with the encoded stage position in post-processing. However, this can lead to additional issues as shown in </w:t>
      </w:r>
      <w:r w:rsidRPr="00503A14">
        <w:rPr>
          <w:b/>
        </w:rPr>
        <w:t>Fig</w:t>
      </w:r>
      <w:r w:rsidR="00503A14" w:rsidRPr="00503A14">
        <w:rPr>
          <w:b/>
        </w:rPr>
        <w:t>ure</w:t>
      </w:r>
      <w:r w:rsidRPr="00503A14">
        <w:rPr>
          <w:b/>
        </w:rPr>
        <w:t xml:space="preserve"> </w:t>
      </w:r>
      <w:r w:rsidR="001D2B48" w:rsidRPr="00503A14">
        <w:rPr>
          <w:b/>
        </w:rPr>
        <w:t>8</w:t>
      </w:r>
      <w:r w:rsidRPr="00503A14">
        <w:rPr>
          <w:b/>
        </w:rPr>
        <w:t>.</w:t>
      </w:r>
      <w:r>
        <w:t xml:space="preserve"> In this case, the motors of the sample stage were not moving uniformly in </w:t>
      </w:r>
      <m:oMath>
        <m:r>
          <w:rPr>
            <w:rFonts w:ascii="Cambria Math" w:hAnsi="Cambria Math"/>
          </w:rPr>
          <m:t>X</m:t>
        </m:r>
      </m:oMath>
      <w:r>
        <w:t xml:space="preserve"> direction, resulting in varying dwell times per pixel (see </w:t>
      </w:r>
      <w:r w:rsidRPr="00503A14">
        <w:rPr>
          <w:b/>
        </w:rPr>
        <w:t>Fig</w:t>
      </w:r>
      <w:r w:rsidR="00503A14" w:rsidRPr="00503A14">
        <w:rPr>
          <w:b/>
        </w:rPr>
        <w:t>ure</w:t>
      </w:r>
      <w:r w:rsidRPr="00503A14">
        <w:rPr>
          <w:b/>
        </w:rPr>
        <w:t xml:space="preserve"> </w:t>
      </w:r>
      <w:r w:rsidR="001D2B48" w:rsidRPr="00503A14">
        <w:rPr>
          <w:b/>
        </w:rPr>
        <w:t>8A</w:t>
      </w:r>
      <w:r>
        <w:t xml:space="preserve">). The dwell-time variations directly translate into </w:t>
      </w:r>
      <w:r w:rsidR="00C07AD3">
        <w:t xml:space="preserve">variations in </w:t>
      </w:r>
      <w:r>
        <w:t>XBIC m</w:t>
      </w:r>
      <w:r w:rsidR="00C67CA1">
        <w:t>easurement</w:t>
      </w:r>
      <w:r w:rsidR="00C07AD3">
        <w:t>s,</w:t>
      </w:r>
      <w:r w:rsidR="00C67CA1">
        <w:t xml:space="preserve"> </w:t>
      </w:r>
      <w:r w:rsidR="00C07AD3">
        <w:t xml:space="preserve">as seen </w:t>
      </w:r>
      <w:r w:rsidR="00C67CA1">
        <w:t xml:space="preserve">in </w:t>
      </w:r>
      <w:r w:rsidR="00503A14" w:rsidRPr="00503A14">
        <w:rPr>
          <w:b/>
        </w:rPr>
        <w:t>Figure 8</w:t>
      </w:r>
      <w:r w:rsidR="00503A14">
        <w:rPr>
          <w:b/>
        </w:rPr>
        <w:t>C</w:t>
      </w:r>
      <w:r>
        <w:t xml:space="preserve">. Therefore, the XBIC signal </w:t>
      </w:r>
      <w:r w:rsidR="00C07AD3">
        <w:t xml:space="preserve">needs </w:t>
      </w:r>
      <w:r>
        <w:t>to be normalized to the dwell time,</w:t>
      </w:r>
      <w:r w:rsidR="00C07AD3">
        <w:t xml:space="preserve"> the results of which are</w:t>
      </w:r>
      <w:r>
        <w:t xml:space="preserve"> shown in </w:t>
      </w:r>
      <w:r w:rsidR="00503A14" w:rsidRPr="00503A14">
        <w:rPr>
          <w:b/>
        </w:rPr>
        <w:t>Figure 8</w:t>
      </w:r>
      <w:r w:rsidR="00503A14">
        <w:rPr>
          <w:b/>
        </w:rPr>
        <w:t>D</w:t>
      </w:r>
      <w:r>
        <w:t>. Similarly, variations in beam intensity</w:t>
      </w:r>
      <w:r w:rsidR="00C67CA1">
        <w:t xml:space="preserve"> (displayed in </w:t>
      </w:r>
      <w:r w:rsidR="00503A14" w:rsidRPr="00503A14">
        <w:rPr>
          <w:b/>
        </w:rPr>
        <w:t>Figure 8</w:t>
      </w:r>
      <w:r w:rsidR="00503A14">
        <w:rPr>
          <w:b/>
        </w:rPr>
        <w:t>B</w:t>
      </w:r>
      <w:r w:rsidR="00C67CA1">
        <w:t>)</w:t>
      </w:r>
      <w:r>
        <w:t xml:space="preserve"> often need to be accounted for by normalization to the photon flux.</w:t>
      </w:r>
      <w:r w:rsidR="00C67CA1">
        <w:t xml:space="preserve"> XBIC signal normalized to the photon flux can be seen in </w:t>
      </w:r>
      <w:r w:rsidR="00503A14" w:rsidRPr="00503A14">
        <w:rPr>
          <w:b/>
        </w:rPr>
        <w:t>Figure 8</w:t>
      </w:r>
      <w:r w:rsidR="00503A14">
        <w:rPr>
          <w:b/>
        </w:rPr>
        <w:t>E</w:t>
      </w:r>
      <w:r w:rsidR="00D017E8">
        <w:t>; for minimal error on the absolute XBIC quantification, the photon flux itself has been normalized to its median value</w:t>
      </w:r>
      <w:r w:rsidR="00C67CA1">
        <w:t xml:space="preserve">. </w:t>
      </w:r>
      <w:r w:rsidR="00503A14" w:rsidRPr="00503A14">
        <w:rPr>
          <w:b/>
        </w:rPr>
        <w:t>Figure 8</w:t>
      </w:r>
      <w:r w:rsidR="00503A14">
        <w:rPr>
          <w:b/>
        </w:rPr>
        <w:t>F</w:t>
      </w:r>
      <w:r w:rsidR="00503A14">
        <w:t xml:space="preserve"> </w:t>
      </w:r>
      <w:r w:rsidR="00C67CA1">
        <w:t xml:space="preserve">shows the XBIC map </w:t>
      </w:r>
      <w:r w:rsidR="00C00FDA">
        <w:t xml:space="preserve">normalized to the </w:t>
      </w:r>
      <w:r w:rsidR="00C67CA1">
        <w:t xml:space="preserve">dwell time as well as </w:t>
      </w:r>
      <w:r w:rsidR="00C00FDA">
        <w:t xml:space="preserve">to the </w:t>
      </w:r>
      <w:r w:rsidR="00C67CA1">
        <w:t>photon flux</w:t>
      </w:r>
      <w:r w:rsidR="00C00FDA">
        <w:t>, which reduced</w:t>
      </w:r>
      <w:r w:rsidR="00F510B8">
        <w:t xml:space="preserve"> the impact of</w:t>
      </w:r>
      <w:r w:rsidR="00C00FDA">
        <w:t xml:space="preserve"> most measurement artifacts</w:t>
      </w:r>
      <w:r w:rsidR="00C67CA1">
        <w:t>.</w:t>
      </w:r>
    </w:p>
    <w:p w14:paraId="658FAF8B" w14:textId="50B33F57" w:rsidR="0044220E" w:rsidRPr="00552035" w:rsidRDefault="0044220E" w:rsidP="00F22EB6">
      <w:pPr>
        <w:rPr>
          <w:b/>
        </w:rPr>
      </w:pPr>
    </w:p>
    <w:p w14:paraId="2C090ACA" w14:textId="5042FFC6" w:rsidR="000B59EF" w:rsidRPr="00552035" w:rsidRDefault="00756D2A" w:rsidP="00F22EB6">
      <w:pPr>
        <w:pStyle w:val="ac"/>
        <w:numPr>
          <w:ilvl w:val="0"/>
          <w:numId w:val="29"/>
        </w:numPr>
        <w:ind w:left="0" w:firstLine="0"/>
        <w:rPr>
          <w:b/>
        </w:rPr>
      </w:pPr>
      <w:r w:rsidRPr="00552035">
        <w:rPr>
          <w:b/>
        </w:rPr>
        <w:t xml:space="preserve">Application 1: </w:t>
      </w:r>
      <w:r w:rsidR="000B59EF" w:rsidRPr="00552035">
        <w:rPr>
          <w:b/>
        </w:rPr>
        <w:t>XBIC</w:t>
      </w:r>
      <w:r w:rsidR="00A15D05" w:rsidRPr="00552035">
        <w:rPr>
          <w:b/>
        </w:rPr>
        <w:t xml:space="preserve"> of a Solar C</w:t>
      </w:r>
      <w:r w:rsidRPr="00552035">
        <w:rPr>
          <w:b/>
        </w:rPr>
        <w:t>ell</w:t>
      </w:r>
      <w:r w:rsidR="00A15D05" w:rsidRPr="00552035">
        <w:rPr>
          <w:b/>
        </w:rPr>
        <w:t xml:space="preserve"> with Bias V</w:t>
      </w:r>
      <w:r w:rsidR="000B59EF" w:rsidRPr="00552035">
        <w:rPr>
          <w:b/>
        </w:rPr>
        <w:t>oltage and XRF</w:t>
      </w:r>
    </w:p>
    <w:p w14:paraId="051D7940" w14:textId="3872E9BC" w:rsidR="005405A1" w:rsidRDefault="00286826" w:rsidP="00F22EB6">
      <w:pPr>
        <w:rPr>
          <w:rFonts w:asciiTheme="majorHAnsi" w:eastAsia="Times New Roman" w:hAnsiTheme="majorHAnsi" w:cstheme="majorHAnsi"/>
        </w:rPr>
      </w:pPr>
      <w:r w:rsidRPr="00503A14">
        <w:rPr>
          <w:b/>
        </w:rPr>
        <w:t>Figure</w:t>
      </w:r>
      <w:r w:rsidR="00D24720" w:rsidRPr="00503A14">
        <w:rPr>
          <w:b/>
        </w:rPr>
        <w:t>s</w:t>
      </w:r>
      <w:r w:rsidR="00355460" w:rsidRPr="00503A14">
        <w:rPr>
          <w:b/>
        </w:rPr>
        <w:t xml:space="preserve"> </w:t>
      </w:r>
      <w:r w:rsidR="00090D01" w:rsidRPr="00503A14">
        <w:rPr>
          <w:b/>
        </w:rPr>
        <w:t>9A</w:t>
      </w:r>
      <w:r w:rsidRPr="00503A14">
        <w:rPr>
          <w:b/>
        </w:rPr>
        <w:t>-B</w:t>
      </w:r>
      <w:r w:rsidR="00355460">
        <w:t xml:space="preserve"> show the impact </w:t>
      </w:r>
      <w:r>
        <w:t>of lock-in amplification</w:t>
      </w:r>
      <w:r w:rsidR="00355460">
        <w:t xml:space="preserve"> on the </w:t>
      </w:r>
      <w:r w:rsidR="00EA7BB0">
        <w:t>signal-to-</w:t>
      </w:r>
      <w:r w:rsidR="00355460">
        <w:t>noise ratio</w:t>
      </w:r>
      <w:r w:rsidR="00D24720">
        <w:t xml:space="preserve"> in X-ray beam induced current measurements</w:t>
      </w:r>
      <w:r w:rsidR="00355460">
        <w:t>.</w:t>
      </w:r>
      <w:r w:rsidR="00176789">
        <w:t xml:space="preserve"> The noisiness</w:t>
      </w:r>
      <w:r w:rsidR="00FA3710">
        <w:t xml:space="preserve"> of the </w:t>
      </w:r>
      <w:r>
        <w:t xml:space="preserve">direct </w:t>
      </w:r>
      <w:r w:rsidR="00FA3710">
        <w:t xml:space="preserve">signal is apparent in </w:t>
      </w:r>
      <w:r w:rsidR="00503A14" w:rsidRPr="00503A14">
        <w:rPr>
          <w:b/>
        </w:rPr>
        <w:t xml:space="preserve">Figure </w:t>
      </w:r>
      <w:r w:rsidR="00090D01" w:rsidRPr="00503A14">
        <w:rPr>
          <w:b/>
        </w:rPr>
        <w:t>9</w:t>
      </w:r>
      <w:r w:rsidR="00FA3710" w:rsidRPr="00503A14">
        <w:rPr>
          <w:b/>
        </w:rPr>
        <w:t>A</w:t>
      </w:r>
      <w:r>
        <w:t>: strong</w:t>
      </w:r>
      <w:r w:rsidR="00176789">
        <w:t xml:space="preserve"> intensity contrasts from line to line</w:t>
      </w:r>
      <w:r>
        <w:t xml:space="preserve"> are indicative </w:t>
      </w:r>
      <w:r w:rsidR="004C75CE">
        <w:t xml:space="preserve">of </w:t>
      </w:r>
      <w:r>
        <w:t xml:space="preserve">measurement artifacts, and fine XBIC variations </w:t>
      </w:r>
      <w:r w:rsidR="00D24720">
        <w:t xml:space="preserve">from the DUT </w:t>
      </w:r>
      <w:r>
        <w:t>get buried in the arbitrarily changing signal</w:t>
      </w:r>
      <w:r w:rsidR="00044A5E">
        <w:t>. On the other hand, these fine</w:t>
      </w:r>
      <w:r w:rsidR="00355460">
        <w:t xml:space="preserve"> features </w:t>
      </w:r>
      <w:r w:rsidR="00176789">
        <w:t xml:space="preserve">are </w:t>
      </w:r>
      <w:r>
        <w:t xml:space="preserve">clearly </w:t>
      </w:r>
      <w:r w:rsidR="00FA3710">
        <w:t xml:space="preserve">visible in </w:t>
      </w:r>
      <w:r w:rsidRPr="00503A14">
        <w:rPr>
          <w:rFonts w:asciiTheme="majorHAnsi" w:hAnsiTheme="majorHAnsi" w:cstheme="majorHAnsi"/>
          <w:b/>
        </w:rPr>
        <w:t>Fig</w:t>
      </w:r>
      <w:r w:rsidR="00503A14" w:rsidRPr="00503A14">
        <w:rPr>
          <w:rFonts w:asciiTheme="majorHAnsi" w:hAnsiTheme="majorHAnsi" w:cstheme="majorHAnsi"/>
          <w:b/>
        </w:rPr>
        <w:t>ure</w:t>
      </w:r>
      <w:r w:rsidR="005305CB" w:rsidRPr="00503A14">
        <w:rPr>
          <w:rFonts w:asciiTheme="majorHAnsi" w:hAnsiTheme="majorHAnsi" w:cstheme="majorHAnsi"/>
          <w:b/>
        </w:rPr>
        <w:t xml:space="preserve"> </w:t>
      </w:r>
      <w:r w:rsidR="00090D01" w:rsidRPr="00503A14">
        <w:rPr>
          <w:rFonts w:asciiTheme="majorHAnsi" w:hAnsiTheme="majorHAnsi" w:cstheme="majorHAnsi"/>
          <w:b/>
        </w:rPr>
        <w:t>9B</w:t>
      </w:r>
      <w:r w:rsidR="00176789" w:rsidRPr="00090D01">
        <w:rPr>
          <w:rFonts w:asciiTheme="majorHAnsi" w:hAnsiTheme="majorHAnsi" w:cstheme="majorHAnsi"/>
        </w:rPr>
        <w:t>.</w:t>
      </w:r>
      <w:r w:rsidR="0088478F" w:rsidRPr="00090D01">
        <w:rPr>
          <w:rFonts w:asciiTheme="majorHAnsi" w:hAnsiTheme="majorHAnsi" w:cstheme="majorHAnsi"/>
        </w:rPr>
        <w:t xml:space="preserve"> </w:t>
      </w:r>
      <w:r w:rsidR="00C554FB" w:rsidRPr="00090D01">
        <w:rPr>
          <w:rFonts w:asciiTheme="majorHAnsi" w:eastAsia="Times New Roman" w:hAnsiTheme="majorHAnsi" w:cstheme="majorHAnsi"/>
        </w:rPr>
        <w:t xml:space="preserve">Note that the noise level in </w:t>
      </w:r>
      <w:r w:rsidR="00C554FB" w:rsidRPr="00503A14">
        <w:rPr>
          <w:rFonts w:asciiTheme="majorHAnsi" w:eastAsia="Times New Roman" w:hAnsiTheme="majorHAnsi" w:cstheme="majorHAnsi"/>
          <w:b/>
        </w:rPr>
        <w:t>Fig</w:t>
      </w:r>
      <w:r w:rsidR="00503A14" w:rsidRPr="00503A14">
        <w:rPr>
          <w:rFonts w:asciiTheme="majorHAnsi" w:eastAsia="Times New Roman" w:hAnsiTheme="majorHAnsi" w:cstheme="majorHAnsi"/>
          <w:b/>
        </w:rPr>
        <w:t>ure</w:t>
      </w:r>
      <w:r w:rsidR="00C554FB" w:rsidRPr="00503A14">
        <w:rPr>
          <w:rFonts w:asciiTheme="majorHAnsi" w:eastAsia="Times New Roman" w:hAnsiTheme="majorHAnsi" w:cstheme="majorHAnsi"/>
          <w:b/>
        </w:rPr>
        <w:t xml:space="preserve"> 9A</w:t>
      </w:r>
      <w:r w:rsidR="00C554FB" w:rsidRPr="00090D01">
        <w:rPr>
          <w:rFonts w:asciiTheme="majorHAnsi" w:eastAsia="Times New Roman" w:hAnsiTheme="majorHAnsi" w:cstheme="majorHAnsi"/>
        </w:rPr>
        <w:t xml:space="preserve"> is unusually high for unknown reasons despite of the setup optimization prior to the measurements. In such cases, the signal-to-noise ratio improvement by lock-in amplification is dramatically higher than in cases of already high signal-to-noise ratio with standard amplification (e.g.</w:t>
      </w:r>
      <w:r w:rsidR="00503A14">
        <w:rPr>
          <w:rFonts w:asciiTheme="majorHAnsi" w:eastAsia="Times New Roman" w:hAnsiTheme="majorHAnsi" w:cstheme="majorHAnsi"/>
        </w:rPr>
        <w:t>,</w:t>
      </w:r>
      <w:r w:rsidR="00C554FB" w:rsidRPr="00090D01">
        <w:rPr>
          <w:rFonts w:asciiTheme="majorHAnsi" w:eastAsia="Times New Roman" w:hAnsiTheme="majorHAnsi" w:cstheme="majorHAnsi"/>
        </w:rPr>
        <w:t xml:space="preserve"> </w:t>
      </w:r>
      <w:r w:rsidR="00D038D2">
        <w:rPr>
          <w:rFonts w:asciiTheme="majorHAnsi" w:eastAsia="Times New Roman" w:hAnsiTheme="majorHAnsi" w:cstheme="majorHAnsi"/>
        </w:rPr>
        <w:t>application 3 in section (</w:t>
      </w:r>
      <w:proofErr w:type="spellStart"/>
      <w:r w:rsidR="00D038D2">
        <w:rPr>
          <w:rFonts w:asciiTheme="majorHAnsi" w:eastAsia="Times New Roman" w:hAnsiTheme="majorHAnsi" w:cstheme="majorHAnsi"/>
        </w:rPr>
        <w:t>i</w:t>
      </w:r>
      <w:proofErr w:type="spellEnd"/>
      <w:r w:rsidR="00D038D2">
        <w:rPr>
          <w:rFonts w:asciiTheme="majorHAnsi" w:eastAsia="Times New Roman" w:hAnsiTheme="majorHAnsi" w:cstheme="majorHAnsi"/>
        </w:rPr>
        <w:t>)</w:t>
      </w:r>
      <w:r w:rsidR="00C554FB" w:rsidRPr="00090D01">
        <w:rPr>
          <w:rFonts w:asciiTheme="majorHAnsi" w:eastAsia="Times New Roman" w:hAnsiTheme="majorHAnsi" w:cstheme="majorHAnsi"/>
        </w:rPr>
        <w:t>), where lock-in amplification would only lead to marginal improvements.</w:t>
      </w:r>
    </w:p>
    <w:p w14:paraId="49009142" w14:textId="77777777" w:rsidR="003A7E39" w:rsidRPr="00090D01" w:rsidRDefault="003A7E39" w:rsidP="00F22EB6">
      <w:pPr>
        <w:rPr>
          <w:rFonts w:asciiTheme="majorHAnsi" w:hAnsiTheme="majorHAnsi" w:cstheme="majorHAnsi"/>
        </w:rPr>
      </w:pPr>
    </w:p>
    <w:p w14:paraId="620AE49A" w14:textId="770D47D6" w:rsidR="00044A5E" w:rsidRDefault="00FA3710" w:rsidP="00F22EB6">
      <w:r>
        <w:t xml:space="preserve">With </w:t>
      </w:r>
      <w:r w:rsidR="00F7643D">
        <w:t>the</w:t>
      </w:r>
      <w:r>
        <w:t xml:space="preserve"> PA</w:t>
      </w:r>
      <w:r w:rsidR="00286826">
        <w:t>,</w:t>
      </w:r>
      <w:r>
        <w:t xml:space="preserve"> forward (</w:t>
      </w:r>
      <w:r w:rsidR="00286826" w:rsidRPr="00503A14">
        <w:rPr>
          <w:b/>
        </w:rPr>
        <w:t>Fig</w:t>
      </w:r>
      <w:r w:rsidR="00503A14" w:rsidRPr="00503A14">
        <w:rPr>
          <w:b/>
        </w:rPr>
        <w:t>ure</w:t>
      </w:r>
      <w:r w:rsidR="00286826" w:rsidRPr="00503A14">
        <w:rPr>
          <w:b/>
        </w:rPr>
        <w:t xml:space="preserve"> </w:t>
      </w:r>
      <w:r w:rsidR="00090D01" w:rsidRPr="00503A14">
        <w:rPr>
          <w:b/>
        </w:rPr>
        <w:t>9C</w:t>
      </w:r>
      <w:r>
        <w:t>) and reverse (</w:t>
      </w:r>
      <w:r w:rsidR="00286826" w:rsidRPr="00503A14">
        <w:rPr>
          <w:b/>
        </w:rPr>
        <w:t>Fig</w:t>
      </w:r>
      <w:r w:rsidR="00503A14" w:rsidRPr="00503A14">
        <w:rPr>
          <w:b/>
        </w:rPr>
        <w:t>ure</w:t>
      </w:r>
      <w:r w:rsidR="00286826" w:rsidRPr="00503A14">
        <w:rPr>
          <w:b/>
        </w:rPr>
        <w:t xml:space="preserve"> </w:t>
      </w:r>
      <w:r w:rsidR="00090D01" w:rsidRPr="00503A14">
        <w:rPr>
          <w:b/>
        </w:rPr>
        <w:t>9D</w:t>
      </w:r>
      <w:r>
        <w:t>)</w:t>
      </w:r>
      <w:r w:rsidR="00044A5E">
        <w:t xml:space="preserve"> bias voltages of -50 mV and +50 mV</w:t>
      </w:r>
      <w:r w:rsidR="00286826">
        <w:t>,</w:t>
      </w:r>
      <w:r w:rsidR="00044A5E">
        <w:t xml:space="preserve"> respectively</w:t>
      </w:r>
      <w:r w:rsidR="00286826">
        <w:t>,</w:t>
      </w:r>
      <w:r w:rsidR="00044A5E">
        <w:t xml:space="preserve"> were applied </w:t>
      </w:r>
      <w:r>
        <w:t>to the</w:t>
      </w:r>
      <w:r w:rsidR="00286826">
        <w:t xml:space="preserve"> sample and the area of </w:t>
      </w:r>
      <w:r w:rsidR="00286826" w:rsidRPr="00503A14">
        <w:rPr>
          <w:b/>
        </w:rPr>
        <w:t>Fig</w:t>
      </w:r>
      <w:r w:rsidR="00503A14" w:rsidRPr="00503A14">
        <w:rPr>
          <w:b/>
        </w:rPr>
        <w:t>ure</w:t>
      </w:r>
      <w:r w:rsidR="00286826" w:rsidRPr="00503A14">
        <w:rPr>
          <w:b/>
        </w:rPr>
        <w:t xml:space="preserve"> </w:t>
      </w:r>
      <w:r w:rsidR="00090D01" w:rsidRPr="00503A14">
        <w:rPr>
          <w:b/>
        </w:rPr>
        <w:t>9A</w:t>
      </w:r>
      <w:r w:rsidR="00286826" w:rsidRPr="00503A14">
        <w:rPr>
          <w:b/>
        </w:rPr>
        <w:t>-B</w:t>
      </w:r>
      <w:r w:rsidR="00044A5E">
        <w:t xml:space="preserve"> rescanned. </w:t>
      </w:r>
      <w:r w:rsidR="00286826">
        <w:t>The dominant f</w:t>
      </w:r>
      <w:r w:rsidR="005305CB">
        <w:t xml:space="preserve">eatures visible in </w:t>
      </w:r>
      <w:r w:rsidR="00503A14" w:rsidRPr="00503A14">
        <w:rPr>
          <w:b/>
        </w:rPr>
        <w:t xml:space="preserve">Figure </w:t>
      </w:r>
      <w:r w:rsidR="00090D01" w:rsidRPr="00503A14">
        <w:rPr>
          <w:b/>
        </w:rPr>
        <w:t>9B</w:t>
      </w:r>
      <w:r w:rsidR="00090D01">
        <w:t xml:space="preserve"> </w:t>
      </w:r>
      <w:r w:rsidR="005305CB">
        <w:t xml:space="preserve">are still visible in </w:t>
      </w:r>
      <w:r w:rsidR="00503A14" w:rsidRPr="00503A14">
        <w:rPr>
          <w:b/>
        </w:rPr>
        <w:t xml:space="preserve">Figure </w:t>
      </w:r>
      <w:r w:rsidR="00090D01" w:rsidRPr="00503A14">
        <w:rPr>
          <w:b/>
        </w:rPr>
        <w:t>9C</w:t>
      </w:r>
      <w:r w:rsidR="00090D01">
        <w:t xml:space="preserve"> </w:t>
      </w:r>
      <w:r w:rsidR="005305CB">
        <w:t xml:space="preserve">and </w:t>
      </w:r>
      <w:r w:rsidR="00503A14" w:rsidRPr="00503A14">
        <w:rPr>
          <w:b/>
        </w:rPr>
        <w:t xml:space="preserve">Figure </w:t>
      </w:r>
      <w:r w:rsidR="00090D01" w:rsidRPr="00503A14">
        <w:rPr>
          <w:b/>
        </w:rPr>
        <w:t>9D</w:t>
      </w:r>
      <w:r w:rsidR="00286826">
        <w:t>,</w:t>
      </w:r>
      <w:r w:rsidR="006450E9">
        <w:t xml:space="preserve"> but they are less distinc</w:t>
      </w:r>
      <w:r w:rsidR="00286826">
        <w:t>t as the maps are noisier</w:t>
      </w:r>
      <w:r w:rsidR="004C75CE">
        <w:t>. This is because</w:t>
      </w:r>
      <w:r w:rsidR="00865356">
        <w:t xml:space="preserve"> </w:t>
      </w:r>
      <w:r w:rsidR="00286826">
        <w:t>the application of bias voltage or bias light induces a direct current that is often orders of magnitude larger than the modulated XBIC signal. Ultimately, the ratio of direct to modulated signal limits the applicability of lock-in amplification.</w:t>
      </w:r>
      <w:r w:rsidR="00B71380">
        <w:t xml:space="preserve"> Despite</w:t>
      </w:r>
      <w:r w:rsidR="006C3D72">
        <w:t xml:space="preserve"> the poor signal-to-noise ratio, it is worth pointing out that lock-in amplification enables mapping of the solar cell performance at the nanoscale with bias voltage and bias light applied, which would </w:t>
      </w:r>
      <w:r w:rsidR="00B50F88">
        <w:t xml:space="preserve">hardly </w:t>
      </w:r>
      <w:r w:rsidR="006C3D72">
        <w:t>be possible otherwise</w:t>
      </w:r>
      <w:r w:rsidR="00B71380">
        <w:fldChar w:fldCharType="begin" w:fldLock="1"/>
      </w:r>
      <w:r w:rsidR="00155F86">
        <w:instrText>ADDIN CSL_CITATION {"citationItems":[{"id":"ITEM-1","itemData":{"DOI":"10.1017/S1431927618014423","ISSN":"1431-9276","abstract":"//static.cambridge.org/content/id/urn%3Acambridge.org%3Aid%3Aarticle%3AS1431927618014423/resource/name/firstPage-S1431927618014423a.jpg","author":[{"dropping-particle":"","family":"Stuckelberger","given":"M. E.","non-dropping-particle":"","parse-names":false,"suffix":""},{"dropping-particle":"","family":"Nietzold","given":"T.","non-dropping-particle":"","parse-names":false,"suffix":""},{"dropping-particle":"","family":"West","given":"B. M.","non-dropping-particle":"","parse-names":false,"suffix":""},{"dropping-particle":"","family":"Walker","given":"T.","non-dropping-particle":"","parse-names":false,"suffix":""},{"dropping-particle":"","family":"Ossig","given":"C.","non-dropping-particle":"","parse-names":false,"suffix":""},{"dropping-particle":"","family":"Kahnt","given":"M.","non-dropping-particle":"","parse-names":false,"suffix":""},{"dropping-particle":"","family":"Wittwer","given":"F.","non-dropping-particle":"","parse-names":false,"suffix":""},{"dropping-particle":"","family":"Deng","given":"J.","non-dropping-particle":"","parse-names":false,"suffix":""},{"dropping-particle":"","family":"Maser","given":"J. M.","non-dropping-particle":"","parse-names":false,"suffix":""},{"dropping-particle":"","family":"Lai","given":"B.","non-dropping-particle":"","parse-names":false,"suffix":""},{"dropping-particle":"","family":"Cai","given":"Z.","non-dropping-particle":"","parse-names":false,"suffix":""},{"dropping-particle":"","family":"Rose","given":"V.","non-dropping-particle":"","parse-names":false,"suffix":""},{"dropping-particle":"","family":"Ulvestad","given":"A.","non-dropping-particle":"","parse-names":false,"suffix":""},{"dropping-particle":"V.","family":"Holt","given":"M.","non-dropping-particle":"","parse-names":false,"suffix":""},{"dropping-particle":"","family":"Hruszkewycz","given":"S.","non-dropping-particle":"","parse-names":false,"suffix":""},{"dropping-particle":"","family":"Dynes","given":"J. J.","non-dropping-particle":"","parse-names":false,"suffix":""},{"dropping-particle":"","family":"Wang","given":"J.","non-dropping-particle":"","parse-names":false,"suffix":""},{"dropping-particle":"","family":"Salomon","given":"D.","non-dropping-particle":"","parse-names":false,"suffix":""},{"dropping-particle":"","family":"Tucoulou","given":"R.","non-dropping-particle":"","parse-names":false,"suffix":""},{"dropping-particle":"","family":"Huang","given":"X.","non-dropping-particle":"","parse-names":false,"suffix":""},{"dropping-particle":"","family":"Yan","given":"H.","non-dropping-particle":"","parse-names":false,"suffix":""},{"dropping-particle":"","family":"Nazaretski","given":"E.","non-dropping-particle":"","parse-names":false,"suffix":""},{"dropping-particle":"","family":"Chu","given":"Y. S.","non-dropping-particle":"","parse-names":false,"suffix":""},{"dropping-particle":"","family":"Schroer","given":"C. G.","non-dropping-particle":"","parse-names":false,"suffix":""},{"dropping-particle":"","family":"Bertoni","given":"M. I.","non-dropping-particle":"","parse-names":false,"suffix":""}],"container-title":"Microscopy and Microanalysis","id":"ITEM-1","issue":"S2","issued":{"date-parts":[["2018"]]},"page":"434-435","title":"Challenges and Opportunities with Highly Brilliant X-ray Sources for multi-Modal in-Situ and Operando Characterization of Solar Cells","type":"article-journal","volume":"24"},"uris":["http://www.mendeley.com/documents/?uuid=cc5768a0-ddba-4cfc-ab98-66a77185ef6c"]}],"mendeley":{"formattedCitation":"&lt;sup&gt;30&lt;/sup&gt;","plainTextFormattedCitation":"30","previouslyFormattedCitation":"&lt;sup&gt;30&lt;/sup&gt;"},"properties":{"noteIndex":0},"schema":"https://github.com/citation-style-language/schema/raw/master/csl-citation.json"}</w:instrText>
      </w:r>
      <w:r w:rsidR="00B71380">
        <w:fldChar w:fldCharType="separate"/>
      </w:r>
      <w:r w:rsidR="001E7A73" w:rsidRPr="001E7A73">
        <w:rPr>
          <w:noProof/>
          <w:vertAlign w:val="superscript"/>
        </w:rPr>
        <w:t>30</w:t>
      </w:r>
      <w:r w:rsidR="00B71380">
        <w:fldChar w:fldCharType="end"/>
      </w:r>
      <w:r w:rsidR="00D51BB7">
        <w:t>.</w:t>
      </w:r>
    </w:p>
    <w:p w14:paraId="03D5B87A" w14:textId="77777777" w:rsidR="003A7E39" w:rsidRPr="00286826" w:rsidRDefault="003A7E39" w:rsidP="00F22EB6"/>
    <w:p w14:paraId="542E4C07" w14:textId="261BDCF4" w:rsidR="00E00FBE" w:rsidRDefault="009F7B1F" w:rsidP="00F22EB6">
      <w:r>
        <w:t xml:space="preserve">As the performance of </w:t>
      </w:r>
      <w:r w:rsidR="00174ABE">
        <w:t>the CIGS solar cell</w:t>
      </w:r>
      <w:r>
        <w:t xml:space="preserve"> is correlated to the </w:t>
      </w:r>
      <w:r w:rsidR="00174ABE">
        <w:t xml:space="preserve">absorber layer </w:t>
      </w:r>
      <w:r>
        <w:t>composition</w:t>
      </w:r>
      <w:r w:rsidR="001B5A1E">
        <w:fldChar w:fldCharType="begin" w:fldLock="1"/>
      </w:r>
      <w:r w:rsidR="003D2185">
        <w:instrText>ADDIN CSL_CITATION {"citationItems":[{"id":"ITEM-1","itemData":{"DOI":"10.1002/pip.2485","abstract":"I","author":[{"dropping-particle":"","family":"Witte","given":"Wolfram","non-dropping-particle":"","parse-names":false,"suffix":""},{"dropping-particle":"","family":"Abou-Ras","given":"Daniel","non-dropping-particle":"","parse-names":false,"suffix":""},{"dropping-particle":"","family":"Albe","given":"Karsten","non-dropping-particle":"","parse-names":false,"suffix":""},{"dropping-particle":"","family":"Bauer","given":"Gottfried H.","non-dropping-particle":"","parse-names":false,"suffix":""},{"dropping-particle":"","family":"Bertram","given":"Frank","non-dropping-particle":"","parse-names":false,"suffix":""},{"dropping-particle":"","family":"Boit","given":"Christian","non-dropping-particle":"","parse-names":false,"suffix":""},{"dropping-particle":"","family":"Brüggemann","given":"Rudolf","non-dropping-particle":"","parse-names":false,"suffix":""},{"dropping-particle":"","family":"Christen","given":"Jürgen","non-dropping-particle":"","parse-names":false,"suffix":""},{"dropping-particle":"","family":"Dietrich","given":"Jens","non-dropping-particle":"","parse-names":false,"suffix":""},{"dropping-particle":"","family":"Eicke","given":"Axel","non-dropping-particle":"","parse-names":false,"suffix":""},{"dropping-particle":"","family":"Hariskos","given":"Dimitrios","non-dropping-particle":"","parse-names":false,"suffix":""},{"dropping-particle":"","family":"Maiberg","given":"Matthias","non-dropping-particle":"","parse-names":false,"suffix":""},{"dropping-particle":"","family":"Mainz","given":"Roland","non-dropping-particle":"","parse-names":false,"suffix":""},{"dropping-particle":"","family":"Meessen","given":"Max","non-dropping-particle":"","parse-names":false,"suffix":""},{"dropping-particle":"","family":"Müller","given":"Mathias","non-dropping-particle":"","parse-names":false,"suffix":""},{"dropping-particle":"","family":"Neumann","given":"Oliver","non-dropping-particle":"","parse-names":false,"suffix":""},{"dropping-particle":"","family":"Orgis","given":"Thomas","non-dropping-particle":"","parse-names":false,"suffix":""},{"dropping-particle":"","family":"Paetel","given":"Stefan","non-dropping-particle":"","parse-names":false,"suffix":""},{"dropping-particle":"","family":"Pohl","given":"Johan","non-dropping-particle":"","parse-names":false,"suffix":""},{"dropping-particle":"","family":"Rodriguez-Alvarez","given":"Humberto","non-dropping-particle":"","parse-names":false,"suffix":""},{"dropping-particle":"","family":"Scheer","given":"Roland","non-dropping-particle":"","parse-names":false,"suffix":""},{"dropping-particle":"","family":"Schock","given":"H. W.","non-dropping-particle":"","parse-names":false,"suffix":""},{"dropping-particle":"","family":"Unold","given":"Thomas","non-dropping-particle":"","parse-names":false,"suffix":""},{"dropping-particle":"","family":"Weber","given":"Alfons","non-dropping-particle":"","parse-names":false,"suffix":""},{"dropping-particle":"","family":"Powalla","given":"Michael","non-dropping-particle":"","parse-names":false,"suffix":""}],"container-title":"Progress in Photovoltaics: Research and Applications","id":"ITEM-1","issued":{"date-parts":[["2015"]]},"page":"717-733","title":"Gallium gradients in Cu(In,Ga)Se2 thin-film solar cells","type":"article-journal","volume":"23"},"uris":["http://www.mendeley.com/documents/?uuid=0281dc7e-b6e4-454e-a542-9759bc366075"]},{"id":"ITEM-2","itemData":{"DOI":"10.1016/j.nanoen.2016.12.011","ISSN":"22112855","author":[{"dropping-particle":"","family":"West","given":"Bradley M.","non-dropping-particle":"","parse-names":false,"suffix":""},{"dropping-particle":"","family":"Stuckelberger","given":"Michael","non-dropping-particle":"","parse-names":false,"suffix":""},{"dropping-particle":"","family":"Guthrey","given":"Harvey","non-dropping-particle":"","parse-names":false,"suffix":""},{"dropping-particle":"","family":"Chen","given":"Lei","non-dropping-particle":"","parse-names":false,"suffix":""},{"dropping-particle":"","family":"Lai","given":"Barry","non-dropping-particle":"","parse-names":false,"suffix":""},{"dropping-particle":"","family":"Maser","given":"Jörg","non-dropping-particle":"","parse-names":false,"suffix":""},{"dropping-particle":"","family":"Rose","given":"Volker","non-dropping-particle":"","parse-names":false,"suffix":""},{"dropping-particle":"","family":"Shafarman","given":"William","non-dropping-particle":"","parse-names":false,"suffix":""},{"dropping-particle":"","family":"Al-Jassim","given":"Mowafak","non-dropping-particle":"","parse-names":false,"suffix":""},{"dropping-particle":"","family":"Bertoni","given":"Mariana I.","non-dropping-particle":"","parse-names":false,"suffix":""}],"container-title":"Nano Energy","id":"ITEM-2","issued":{"date-parts":[["2017"]]},"page":"488-493","publisher":"Elsevier","title":"Grain Engineering: How Nanoscale Inhomogeneities Can Control Charge Collection in Solar Cells","type":"article-journal","volume":"32"},"uris":["http://www.mendeley.com/documents/?uuid=dc1a7c61-cefe-4a79-95da-cd892b9603c7"]}],"mendeley":{"formattedCitation":"&lt;sup&gt;7,41&lt;/sup&gt;","plainTextFormattedCitation":"7,41","previouslyFormattedCitation":"&lt;sup&gt;7,41&lt;/sup&gt;"},"properties":{"noteIndex":0},"schema":"https://github.com/citation-style-language/schema/raw/master/csl-citation.json"}</w:instrText>
      </w:r>
      <w:r w:rsidR="001B5A1E">
        <w:fldChar w:fldCharType="separate"/>
      </w:r>
      <w:r w:rsidR="00594CBE" w:rsidRPr="00594CBE">
        <w:rPr>
          <w:noProof/>
          <w:vertAlign w:val="superscript"/>
        </w:rPr>
        <w:t>7,41</w:t>
      </w:r>
      <w:r w:rsidR="001B5A1E">
        <w:fldChar w:fldCharType="end"/>
      </w:r>
      <w:r w:rsidR="00D51BB7">
        <w:t>,</w:t>
      </w:r>
      <w:r>
        <w:t xml:space="preserve"> we measured the XRF signal simultaneously with the XBIC. In </w:t>
      </w:r>
      <w:r w:rsidR="001A780A" w:rsidRPr="00503A14">
        <w:rPr>
          <w:b/>
        </w:rPr>
        <w:t>Fig</w:t>
      </w:r>
      <w:r w:rsidR="00503A14" w:rsidRPr="00503A14">
        <w:rPr>
          <w:b/>
        </w:rPr>
        <w:t>ure</w:t>
      </w:r>
      <w:r w:rsidR="001A780A" w:rsidRPr="00503A14">
        <w:rPr>
          <w:b/>
        </w:rPr>
        <w:t xml:space="preserve"> </w:t>
      </w:r>
      <w:r w:rsidR="00090D01" w:rsidRPr="00503A14">
        <w:rPr>
          <w:b/>
        </w:rPr>
        <w:t>9</w:t>
      </w:r>
      <w:proofErr w:type="gramStart"/>
      <w:r w:rsidR="00090D01" w:rsidRPr="00503A14">
        <w:rPr>
          <w:b/>
        </w:rPr>
        <w:t>E</w:t>
      </w:r>
      <w:r w:rsidR="00503A14" w:rsidRPr="00503A14">
        <w:rPr>
          <w:b/>
        </w:rPr>
        <w:t>,</w:t>
      </w:r>
      <w:r w:rsidR="00090D01" w:rsidRPr="00503A14">
        <w:rPr>
          <w:b/>
        </w:rPr>
        <w:t>F</w:t>
      </w:r>
      <w:proofErr w:type="gramEnd"/>
      <w:r w:rsidR="00E00FBE">
        <w:t>, the concentrations of Ga and In</w:t>
      </w:r>
      <w:r>
        <w:t xml:space="preserve"> are presented. Both elements are </w:t>
      </w:r>
      <w:r w:rsidR="00BA5485">
        <w:t>part of the absorber layer and their ratio is deemed to be of great influence to the performance of the solar cell</w:t>
      </w:r>
      <w:r w:rsidR="004B734F">
        <w:fldChar w:fldCharType="begin" w:fldLock="1"/>
      </w:r>
      <w:r w:rsidR="00155F86">
        <w:instrText>ADDIN CSL_CITATION {"citationItems":[{"id":"ITEM-1","itemData":{"DOI":"10.1016/j.nanoen.2016.12.011","ISSN":"22112855","author":[{"dropping-particle":"","family":"West","given":"Bradley M.","non-dropping-particle":"","parse-names":false,"suffix":""},{"dropping-particle":"","family":"Stuckelberger","given":"Michael","non-dropping-particle":"","parse-names":false,"suffix":""},{"dropping-particle":"","family":"Guthrey","given":"Harvey","non-dropping-particle":"","parse-names":false,"suffix":""},{"dropping-particle":"","family":"Chen","given":"Lei","non-dropping-particle":"","parse-names":false,"suffix":""},{"dropping-particle":"","family":"Lai","given":"Barry","non-dropping-particle":"","parse-names":false,"suffix":""},{"dropping-particle":"","family":"Maser","given":"Jörg","non-dropping-particle":"","parse-names":false,"suffix":""},{"dropping-particle":"","family":"Rose","given":"Volker","non-dropping-particle":"","parse-names":false,"suffix":""},{"dropping-particle":"","family":"Shafarman","given":"William","non-dropping-particle":"","parse-names":false,"suffix":""},{"dropping-particle":"","family":"Al-Jassim","given":"Mowafak","non-dropping-particle":"","parse-names":false,"suffix":""},{"dropping-particle":"","family":"Bertoni","given":"Mariana I.","non-dropping-particle":"","parse-names":false,"suffix":""}],"container-title":"Nano Energy","id":"ITEM-1","issued":{"date-parts":[["2017"]]},"page":"488-493","publisher":"Elsevier","title":"Grain Engineering: How Nanoscale Inhomogeneities Can Control Charge Collection in Solar Cells","type":"article-journal","volume":"32"},"uris":["http://www.mendeley.com/documents/?uuid=dc1a7c61-cefe-4a79-95da-cd892b9603c7"]}],"mendeley":{"formattedCitation":"&lt;sup&gt;7&lt;/sup&gt;","plainTextFormattedCitation":"7","previouslyFormattedCitation":"&lt;sup&gt;7&lt;/sup&gt;"},"properties":{"noteIndex":0},"schema":"https://github.com/citation-style-language/schema/raw/master/csl-citation.json"}</w:instrText>
      </w:r>
      <w:r w:rsidR="004B734F">
        <w:fldChar w:fldCharType="separate"/>
      </w:r>
      <w:r w:rsidR="00E33A54" w:rsidRPr="00E33A54">
        <w:rPr>
          <w:noProof/>
          <w:vertAlign w:val="superscript"/>
        </w:rPr>
        <w:t>7</w:t>
      </w:r>
      <w:r w:rsidR="004B734F">
        <w:fldChar w:fldCharType="end"/>
      </w:r>
      <w:r w:rsidR="00D51BB7">
        <w:t>.</w:t>
      </w:r>
      <w:r w:rsidR="00174ABE">
        <w:t xml:space="preserve"> </w:t>
      </w:r>
      <w:r w:rsidR="00927DA4">
        <w:t xml:space="preserve">The statistics of Ga are much greater than for In, which is due to </w:t>
      </w:r>
      <w:r w:rsidR="005D3C4C">
        <w:t xml:space="preserve">the higher absorption coefficient and less </w:t>
      </w:r>
      <w:r w:rsidR="001A780A">
        <w:t>self-</w:t>
      </w:r>
      <w:r w:rsidR="005D3C4C">
        <w:t xml:space="preserve">absorption at </w:t>
      </w:r>
      <w:r w:rsidR="00927DA4">
        <w:t>the excitation energy</w:t>
      </w:r>
      <w:r w:rsidR="00783DBB">
        <w:t xml:space="preserve"> of 10.4 keV</w:t>
      </w:r>
      <w:r w:rsidR="00D95015">
        <w:t>.</w:t>
      </w:r>
      <w:r w:rsidR="00927DA4">
        <w:t xml:space="preserve"> Due to the </w:t>
      </w:r>
      <w:r w:rsidR="00783DBB">
        <w:t xml:space="preserve">low </w:t>
      </w:r>
      <w:r w:rsidR="00927DA4">
        <w:t xml:space="preserve">statistics, features in </w:t>
      </w:r>
      <w:r w:rsidR="00783DBB">
        <w:t xml:space="preserve">the </w:t>
      </w:r>
      <w:proofErr w:type="gramStart"/>
      <w:r w:rsidR="00783DBB">
        <w:t>In</w:t>
      </w:r>
      <w:proofErr w:type="gramEnd"/>
      <w:r w:rsidR="00783DBB">
        <w:t xml:space="preserve"> map are almost invisible</w:t>
      </w:r>
      <w:r w:rsidR="005F1D34">
        <w:t>, whereas</w:t>
      </w:r>
      <w:r w:rsidR="00927DA4">
        <w:t xml:space="preserve"> the Ga</w:t>
      </w:r>
      <w:r w:rsidR="00E00FBE">
        <w:t xml:space="preserve"> concentration</w:t>
      </w:r>
      <w:r w:rsidR="00927DA4" w:rsidRPr="00927DA4">
        <w:t xml:space="preserve"> </w:t>
      </w:r>
      <w:r w:rsidR="005F1D34">
        <w:t xml:space="preserve">is clear enough </w:t>
      </w:r>
      <w:r w:rsidR="002E0AAD">
        <w:t>to</w:t>
      </w:r>
      <w:r w:rsidR="00927DA4">
        <w:t xml:space="preserve"> be correlated with</w:t>
      </w:r>
      <w:r w:rsidR="00927DA4" w:rsidRPr="00927DA4">
        <w:t xml:space="preserve"> </w:t>
      </w:r>
      <w:r w:rsidR="00927DA4">
        <w:t>the</w:t>
      </w:r>
      <w:r w:rsidR="00FA3710">
        <w:t xml:space="preserve"> </w:t>
      </w:r>
      <w:r w:rsidR="00E00FBE">
        <w:t>electrical</w:t>
      </w:r>
      <w:r w:rsidR="005305CB">
        <w:t xml:space="preserve"> performance in </w:t>
      </w:r>
      <w:r w:rsidR="00090D01">
        <w:t>9B</w:t>
      </w:r>
      <w:r w:rsidR="00927DA4">
        <w:t xml:space="preserve">. </w:t>
      </w:r>
      <w:r w:rsidR="00E00FBE">
        <w:t>For a higher</w:t>
      </w:r>
      <w:r w:rsidR="00927DA4">
        <w:t xml:space="preserve"> </w:t>
      </w:r>
      <w:proofErr w:type="gramStart"/>
      <w:r w:rsidR="00927DA4">
        <w:t>In</w:t>
      </w:r>
      <w:proofErr w:type="gramEnd"/>
      <w:r w:rsidR="00927DA4">
        <w:t xml:space="preserve"> signal</w:t>
      </w:r>
      <w:r w:rsidR="00E00FBE">
        <w:t>,</w:t>
      </w:r>
      <w:r w:rsidR="00927DA4">
        <w:t xml:space="preserve"> one could either </w:t>
      </w:r>
      <w:r w:rsidR="00783DBB">
        <w:t xml:space="preserve">choose longer dwell times or </w:t>
      </w:r>
      <w:r w:rsidR="00E00FBE">
        <w:t xml:space="preserve">choose an </w:t>
      </w:r>
      <w:r w:rsidR="00783DBB">
        <w:t>absorption energy</w:t>
      </w:r>
      <w:r w:rsidR="00E00FBE">
        <w:t xml:space="preserve"> with higher In absorption cross section.</w:t>
      </w:r>
      <w:r w:rsidR="00783DBB">
        <w:t xml:space="preserve"> Th</w:t>
      </w:r>
      <w:r w:rsidR="00E00FBE">
        <w:t>is illustrates</w:t>
      </w:r>
      <w:r w:rsidR="00783DBB">
        <w:t xml:space="preserve"> the importance of a sufficiently long dwell time as well as </w:t>
      </w:r>
      <w:r w:rsidR="00174ABE">
        <w:t xml:space="preserve">the tailoring of the </w:t>
      </w:r>
      <w:r w:rsidR="00783DBB">
        <w:t xml:space="preserve">beam energy to </w:t>
      </w:r>
      <w:r w:rsidR="00174ABE">
        <w:t xml:space="preserve">the </w:t>
      </w:r>
      <w:r w:rsidR="00783DBB">
        <w:t>elements of interest</w:t>
      </w:r>
      <w:r w:rsidR="00E00FBE">
        <w:t>.</w:t>
      </w:r>
    </w:p>
    <w:p w14:paraId="15F839DC" w14:textId="77777777" w:rsidR="00503A14" w:rsidRDefault="00503A14" w:rsidP="00F22EB6"/>
    <w:p w14:paraId="67E82F7F" w14:textId="1E78E272" w:rsidR="008145FF" w:rsidRPr="004B734F" w:rsidRDefault="00E73674" w:rsidP="00F22EB6">
      <w:r>
        <w:t xml:space="preserve">With long dwell times and </w:t>
      </w:r>
      <w:r w:rsidR="00E00FBE">
        <w:t xml:space="preserve">large </w:t>
      </w:r>
      <w:r>
        <w:t>map</w:t>
      </w:r>
      <w:r w:rsidR="00E00FBE">
        <w:t>s,</w:t>
      </w:r>
      <w:r>
        <w:t xml:space="preserve"> another point has to be kept in mind: During measurements spanning </w:t>
      </w:r>
      <w:r w:rsidR="00DD0408">
        <w:t xml:space="preserve">multiple </w:t>
      </w:r>
      <w:r>
        <w:t xml:space="preserve">hours, sample </w:t>
      </w:r>
      <w:r w:rsidR="005F1D34">
        <w:t>drift can be</w:t>
      </w:r>
      <w:r w:rsidR="00DD0408">
        <w:t>come a</w:t>
      </w:r>
      <w:r w:rsidR="00174ABE">
        <w:t xml:space="preserve"> critical</w:t>
      </w:r>
      <w:r w:rsidR="00DD0408">
        <w:t xml:space="preserve"> issue</w:t>
      </w:r>
      <w:r>
        <w:t xml:space="preserve">. Thermal </w:t>
      </w:r>
      <w:r w:rsidR="00E00FBE">
        <w:t xml:space="preserve">fluctuations (particularly after sample change or large motor movements with poor heat dissipation) and the </w:t>
      </w:r>
      <w:r w:rsidR="00234344">
        <w:t>instability of</w:t>
      </w:r>
      <w:r>
        <w:t xml:space="preserve"> mechanical </w:t>
      </w:r>
      <w:r w:rsidR="00DD0408">
        <w:t xml:space="preserve">stage </w:t>
      </w:r>
      <w:r>
        <w:t xml:space="preserve">components </w:t>
      </w:r>
      <w:r w:rsidR="00174ABE">
        <w:t xml:space="preserve">often </w:t>
      </w:r>
      <w:r>
        <w:t>lead</w:t>
      </w:r>
      <w:r w:rsidR="00234344">
        <w:t xml:space="preserve"> to sample drift as can be seen </w:t>
      </w:r>
      <w:r w:rsidR="00DD0408">
        <w:t xml:space="preserve">by </w:t>
      </w:r>
      <w:r w:rsidR="00234344">
        <w:t xml:space="preserve">comparing </w:t>
      </w:r>
      <w:r w:rsidR="005305CB">
        <w:t xml:space="preserve">the vertical positions of </w:t>
      </w:r>
      <w:r w:rsidR="005305CB" w:rsidRPr="00503A14">
        <w:rPr>
          <w:b/>
        </w:rPr>
        <w:t>Fig</w:t>
      </w:r>
      <w:r w:rsidR="00503A14" w:rsidRPr="00503A14">
        <w:rPr>
          <w:b/>
        </w:rPr>
        <w:t>ure</w:t>
      </w:r>
      <w:r w:rsidR="005305CB" w:rsidRPr="00503A14">
        <w:rPr>
          <w:b/>
        </w:rPr>
        <w:t xml:space="preserve"> </w:t>
      </w:r>
      <w:r w:rsidR="00090D01" w:rsidRPr="00503A14">
        <w:rPr>
          <w:b/>
        </w:rPr>
        <w:t>9D</w:t>
      </w:r>
      <w:r w:rsidR="00090D01">
        <w:t xml:space="preserve"> </w:t>
      </w:r>
      <w:r w:rsidR="005305CB">
        <w:t xml:space="preserve">and </w:t>
      </w:r>
      <w:r w:rsidR="00503A14" w:rsidRPr="00503A14">
        <w:rPr>
          <w:b/>
        </w:rPr>
        <w:t xml:space="preserve">Figure </w:t>
      </w:r>
      <w:r w:rsidR="00090D01" w:rsidRPr="00503A14">
        <w:rPr>
          <w:b/>
        </w:rPr>
        <w:t>9B</w:t>
      </w:r>
      <w:r w:rsidR="004B734F">
        <w:t>.</w:t>
      </w:r>
    </w:p>
    <w:p w14:paraId="5C7EC184" w14:textId="77777777" w:rsidR="008145FF" w:rsidRPr="00552035" w:rsidRDefault="008145FF" w:rsidP="00F22EB6">
      <w:pPr>
        <w:rPr>
          <w:b/>
        </w:rPr>
      </w:pPr>
    </w:p>
    <w:p w14:paraId="3C56A1F6" w14:textId="17F49BED" w:rsidR="004B734F" w:rsidRPr="00552035" w:rsidRDefault="00A15D05" w:rsidP="00F22EB6">
      <w:pPr>
        <w:pStyle w:val="ac"/>
        <w:numPr>
          <w:ilvl w:val="0"/>
          <w:numId w:val="29"/>
        </w:numPr>
        <w:ind w:left="0" w:firstLine="0"/>
        <w:rPr>
          <w:b/>
        </w:rPr>
      </w:pPr>
      <w:r w:rsidRPr="00552035">
        <w:rPr>
          <w:b/>
        </w:rPr>
        <w:t>Application 2: XBIC of a Solar C</w:t>
      </w:r>
      <w:r w:rsidR="004B734F" w:rsidRPr="00552035">
        <w:rPr>
          <w:b/>
        </w:rPr>
        <w:t>ell with XBIV and XRF</w:t>
      </w:r>
    </w:p>
    <w:p w14:paraId="6290291D" w14:textId="2E8FA64D" w:rsidR="004B734F" w:rsidRDefault="004B734F" w:rsidP="00F22EB6">
      <w:r w:rsidRPr="00503A14">
        <w:rPr>
          <w:b/>
        </w:rPr>
        <w:t xml:space="preserve">Figure </w:t>
      </w:r>
      <w:r w:rsidR="00434F66" w:rsidRPr="00503A14">
        <w:rPr>
          <w:b/>
        </w:rPr>
        <w:t>10</w:t>
      </w:r>
      <w:r w:rsidR="00434F66">
        <w:t xml:space="preserve"> </w:t>
      </w:r>
      <w:r>
        <w:t xml:space="preserve">shows a multi-modal scan of a CIGS solar cell, where the cell is operated under short-circuit condition measuring XBIC in </w:t>
      </w:r>
      <w:r w:rsidRPr="00503A14">
        <w:rPr>
          <w:b/>
        </w:rPr>
        <w:t>Fig</w:t>
      </w:r>
      <w:r w:rsidR="00503A14" w:rsidRPr="00503A14">
        <w:rPr>
          <w:b/>
        </w:rPr>
        <w:t>ure</w:t>
      </w:r>
      <w:r w:rsidRPr="00503A14">
        <w:rPr>
          <w:b/>
        </w:rPr>
        <w:t xml:space="preserve"> </w:t>
      </w:r>
      <w:r w:rsidR="00434F66" w:rsidRPr="00503A14">
        <w:rPr>
          <w:b/>
        </w:rPr>
        <w:t>10A</w:t>
      </w:r>
      <w:r>
        <w:t xml:space="preserve">, and under open-circuit condition measuring XBIV in </w:t>
      </w:r>
      <w:r w:rsidRPr="00503A14">
        <w:rPr>
          <w:b/>
        </w:rPr>
        <w:t>Fig</w:t>
      </w:r>
      <w:r w:rsidR="00503A14" w:rsidRPr="00503A14">
        <w:rPr>
          <w:b/>
        </w:rPr>
        <w:t>ure</w:t>
      </w:r>
      <w:r w:rsidRPr="00503A14">
        <w:rPr>
          <w:b/>
        </w:rPr>
        <w:t xml:space="preserve"> </w:t>
      </w:r>
      <w:r w:rsidR="00434F66" w:rsidRPr="00503A14">
        <w:rPr>
          <w:b/>
        </w:rPr>
        <w:t>10B</w:t>
      </w:r>
      <w:r>
        <w:t xml:space="preserve">. The XRF measurement shown in </w:t>
      </w:r>
      <w:r w:rsidRPr="00503A14">
        <w:rPr>
          <w:b/>
        </w:rPr>
        <w:t>Fig</w:t>
      </w:r>
      <w:r w:rsidR="00503A14" w:rsidRPr="00503A14">
        <w:rPr>
          <w:b/>
        </w:rPr>
        <w:t>ure</w:t>
      </w:r>
      <w:r w:rsidRPr="00503A14">
        <w:rPr>
          <w:b/>
        </w:rPr>
        <w:t xml:space="preserve"> </w:t>
      </w:r>
      <w:r w:rsidR="00434F66" w:rsidRPr="00503A14">
        <w:rPr>
          <w:b/>
        </w:rPr>
        <w:t>10C</w:t>
      </w:r>
      <w:r w:rsidR="00434F66">
        <w:t xml:space="preserve"> </w:t>
      </w:r>
      <w:r>
        <w:t xml:space="preserve">was taken simultaneously with the XBIV measurement. To collect enough XRF counts, the dwell time per pixel was 0.5 s for </w:t>
      </w:r>
      <w:r w:rsidRPr="00503A14">
        <w:rPr>
          <w:b/>
        </w:rPr>
        <w:t>Fig</w:t>
      </w:r>
      <w:r w:rsidR="00503A14" w:rsidRPr="00503A14">
        <w:rPr>
          <w:b/>
        </w:rPr>
        <w:t>ure</w:t>
      </w:r>
      <w:r w:rsidRPr="00503A14">
        <w:rPr>
          <w:b/>
        </w:rPr>
        <w:t xml:space="preserve"> </w:t>
      </w:r>
      <w:r w:rsidR="00434F66" w:rsidRPr="00503A14">
        <w:rPr>
          <w:b/>
        </w:rPr>
        <w:t>10B</w:t>
      </w:r>
      <w:r w:rsidRPr="00503A14">
        <w:rPr>
          <w:b/>
        </w:rPr>
        <w:t>-C</w:t>
      </w:r>
      <w:r>
        <w:t xml:space="preserve"> as compared to 0.01 s in </w:t>
      </w:r>
      <w:r w:rsidRPr="00503A14">
        <w:rPr>
          <w:b/>
        </w:rPr>
        <w:t>Fig</w:t>
      </w:r>
      <w:r w:rsidR="00503A14" w:rsidRPr="00503A14">
        <w:rPr>
          <w:b/>
        </w:rPr>
        <w:t>ure</w:t>
      </w:r>
      <w:r w:rsidRPr="00503A14">
        <w:rPr>
          <w:b/>
        </w:rPr>
        <w:t xml:space="preserve"> </w:t>
      </w:r>
      <w:r w:rsidR="00434F66" w:rsidRPr="00503A14">
        <w:rPr>
          <w:b/>
        </w:rPr>
        <w:t>10A</w:t>
      </w:r>
      <w:r>
        <w:t>. Accordingly, a lower cut-off frequency in the low-pass filter for the XBIV measurement could be used compared to the XBIC measurement (10.27 Hz vs. 501.1 Hz</w:t>
      </w:r>
      <w:r w:rsidR="001F01BC">
        <w:t>, both with roll-off 48 dB/oct</w:t>
      </w:r>
      <w:r>
        <w:t>).</w:t>
      </w:r>
      <w:r w:rsidR="006268A0">
        <w:t xml:space="preserve"> For XBIV measurements alone, we could have used the same dwell time and low-pass filter settings as for the XBIC measurement with similar signal-to-noise ratio. However, it was overall more time-efficient to combine XBIV with XRF measurements with the XRF measurement governing the dwell time, than performing separate XBIV and XRF measurements.</w:t>
      </w:r>
    </w:p>
    <w:p w14:paraId="4206F810" w14:textId="77777777" w:rsidR="003A7E39" w:rsidRDefault="003A7E39" w:rsidP="00F22EB6"/>
    <w:p w14:paraId="4F863A11" w14:textId="3962D550" w:rsidR="004B734F" w:rsidRDefault="004B734F" w:rsidP="00F22EB6">
      <w:r>
        <w:t xml:space="preserve">Comparing </w:t>
      </w:r>
      <w:r w:rsidRPr="00503A14">
        <w:rPr>
          <w:b/>
        </w:rPr>
        <w:t>Fig</w:t>
      </w:r>
      <w:r w:rsidR="00503A14" w:rsidRPr="00503A14">
        <w:rPr>
          <w:b/>
        </w:rPr>
        <w:t>ure</w:t>
      </w:r>
      <w:r w:rsidRPr="00503A14">
        <w:rPr>
          <w:b/>
        </w:rPr>
        <w:t xml:space="preserve"> </w:t>
      </w:r>
      <w:r w:rsidR="00434F66" w:rsidRPr="00503A14">
        <w:rPr>
          <w:b/>
        </w:rPr>
        <w:t>10</w:t>
      </w:r>
      <w:proofErr w:type="gramStart"/>
      <w:r w:rsidR="00434F66" w:rsidRPr="00503A14">
        <w:rPr>
          <w:b/>
        </w:rPr>
        <w:t>A</w:t>
      </w:r>
      <w:r w:rsidR="00503A14" w:rsidRPr="00503A14">
        <w:rPr>
          <w:b/>
        </w:rPr>
        <w:t>,</w:t>
      </w:r>
      <w:r w:rsidR="00434F66" w:rsidRPr="00503A14">
        <w:rPr>
          <w:b/>
        </w:rPr>
        <w:t>B</w:t>
      </w:r>
      <w:proofErr w:type="gramEnd"/>
      <w:r>
        <w:t xml:space="preserve">, we note that the </w:t>
      </w:r>
      <w:r w:rsidR="00774812">
        <w:t>short-</w:t>
      </w:r>
      <w:r>
        <w:t xml:space="preserve">circuit current </w:t>
      </w:r>
      <m:oMath>
        <m:sSub>
          <m:sSubPr>
            <m:ctrlPr>
              <w:rPr>
                <w:rFonts w:ascii="Cambria Math" w:hAnsi="Cambria Math"/>
                <w:i/>
              </w:rPr>
            </m:ctrlPr>
          </m:sSubPr>
          <m:e>
            <m:r>
              <w:rPr>
                <w:rFonts w:ascii="Cambria Math" w:hAnsi="Cambria Math"/>
              </w:rPr>
              <m:t>I</m:t>
            </m:r>
          </m:e>
          <m:sub>
            <m:r>
              <m:rPr>
                <m:sty m:val="p"/>
              </m:rPr>
              <w:rPr>
                <w:rFonts w:ascii="Cambria Math" w:hAnsi="Cambria Math"/>
              </w:rPr>
              <m:t>sc</m:t>
            </m:r>
          </m:sub>
        </m:sSub>
      </m:oMath>
      <w:r>
        <w:t xml:space="preserve">, measured as XBIC, and the open circuit voltage </w:t>
      </w:r>
      <m:oMath>
        <m:sSub>
          <m:sSubPr>
            <m:ctrlPr>
              <w:rPr>
                <w:rFonts w:ascii="Cambria Math" w:hAnsi="Cambria Math"/>
                <w:i/>
              </w:rPr>
            </m:ctrlPr>
          </m:sSubPr>
          <m:e>
            <m:r>
              <w:rPr>
                <w:rFonts w:ascii="Cambria Math" w:hAnsi="Cambria Math"/>
              </w:rPr>
              <m:t>V</m:t>
            </m:r>
          </m:e>
          <m:sub>
            <m:r>
              <m:rPr>
                <m:sty m:val="p"/>
              </m:rPr>
              <w:rPr>
                <w:rFonts w:ascii="Cambria Math" w:hAnsi="Cambria Math"/>
              </w:rPr>
              <m:t>oc</m:t>
            </m:r>
          </m:sub>
        </m:sSub>
      </m:oMath>
      <w:r>
        <w:t>, measured as XBIV, are correlated: large high</w:t>
      </w:r>
      <w:r w:rsidR="00A05A6B">
        <w:t>-</w:t>
      </w:r>
      <w:r>
        <w:t xml:space="preserve"> and </w:t>
      </w:r>
      <w:r w:rsidR="00A05A6B">
        <w:t>low-</w:t>
      </w:r>
      <w:r>
        <w:t>performing areas are visible in both measurement modes. This indicates that local thickness variations and/or recombination dominate the performance</w:t>
      </w:r>
      <w:r w:rsidR="00A0446D">
        <w:t xml:space="preserve"> here,</w:t>
      </w:r>
      <w:r>
        <w:t xml:space="preserve"> rather than bandgap variations, which would lead to opposite trends in XBIC and XBIV</w:t>
      </w:r>
      <w:r>
        <w:fldChar w:fldCharType="begin" w:fldLock="1"/>
      </w:r>
      <w:r w:rsidR="008F7C07">
        <w:instrText>ADDIN CSL_CITATION {"citationItems":[{"id":"ITEM-1","itemData":{"author":[{"dropping-particle":"","family":"Stuckelberger","given":"Michael E","non-dropping-particle":"","parse-names":false,"suffix":""},{"dropping-particle":"","family":"Nietzold","given":"Tara","non-dropping-particle":"","parse-names":false,"suffix":""},{"dropping-particle":"","family":"West","given":"Bradley M","non-dropping-particle":"","parse-names":false,"suffix":""},{"dropping-particle":"","family":"Lai","given":"Barry","non-dropping-particle":"","parse-names":false,"suffix":""},{"dropping-particle":"","family":"Maser","given":"M","non-dropping-particle":"","parse-names":false,"suffix":""},{"dropping-particle":"","family":"Rose","given":"Volker","non-dropping-particle":"","parse-names":false,"suffix":""},{"dropping-particle":"","family":"Bertoni","given":"Mariana I","non-dropping-particle":"","parse-names":false,"suffix":""}],"container-title":"2017 IEEE 44th Photovoltaic Specialist Conference, PVSC 2017","id":"ITEM-1","issued":{"date-parts":[["2017"]]},"title":"X-Ray Beam Induced Voltage: A Novel Technique for Electrical Nanocharacterization of Solar Cells","type":"article-journal"},"uris":["http://www.mendeley.com/documents/?uuid=4dde74b1-f089-47e8-abb8-92450878c3a5"]}],"mendeley":{"formattedCitation":"&lt;sup&gt;28&lt;/sup&gt;","plainTextFormattedCitation":"28","previouslyFormattedCitation":"&lt;sup&gt;28&lt;/sup&gt;"},"properties":{"noteIndex":0},"schema":"https://github.com/citation-style-language/schema/raw/master/csl-citation.json"}</w:instrText>
      </w:r>
      <w:r>
        <w:fldChar w:fldCharType="separate"/>
      </w:r>
      <w:r w:rsidR="001E7A73" w:rsidRPr="001E7A73">
        <w:rPr>
          <w:noProof/>
          <w:vertAlign w:val="superscript"/>
        </w:rPr>
        <w:t>28</w:t>
      </w:r>
      <w:r>
        <w:fldChar w:fldCharType="end"/>
      </w:r>
      <w:r w:rsidR="00D51BB7">
        <w:t>.</w:t>
      </w:r>
    </w:p>
    <w:p w14:paraId="38F4A7C0" w14:textId="77777777" w:rsidR="003A7E39" w:rsidRDefault="003A7E39" w:rsidP="00F22EB6"/>
    <w:p w14:paraId="6B6E73AB" w14:textId="10C5DBAC" w:rsidR="004B734F" w:rsidRDefault="004B734F" w:rsidP="00F22EB6">
      <w:r>
        <w:t xml:space="preserve">Further, taking </w:t>
      </w:r>
      <w:r w:rsidRPr="00503A14">
        <w:rPr>
          <w:b/>
        </w:rPr>
        <w:t>Fig</w:t>
      </w:r>
      <w:r w:rsidR="00503A14" w:rsidRPr="00503A14">
        <w:rPr>
          <w:b/>
        </w:rPr>
        <w:t>ure</w:t>
      </w:r>
      <w:r w:rsidRPr="00503A14">
        <w:rPr>
          <w:b/>
        </w:rPr>
        <w:t xml:space="preserve"> </w:t>
      </w:r>
      <w:r w:rsidR="00434F66" w:rsidRPr="00503A14">
        <w:rPr>
          <w:b/>
        </w:rPr>
        <w:t>10C</w:t>
      </w:r>
      <w:r w:rsidR="00434F66">
        <w:t xml:space="preserve"> </w:t>
      </w:r>
      <w:r>
        <w:t xml:space="preserve">into account, one can see that certain areas with low performance such as at </w:t>
      </w:r>
      <m:oMath>
        <m:d>
          <m:dPr>
            <m:ctrlPr>
              <w:rPr>
                <w:rFonts w:ascii="Cambria Math" w:hAnsi="Cambria Math"/>
                <w:i/>
              </w:rPr>
            </m:ctrlPr>
          </m:dPr>
          <m:e>
            <m:r>
              <w:rPr>
                <w:rFonts w:ascii="Cambria Math" w:hAnsi="Cambria Math"/>
              </w:rPr>
              <m:t>X,Y</m:t>
            </m:r>
          </m:e>
        </m:d>
        <m:r>
          <w:rPr>
            <w:rFonts w:ascii="Cambria Math" w:hAnsi="Cambria Math"/>
          </w:rPr>
          <m:t xml:space="preserve">≈(1.7 </m:t>
        </m:r>
        <m:r>
          <m:rPr>
            <m:nor/>
          </m:rPr>
          <w:rPr>
            <w:rFonts w:ascii="Cambria Math" w:hAnsi="Cambria Math"/>
          </w:rPr>
          <m:t>μm</m:t>
        </m:r>
        <m:r>
          <w:rPr>
            <w:rFonts w:ascii="Cambria Math" w:hAnsi="Cambria Math"/>
          </w:rPr>
          <m:t xml:space="preserve">, 6.7 </m:t>
        </m:r>
        <m:r>
          <m:rPr>
            <m:nor/>
          </m:rPr>
          <w:rPr>
            <w:rFonts w:ascii="Cambria Math" w:hAnsi="Cambria Math"/>
          </w:rPr>
          <m:t>μm</m:t>
        </m:r>
        <m:r>
          <w:rPr>
            <w:rFonts w:ascii="Cambria Math" w:hAnsi="Cambria Math"/>
          </w:rPr>
          <m:t>)</m:t>
        </m:r>
      </m:oMath>
      <w:r>
        <w:t xml:space="preserve"> cor</w:t>
      </w:r>
      <w:r w:rsidR="00D95015">
        <w:t>relate with low Cu count rate</w:t>
      </w:r>
      <w:r>
        <w:t xml:space="preserve">, whereas performance is not </w:t>
      </w:r>
      <w:r w:rsidR="00D95015">
        <w:t>correlated with</w:t>
      </w:r>
      <w:r>
        <w:t xml:space="preserve"> the Cu co</w:t>
      </w:r>
      <w:r w:rsidR="00D95015">
        <w:t xml:space="preserve">unt rate </w:t>
      </w:r>
      <w:r>
        <w:t>in other areas.</w:t>
      </w:r>
    </w:p>
    <w:p w14:paraId="03823880" w14:textId="77777777" w:rsidR="00FC1DB6" w:rsidRPr="00552035" w:rsidRDefault="00FC1DB6" w:rsidP="00F22EB6">
      <w:pPr>
        <w:rPr>
          <w:b/>
        </w:rPr>
      </w:pPr>
    </w:p>
    <w:p w14:paraId="5EA4AB3B" w14:textId="35E5B0F4" w:rsidR="00F90EDC" w:rsidRPr="00552035" w:rsidRDefault="00756D2A" w:rsidP="00F22EB6">
      <w:pPr>
        <w:pStyle w:val="ac"/>
        <w:numPr>
          <w:ilvl w:val="0"/>
          <w:numId w:val="29"/>
        </w:numPr>
        <w:ind w:left="0" w:firstLine="0"/>
        <w:rPr>
          <w:b/>
        </w:rPr>
      </w:pPr>
      <w:r w:rsidRPr="00552035">
        <w:rPr>
          <w:b/>
        </w:rPr>
        <w:t xml:space="preserve">Application 3: </w:t>
      </w:r>
      <w:r w:rsidR="00FC1DB6" w:rsidRPr="00552035">
        <w:rPr>
          <w:b/>
        </w:rPr>
        <w:t>XBIC and XRF o</w:t>
      </w:r>
      <w:r w:rsidRPr="00552035">
        <w:rPr>
          <w:b/>
        </w:rPr>
        <w:t>f</w:t>
      </w:r>
      <w:r w:rsidR="00A15D05" w:rsidRPr="00552035">
        <w:rPr>
          <w:b/>
        </w:rPr>
        <w:t xml:space="preserve"> a N</w:t>
      </w:r>
      <w:r w:rsidR="00FC1DB6" w:rsidRPr="00552035">
        <w:rPr>
          <w:b/>
        </w:rPr>
        <w:t>anowire</w:t>
      </w:r>
    </w:p>
    <w:p w14:paraId="379D04A9" w14:textId="11BD3C59" w:rsidR="00C058D6" w:rsidRDefault="00774812" w:rsidP="00F22EB6">
      <w:r>
        <w:t>Beyond solar cells, c</w:t>
      </w:r>
      <w:r w:rsidR="00731360">
        <w:t>ontacted nanowires</w:t>
      </w:r>
      <w:r w:rsidR="004B734F">
        <w:fldChar w:fldCharType="begin" w:fldLock="1"/>
      </w:r>
      <w:r w:rsidR="00155F86">
        <w:instrText>ADDIN CSL_CITATION {"citationItems":[{"id":"ITEM-1","itemData":{"DOI":"10.1088/1361-6528/aadc76","ISSN":"13616528","author":[{"dropping-particle":"","family":"Chayanun","given":"Lert","non-dropping-particle":"","parse-names":false,"suffix":""},{"dropping-particle":"","family":"Dagyte","given":"Vilgaile","non-dropping-particle":"","parse-names":false,"suffix":""},{"dropping-particle":"","family":"Troian","given":"Andrea","non-dropping-particle":"","parse-names":false,"suffix":""},{"dropping-particle":"","family":"Salomon","given":"Damien","non-dropping-particle":"","parse-names":false,"suffix":""},{"dropping-particle":"","family":"Borgström","given":"Magnus","non-dropping-particle":"","parse-names":false,"suffix":""},{"dropping-particle":"","family":"Wallentin","given":"Jesper","non-dropping-particle":"","parse-names":false,"suffix":""}],"container-title":"Nanotechnology","id":"ITEM-1","issue":"45","issued":{"date-parts":[["2018"]]},"title":"Spectrally resolved x-ray beam induced current in a single InGaP nanowire","type":"article-journal","volume":"29"},"uris":["http://www.mendeley.com/documents/?uuid=95a57cb3-3734-4102-8721-e68619f24d62"]}],"mendeley":{"formattedCitation":"&lt;sup&gt;24&lt;/sup&gt;","plainTextFormattedCitation":"24","previouslyFormattedCitation":"&lt;sup&gt;24&lt;/sup&gt;"},"properties":{"noteIndex":0},"schema":"https://github.com/citation-style-language/schema/raw/master/csl-citation.json"}</w:instrText>
      </w:r>
      <w:r w:rsidR="004B734F">
        <w:fldChar w:fldCharType="separate"/>
      </w:r>
      <w:r w:rsidR="001E7A73" w:rsidRPr="001E7A73">
        <w:rPr>
          <w:noProof/>
          <w:vertAlign w:val="superscript"/>
        </w:rPr>
        <w:t>24</w:t>
      </w:r>
      <w:r w:rsidR="004B734F">
        <w:fldChar w:fldCharType="end"/>
      </w:r>
      <w:r w:rsidR="00731360">
        <w:t xml:space="preserve"> or nano-sheets, as well as quantum dots</w:t>
      </w:r>
      <w:r w:rsidR="00ED757B">
        <w:t>,</w:t>
      </w:r>
      <w:r w:rsidR="00731360">
        <w:t xml:space="preserve"> </w:t>
      </w:r>
      <w:r w:rsidR="008956B9">
        <w:t>are other examples of</w:t>
      </w:r>
      <w:r w:rsidR="00731360">
        <w:t xml:space="preserve"> DUT</w:t>
      </w:r>
      <w:r w:rsidR="008956B9">
        <w:t xml:space="preserve"> that can profit from lock-in amplified XBIC measurements</w:t>
      </w:r>
      <w:r w:rsidR="00731360">
        <w:t xml:space="preserve">. </w:t>
      </w:r>
      <w:r w:rsidR="00306536">
        <w:t>For demonstration</w:t>
      </w:r>
      <w:r w:rsidR="00882519">
        <w:t>,</w:t>
      </w:r>
      <w:r w:rsidR="00731360">
        <w:t xml:space="preserve"> </w:t>
      </w:r>
      <w:r w:rsidR="00731360" w:rsidRPr="00503A14">
        <w:rPr>
          <w:b/>
        </w:rPr>
        <w:t>Fig</w:t>
      </w:r>
      <w:r w:rsidR="00503A14" w:rsidRPr="00503A14">
        <w:rPr>
          <w:b/>
        </w:rPr>
        <w:t>ure</w:t>
      </w:r>
      <w:r w:rsidR="00731360" w:rsidRPr="00503A14">
        <w:rPr>
          <w:b/>
        </w:rPr>
        <w:t xml:space="preserve"> </w:t>
      </w:r>
      <w:r w:rsidR="006C118C" w:rsidRPr="00503A14">
        <w:rPr>
          <w:b/>
        </w:rPr>
        <w:t>11A</w:t>
      </w:r>
      <w:r w:rsidR="006C118C">
        <w:t xml:space="preserve"> </w:t>
      </w:r>
      <w:r w:rsidR="00882519">
        <w:t xml:space="preserve">shows the elemental distribution from XRF measurements, and </w:t>
      </w:r>
      <w:r w:rsidR="00882519" w:rsidRPr="00503A14">
        <w:rPr>
          <w:b/>
        </w:rPr>
        <w:t>Fig</w:t>
      </w:r>
      <w:r w:rsidR="00503A14" w:rsidRPr="00503A14">
        <w:rPr>
          <w:b/>
        </w:rPr>
        <w:t>ure</w:t>
      </w:r>
      <w:r w:rsidR="00882519" w:rsidRPr="00503A14">
        <w:rPr>
          <w:b/>
        </w:rPr>
        <w:t xml:space="preserve"> </w:t>
      </w:r>
      <w:r w:rsidR="006C118C" w:rsidRPr="00503A14">
        <w:rPr>
          <w:b/>
        </w:rPr>
        <w:t>11B</w:t>
      </w:r>
      <w:r w:rsidR="006C118C">
        <w:t xml:space="preserve"> </w:t>
      </w:r>
      <w:r w:rsidR="00882519">
        <w:t>the corresponding XBIC map</w:t>
      </w:r>
      <w:r w:rsidR="00306536">
        <w:t xml:space="preserve"> of a </w:t>
      </w:r>
      <w:proofErr w:type="spellStart"/>
      <w:r w:rsidR="00306536">
        <w:t>CdS</w:t>
      </w:r>
      <w:proofErr w:type="spellEnd"/>
      <w:r w:rsidR="00306536">
        <w:t xml:space="preserve"> nanowire</w:t>
      </w:r>
      <w:r w:rsidR="00882519">
        <w:t>. T</w:t>
      </w:r>
      <w:r w:rsidR="007C696B">
        <w:t xml:space="preserve">he two contacts made of Pt and the </w:t>
      </w:r>
      <w:proofErr w:type="spellStart"/>
      <w:r w:rsidR="007C696B">
        <w:t>CdS</w:t>
      </w:r>
      <w:proofErr w:type="spellEnd"/>
      <w:r w:rsidR="007C696B">
        <w:t xml:space="preserve"> wire are clearly distinguishabl</w:t>
      </w:r>
      <w:r w:rsidR="009026AD">
        <w:t>e</w:t>
      </w:r>
      <w:r w:rsidR="00882519">
        <w:t>, and t</w:t>
      </w:r>
      <w:r w:rsidR="009026AD">
        <w:t>he XBIC signal shows a matching electrical response</w:t>
      </w:r>
      <w:r w:rsidR="00882519">
        <w:t xml:space="preserve">. Particularly noteworthy is the fact that XBIC can unveil the electrical performance of the nanowire underneath the Pt contact, which is unique to X-ray nanoprobes </w:t>
      </w:r>
      <w:r w:rsidR="0011341B">
        <w:t xml:space="preserve">and </w:t>
      </w:r>
      <w:r w:rsidR="006449FC">
        <w:t xml:space="preserve">attributable </w:t>
      </w:r>
      <w:r w:rsidR="00882519">
        <w:t>to the high penetration depth</w:t>
      </w:r>
      <w:r w:rsidR="009B6EC9">
        <w:t xml:space="preserve"> of hard X-rays</w:t>
      </w:r>
      <w:r w:rsidR="00882519">
        <w:t xml:space="preserve">. </w:t>
      </w:r>
      <w:r w:rsidR="00C058D6">
        <w:t xml:space="preserve">The complementation of material composition and electrical properties of the </w:t>
      </w:r>
      <w:r w:rsidR="00882519">
        <w:t>nano</w:t>
      </w:r>
      <w:r w:rsidR="00C058D6">
        <w:t xml:space="preserve">wire </w:t>
      </w:r>
      <w:r w:rsidR="009026AD">
        <w:t>exemplarily demonstrate</w:t>
      </w:r>
      <w:r w:rsidR="00882519">
        <w:t>s</w:t>
      </w:r>
      <w:r w:rsidR="009026AD">
        <w:t xml:space="preserve"> the </w:t>
      </w:r>
      <w:r w:rsidR="00A6787F">
        <w:t>advantages of multi-modal X-ray measurements.</w:t>
      </w:r>
    </w:p>
    <w:p w14:paraId="07063AC7" w14:textId="3A85327E" w:rsidR="00BF5A07" w:rsidRDefault="00BF5A07" w:rsidP="00F22EB6"/>
    <w:p w14:paraId="22EECF23" w14:textId="1C0493E6" w:rsidR="00D536A5" w:rsidRDefault="00D536A5" w:rsidP="00F22EB6">
      <w:pPr>
        <w:rPr>
          <w:b/>
        </w:rPr>
      </w:pPr>
      <w:r w:rsidRPr="003A7E39">
        <w:rPr>
          <w:b/>
        </w:rPr>
        <w:t>FIGURE LEGENDS:</w:t>
      </w:r>
    </w:p>
    <w:p w14:paraId="5FD24E60" w14:textId="46F68272" w:rsidR="003A7E39" w:rsidRDefault="003A7E39" w:rsidP="003A7E39">
      <w:r w:rsidRPr="003A7E39">
        <w:rPr>
          <w:b/>
        </w:rPr>
        <w:t>Figure 1: Setup for lock-in amplified X-ray beam induced current (XBIC) measurements on a device under test (DUT).</w:t>
      </w:r>
      <w:r>
        <w:t xml:space="preserve"> The beam path is depicted in red. The green forms indicate optional X-ray fluorescence (XRF) and area detectors for multi-modal measurements, yellow indicates optional bias light assuming the front part of the solar cell facing downstream. Hardware components for XBIC measurements are colored black, while XBIC signal paths are blue with signal outputs and inputs shown as filled and empty circles, respectively. Before the data acquisition (DAQ), the DC (direct current) and AC (alternating current) signal is converted from a voltage to a frequency (V2F). For alternative signal paths we refer to part (a) of the discussion section.</w:t>
      </w:r>
    </w:p>
    <w:p w14:paraId="79F72D5F" w14:textId="77777777" w:rsidR="00D63072" w:rsidRDefault="00D63072" w:rsidP="003A7E39"/>
    <w:p w14:paraId="100762EF" w14:textId="3EFA3E1A" w:rsidR="00D63072" w:rsidRDefault="00D63072" w:rsidP="00D63072">
      <w:r w:rsidRPr="003A7E39">
        <w:rPr>
          <w:b/>
        </w:rPr>
        <w:t xml:space="preserve">Figure </w:t>
      </w:r>
      <w:r w:rsidR="00213514">
        <w:rPr>
          <w:b/>
        </w:rPr>
        <w:t>2</w:t>
      </w:r>
      <w:r w:rsidRPr="003A7E39">
        <w:rPr>
          <w:b/>
        </w:rPr>
        <w:t xml:space="preserve">: Example of a kinematic sample holder optimized for multimodal X-ray microscopy measurements including X-ray beam induced current. </w:t>
      </w:r>
      <w:r w:rsidRPr="00F22EB6">
        <w:t>Thin copper wires are mounted onto the front and back contacts of a</w:t>
      </w:r>
      <w:r w:rsidRPr="00923786">
        <w:t xml:space="preserve"> </w:t>
      </w:r>
      <w:proofErr w:type="gramStart"/>
      <w:r w:rsidRPr="00923786">
        <w:t>Cu(</w:t>
      </w:r>
      <w:proofErr w:type="gramEnd"/>
      <w:r w:rsidRPr="00923786">
        <w:t>In,Ga)Se</w:t>
      </w:r>
      <w:r w:rsidRPr="00923786">
        <w:rPr>
          <w:vertAlign w:val="subscript"/>
        </w:rPr>
        <w:t>2</w:t>
      </w:r>
      <w:r w:rsidRPr="00F22EB6">
        <w:t xml:space="preserve"> </w:t>
      </w:r>
      <w:r w:rsidRPr="00923786">
        <w:t>(</w:t>
      </w:r>
      <w:r w:rsidRPr="00F22EB6">
        <w:t>CIGS</w:t>
      </w:r>
      <w:r w:rsidRPr="00923786">
        <w:t>)</w:t>
      </w:r>
      <w:r w:rsidRPr="00F22EB6">
        <w:t xml:space="preserve"> solar cell with silver paint, and connected to the PCB contacts. Polyimide tape is used to separate the wires, avoiding short-circuiting of the sample.</w:t>
      </w:r>
    </w:p>
    <w:p w14:paraId="05EE7482" w14:textId="77777777" w:rsidR="00D63072" w:rsidRDefault="00D63072" w:rsidP="00D63072"/>
    <w:p w14:paraId="27F84581" w14:textId="77777777" w:rsidR="00D63072" w:rsidRPr="00D63072" w:rsidRDefault="00D63072" w:rsidP="00D63072">
      <w:pPr>
        <w:rPr>
          <w:b/>
        </w:rPr>
      </w:pPr>
      <w:r w:rsidRPr="00D63072">
        <w:rPr>
          <w:b/>
        </w:rPr>
        <w:t xml:space="preserve">Figure 3: Pre-amplified solar cell response upon irradiation with bias light and modulated beam. </w:t>
      </w:r>
      <w:r w:rsidRPr="00D63072">
        <w:t>Top row without bias light, bottom row with bias light: A &amp; D – beam off; B &amp; E – beam on; C &amp; F – zoom into the red rectangle of B &amp; E.</w:t>
      </w:r>
    </w:p>
    <w:p w14:paraId="421744C6" w14:textId="77777777" w:rsidR="003A7E39" w:rsidRPr="00923786" w:rsidRDefault="003A7E39" w:rsidP="003A7E39"/>
    <w:p w14:paraId="5950D5B0" w14:textId="77777777" w:rsidR="003A7E39" w:rsidRPr="003A7E39" w:rsidRDefault="003A7E39" w:rsidP="003A7E39">
      <w:pPr>
        <w:rPr>
          <w:b/>
        </w:rPr>
      </w:pPr>
      <w:r w:rsidRPr="003A7E39">
        <w:rPr>
          <w:b/>
        </w:rPr>
        <w:t>Figure 4: Solar cell response after pre-amplification with three different filter rise times (10 µs – blue, 100 µs – red, 1 </w:t>
      </w:r>
      <w:proofErr w:type="spellStart"/>
      <w:r w:rsidRPr="003A7E39">
        <w:rPr>
          <w:b/>
        </w:rPr>
        <w:t>ms</w:t>
      </w:r>
      <w:proofErr w:type="spellEnd"/>
      <w:r w:rsidRPr="003A7E39">
        <w:rPr>
          <w:b/>
        </w:rPr>
        <w:t xml:space="preserve"> – green) in the pre-amplifier.</w:t>
      </w:r>
    </w:p>
    <w:p w14:paraId="23EF5B46" w14:textId="46628527" w:rsidR="003A7E39" w:rsidRDefault="003A7E39" w:rsidP="003A7E39">
      <w:pPr>
        <w:rPr>
          <w:b/>
        </w:rPr>
      </w:pPr>
    </w:p>
    <w:p w14:paraId="7E622723" w14:textId="58CD2B09" w:rsidR="003A7E39" w:rsidRDefault="003A7E39" w:rsidP="003A7E39">
      <w:r w:rsidRPr="003A7E39">
        <w:rPr>
          <w:b/>
        </w:rPr>
        <w:t xml:space="preserve">Figure </w:t>
      </w:r>
      <w:r w:rsidR="00D038D2">
        <w:rPr>
          <w:b/>
        </w:rPr>
        <w:t>5</w:t>
      </w:r>
      <w:r w:rsidRPr="003A7E39">
        <w:rPr>
          <w:b/>
        </w:rPr>
        <w:t xml:space="preserve">: Lock-in amplified RMS amplitude </w:t>
      </w:r>
      <m:oMath>
        <m:r>
          <m:rPr>
            <m:sty m:val="bi"/>
          </m:rPr>
          <w:rPr>
            <w:rFonts w:ascii="Cambria Math" w:hAnsi="Cambria Math"/>
          </w:rPr>
          <m:t>R</m:t>
        </m:r>
      </m:oMath>
      <w:r w:rsidRPr="003A7E39">
        <w:rPr>
          <w:b/>
        </w:rPr>
        <w:t xml:space="preserve"> with low-pass filter cut-off frequencies </w:t>
      </w:r>
      <m:oMath>
        <m:sSub>
          <m:sSubPr>
            <m:ctrlPr>
              <w:rPr>
                <w:rFonts w:ascii="Cambria Math" w:hAnsi="Cambria Math"/>
                <w:b/>
                <w:i/>
              </w:rPr>
            </m:ctrlPr>
          </m:sSubPr>
          <m:e>
            <m:r>
              <m:rPr>
                <m:sty m:val="bi"/>
              </m:rPr>
              <w:rPr>
                <w:rFonts w:ascii="Cambria Math" w:hAnsi="Cambria Math"/>
              </w:rPr>
              <m:t>f</m:t>
            </m:r>
          </m:e>
          <m:sub>
            <m:r>
              <m:rPr>
                <m:nor/>
              </m:rPr>
              <w:rPr>
                <w:rFonts w:ascii="Cambria Math" w:hAnsi="Cambria Math"/>
                <w:b/>
              </w:rPr>
              <m:t>cut-off</m:t>
            </m:r>
          </m:sub>
        </m:sSub>
        <m:r>
          <m:rPr>
            <m:sty m:val="bi"/>
          </m:rPr>
          <w:rPr>
            <w:rFonts w:ascii="Cambria Math" w:hAnsi="Cambria Math"/>
          </w:rPr>
          <m:t xml:space="preserve">= </m:t>
        </m:r>
      </m:oMath>
      <w:r w:rsidRPr="003A7E39">
        <w:rPr>
          <w:b/>
        </w:rPr>
        <w:t xml:space="preserve">466.7 kHz (blue), </w:t>
      </w:r>
      <m:oMath>
        <m:sSub>
          <m:sSubPr>
            <m:ctrlPr>
              <w:rPr>
                <w:rFonts w:ascii="Cambria Math" w:hAnsi="Cambria Math"/>
                <w:b/>
                <w:i/>
              </w:rPr>
            </m:ctrlPr>
          </m:sSubPr>
          <m:e>
            <m:r>
              <m:rPr>
                <m:sty m:val="bi"/>
              </m:rPr>
              <w:rPr>
                <w:rFonts w:ascii="Cambria Math" w:hAnsi="Cambria Math"/>
              </w:rPr>
              <m:t>f</m:t>
            </m:r>
          </m:e>
          <m:sub>
            <m:r>
              <m:rPr>
                <m:nor/>
              </m:rPr>
              <w:rPr>
                <w:rFonts w:ascii="Cambria Math" w:hAnsi="Cambria Math"/>
                <w:b/>
              </w:rPr>
              <m:t>cut-off</m:t>
            </m:r>
          </m:sub>
        </m:sSub>
        <m:r>
          <m:rPr>
            <m:sty m:val="bi"/>
          </m:rPr>
          <w:rPr>
            <w:rFonts w:ascii="Cambria Math" w:hAnsi="Cambria Math"/>
          </w:rPr>
          <m:t xml:space="preserve">= </m:t>
        </m:r>
      </m:oMath>
      <w:r w:rsidRPr="003A7E39">
        <w:rPr>
          <w:b/>
        </w:rPr>
        <w:t xml:space="preserve">1 kHz (purple), </w:t>
      </w:r>
      <m:oMath>
        <m:sSub>
          <m:sSubPr>
            <m:ctrlPr>
              <w:rPr>
                <w:rFonts w:ascii="Cambria Math" w:hAnsi="Cambria Math"/>
                <w:b/>
                <w:i/>
              </w:rPr>
            </m:ctrlPr>
          </m:sSubPr>
          <m:e>
            <m:r>
              <m:rPr>
                <m:sty m:val="bi"/>
              </m:rPr>
              <w:rPr>
                <w:rFonts w:ascii="Cambria Math" w:hAnsi="Cambria Math"/>
              </w:rPr>
              <m:t>f</m:t>
            </m:r>
          </m:e>
          <m:sub>
            <m:r>
              <m:rPr>
                <m:nor/>
              </m:rPr>
              <w:rPr>
                <w:rFonts w:ascii="Cambria Math" w:hAnsi="Cambria Math"/>
                <w:b/>
              </w:rPr>
              <m:t>cut-off</m:t>
            </m:r>
          </m:sub>
        </m:sSub>
        <m:r>
          <m:rPr>
            <m:sty m:val="bi"/>
          </m:rPr>
          <w:rPr>
            <w:rFonts w:ascii="Cambria Math" w:hAnsi="Cambria Math"/>
          </w:rPr>
          <m:t xml:space="preserve">= </m:t>
        </m:r>
      </m:oMath>
      <w:r w:rsidRPr="003A7E39">
        <w:rPr>
          <w:b/>
        </w:rPr>
        <w:t xml:space="preserve">10.27 Hz (red), and constant filter roll-off 48 dB/oct. </w:t>
      </w:r>
      <w:r>
        <w:t xml:space="preserve">The DUT was a </w:t>
      </w:r>
      <w:proofErr w:type="gramStart"/>
      <w:r>
        <w:t>Cu(</w:t>
      </w:r>
      <w:proofErr w:type="gramEnd"/>
      <w:r>
        <w:t>In,Ga)Se</w:t>
      </w:r>
      <w:r>
        <w:rPr>
          <w:vertAlign w:val="subscript"/>
        </w:rPr>
        <w:t>2</w:t>
      </w:r>
      <w:r>
        <w:t xml:space="preserve"> solar cell with (A, B, C, D) and without (E, F, G, H) bias light applied. The times when the chopped photon beam was turned on and off are indicated in the figures as vertical dashed lines.</w:t>
      </w:r>
    </w:p>
    <w:p w14:paraId="4C9AF273" w14:textId="77777777" w:rsidR="003A7E39" w:rsidRDefault="003A7E39" w:rsidP="003A7E39">
      <w:pPr>
        <w:rPr>
          <w:b/>
        </w:rPr>
      </w:pPr>
    </w:p>
    <w:p w14:paraId="1559D25E" w14:textId="51F8EF2E" w:rsidR="00D038D2" w:rsidRDefault="00D038D2" w:rsidP="00D038D2">
      <w:r w:rsidRPr="003A7E39">
        <w:rPr>
          <w:b/>
        </w:rPr>
        <w:t xml:space="preserve">Figure </w:t>
      </w:r>
      <w:r>
        <w:rPr>
          <w:b/>
        </w:rPr>
        <w:t>6</w:t>
      </w:r>
      <w:r w:rsidRPr="003A7E39">
        <w:rPr>
          <w:b/>
        </w:rPr>
        <w:t>: Signal processing by the lock-in amplifier</w:t>
      </w:r>
      <w:r w:rsidRPr="003A7E39">
        <w:rPr>
          <w:b/>
        </w:rPr>
        <w:fldChar w:fldCharType="begin" w:fldLock="1"/>
      </w:r>
      <w:r w:rsidRPr="003A7E39">
        <w:rPr>
          <w:b/>
        </w:rPr>
        <w:instrText>ADDIN CSL_CITATION {"citationItems":[{"id":"ITEM-1","itemData":{"DOI":"10.1121/1.392931","ISBN":"978-1-4331-0954-6","abstract":"How does a lock-in amplifier work, and what should be considered when buying a state-of-the-art instrument? This whitepaper answers these questions and helps to increase the understanding of how lock-in amplifiers function. The lock-in detection technique is described both in the time and in the frequency domain. Moreover, details are laid out on how signal modulation can be exploited in order to improve on signal-to-noise ratio (SNR) while keeping acquisition time low. The paper also highlights the latest innovations in lock-in technology and the increasing range of tools and features which can be implemented in a single instrument.","author":[{"dropping-particle":"","family":"Zurich Instruments","given":"","non-dropping-particle":"","parse-names":false,"suffix":""}],"id":"ITEM-1","issue":"November","issued":{"date-parts":[["2016"]]},"page":"1-10","title":"Principles of Lock-in Detection","type":"article-journal"},"uris":["http://www.mendeley.com/documents/?uuid=4413f61e-8069-4a5f-a5c5-693a4c0c1df0"]}],"mendeley":{"formattedCitation":"&lt;sup&gt;31&lt;/sup&gt;","plainTextFormattedCitation":"31","previouslyFormattedCitation":"&lt;sup&gt;31&lt;/sup&gt;"},"properties":{"noteIndex":0},"schema":"https://github.com/citation-style-language/schema/raw/master/csl-citation.json"}</w:instrText>
      </w:r>
      <w:r w:rsidRPr="003A7E39">
        <w:rPr>
          <w:b/>
        </w:rPr>
        <w:fldChar w:fldCharType="separate"/>
      </w:r>
      <w:r w:rsidRPr="003A7E39">
        <w:rPr>
          <w:b/>
          <w:noProof/>
          <w:vertAlign w:val="superscript"/>
        </w:rPr>
        <w:t>31</w:t>
      </w:r>
      <w:r w:rsidRPr="003A7E39">
        <w:rPr>
          <w:b/>
        </w:rPr>
        <w:fldChar w:fldCharType="end"/>
      </w:r>
      <w:r w:rsidRPr="003A7E39">
        <w:rPr>
          <w:b/>
        </w:rPr>
        <w:t>.</w:t>
      </w:r>
      <w:r>
        <w:t xml:space="preserve"> </w:t>
      </w:r>
      <m:oMath>
        <m:sSub>
          <m:sSubPr>
            <m:ctrlPr>
              <w:rPr>
                <w:rFonts w:ascii="Cambria Math" w:hAnsi="Cambria Math"/>
                <w:i/>
              </w:rPr>
            </m:ctrlPr>
          </m:sSubPr>
          <m:e>
            <m:r>
              <w:rPr>
                <w:rFonts w:ascii="Cambria Math" w:hAnsi="Cambria Math"/>
              </w:rPr>
              <m:t>S</m:t>
            </m:r>
          </m:e>
          <m:sub>
            <m:r>
              <m:rPr>
                <m:sty m:val="p"/>
              </m:rPr>
              <w:rPr>
                <w:rFonts w:ascii="Cambria Math" w:hAnsi="Cambria Math"/>
              </w:rPr>
              <m:t>DUT</m:t>
            </m:r>
          </m:sub>
        </m:sSub>
      </m:oMath>
      <w:r>
        <w:t xml:space="preserve"> is the signal input from the DUT and </w:t>
      </w:r>
      <m:oMath>
        <m:sSub>
          <m:sSubPr>
            <m:ctrlPr>
              <w:rPr>
                <w:rFonts w:ascii="Cambria Math" w:hAnsi="Cambria Math"/>
                <w:i/>
              </w:rPr>
            </m:ctrlPr>
          </m:sSubPr>
          <m:e>
            <m:r>
              <w:rPr>
                <w:rFonts w:ascii="Cambria Math" w:hAnsi="Cambria Math"/>
              </w:rPr>
              <m:t>S</m:t>
            </m:r>
          </m:e>
          <m:sub>
            <m:r>
              <m:rPr>
                <m:sty m:val="p"/>
              </m:rPr>
              <w:rPr>
                <w:rFonts w:ascii="Cambria Math" w:hAnsi="Cambria Math"/>
              </w:rPr>
              <m:t>ref</m:t>
            </m:r>
          </m:sub>
        </m:sSub>
      </m:oMath>
      <w:r>
        <w:t xml:space="preserve"> is the reference signal from the </w:t>
      </w:r>
      <w:proofErr w:type="gramStart"/>
      <w:r>
        <w:t>chopper.</w:t>
      </w:r>
      <w:proofErr w:type="gramEnd"/>
    </w:p>
    <w:p w14:paraId="734273EB" w14:textId="77777777" w:rsidR="00D038D2" w:rsidRDefault="00D038D2" w:rsidP="003A7E39">
      <w:pPr>
        <w:rPr>
          <w:b/>
        </w:rPr>
      </w:pPr>
    </w:p>
    <w:p w14:paraId="17B2F7A3" w14:textId="5F6795EC" w:rsidR="003A7E39" w:rsidRDefault="003A7E39" w:rsidP="003A7E39">
      <w:r w:rsidRPr="003A7E39">
        <w:rPr>
          <w:b/>
        </w:rPr>
        <w:t>Figure 7: Effect of low-pass filter settings in the lock-in amplifier.</w:t>
      </w:r>
      <w:r>
        <w:t xml:space="preserve"> A – Attenuation by the low-pass filter in the frequency space for two time constants (</w:t>
      </w:r>
      <m:oMath>
        <m:sSub>
          <m:sSubPr>
            <m:ctrlPr>
              <w:rPr>
                <w:rFonts w:ascii="Cambria Math" w:hAnsi="Cambria Math"/>
                <w:i/>
              </w:rPr>
            </m:ctrlPr>
          </m:sSubPr>
          <m:e>
            <m:r>
              <w:rPr>
                <w:rFonts w:ascii="Cambria Math" w:hAnsi="Cambria Math"/>
              </w:rPr>
              <m:t>τ</m:t>
            </m:r>
          </m:e>
          <m:sub>
            <m:r>
              <m:rPr>
                <m:nor/>
              </m:rPr>
              <w:rPr>
                <w:rFonts w:ascii="Cambria Math" w:hAnsi="Cambria Math"/>
              </w:rPr>
              <m:t>c</m:t>
            </m:r>
          </m:sub>
        </m:sSub>
        <m:r>
          <w:rPr>
            <w:rFonts w:ascii="Cambria Math" w:hAnsi="Cambria Math"/>
          </w:rPr>
          <m:t>=100</m:t>
        </m:r>
      </m:oMath>
      <w:r>
        <w:t xml:space="preserve"> ms and </w:t>
      </w:r>
      <m:oMath>
        <m:sSub>
          <m:sSubPr>
            <m:ctrlPr>
              <w:rPr>
                <w:rFonts w:ascii="Cambria Math" w:hAnsi="Cambria Math"/>
                <w:i/>
              </w:rPr>
            </m:ctrlPr>
          </m:sSubPr>
          <m:e>
            <m:r>
              <w:rPr>
                <w:rFonts w:ascii="Cambria Math" w:hAnsi="Cambria Math"/>
              </w:rPr>
              <m:t>τ</m:t>
            </m:r>
          </m:e>
          <m:sub>
            <m:r>
              <m:rPr>
                <m:nor/>
              </m:rPr>
              <w:rPr>
                <w:rFonts w:ascii="Cambria Math" w:hAnsi="Cambria Math"/>
              </w:rPr>
              <m:t>c</m:t>
            </m:r>
          </m:sub>
        </m:sSub>
        <m:r>
          <w:rPr>
            <w:rFonts w:ascii="Cambria Math" w:hAnsi="Cambria Math"/>
          </w:rPr>
          <m:t>=0.1</m:t>
        </m:r>
      </m:oMath>
      <w:r>
        <w:t xml:space="preserve"> ms) and for filter orders 1 to 8. B – Transmitted signal response of the low-pass filter in the time space, in units of the time constant </w:t>
      </w:r>
      <m:oMath>
        <m:sSub>
          <m:sSubPr>
            <m:ctrlPr>
              <w:rPr>
                <w:rFonts w:ascii="Cambria Math" w:hAnsi="Cambria Math"/>
                <w:i/>
              </w:rPr>
            </m:ctrlPr>
          </m:sSubPr>
          <m:e>
            <m:r>
              <w:rPr>
                <w:rFonts w:ascii="Cambria Math" w:hAnsi="Cambria Math"/>
              </w:rPr>
              <m:t>τ</m:t>
            </m:r>
          </m:e>
          <m:sub>
            <m:r>
              <m:rPr>
                <m:nor/>
              </m:rPr>
              <w:rPr>
                <w:rFonts w:ascii="Cambria Math" w:hAnsi="Cambria Math"/>
              </w:rPr>
              <m:t>c</m:t>
            </m:r>
          </m:sub>
        </m:sSub>
      </m:oMath>
      <w:r>
        <w:t xml:space="preserve">, for filter orders 1 to 8 upon step-like change of the input signal from 0 to 1 at time 0 and from 1 to 0 at time </w:t>
      </w:r>
      <m:oMath>
        <m:r>
          <w:rPr>
            <w:rFonts w:ascii="Cambria Math" w:hAnsi="Cambria Math"/>
          </w:rPr>
          <m:t>20∙</m:t>
        </m:r>
        <m:sSub>
          <m:sSubPr>
            <m:ctrlPr>
              <w:rPr>
                <w:rFonts w:ascii="Cambria Math" w:hAnsi="Cambria Math"/>
                <w:i/>
              </w:rPr>
            </m:ctrlPr>
          </m:sSubPr>
          <m:e>
            <m:r>
              <w:rPr>
                <w:rFonts w:ascii="Cambria Math" w:hAnsi="Cambria Math"/>
              </w:rPr>
              <m:t>τ</m:t>
            </m:r>
          </m:e>
          <m:sub>
            <m:r>
              <m:rPr>
                <m:nor/>
              </m:rPr>
              <w:rPr>
                <w:rFonts w:ascii="Cambria Math" w:hAnsi="Cambria Math"/>
              </w:rPr>
              <m:t>c</m:t>
            </m:r>
          </m:sub>
        </m:sSub>
      </m:oMath>
      <w:r>
        <w:t>.</w:t>
      </w:r>
    </w:p>
    <w:p w14:paraId="792B19AE" w14:textId="77777777" w:rsidR="003A7E39" w:rsidRDefault="003A7E39" w:rsidP="003A7E39">
      <w:pPr>
        <w:rPr>
          <w:b/>
        </w:rPr>
      </w:pPr>
    </w:p>
    <w:p w14:paraId="2B7D8720" w14:textId="5BD588E8" w:rsidR="003A7E39" w:rsidRDefault="003A7E39" w:rsidP="003A7E39">
      <w:r w:rsidRPr="003A7E39">
        <w:rPr>
          <w:b/>
        </w:rPr>
        <w:t>Figure 8: Fly-scan measurement of a Cu(In,Ga)Se</w:t>
      </w:r>
      <w:r w:rsidRPr="003A7E39">
        <w:rPr>
          <w:b/>
          <w:vertAlign w:val="subscript"/>
        </w:rPr>
        <w:t>2</w:t>
      </w:r>
      <w:r w:rsidRPr="003A7E39">
        <w:rPr>
          <w:b/>
        </w:rPr>
        <w:t xml:space="preserve"> solar cell at beamline P06 at PETRA III, taken at 15.25 keV photon energy with a focused flux of about </w:t>
      </w:r>
      <m:oMath>
        <m:r>
          <m:rPr>
            <m:sty m:val="bi"/>
          </m:rPr>
          <w:rPr>
            <w:rFonts w:ascii="Cambria Math" w:hAnsi="Cambria Math"/>
          </w:rPr>
          <m:t>7×</m:t>
        </m:r>
        <m:sSup>
          <m:sSupPr>
            <m:ctrlPr>
              <w:rPr>
                <w:rFonts w:ascii="Cambria Math" w:hAnsi="Cambria Math"/>
                <w:b/>
                <w:i/>
              </w:rPr>
            </m:ctrlPr>
          </m:sSupPr>
          <m:e>
            <m:r>
              <m:rPr>
                <m:sty m:val="bi"/>
              </m:rPr>
              <w:rPr>
                <w:rFonts w:ascii="Cambria Math" w:hAnsi="Cambria Math"/>
              </w:rPr>
              <m:t>10</m:t>
            </m:r>
          </m:e>
          <m:sup>
            <m:r>
              <m:rPr>
                <m:sty m:val="bi"/>
              </m:rPr>
              <w:rPr>
                <w:rFonts w:ascii="Cambria Math" w:hAnsi="Cambria Math"/>
              </w:rPr>
              <m:t>9</m:t>
            </m:r>
          </m:sup>
        </m:sSup>
      </m:oMath>
      <w:r w:rsidRPr="003A7E39">
        <w:rPr>
          <w:b/>
        </w:rPr>
        <w:t xml:space="preserve"> ph/s. </w:t>
      </w:r>
      <w:r w:rsidR="00F7643D">
        <w:rPr>
          <w:b/>
        </w:rPr>
        <w:t>The</w:t>
      </w:r>
      <w:r w:rsidR="00F7643D" w:rsidRPr="003A7E39">
        <w:rPr>
          <w:b/>
        </w:rPr>
        <w:t xml:space="preserve"> </w:t>
      </w:r>
      <w:r w:rsidRPr="003A7E39">
        <w:rPr>
          <w:b/>
        </w:rPr>
        <w:t xml:space="preserve">PA was used with </w:t>
      </w:r>
      <m:oMath>
        <m:sSub>
          <m:sSubPr>
            <m:ctrlPr>
              <w:rPr>
                <w:rFonts w:ascii="Cambria Math" w:hAnsi="Cambria Math"/>
                <w:b/>
                <w:i/>
              </w:rPr>
            </m:ctrlPr>
          </m:sSubPr>
          <m:e>
            <m:r>
              <m:rPr>
                <m:sty m:val="bi"/>
              </m:rPr>
              <w:rPr>
                <w:rFonts w:ascii="Cambria Math" w:hAnsi="Cambria Math"/>
              </w:rPr>
              <m:t>A</m:t>
            </m:r>
          </m:e>
          <m:sub>
            <m:r>
              <m:rPr>
                <m:sty m:val="b"/>
              </m:rPr>
              <w:rPr>
                <w:rFonts w:ascii="Cambria Math" w:hAnsi="Cambria Math"/>
              </w:rPr>
              <m:t>PA</m:t>
            </m:r>
          </m:sub>
        </m:sSub>
      </m:oMath>
      <w:r w:rsidRPr="003A7E39">
        <w:rPr>
          <w:b/>
        </w:rPr>
        <w:t xml:space="preserve"> = 10</w:t>
      </w:r>
      <w:r w:rsidRPr="003A7E39">
        <w:rPr>
          <w:b/>
          <w:vertAlign w:val="superscript"/>
        </w:rPr>
        <w:t>6</w:t>
      </w:r>
      <w:r w:rsidRPr="003A7E39">
        <w:rPr>
          <w:b/>
        </w:rPr>
        <w:t xml:space="preserve"> V/A, and </w:t>
      </w:r>
      <w:r w:rsidR="00F7643D">
        <w:rPr>
          <w:b/>
        </w:rPr>
        <w:t xml:space="preserve">the </w:t>
      </w:r>
      <w:r w:rsidRPr="003A7E39">
        <w:rPr>
          <w:b/>
        </w:rPr>
        <w:t xml:space="preserve">LIA with </w:t>
      </w:r>
      <m:oMath>
        <m:sSub>
          <m:sSubPr>
            <m:ctrlPr>
              <w:rPr>
                <w:rFonts w:ascii="Cambria Math" w:hAnsi="Cambria Math"/>
                <w:b/>
                <w:i/>
              </w:rPr>
            </m:ctrlPr>
          </m:sSubPr>
          <m:e>
            <m:r>
              <m:rPr>
                <m:sty m:val="bi"/>
              </m:rPr>
              <w:rPr>
                <w:rFonts w:ascii="Cambria Math" w:hAnsi="Cambria Math"/>
              </w:rPr>
              <m:t>f</m:t>
            </m:r>
          </m:e>
          <m:sub>
            <m:r>
              <m:rPr>
                <m:nor/>
              </m:rPr>
              <w:rPr>
                <w:b/>
              </w:rPr>
              <m:t>cut-off</m:t>
            </m:r>
          </m:sub>
        </m:sSub>
        <m:box>
          <m:boxPr>
            <m:opEmu m:val="1"/>
            <m:ctrlPr>
              <w:rPr>
                <w:rFonts w:ascii="Cambria Math" w:hAnsi="Cambria Math"/>
                <w:b/>
                <w:i/>
              </w:rPr>
            </m:ctrlPr>
          </m:boxPr>
          <m:e>
            <m:r>
              <m:rPr>
                <m:sty m:val="bi"/>
              </m:rPr>
              <w:rPr>
                <w:rFonts w:ascii="Cambria Math" w:hAnsi="Cambria Math"/>
              </w:rPr>
              <m:t>=</m:t>
            </m:r>
            <m:r>
              <m:rPr>
                <m:sty m:val="b"/>
              </m:rPr>
              <w:rPr>
                <w:rFonts w:ascii="Cambria Math" w:hAnsi="Cambria Math"/>
              </w:rPr>
              <m:t>501.1 </m:t>
            </m:r>
          </m:e>
        </m:box>
      </m:oMath>
      <w:r w:rsidR="00213514">
        <w:rPr>
          <w:b/>
        </w:rPr>
        <w:t>Hz</w:t>
      </w:r>
      <w:r w:rsidRPr="003A7E39">
        <w:rPr>
          <w:b/>
        </w:rPr>
        <w:t xml:space="preserve"> (48 dB/oct).</w:t>
      </w:r>
      <w:r>
        <w:t xml:space="preserve"> A – dwell time, B – photon flux, C – X-ray beam induced current (XBIC); XBIC map normalized to: D – dwell time, E – photon flux normalized to its median value, F – dwell time and normalized photon flux.</w:t>
      </w:r>
    </w:p>
    <w:p w14:paraId="624EC5F1" w14:textId="77777777" w:rsidR="003A7E39" w:rsidRDefault="003A7E39" w:rsidP="003A7E39">
      <w:pPr>
        <w:rPr>
          <w:b/>
        </w:rPr>
      </w:pPr>
    </w:p>
    <w:p w14:paraId="424EB2BA" w14:textId="5994F2B4" w:rsidR="003A7E39" w:rsidRDefault="003A7E39" w:rsidP="003A7E39">
      <w:r w:rsidRPr="003A7E39">
        <w:rPr>
          <w:b/>
        </w:rPr>
        <w:t xml:space="preserve">Figure 9: X-ray beam induced current (XBIC) and X-ray fluorescence (XRF) measurements of a </w:t>
      </w:r>
      <w:proofErr w:type="gramStart"/>
      <w:r w:rsidRPr="003A7E39">
        <w:rPr>
          <w:b/>
        </w:rPr>
        <w:t>Cu(</w:t>
      </w:r>
      <w:proofErr w:type="gramEnd"/>
      <w:r w:rsidRPr="003A7E39">
        <w:rPr>
          <w:b/>
        </w:rPr>
        <w:t>In,Ga)Se</w:t>
      </w:r>
      <w:r w:rsidRPr="003A7E39">
        <w:rPr>
          <w:b/>
          <w:vertAlign w:val="subscript"/>
        </w:rPr>
        <w:t>2</w:t>
      </w:r>
      <w:r w:rsidRPr="003A7E39">
        <w:rPr>
          <w:b/>
        </w:rPr>
        <w:t xml:space="preserve"> solar cell, taken at the beamline ID16B at the European Synchrotron Radiation Facility with a focused flux on the order of </w:t>
      </w:r>
      <m:oMath>
        <m:sSup>
          <m:sSupPr>
            <m:ctrlPr>
              <w:rPr>
                <w:rFonts w:ascii="Cambria Math" w:hAnsi="Cambria Math"/>
                <w:b/>
                <w:i/>
              </w:rPr>
            </m:ctrlPr>
          </m:sSupPr>
          <m:e>
            <m:r>
              <m:rPr>
                <m:sty m:val="bi"/>
              </m:rPr>
              <w:rPr>
                <w:rFonts w:ascii="Cambria Math" w:hAnsi="Cambria Math"/>
              </w:rPr>
              <m:t>10</m:t>
            </m:r>
          </m:e>
          <m:sup>
            <m:r>
              <m:rPr>
                <m:sty m:val="bi"/>
              </m:rPr>
              <w:rPr>
                <w:rFonts w:ascii="Cambria Math" w:hAnsi="Cambria Math"/>
              </w:rPr>
              <m:t>8</m:t>
            </m:r>
          </m:sup>
        </m:sSup>
      </m:oMath>
      <w:r w:rsidRPr="003A7E39">
        <w:rPr>
          <w:b/>
        </w:rPr>
        <w:t xml:space="preserve"> ph/s.</w:t>
      </w:r>
      <w:r>
        <w:t xml:space="preserve"> </w:t>
      </w:r>
      <w:r w:rsidR="00F7643D">
        <w:t xml:space="preserve">The </w:t>
      </w:r>
      <w:r>
        <w:t xml:space="preserve">PA was used with </w:t>
      </w:r>
      <m:oMath>
        <m:sSub>
          <m:sSubPr>
            <m:ctrlPr>
              <w:rPr>
                <w:rFonts w:ascii="Cambria Math" w:hAnsi="Cambria Math"/>
                <w:i/>
              </w:rPr>
            </m:ctrlPr>
          </m:sSubPr>
          <m:e>
            <m:r>
              <w:rPr>
                <w:rFonts w:ascii="Cambria Math" w:hAnsi="Cambria Math"/>
              </w:rPr>
              <m:t>A</m:t>
            </m:r>
          </m:e>
          <m:sub>
            <m:r>
              <m:rPr>
                <m:sty m:val="p"/>
              </m:rPr>
              <w:rPr>
                <w:rFonts w:ascii="Cambria Math" w:hAnsi="Cambria Math"/>
              </w:rPr>
              <m:t>PA</m:t>
            </m:r>
          </m:sub>
        </m:sSub>
        <m:r>
          <w:rPr>
            <w:rFonts w:ascii="Cambria Math" w:hAnsi="Cambria Math"/>
          </w:rPr>
          <m:t>=5×</m:t>
        </m:r>
        <m:sSup>
          <m:sSupPr>
            <m:ctrlPr>
              <w:rPr>
                <w:rFonts w:ascii="Cambria Math" w:hAnsi="Cambria Math"/>
                <w:i/>
              </w:rPr>
            </m:ctrlPr>
          </m:sSupPr>
          <m:e>
            <m:r>
              <w:rPr>
                <w:rFonts w:ascii="Cambria Math" w:hAnsi="Cambria Math"/>
              </w:rPr>
              <m:t>10</m:t>
            </m:r>
          </m:e>
          <m:sup>
            <m:r>
              <w:rPr>
                <w:rFonts w:ascii="Cambria Math" w:hAnsi="Cambria Math"/>
              </w:rPr>
              <m:t>6</m:t>
            </m:r>
          </m:sup>
        </m:sSup>
      </m:oMath>
      <w:r>
        <w:t xml:space="preserve"> </w:t>
      </w:r>
      <w:r w:rsidRPr="00E17959">
        <w:t>V/</w:t>
      </w:r>
      <w:proofErr w:type="spellStart"/>
      <w:proofErr w:type="gramStart"/>
      <w:r w:rsidRPr="00E17959">
        <w:t>A</w:t>
      </w:r>
      <w:r>
        <w:t>,</w:t>
      </w:r>
      <w:r w:rsidR="00F7643D">
        <w:t>the</w:t>
      </w:r>
      <w:proofErr w:type="spellEnd"/>
      <w:proofErr w:type="gramEnd"/>
      <w:r w:rsidR="00F7643D">
        <w:t xml:space="preserve"> </w:t>
      </w:r>
      <w:r>
        <w:t xml:space="preserve">LIA with </w:t>
      </w:r>
      <m:oMath>
        <m:sSub>
          <m:sSubPr>
            <m:ctrlPr>
              <w:rPr>
                <w:rFonts w:ascii="Cambria Math" w:hAnsi="Cambria Math"/>
                <w:i/>
              </w:rPr>
            </m:ctrlPr>
          </m:sSubPr>
          <m:e>
            <m:r>
              <w:rPr>
                <w:rFonts w:ascii="Cambria Math" w:hAnsi="Cambria Math"/>
              </w:rPr>
              <m:t>f</m:t>
            </m:r>
          </m:e>
          <m:sub>
            <m:r>
              <m:rPr>
                <m:nor/>
              </m:rPr>
              <m:t>cut-off</m:t>
            </m:r>
          </m:sub>
        </m:sSub>
        <m:box>
          <m:boxPr>
            <m:opEmu m:val="1"/>
            <m:ctrlPr>
              <w:rPr>
                <w:rFonts w:ascii="Cambria Math" w:hAnsi="Cambria Math"/>
                <w:i/>
              </w:rPr>
            </m:ctrlPr>
          </m:boxPr>
          <m:e>
            <m:r>
              <w:rPr>
                <w:rFonts w:ascii="Cambria Math" w:hAnsi="Cambria Math"/>
              </w:rPr>
              <m:t>=</m:t>
            </m:r>
            <m:r>
              <m:rPr>
                <m:sty m:val="p"/>
              </m:rPr>
              <w:rPr>
                <w:rFonts w:ascii="Cambria Math" w:hAnsi="Cambria Math"/>
              </w:rPr>
              <m:t>40 </m:t>
            </m:r>
          </m:e>
        </m:box>
      </m:oMath>
      <w:r w:rsidR="00213514">
        <w:t>Hz</w:t>
      </w:r>
      <w:r>
        <w:t xml:space="preserve"> (48 dB/oct). The beam energy was 10.4 keV, the chopper frequency was 1177 Hz, and the low-pass filter cut off at 40 Hz. The dwell time was 100 </w:t>
      </w:r>
      <w:proofErr w:type="spellStart"/>
      <w:r>
        <w:t>ms</w:t>
      </w:r>
      <w:proofErr w:type="spellEnd"/>
      <w:r>
        <w:t xml:space="preserve"> and the pixel size was 40 nm x 40 nm. The maps A, B, E and F were all taken at the same time; C and D are retakes after 50 min and 113 min, with 50 mV forward and reverse bias voltage applied, respectively. </w:t>
      </w:r>
    </w:p>
    <w:p w14:paraId="09A1861C" w14:textId="77777777" w:rsidR="003A7E39" w:rsidRDefault="003A7E39" w:rsidP="003A7E39"/>
    <w:p w14:paraId="14A29513" w14:textId="2E4223A9" w:rsidR="003A7E39" w:rsidRDefault="003A7E39" w:rsidP="003A7E39">
      <w:r w:rsidRPr="003A7E39">
        <w:rPr>
          <w:b/>
        </w:rPr>
        <w:t xml:space="preserve">Figure 10: Multi-modal measurement of a </w:t>
      </w:r>
      <w:proofErr w:type="gramStart"/>
      <w:r w:rsidRPr="003A7E39">
        <w:rPr>
          <w:b/>
        </w:rPr>
        <w:t>Cu(</w:t>
      </w:r>
      <w:proofErr w:type="gramEnd"/>
      <w:r w:rsidRPr="003A7E39">
        <w:rPr>
          <w:b/>
        </w:rPr>
        <w:t>In,Ga)Se</w:t>
      </w:r>
      <w:r w:rsidRPr="003A7E39">
        <w:rPr>
          <w:b/>
          <w:vertAlign w:val="subscript"/>
        </w:rPr>
        <w:t>2</w:t>
      </w:r>
      <w:r w:rsidRPr="003A7E39">
        <w:rPr>
          <w:b/>
        </w:rPr>
        <w:t xml:space="preserve"> solar cell, taken at beamline P06 at PETRA III with a focused flux of about </w:t>
      </w:r>
      <m:oMath>
        <m:r>
          <m:rPr>
            <m:sty m:val="bi"/>
          </m:rPr>
          <w:rPr>
            <w:rFonts w:ascii="Cambria Math" w:hAnsi="Cambria Math"/>
          </w:rPr>
          <m:t>7×</m:t>
        </m:r>
        <m:sSup>
          <m:sSupPr>
            <m:ctrlPr>
              <w:rPr>
                <w:rFonts w:ascii="Cambria Math" w:hAnsi="Cambria Math"/>
                <w:b/>
                <w:i/>
              </w:rPr>
            </m:ctrlPr>
          </m:sSupPr>
          <m:e>
            <m:r>
              <m:rPr>
                <m:sty m:val="bi"/>
              </m:rPr>
              <w:rPr>
                <w:rFonts w:ascii="Cambria Math" w:hAnsi="Cambria Math"/>
              </w:rPr>
              <m:t>10</m:t>
            </m:r>
          </m:e>
          <m:sup>
            <m:r>
              <m:rPr>
                <m:sty m:val="bi"/>
              </m:rPr>
              <w:rPr>
                <w:rFonts w:ascii="Cambria Math" w:hAnsi="Cambria Math"/>
              </w:rPr>
              <m:t>9</m:t>
            </m:r>
          </m:sup>
        </m:sSup>
      </m:oMath>
      <w:r w:rsidRPr="003A7E39">
        <w:rPr>
          <w:b/>
        </w:rPr>
        <w:t xml:space="preserve"> ph/s. </w:t>
      </w:r>
      <w:r>
        <w:t xml:space="preserve">The beam energy was 15.25 keV, the chopper frequency was 8015 Hz, and the pixel size 50 nm x 50 nm. A – X-ray beam induced current (XBIC) measured with a dwell time of 0.01 s, a </w:t>
      </w:r>
      <w:r w:rsidR="00F7643D">
        <w:t>PA</w:t>
      </w:r>
      <w:r>
        <w:t xml:space="preserve"> with </w:t>
      </w:r>
      <m:oMath>
        <m:sSub>
          <m:sSubPr>
            <m:ctrlPr>
              <w:rPr>
                <w:rFonts w:ascii="Cambria Math" w:hAnsi="Cambria Math"/>
                <w:i/>
              </w:rPr>
            </m:ctrlPr>
          </m:sSubPr>
          <m:e>
            <m:r>
              <w:rPr>
                <w:rFonts w:ascii="Cambria Math" w:hAnsi="Cambria Math"/>
              </w:rPr>
              <m:t>A</m:t>
            </m:r>
          </m:e>
          <m:sub>
            <m:r>
              <m:rPr>
                <m:sty m:val="p"/>
              </m:rPr>
              <w:rPr>
                <w:rFonts w:ascii="Cambria Math" w:hAnsi="Cambria Math"/>
              </w:rPr>
              <m:t>PA</m:t>
            </m:r>
          </m:sub>
        </m:sSub>
      </m:oMath>
      <w:r>
        <w:t xml:space="preserve"> = 10</w:t>
      </w:r>
      <w:r>
        <w:rPr>
          <w:vertAlign w:val="superscript"/>
        </w:rPr>
        <w:t>6</w:t>
      </w:r>
      <w:r>
        <w:t xml:space="preserve"> </w:t>
      </w:r>
      <w:r w:rsidRPr="00E17959">
        <w:t>V/A</w:t>
      </w:r>
      <w:r>
        <w:t xml:space="preserve">, and a LIA with </w:t>
      </w:r>
      <m:oMath>
        <m:sSub>
          <m:sSubPr>
            <m:ctrlPr>
              <w:rPr>
                <w:rFonts w:ascii="Cambria Math" w:hAnsi="Cambria Math"/>
                <w:i/>
              </w:rPr>
            </m:ctrlPr>
          </m:sSubPr>
          <m:e>
            <m:r>
              <w:rPr>
                <w:rFonts w:ascii="Cambria Math" w:hAnsi="Cambria Math"/>
              </w:rPr>
              <m:t>f</m:t>
            </m:r>
          </m:e>
          <m:sub>
            <m:r>
              <m:rPr>
                <m:nor/>
              </m:rPr>
              <w:rPr>
                <w:rFonts w:ascii="Cambria Math" w:hAnsi="Cambria Math"/>
              </w:rPr>
              <m:t>cut-off</m:t>
            </m:r>
          </m:sub>
        </m:sSub>
        <m:box>
          <m:boxPr>
            <m:opEmu m:val="1"/>
            <m:ctrlPr>
              <w:rPr>
                <w:rFonts w:ascii="Cambria Math" w:hAnsi="Cambria Math"/>
                <w:i/>
              </w:rPr>
            </m:ctrlPr>
          </m:boxPr>
          <m:e>
            <m:r>
              <w:rPr>
                <w:rFonts w:ascii="Cambria Math" w:hAnsi="Cambria Math"/>
              </w:rPr>
              <m:t>=</m:t>
            </m:r>
            <m:r>
              <m:rPr>
                <m:sty m:val="p"/>
              </m:rPr>
              <w:rPr>
                <w:rFonts w:ascii="Cambria Math" w:hAnsi="Cambria Math"/>
              </w:rPr>
              <m:t>501.1 </m:t>
            </m:r>
          </m:e>
        </m:box>
      </m:oMath>
      <w:r w:rsidR="00213514">
        <w:t>Hz</w:t>
      </w:r>
      <w:r>
        <w:t xml:space="preserve"> (48 dB/oct); B – X-ray beam induced voltage (XBIV) covering the same area as panel A, measured with a dwell time of 0.5 s and a LIA with </w:t>
      </w:r>
      <m:oMath>
        <m:sSub>
          <m:sSubPr>
            <m:ctrlPr>
              <w:rPr>
                <w:rFonts w:ascii="Cambria Math" w:hAnsi="Cambria Math"/>
                <w:i/>
              </w:rPr>
            </m:ctrlPr>
          </m:sSubPr>
          <m:e>
            <m:r>
              <w:rPr>
                <w:rFonts w:ascii="Cambria Math" w:hAnsi="Cambria Math"/>
              </w:rPr>
              <m:t>f</m:t>
            </m:r>
          </m:e>
          <m:sub>
            <m:r>
              <m:rPr>
                <m:nor/>
              </m:rPr>
              <w:rPr>
                <w:rFonts w:ascii="Cambria Math" w:hAnsi="Cambria Math"/>
              </w:rPr>
              <m:t>cut-off</m:t>
            </m:r>
          </m:sub>
        </m:sSub>
        <m:box>
          <m:boxPr>
            <m:opEmu m:val="1"/>
            <m:ctrlPr>
              <w:rPr>
                <w:rFonts w:ascii="Cambria Math" w:hAnsi="Cambria Math"/>
                <w:i/>
              </w:rPr>
            </m:ctrlPr>
          </m:boxPr>
          <m:e>
            <m:r>
              <w:rPr>
                <w:rFonts w:ascii="Cambria Math" w:hAnsi="Cambria Math"/>
              </w:rPr>
              <m:t>=10.27</m:t>
            </m:r>
            <m:r>
              <m:rPr>
                <m:sty m:val="p"/>
              </m:rPr>
              <w:rPr>
                <w:rFonts w:ascii="Cambria Math" w:hAnsi="Cambria Math"/>
              </w:rPr>
              <m:t> </m:t>
            </m:r>
          </m:e>
        </m:box>
      </m:oMath>
      <w:r w:rsidR="00213514">
        <w:t>Hz</w:t>
      </w:r>
      <w:r>
        <w:t xml:space="preserve"> (48 dB/oct); C – Cu count rate from an X-ray fluorescence (XRF) measurement, taken simultaneously with the XBIV measurement.</w:t>
      </w:r>
    </w:p>
    <w:p w14:paraId="4256677F" w14:textId="77777777" w:rsidR="003A7E39" w:rsidRDefault="003A7E39" w:rsidP="00F22EB6">
      <w:pPr>
        <w:rPr>
          <w:b/>
        </w:rPr>
      </w:pPr>
    </w:p>
    <w:p w14:paraId="026D9FB7" w14:textId="07339502" w:rsidR="00F90EDC" w:rsidRDefault="00B15F13" w:rsidP="00F22EB6">
      <w:r w:rsidRPr="003A7E39">
        <w:rPr>
          <w:b/>
        </w:rPr>
        <w:t>F</w:t>
      </w:r>
      <w:r w:rsidR="00BF5A07" w:rsidRPr="003A7E39">
        <w:rPr>
          <w:b/>
        </w:rPr>
        <w:t xml:space="preserve">igure </w:t>
      </w:r>
      <w:r w:rsidR="006C118C" w:rsidRPr="003A7E39">
        <w:rPr>
          <w:b/>
        </w:rPr>
        <w:t>11</w:t>
      </w:r>
      <w:r w:rsidRPr="003A7E39">
        <w:rPr>
          <w:b/>
        </w:rPr>
        <w:t xml:space="preserve">: </w:t>
      </w:r>
      <w:r w:rsidR="00774812" w:rsidRPr="003A7E39">
        <w:rPr>
          <w:b/>
        </w:rPr>
        <w:t xml:space="preserve">Multi-modal measurement of a </w:t>
      </w:r>
      <w:proofErr w:type="spellStart"/>
      <w:r w:rsidR="00774812" w:rsidRPr="003A7E39">
        <w:rPr>
          <w:b/>
        </w:rPr>
        <w:t>CdS</w:t>
      </w:r>
      <w:proofErr w:type="spellEnd"/>
      <w:r w:rsidR="00774812" w:rsidRPr="003A7E39">
        <w:rPr>
          <w:b/>
        </w:rPr>
        <w:t xml:space="preserve"> nanowire with Pt contacts, </w:t>
      </w:r>
      <w:r w:rsidR="00C265C7" w:rsidRPr="003A7E39">
        <w:rPr>
          <w:b/>
        </w:rPr>
        <w:t>taken at beamline 26-ID-C of the Advanced Photon Source with a beam energy of 10.6 keV.</w:t>
      </w:r>
      <w:r w:rsidR="00C265C7">
        <w:t xml:space="preserve"> A – Pt and Cd distribution from an </w:t>
      </w:r>
      <w:r w:rsidR="00774812">
        <w:t xml:space="preserve">X-ray fluorescence </w:t>
      </w:r>
      <w:r w:rsidR="00C265C7">
        <w:t xml:space="preserve">measurement. B – X-ray beam induced current (XBIC) measurement taken simultaneously with the XRF measurement, </w:t>
      </w:r>
      <w:r w:rsidR="00882519">
        <w:t>without lock-in amplification</w:t>
      </w:r>
      <w:r>
        <w:t>.</w:t>
      </w:r>
    </w:p>
    <w:p w14:paraId="60E81284" w14:textId="77777777" w:rsidR="003A7E39" w:rsidRDefault="003A7E39" w:rsidP="00F22EB6"/>
    <w:p w14:paraId="1EB05F74" w14:textId="3D12E88A" w:rsidR="003A7E39" w:rsidRDefault="003A7E39" w:rsidP="003A7E39">
      <w:r w:rsidRPr="003A7E39">
        <w:rPr>
          <w:b/>
        </w:rPr>
        <w:t>Table 1: For discrete-time RC filters of orders 1 to 8, the product of the time constant and the frequency, at which the signal is attenuated by 5% (</w:t>
      </w:r>
      <m:oMath>
        <m:sSub>
          <m:sSubPr>
            <m:ctrlPr>
              <w:rPr>
                <w:rFonts w:ascii="Cambria Math" w:hAnsi="Cambria Math"/>
                <w:b/>
                <w:i/>
              </w:rPr>
            </m:ctrlPr>
          </m:sSubPr>
          <m:e>
            <m:r>
              <m:rPr>
                <m:sty m:val="bi"/>
              </m:rPr>
              <w:rPr>
                <w:rFonts w:ascii="Cambria Math" w:hAnsi="Cambria Math"/>
              </w:rPr>
              <m:t>f</m:t>
            </m:r>
          </m:e>
          <m:sub>
            <m:r>
              <m:rPr>
                <m:nor/>
              </m:rPr>
              <w:rPr>
                <w:rFonts w:ascii="Cambria Math" w:hAnsi="Cambria Math"/>
                <w:b/>
              </w:rPr>
              <m:t>5%</m:t>
            </m:r>
          </m:sub>
        </m:sSub>
      </m:oMath>
      <w:r w:rsidRPr="003A7E39">
        <w:rPr>
          <w:b/>
        </w:rPr>
        <w:t>), 50% (</w:t>
      </w:r>
      <m:oMath>
        <m:sSub>
          <m:sSubPr>
            <m:ctrlPr>
              <w:rPr>
                <w:rFonts w:ascii="Cambria Math" w:hAnsi="Cambria Math"/>
                <w:b/>
                <w:i/>
              </w:rPr>
            </m:ctrlPr>
          </m:sSubPr>
          <m:e>
            <m:r>
              <m:rPr>
                <m:sty m:val="bi"/>
              </m:rPr>
              <w:rPr>
                <w:rFonts w:ascii="Cambria Math" w:hAnsi="Cambria Math"/>
              </w:rPr>
              <m:t>f</m:t>
            </m:r>
          </m:e>
          <m:sub>
            <m:r>
              <m:rPr>
                <m:nor/>
              </m:rPr>
              <w:rPr>
                <w:rFonts w:ascii="Cambria Math" w:hAnsi="Cambria Math"/>
                <w:b/>
              </w:rPr>
              <m:t>cut-off</m:t>
            </m:r>
          </m:sub>
        </m:sSub>
        <m:box>
          <m:boxPr>
            <m:opEmu m:val="1"/>
            <m:ctrlPr>
              <w:rPr>
                <w:rFonts w:ascii="Cambria Math" w:hAnsi="Cambria Math"/>
                <w:b/>
                <w:i/>
              </w:rPr>
            </m:ctrlPr>
          </m:boxPr>
          <m:e>
            <m:r>
              <m:rPr>
                <m:sty m:val="bi"/>
              </m:rPr>
              <w:rPr>
                <w:rFonts w:ascii="Cambria Math" w:hAnsi="Cambria Math"/>
              </w:rPr>
              <m:t>=</m:t>
            </m:r>
          </m:e>
        </m:box>
        <m:sSub>
          <m:sSubPr>
            <m:ctrlPr>
              <w:rPr>
                <w:rFonts w:ascii="Cambria Math" w:hAnsi="Cambria Math"/>
                <w:b/>
                <w:i/>
              </w:rPr>
            </m:ctrlPr>
          </m:sSubPr>
          <m:e>
            <m:r>
              <m:rPr>
                <m:sty m:val="bi"/>
              </m:rPr>
              <w:rPr>
                <w:rFonts w:ascii="Cambria Math" w:hAnsi="Cambria Math"/>
              </w:rPr>
              <m:t>f</m:t>
            </m:r>
          </m:e>
          <m:sub>
            <m:r>
              <m:rPr>
                <m:nor/>
              </m:rPr>
              <w:rPr>
                <w:rFonts w:ascii="Cambria Math" w:hAnsi="Cambria Math"/>
                <w:b/>
              </w:rPr>
              <m:t>50%</m:t>
            </m:r>
          </m:sub>
        </m:sSub>
      </m:oMath>
      <w:r w:rsidRPr="003A7E39">
        <w:rPr>
          <w:b/>
        </w:rPr>
        <w:t>), and 95% (</w:t>
      </w:r>
      <m:oMath>
        <m:sSub>
          <m:sSubPr>
            <m:ctrlPr>
              <w:rPr>
                <w:rFonts w:ascii="Cambria Math" w:hAnsi="Cambria Math"/>
                <w:b/>
                <w:i/>
              </w:rPr>
            </m:ctrlPr>
          </m:sSubPr>
          <m:e>
            <m:r>
              <m:rPr>
                <m:sty m:val="bi"/>
              </m:rPr>
              <w:rPr>
                <w:rFonts w:ascii="Cambria Math" w:hAnsi="Cambria Math"/>
              </w:rPr>
              <m:t>f</m:t>
            </m:r>
          </m:e>
          <m:sub>
            <m:r>
              <m:rPr>
                <m:nor/>
              </m:rPr>
              <w:rPr>
                <w:rFonts w:ascii="Cambria Math" w:hAnsi="Cambria Math"/>
                <w:b/>
              </w:rPr>
              <m:t>95%</m:t>
            </m:r>
          </m:sub>
        </m:sSub>
      </m:oMath>
      <w:r w:rsidRPr="003A7E39">
        <w:rPr>
          <w:b/>
        </w:rPr>
        <w:t>), is constant and given in the top part</w:t>
      </w:r>
      <w:r>
        <w:t>. Below, the time delay is given, within which the signal reaches 5% (</w:t>
      </w:r>
      <m:oMath>
        <m:sSub>
          <m:sSubPr>
            <m:ctrlPr>
              <w:rPr>
                <w:rFonts w:ascii="Cambria Math" w:hAnsi="Cambria Math"/>
                <w:i/>
              </w:rPr>
            </m:ctrlPr>
          </m:sSubPr>
          <m:e>
            <m:r>
              <w:rPr>
                <w:rFonts w:ascii="Cambria Math" w:hAnsi="Cambria Math"/>
              </w:rPr>
              <m:t>τ</m:t>
            </m:r>
          </m:e>
          <m:sub>
            <m:r>
              <m:rPr>
                <m:nor/>
              </m:rPr>
              <w:rPr>
                <w:rFonts w:ascii="Cambria Math" w:hAnsi="Cambria Math"/>
              </w:rPr>
              <m:t>5%</m:t>
            </m:r>
          </m:sub>
        </m:sSub>
      </m:oMath>
      <w:r>
        <w:t>),</w:t>
      </w:r>
      <w:r w:rsidRPr="00876CB4">
        <w:t xml:space="preserve"> </w:t>
      </w:r>
      <w:r>
        <w:t>50% (</w:t>
      </w:r>
      <m:oMath>
        <m:sSub>
          <m:sSubPr>
            <m:ctrlPr>
              <w:rPr>
                <w:rFonts w:ascii="Cambria Math" w:hAnsi="Cambria Math"/>
                <w:i/>
              </w:rPr>
            </m:ctrlPr>
          </m:sSubPr>
          <m:e>
            <m:r>
              <w:rPr>
                <w:rFonts w:ascii="Cambria Math" w:hAnsi="Cambria Math"/>
              </w:rPr>
              <m:t>τ</m:t>
            </m:r>
          </m:e>
          <m:sub>
            <m:r>
              <m:rPr>
                <m:nor/>
              </m:rPr>
              <w:rPr>
                <w:rFonts w:ascii="Cambria Math" w:hAnsi="Cambria Math"/>
              </w:rPr>
              <m:t>50%</m:t>
            </m:r>
          </m:sub>
        </m:sSub>
      </m:oMath>
      <w:r>
        <w:t>),</w:t>
      </w:r>
      <w:r w:rsidRPr="00876CB4">
        <w:t xml:space="preserve"> </w:t>
      </w:r>
      <w:r>
        <w:t>and 95% (</w:t>
      </w:r>
      <m:oMath>
        <m:sSub>
          <m:sSubPr>
            <m:ctrlPr>
              <w:rPr>
                <w:rFonts w:ascii="Cambria Math" w:hAnsi="Cambria Math"/>
                <w:i/>
              </w:rPr>
            </m:ctrlPr>
          </m:sSubPr>
          <m:e>
            <m:r>
              <w:rPr>
                <w:rFonts w:ascii="Cambria Math" w:hAnsi="Cambria Math"/>
              </w:rPr>
              <m:t>τ</m:t>
            </m:r>
          </m:e>
          <m:sub>
            <m:r>
              <m:rPr>
                <m:nor/>
              </m:rPr>
              <w:rPr>
                <w:rFonts w:ascii="Cambria Math" w:hAnsi="Cambria Math"/>
              </w:rPr>
              <m:t>95%</m:t>
            </m:r>
          </m:sub>
        </m:sSub>
      </m:oMath>
      <w:r>
        <w:t xml:space="preserve">), in units of the time constant </w:t>
      </w:r>
      <m:oMath>
        <m:sSub>
          <m:sSubPr>
            <m:ctrlPr>
              <w:rPr>
                <w:rFonts w:ascii="Cambria Math" w:hAnsi="Cambria Math"/>
                <w:i/>
              </w:rPr>
            </m:ctrlPr>
          </m:sSubPr>
          <m:e>
            <m:r>
              <w:rPr>
                <w:rFonts w:ascii="Cambria Math" w:hAnsi="Cambria Math"/>
              </w:rPr>
              <m:t>τ</m:t>
            </m:r>
          </m:e>
          <m:sub>
            <m:r>
              <m:rPr>
                <m:nor/>
              </m:rPr>
              <w:rPr>
                <w:rFonts w:ascii="Cambria Math" w:hAnsi="Cambria Math"/>
              </w:rPr>
              <m:t>c</m:t>
            </m:r>
          </m:sub>
        </m:sSub>
      </m:oMath>
      <w:r>
        <w:t xml:space="preserve"> and of the inverse cut-off frequency </w:t>
      </w:r>
      <m:oMath>
        <m:f>
          <m:fPr>
            <m:type m:val="lin"/>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f</m:t>
                </m:r>
              </m:e>
              <m:sub>
                <m:r>
                  <m:rPr>
                    <m:nor/>
                  </m:rPr>
                  <w:rPr>
                    <w:rFonts w:ascii="Cambria Math" w:hAnsi="Cambria Math"/>
                  </w:rPr>
                  <m:t>cut-off</m:t>
                </m:r>
              </m:sub>
            </m:sSub>
          </m:den>
        </m:f>
      </m:oMath>
      <w:r>
        <w:t>.</w:t>
      </w:r>
    </w:p>
    <w:p w14:paraId="3028B978" w14:textId="77777777" w:rsidR="00DC73BB" w:rsidRDefault="00DC73BB" w:rsidP="00DC73BB">
      <w:pPr>
        <w:rPr>
          <w:rFonts w:asciiTheme="majorHAnsi" w:hAnsiTheme="majorHAnsi"/>
        </w:rPr>
      </w:pPr>
    </w:p>
    <w:p w14:paraId="25600BDC" w14:textId="77777777" w:rsidR="00DC73BB" w:rsidRPr="0036510A" w:rsidRDefault="00DC73BB" w:rsidP="00DC73BB">
      <w:pPr>
        <w:rPr>
          <w:b/>
        </w:rPr>
      </w:pPr>
      <w:r w:rsidRPr="0036510A">
        <w:rPr>
          <w:b/>
        </w:rPr>
        <w:t>Table 2: Qualitative assessment of X-ray beam induced current (XBIC), electron beam induced current (EBIC) and laser beam induced current (LBIC).</w:t>
      </w:r>
    </w:p>
    <w:p w14:paraId="4B804C13" w14:textId="77777777" w:rsidR="00F90EDC" w:rsidRDefault="00F90EDC" w:rsidP="00F22EB6">
      <w:pPr>
        <w:rPr>
          <w:color w:val="808080"/>
        </w:rPr>
      </w:pPr>
    </w:p>
    <w:p w14:paraId="4856BD67" w14:textId="2A9F3718" w:rsidR="007218F4" w:rsidRDefault="00B15F13" w:rsidP="00F22EB6">
      <w:r>
        <w:rPr>
          <w:b/>
        </w:rPr>
        <w:t>DISCUSSION:</w:t>
      </w:r>
    </w:p>
    <w:p w14:paraId="666F3A4E" w14:textId="02A74267" w:rsidR="00433FEB" w:rsidRDefault="00C731C9" w:rsidP="00F22EB6">
      <w:pPr>
        <w:rPr>
          <w:rFonts w:asciiTheme="majorHAnsi" w:hAnsiTheme="majorHAnsi"/>
        </w:rPr>
      </w:pPr>
      <w:r>
        <w:rPr>
          <w:rFonts w:asciiTheme="majorHAnsi" w:hAnsiTheme="majorHAnsi"/>
        </w:rPr>
        <w:t>In this chapter, we discuss first the relevance of general XBIC measurement settings with respect to noise (a) and scanning speed (b). Next, we put XBIC measurement</w:t>
      </w:r>
      <w:r w:rsidR="00554A7D">
        <w:rPr>
          <w:rFonts w:asciiTheme="majorHAnsi" w:hAnsiTheme="majorHAnsi"/>
        </w:rPr>
        <w:t>s</w:t>
      </w:r>
      <w:r>
        <w:rPr>
          <w:rFonts w:asciiTheme="majorHAnsi" w:hAnsiTheme="majorHAnsi"/>
        </w:rPr>
        <w:t xml:space="preserve"> into the context of multi-modal measurements and discuss aspects of X-ray beam induced damage (c) and specific challenges </w:t>
      </w:r>
      <w:r w:rsidR="003830BE">
        <w:rPr>
          <w:rFonts w:asciiTheme="majorHAnsi" w:hAnsiTheme="majorHAnsi"/>
        </w:rPr>
        <w:t>related to simultaneous measuremen</w:t>
      </w:r>
      <w:r>
        <w:rPr>
          <w:rFonts w:asciiTheme="majorHAnsi" w:hAnsiTheme="majorHAnsi"/>
        </w:rPr>
        <w:t>t</w:t>
      </w:r>
      <w:r w:rsidR="00554A7D">
        <w:rPr>
          <w:rFonts w:asciiTheme="majorHAnsi" w:hAnsiTheme="majorHAnsi"/>
        </w:rPr>
        <w:t>s</w:t>
      </w:r>
      <w:r>
        <w:rPr>
          <w:rFonts w:asciiTheme="majorHAnsi" w:hAnsiTheme="majorHAnsi"/>
        </w:rPr>
        <w:t xml:space="preserve"> of multiple parameters (d). Finally, we compare XBIC measurements with </w:t>
      </w:r>
      <w:r w:rsidR="000245AD">
        <w:rPr>
          <w:rFonts w:asciiTheme="majorHAnsi" w:hAnsiTheme="majorHAnsi"/>
        </w:rPr>
        <w:t xml:space="preserve">related measurements using electron- and laser-beams </w:t>
      </w:r>
      <w:r w:rsidR="00BC2B22">
        <w:rPr>
          <w:rFonts w:asciiTheme="majorHAnsi" w:hAnsiTheme="majorHAnsi"/>
        </w:rPr>
        <w:t>as probes (e)</w:t>
      </w:r>
      <w:r w:rsidR="00865356">
        <w:rPr>
          <w:rFonts w:asciiTheme="majorHAnsi" w:hAnsiTheme="majorHAnsi"/>
        </w:rPr>
        <w:t>.</w:t>
      </w:r>
    </w:p>
    <w:p w14:paraId="66C7AAD4" w14:textId="77777777" w:rsidR="00865356" w:rsidRDefault="00865356" w:rsidP="00F22EB6">
      <w:pPr>
        <w:rPr>
          <w:rFonts w:asciiTheme="majorHAnsi" w:hAnsiTheme="majorHAnsi"/>
        </w:rPr>
      </w:pPr>
    </w:p>
    <w:p w14:paraId="0B9BF2A8" w14:textId="5A90A2D7" w:rsidR="001A7385" w:rsidRPr="00552035" w:rsidRDefault="001A7385" w:rsidP="00F22EB6">
      <w:pPr>
        <w:pStyle w:val="ac"/>
        <w:numPr>
          <w:ilvl w:val="0"/>
          <w:numId w:val="30"/>
        </w:numPr>
        <w:ind w:left="0" w:firstLine="0"/>
        <w:rPr>
          <w:rFonts w:asciiTheme="majorHAnsi" w:hAnsiTheme="majorHAnsi"/>
          <w:b/>
        </w:rPr>
      </w:pPr>
      <w:r w:rsidRPr="00552035">
        <w:rPr>
          <w:rFonts w:asciiTheme="majorHAnsi" w:hAnsiTheme="majorHAnsi"/>
          <w:b/>
        </w:rPr>
        <w:t>Noise</w:t>
      </w:r>
      <w:r w:rsidR="00291203" w:rsidRPr="00552035">
        <w:rPr>
          <w:rFonts w:asciiTheme="majorHAnsi" w:hAnsiTheme="majorHAnsi"/>
          <w:b/>
        </w:rPr>
        <w:t xml:space="preserve"> </w:t>
      </w:r>
      <w:r w:rsidR="00AB0260" w:rsidRPr="00552035">
        <w:rPr>
          <w:rFonts w:asciiTheme="majorHAnsi" w:hAnsiTheme="majorHAnsi"/>
          <w:b/>
        </w:rPr>
        <w:t xml:space="preserve">and </w:t>
      </w:r>
      <w:r w:rsidR="009B6EC9" w:rsidRPr="00552035">
        <w:rPr>
          <w:rFonts w:asciiTheme="majorHAnsi" w:hAnsiTheme="majorHAnsi"/>
          <w:b/>
        </w:rPr>
        <w:t>E</w:t>
      </w:r>
      <w:r w:rsidR="00AB0260" w:rsidRPr="00552035">
        <w:rPr>
          <w:rFonts w:asciiTheme="majorHAnsi" w:hAnsiTheme="majorHAnsi"/>
          <w:b/>
        </w:rPr>
        <w:t>rror</w:t>
      </w:r>
    </w:p>
    <w:p w14:paraId="35D87B4F" w14:textId="25B28AB5" w:rsidR="00291203" w:rsidRDefault="0039779A" w:rsidP="00F22EB6">
      <w:pPr>
        <w:rPr>
          <w:rFonts w:asciiTheme="majorHAnsi" w:hAnsiTheme="majorHAnsi"/>
        </w:rPr>
      </w:pPr>
      <w:r>
        <w:rPr>
          <w:rFonts w:asciiTheme="majorHAnsi" w:hAnsiTheme="majorHAnsi"/>
        </w:rPr>
        <w:t xml:space="preserve">Although lock-in amplification enables </w:t>
      </w:r>
      <w:r w:rsidR="006A096F">
        <w:rPr>
          <w:rFonts w:asciiTheme="majorHAnsi" w:hAnsiTheme="majorHAnsi"/>
        </w:rPr>
        <w:t xml:space="preserve">a </w:t>
      </w:r>
      <w:r>
        <w:rPr>
          <w:rFonts w:asciiTheme="majorHAnsi" w:hAnsiTheme="majorHAnsi"/>
        </w:rPr>
        <w:t xml:space="preserve">higher signal-to-noise ratio compared to direct amplification, it is critical to avoid </w:t>
      </w:r>
      <w:r w:rsidR="00291203">
        <w:rPr>
          <w:rFonts w:asciiTheme="majorHAnsi" w:hAnsiTheme="majorHAnsi"/>
        </w:rPr>
        <w:t xml:space="preserve">the introduction of noise </w:t>
      </w:r>
      <w:r>
        <w:rPr>
          <w:rFonts w:asciiTheme="majorHAnsi" w:hAnsiTheme="majorHAnsi"/>
        </w:rPr>
        <w:t>at all levels as</w:t>
      </w:r>
      <w:r w:rsidR="007B440C">
        <w:rPr>
          <w:rFonts w:asciiTheme="majorHAnsi" w:hAnsiTheme="majorHAnsi"/>
        </w:rPr>
        <w:t xml:space="preserve"> has been repeatedly stressed </w:t>
      </w:r>
      <w:r>
        <w:rPr>
          <w:rFonts w:asciiTheme="majorHAnsi" w:hAnsiTheme="majorHAnsi"/>
        </w:rPr>
        <w:t>throughout this manuscript</w:t>
      </w:r>
      <w:r w:rsidR="007B440C">
        <w:rPr>
          <w:rFonts w:asciiTheme="majorHAnsi" w:hAnsiTheme="majorHAnsi"/>
        </w:rPr>
        <w:t xml:space="preserve">. </w:t>
      </w:r>
      <w:r>
        <w:rPr>
          <w:rFonts w:asciiTheme="majorHAnsi" w:hAnsiTheme="majorHAnsi"/>
        </w:rPr>
        <w:t>For further discussion, we refer to literature discussing the measurement of small electrical signal</w:t>
      </w:r>
      <w:r w:rsidR="00347A8F">
        <w:rPr>
          <w:rFonts w:asciiTheme="majorHAnsi" w:hAnsiTheme="majorHAnsi"/>
        </w:rPr>
        <w:t>s</w:t>
      </w:r>
      <w:r w:rsidR="00271F54">
        <w:rPr>
          <w:rFonts w:asciiTheme="majorHAnsi" w:hAnsiTheme="majorHAnsi"/>
        </w:rPr>
        <w:fldChar w:fldCharType="begin" w:fldLock="1"/>
      </w:r>
      <w:r w:rsidR="003D2185">
        <w:rPr>
          <w:rFonts w:asciiTheme="majorHAnsi" w:hAnsiTheme="majorHAnsi"/>
        </w:rPr>
        <w:instrText>ADDIN CSL_CITATION {"citationItems":[{"id":"ITEM-1","itemData":{"DOI":"10.1007/978-1-349-23060-0","ISBN":"978-1-349-23060-0","author":[{"dropping-particle":"","family":"Fish","given":"Peter J.","non-dropping-particle":"","parse-names":false,"suffix":""}],"id":"ITEM-1","issued":{"date-parts":[["1993"]]},"publisher":"The Macmillan Press LTD","title":"Electronic Noise and Low Noise Design","type":"book"},"uris":["http://www.mendeley.com/documents/?uuid=61add5af-1f71-4376-bceb-4674131a853b"]},{"id":"ITEM-2","itemData":{"author":[{"dropping-particle":"","family":"Keithley A Tektronix Company","given":"","non-dropping-particle":"","parse-names":false,"suffix":""}],"container-title":"Low Level Measurements Handbook - 7 th Edition","id":"ITEM-2","issued":{"date-parts":[["2013"]]},"title":"Precision DC Current, Voltage and Resistance Measurements","type":"article-journal"},"uris":["http://www.mendeley.com/documents/?uuid=b9b68848-8af8-439f-8845-340d30e4c501"]},{"id":"ITEM-3","itemData":{"DOI":"10.1109/MSPEC.1970.5213514","ISSN":"0018-9235","author":[{"dropping-particle":"","family":"Letzter","given":"Seymour","non-dropping-particle":"","parse-names":false,"suffix":""},{"dropping-particle":"","family":"Webster","given":"Norman","non-dropping-particle":"","parse-names":false,"suffix":""}],"container-title":"IEEE Spectrum","id":"ITEM-3","issue":"8","issued":{"date-parts":[["1970"]]},"page":"67-75","title":"Noise in amplifiers","type":"article-journal","volume":"7"},"uris":["http://www.mendeley.com/documents/?uuid=9d89635d-d41a-450d-be28-55f855eaeff2"]},{"id":"ITEM-4","itemData":{"author":[{"dropping-particle":"","family":"Meade","given":"M. L.","non-dropping-particle":"","parse-names":false,"suffix":""}],"id":"ITEM-4","issued":{"date-parts":[["2013"]]},"title":"Lock-in amplifiers: principles and applications (e-edition)","type":"book"},"uris":["http://www.mendeley.com/documents/?uuid=13c97bc0-83f8-4930-ba68-c73760601572"]}],"mendeley":{"formattedCitation":"&lt;sup&gt;42–45&lt;/sup&gt;","plainTextFormattedCitation":"42–45","previouslyFormattedCitation":"&lt;sup&gt;42–45&lt;/sup&gt;"},"properties":{"noteIndex":0},"schema":"https://github.com/citation-style-language/schema/raw/master/csl-citation.json"}</w:instrText>
      </w:r>
      <w:r w:rsidR="00271F54">
        <w:rPr>
          <w:rFonts w:asciiTheme="majorHAnsi" w:hAnsiTheme="majorHAnsi"/>
        </w:rPr>
        <w:fldChar w:fldCharType="separate"/>
      </w:r>
      <w:r w:rsidR="00594CBE" w:rsidRPr="00594CBE">
        <w:rPr>
          <w:rFonts w:asciiTheme="majorHAnsi" w:hAnsiTheme="majorHAnsi"/>
          <w:noProof/>
          <w:vertAlign w:val="superscript"/>
        </w:rPr>
        <w:t>42–45</w:t>
      </w:r>
      <w:r w:rsidR="00271F54">
        <w:rPr>
          <w:rFonts w:asciiTheme="majorHAnsi" w:hAnsiTheme="majorHAnsi"/>
        </w:rPr>
        <w:fldChar w:fldCharType="end"/>
      </w:r>
      <w:r w:rsidR="00D51BB7">
        <w:rPr>
          <w:rFonts w:asciiTheme="majorHAnsi" w:hAnsiTheme="majorHAnsi"/>
        </w:rPr>
        <w:t>.</w:t>
      </w:r>
      <w:r>
        <w:rPr>
          <w:rFonts w:asciiTheme="majorHAnsi" w:hAnsiTheme="majorHAnsi"/>
        </w:rPr>
        <w:t xml:space="preserve"> Although state-of-the-art lock-in amplifiers are based on digital signal processing today, most strategies to reduce noise using analog lock-in amplifiers still apply.</w:t>
      </w:r>
    </w:p>
    <w:p w14:paraId="4D80068A" w14:textId="77777777" w:rsidR="00552035" w:rsidRDefault="00552035" w:rsidP="00F22EB6">
      <w:pPr>
        <w:rPr>
          <w:rFonts w:asciiTheme="majorHAnsi" w:hAnsiTheme="majorHAnsi"/>
        </w:rPr>
      </w:pPr>
    </w:p>
    <w:p w14:paraId="426D8AFF" w14:textId="4294C837" w:rsidR="00C83711" w:rsidRDefault="0039779A" w:rsidP="00F22EB6">
      <w:pPr>
        <w:rPr>
          <w:rFonts w:asciiTheme="majorHAnsi" w:hAnsiTheme="majorHAnsi"/>
        </w:rPr>
      </w:pPr>
      <w:r>
        <w:rPr>
          <w:rFonts w:asciiTheme="majorHAnsi" w:hAnsiTheme="majorHAnsi"/>
        </w:rPr>
        <w:t>Summarizing, it should be kept in mind</w:t>
      </w:r>
      <w:r w:rsidR="00663C5F">
        <w:rPr>
          <w:rFonts w:asciiTheme="majorHAnsi" w:hAnsiTheme="majorHAnsi"/>
        </w:rPr>
        <w:t xml:space="preserve"> that c</w:t>
      </w:r>
      <w:r w:rsidR="00865356">
        <w:rPr>
          <w:rFonts w:asciiTheme="majorHAnsi" w:hAnsiTheme="majorHAnsi"/>
        </w:rPr>
        <w:t xml:space="preserve">ables are prone to act as antennae and thus introduce noise into the system. </w:t>
      </w:r>
      <w:r>
        <w:rPr>
          <w:rFonts w:asciiTheme="majorHAnsi" w:hAnsiTheme="majorHAnsi"/>
        </w:rPr>
        <w:t xml:space="preserve">This is particularly true in the environment of X-ray nanoprobes, where strong electro-magnetic fields are often unavoidable, their sources may even remain unknown. As a consequence, </w:t>
      </w:r>
      <w:r w:rsidR="00865356">
        <w:rPr>
          <w:rFonts w:asciiTheme="majorHAnsi" w:hAnsiTheme="majorHAnsi"/>
        </w:rPr>
        <w:t xml:space="preserve">cables </w:t>
      </w:r>
      <w:r>
        <w:rPr>
          <w:rFonts w:asciiTheme="majorHAnsi" w:hAnsiTheme="majorHAnsi"/>
        </w:rPr>
        <w:t xml:space="preserve">should be kept </w:t>
      </w:r>
      <w:r w:rsidR="00865356">
        <w:rPr>
          <w:rFonts w:asciiTheme="majorHAnsi" w:hAnsiTheme="majorHAnsi"/>
        </w:rPr>
        <w:t xml:space="preserve">as short as possible </w:t>
      </w:r>
      <w:r>
        <w:rPr>
          <w:rFonts w:asciiTheme="majorHAnsi" w:hAnsiTheme="majorHAnsi"/>
        </w:rPr>
        <w:t>and oriented such that the induced noise level is minimized. Extra shielding of the signal cables may further reduce the noise level</w:t>
      </w:r>
      <w:r w:rsidR="00512C26">
        <w:rPr>
          <w:rFonts w:asciiTheme="majorHAnsi" w:hAnsiTheme="majorHAnsi"/>
        </w:rPr>
        <w:t>.</w:t>
      </w:r>
    </w:p>
    <w:p w14:paraId="60D1C357" w14:textId="77777777" w:rsidR="00552035" w:rsidRDefault="00552035" w:rsidP="00F22EB6">
      <w:pPr>
        <w:rPr>
          <w:rFonts w:asciiTheme="majorHAnsi" w:hAnsiTheme="majorHAnsi"/>
        </w:rPr>
      </w:pPr>
    </w:p>
    <w:p w14:paraId="784287CD" w14:textId="3C0B721D" w:rsidR="00B628E5" w:rsidRDefault="00B628E5" w:rsidP="00F22EB6">
      <w:r>
        <w:rPr>
          <w:rFonts w:asciiTheme="majorHAnsi" w:hAnsiTheme="majorHAnsi"/>
        </w:rPr>
        <w:t xml:space="preserve">The proper contacting of the DUT is equally important for noise minimization. </w:t>
      </w:r>
      <w:r>
        <w:t>A clean and robust method with small contact points is wire bonding. For TF solar cells, this does not always work due to adhesion issues. Alternatively, conductive tape based on graphite, copper, or aluminum is suited for larger samples. In many cases, the best results are obtained with manual application of silver paint to contact thin copper, gold, or platinum wires to the device. While tape and graphite paste might not give the best contact, silver paint can easily short circuit the device and has to be deposited with utmost care. Polyimide tape can be used to prevent short-circuiting of front and back contact.</w:t>
      </w:r>
    </w:p>
    <w:p w14:paraId="1E258E97" w14:textId="77777777" w:rsidR="00552035" w:rsidRDefault="00552035" w:rsidP="00F22EB6"/>
    <w:p w14:paraId="34147628" w14:textId="4C0800BA" w:rsidR="00552035" w:rsidRDefault="00C83711" w:rsidP="00F22EB6">
      <w:pPr>
        <w:rPr>
          <w:rFonts w:asciiTheme="majorHAnsi" w:hAnsiTheme="majorHAnsi"/>
        </w:rPr>
      </w:pPr>
      <w:r>
        <w:rPr>
          <w:rFonts w:asciiTheme="majorHAnsi" w:hAnsiTheme="majorHAnsi"/>
        </w:rPr>
        <w:t>Note that the cabling layout</w:t>
      </w:r>
      <w:r w:rsidR="00B628E5">
        <w:rPr>
          <w:rFonts w:asciiTheme="majorHAnsi" w:hAnsiTheme="majorHAnsi"/>
        </w:rPr>
        <w:t xml:space="preserve"> from contacting to signal transport</w:t>
      </w:r>
      <w:r>
        <w:rPr>
          <w:rFonts w:asciiTheme="majorHAnsi" w:hAnsiTheme="majorHAnsi"/>
        </w:rPr>
        <w:t xml:space="preserve"> needs to be adapted to beamline-specific boundary conditions. For example, the layout depicted in </w:t>
      </w:r>
      <w:r w:rsidRPr="00503A14">
        <w:rPr>
          <w:rFonts w:asciiTheme="majorHAnsi" w:hAnsiTheme="majorHAnsi"/>
          <w:b/>
        </w:rPr>
        <w:t>Fig</w:t>
      </w:r>
      <w:r w:rsidR="00503A14" w:rsidRPr="00503A14">
        <w:rPr>
          <w:rFonts w:asciiTheme="majorHAnsi" w:hAnsiTheme="majorHAnsi"/>
          <w:b/>
        </w:rPr>
        <w:t>ure</w:t>
      </w:r>
      <w:r w:rsidRPr="00503A14">
        <w:rPr>
          <w:rFonts w:asciiTheme="majorHAnsi" w:hAnsiTheme="majorHAnsi"/>
          <w:b/>
        </w:rPr>
        <w:t xml:space="preserve"> 1</w:t>
      </w:r>
      <w:r>
        <w:rPr>
          <w:rFonts w:asciiTheme="majorHAnsi" w:hAnsiTheme="majorHAnsi"/>
        </w:rPr>
        <w:t xml:space="preserve"> with the pre-amplified signal being split to the </w:t>
      </w:r>
      <w:r w:rsidR="00AE45AC">
        <w:rPr>
          <w:rFonts w:asciiTheme="majorHAnsi" w:hAnsiTheme="majorHAnsi"/>
        </w:rPr>
        <w:t>LIA</w:t>
      </w:r>
      <w:r>
        <w:rPr>
          <w:rFonts w:asciiTheme="majorHAnsi" w:hAnsiTheme="majorHAnsi"/>
        </w:rPr>
        <w:t xml:space="preserve"> and to the V2F converters is risky, if the V2F converters are located outside of the hutch. In this case, the long cable between pre-amplifier and V2F converter can catch noise that is transferred to the </w:t>
      </w:r>
      <w:r w:rsidR="00AE45AC">
        <w:rPr>
          <w:rFonts w:asciiTheme="majorHAnsi" w:hAnsiTheme="majorHAnsi"/>
        </w:rPr>
        <w:t>LIA</w:t>
      </w:r>
      <w:r>
        <w:rPr>
          <w:rFonts w:asciiTheme="majorHAnsi" w:hAnsiTheme="majorHAnsi"/>
        </w:rPr>
        <w:t xml:space="preserve">. </w:t>
      </w:r>
      <w:r w:rsidR="0050660D">
        <w:rPr>
          <w:rFonts w:asciiTheme="majorHAnsi" w:hAnsiTheme="majorHAnsi"/>
        </w:rPr>
        <w:t>Therefore, we distinguish three cases of common signal paths for XBIC or XBIV measurements:</w:t>
      </w:r>
    </w:p>
    <w:p w14:paraId="4F41237A" w14:textId="77777777" w:rsidR="00552035" w:rsidRDefault="00552035" w:rsidP="00F22EB6">
      <w:pPr>
        <w:rPr>
          <w:rFonts w:asciiTheme="majorHAnsi" w:hAnsiTheme="majorHAnsi"/>
        </w:rPr>
      </w:pPr>
    </w:p>
    <w:p w14:paraId="4987F57F" w14:textId="3033D133" w:rsidR="0050660D" w:rsidRDefault="0050660D" w:rsidP="00F22EB6">
      <w:pPr>
        <w:rPr>
          <w:rFonts w:asciiTheme="majorHAnsi" w:hAnsiTheme="majorHAnsi"/>
        </w:rPr>
      </w:pPr>
      <w:r w:rsidRPr="00222A2B">
        <w:rPr>
          <w:rFonts w:asciiTheme="majorHAnsi" w:hAnsiTheme="majorHAnsi"/>
        </w:rPr>
        <w:t>Case A: XBIC is measured with a pre</w:t>
      </w:r>
      <w:r w:rsidR="00B628E5">
        <w:rPr>
          <w:rFonts w:asciiTheme="majorHAnsi" w:hAnsiTheme="majorHAnsi"/>
        </w:rPr>
        <w:t>-</w:t>
      </w:r>
      <w:r w:rsidRPr="00222A2B">
        <w:rPr>
          <w:rFonts w:asciiTheme="majorHAnsi" w:hAnsiTheme="majorHAnsi"/>
        </w:rPr>
        <w:t>amplifier, and the DC</w:t>
      </w:r>
      <w:r w:rsidR="00222A2B" w:rsidRPr="00222A2B">
        <w:rPr>
          <w:rFonts w:asciiTheme="majorHAnsi" w:hAnsiTheme="majorHAnsi"/>
        </w:rPr>
        <w:t>/AC</w:t>
      </w:r>
      <w:r w:rsidRPr="00222A2B">
        <w:rPr>
          <w:rFonts w:asciiTheme="majorHAnsi" w:hAnsiTheme="majorHAnsi"/>
        </w:rPr>
        <w:t xml:space="preserve"> signal is split after the PA</w:t>
      </w:r>
      <w:r w:rsidR="00222A2B">
        <w:rPr>
          <w:rFonts w:asciiTheme="majorHAnsi" w:hAnsiTheme="majorHAnsi"/>
        </w:rPr>
        <w:t xml:space="preserve"> as </w:t>
      </w:r>
      <w:r w:rsidRPr="00222A2B">
        <w:rPr>
          <w:rFonts w:asciiTheme="majorHAnsi" w:hAnsiTheme="majorHAnsi"/>
        </w:rPr>
        <w:t xml:space="preserve">depicted in </w:t>
      </w:r>
      <w:r w:rsidRPr="00503A14">
        <w:rPr>
          <w:rFonts w:asciiTheme="majorHAnsi" w:hAnsiTheme="majorHAnsi"/>
          <w:b/>
        </w:rPr>
        <w:t>Fig</w:t>
      </w:r>
      <w:r w:rsidR="00503A14" w:rsidRPr="00503A14">
        <w:rPr>
          <w:rFonts w:asciiTheme="majorHAnsi" w:hAnsiTheme="majorHAnsi"/>
          <w:b/>
        </w:rPr>
        <w:t>ure</w:t>
      </w:r>
      <w:r w:rsidRPr="00503A14">
        <w:rPr>
          <w:rFonts w:asciiTheme="majorHAnsi" w:hAnsiTheme="majorHAnsi"/>
          <w:b/>
        </w:rPr>
        <w:t xml:space="preserve"> 1</w:t>
      </w:r>
      <w:r w:rsidRPr="00222A2B">
        <w:rPr>
          <w:rFonts w:asciiTheme="majorHAnsi" w:hAnsiTheme="majorHAnsi"/>
        </w:rPr>
        <w:t xml:space="preserve">. In this case, a current offset can be applied in the PA such that the signal is always positive, avoiding the need of recording the positive and negative signal via two separate V2F converters. As a drawback, this would reduce the available voltage acceptance range in the </w:t>
      </w:r>
      <w:r w:rsidR="006C118C">
        <w:rPr>
          <w:rFonts w:asciiTheme="majorHAnsi" w:hAnsiTheme="majorHAnsi"/>
        </w:rPr>
        <w:t xml:space="preserve">LIA </w:t>
      </w:r>
      <w:r w:rsidRPr="00222A2B">
        <w:rPr>
          <w:rFonts w:asciiTheme="majorHAnsi" w:hAnsiTheme="majorHAnsi"/>
        </w:rPr>
        <w:t>and lead to reduced sensitivity.</w:t>
      </w:r>
    </w:p>
    <w:p w14:paraId="17548F0E" w14:textId="77777777" w:rsidR="00552035" w:rsidRPr="00222A2B" w:rsidRDefault="00552035" w:rsidP="00F22EB6">
      <w:pPr>
        <w:rPr>
          <w:rFonts w:asciiTheme="majorHAnsi" w:hAnsiTheme="majorHAnsi"/>
        </w:rPr>
      </w:pPr>
    </w:p>
    <w:p w14:paraId="7FE1D629" w14:textId="4C5BA3DB" w:rsidR="0050660D" w:rsidRDefault="0050660D" w:rsidP="00F22EB6">
      <w:pPr>
        <w:rPr>
          <w:rFonts w:asciiTheme="majorHAnsi" w:hAnsiTheme="majorHAnsi"/>
        </w:rPr>
      </w:pPr>
      <w:r w:rsidRPr="00222A2B">
        <w:rPr>
          <w:rFonts w:asciiTheme="majorHAnsi" w:hAnsiTheme="majorHAnsi"/>
        </w:rPr>
        <w:t xml:space="preserve">Case B: </w:t>
      </w:r>
      <w:r w:rsidR="00222A2B" w:rsidRPr="00222A2B">
        <w:rPr>
          <w:rFonts w:asciiTheme="majorHAnsi" w:hAnsiTheme="majorHAnsi"/>
        </w:rPr>
        <w:t>A</w:t>
      </w:r>
      <w:r w:rsidR="00222A2B">
        <w:rPr>
          <w:rFonts w:asciiTheme="majorHAnsi" w:hAnsiTheme="majorHAnsi"/>
        </w:rPr>
        <w:t>voiding the splitting of the pre-amplified signal, which is only input to the LIA,</w:t>
      </w:r>
      <w:r w:rsidR="006C118C">
        <w:rPr>
          <w:rFonts w:asciiTheme="majorHAnsi" w:hAnsiTheme="majorHAnsi"/>
        </w:rPr>
        <w:t xml:space="preserve"> </w:t>
      </w:r>
      <w:r w:rsidR="00222A2B">
        <w:rPr>
          <w:rFonts w:asciiTheme="majorHAnsi" w:hAnsiTheme="majorHAnsi"/>
        </w:rPr>
        <w:t>an additional demodulator can be used in the LIA with a low-pass filter at the maximum value (</w:t>
      </w:r>
      <w:r w:rsidR="00222A2B" w:rsidRPr="00F22EB6">
        <w:rPr>
          <w:rFonts w:asciiTheme="majorHAnsi" w:hAnsiTheme="majorHAnsi"/>
          <w:i/>
        </w:rPr>
        <w:t>i.e.</w:t>
      </w:r>
      <w:r w:rsidR="00222A2B">
        <w:rPr>
          <w:rFonts w:asciiTheme="majorHAnsi" w:hAnsiTheme="majorHAnsi"/>
        </w:rPr>
        <w:t xml:space="preserve"> not locking in to the modulation frequency) such that the pre-amplified signal can be </w:t>
      </w:r>
      <w:r w:rsidR="00BD2DA1">
        <w:rPr>
          <w:rFonts w:asciiTheme="majorHAnsi" w:hAnsiTheme="majorHAnsi"/>
        </w:rPr>
        <w:t xml:space="preserve">effectively </w:t>
      </w:r>
      <w:r w:rsidR="00222A2B">
        <w:rPr>
          <w:rFonts w:asciiTheme="majorHAnsi" w:hAnsiTheme="majorHAnsi"/>
        </w:rPr>
        <w:t xml:space="preserve">output to the DAQ unit as demonstrated in </w:t>
      </w:r>
      <w:r w:rsidR="00222A2B" w:rsidRPr="00503A14">
        <w:rPr>
          <w:rFonts w:asciiTheme="majorHAnsi" w:hAnsiTheme="majorHAnsi"/>
          <w:b/>
        </w:rPr>
        <w:t>Fig</w:t>
      </w:r>
      <w:r w:rsidR="00503A14" w:rsidRPr="00503A14">
        <w:rPr>
          <w:rFonts w:asciiTheme="majorHAnsi" w:hAnsiTheme="majorHAnsi"/>
          <w:b/>
        </w:rPr>
        <w:t>ure</w:t>
      </w:r>
      <w:r w:rsidR="00222A2B" w:rsidRPr="00503A14">
        <w:rPr>
          <w:rFonts w:asciiTheme="majorHAnsi" w:hAnsiTheme="majorHAnsi"/>
          <w:b/>
        </w:rPr>
        <w:t xml:space="preserve"> 6A</w:t>
      </w:r>
      <w:r w:rsidR="00503A14" w:rsidRPr="00503A14">
        <w:rPr>
          <w:rFonts w:asciiTheme="majorHAnsi" w:hAnsiTheme="majorHAnsi"/>
          <w:b/>
        </w:rPr>
        <w:t>,</w:t>
      </w:r>
      <w:r w:rsidR="00222A2B" w:rsidRPr="00503A14">
        <w:rPr>
          <w:rFonts w:asciiTheme="majorHAnsi" w:hAnsiTheme="majorHAnsi"/>
          <w:b/>
        </w:rPr>
        <w:t>E</w:t>
      </w:r>
      <w:r w:rsidR="00222A2B">
        <w:rPr>
          <w:rFonts w:asciiTheme="majorHAnsi" w:hAnsiTheme="majorHAnsi"/>
        </w:rPr>
        <w:t xml:space="preserve">. </w:t>
      </w:r>
      <w:r w:rsidRPr="00222A2B">
        <w:rPr>
          <w:rFonts w:asciiTheme="majorHAnsi" w:hAnsiTheme="majorHAnsi"/>
        </w:rPr>
        <w:t>In this case, a voltage offset on the output can be applied to bo</w:t>
      </w:r>
      <w:r w:rsidR="00222A2B" w:rsidRPr="00222A2B">
        <w:rPr>
          <w:rFonts w:asciiTheme="majorHAnsi" w:hAnsiTheme="majorHAnsi"/>
        </w:rPr>
        <w:t xml:space="preserve">th the AC and DC signal, avoiding the need of recording the positive and negative signal via two separate V2F converters. This has no </w:t>
      </w:r>
      <w:r w:rsidRPr="00222A2B">
        <w:rPr>
          <w:rFonts w:asciiTheme="majorHAnsi" w:hAnsiTheme="majorHAnsi"/>
        </w:rPr>
        <w:t>major drawbacks apart from a reduction of the available frequency range of the V2F</w:t>
      </w:r>
      <w:r w:rsidR="00222A2B" w:rsidRPr="00222A2B">
        <w:rPr>
          <w:rFonts w:asciiTheme="majorHAnsi" w:hAnsiTheme="majorHAnsi"/>
        </w:rPr>
        <w:t>, which is rarely limiting</w:t>
      </w:r>
      <w:r w:rsidRPr="00222A2B">
        <w:rPr>
          <w:rFonts w:asciiTheme="majorHAnsi" w:hAnsiTheme="majorHAnsi"/>
        </w:rPr>
        <w:t>.</w:t>
      </w:r>
    </w:p>
    <w:p w14:paraId="71797CFC" w14:textId="77777777" w:rsidR="00552035" w:rsidRPr="00222A2B" w:rsidRDefault="00552035" w:rsidP="00F22EB6">
      <w:pPr>
        <w:rPr>
          <w:rFonts w:asciiTheme="majorHAnsi" w:hAnsiTheme="majorHAnsi"/>
        </w:rPr>
      </w:pPr>
    </w:p>
    <w:p w14:paraId="7FD428BD" w14:textId="251AEA79" w:rsidR="0050660D" w:rsidRDefault="0050660D" w:rsidP="00F22EB6">
      <w:pPr>
        <w:rPr>
          <w:rFonts w:asciiTheme="majorHAnsi" w:hAnsiTheme="majorHAnsi"/>
        </w:rPr>
      </w:pPr>
      <w:r w:rsidRPr="00222A2B">
        <w:rPr>
          <w:rFonts w:asciiTheme="majorHAnsi" w:hAnsiTheme="majorHAnsi"/>
        </w:rPr>
        <w:t xml:space="preserve">Case C: XBIV is measured and the </w:t>
      </w:r>
      <w:r w:rsidR="00222A2B" w:rsidRPr="00222A2B">
        <w:rPr>
          <w:rFonts w:asciiTheme="majorHAnsi" w:hAnsiTheme="majorHAnsi"/>
        </w:rPr>
        <w:t xml:space="preserve">DC/AC signal is split </w:t>
      </w:r>
      <w:r w:rsidRPr="00222A2B">
        <w:rPr>
          <w:rFonts w:asciiTheme="majorHAnsi" w:hAnsiTheme="majorHAnsi"/>
        </w:rPr>
        <w:t>between the DUT and the lock-in amplifier. In this case, no voltage offset on the DC signal can be applied without applying an unwanted bias voltage on the D</w:t>
      </w:r>
      <w:r w:rsidR="00222A2B" w:rsidRPr="00222A2B">
        <w:rPr>
          <w:rFonts w:asciiTheme="majorHAnsi" w:hAnsiTheme="majorHAnsi"/>
        </w:rPr>
        <w:t>UT, such that always two separate V2F converters are required for the positive and negative signal parts.</w:t>
      </w:r>
    </w:p>
    <w:p w14:paraId="14A1F2DC" w14:textId="77777777" w:rsidR="00552035" w:rsidRDefault="00552035" w:rsidP="00F22EB6">
      <w:pPr>
        <w:rPr>
          <w:rFonts w:asciiTheme="majorHAnsi" w:hAnsiTheme="majorHAnsi"/>
        </w:rPr>
      </w:pPr>
    </w:p>
    <w:p w14:paraId="69644198" w14:textId="45ED5F94" w:rsidR="0050660D" w:rsidRDefault="0050660D" w:rsidP="00F22EB6">
      <w:pPr>
        <w:rPr>
          <w:rFonts w:asciiTheme="majorHAnsi" w:hAnsiTheme="majorHAnsi"/>
        </w:rPr>
      </w:pPr>
      <w:r>
        <w:rPr>
          <w:rFonts w:asciiTheme="majorHAnsi" w:hAnsiTheme="majorHAnsi"/>
        </w:rPr>
        <w:t xml:space="preserve">In all cases, where the negative and positive parts of a signal are recorded via two different V2F converters, the total XBIC or XBIV signal is obtained as the difference between the positive and negative channel. </w:t>
      </w:r>
      <w:r w:rsidR="00222A2B">
        <w:rPr>
          <w:rFonts w:asciiTheme="majorHAnsi" w:hAnsiTheme="majorHAnsi"/>
        </w:rPr>
        <w:t xml:space="preserve">If a </w:t>
      </w:r>
      <w:r w:rsidR="006C118C">
        <w:rPr>
          <w:rFonts w:asciiTheme="majorHAnsi" w:hAnsiTheme="majorHAnsi"/>
        </w:rPr>
        <w:t xml:space="preserve">LIA </w:t>
      </w:r>
      <w:r w:rsidR="00222A2B">
        <w:rPr>
          <w:rFonts w:asciiTheme="majorHAnsi" w:hAnsiTheme="majorHAnsi"/>
        </w:rPr>
        <w:t>with two or more demodulators is available, we typically prefer case B, as it minimizes the wiring of the raw signal and allows easy switching between XBIC and XBIV measurements.</w:t>
      </w:r>
    </w:p>
    <w:p w14:paraId="3E788150" w14:textId="77777777" w:rsidR="00552035" w:rsidRDefault="00552035" w:rsidP="00F22EB6">
      <w:pPr>
        <w:rPr>
          <w:rFonts w:asciiTheme="majorHAnsi" w:hAnsiTheme="majorHAnsi"/>
        </w:rPr>
      </w:pPr>
    </w:p>
    <w:p w14:paraId="11CFEB0A" w14:textId="5CDCF1BD" w:rsidR="00AB0260" w:rsidRPr="00291203" w:rsidRDefault="00AB0260" w:rsidP="00F22EB6">
      <w:pPr>
        <w:rPr>
          <w:rFonts w:asciiTheme="majorHAnsi" w:hAnsiTheme="majorHAnsi"/>
        </w:rPr>
      </w:pPr>
      <w:r>
        <w:rPr>
          <w:rFonts w:asciiTheme="majorHAnsi" w:hAnsiTheme="majorHAnsi"/>
        </w:rPr>
        <w:t>The error of XBIC measurement</w:t>
      </w:r>
      <w:r w:rsidR="00F52EE2">
        <w:rPr>
          <w:rFonts w:asciiTheme="majorHAnsi" w:hAnsiTheme="majorHAnsi"/>
        </w:rPr>
        <w:t>s</w:t>
      </w:r>
      <w:r>
        <w:rPr>
          <w:rFonts w:asciiTheme="majorHAnsi" w:hAnsiTheme="majorHAnsi"/>
        </w:rPr>
        <w:t xml:space="preserve"> highly depends on the used equipment and settings such that no </w:t>
      </w:r>
      <w:r w:rsidR="00373BE0">
        <w:rPr>
          <w:rFonts w:asciiTheme="majorHAnsi" w:hAnsiTheme="majorHAnsi"/>
        </w:rPr>
        <w:t xml:space="preserve">error </w:t>
      </w:r>
      <w:r>
        <w:rPr>
          <w:rFonts w:asciiTheme="majorHAnsi" w:hAnsiTheme="majorHAnsi"/>
        </w:rPr>
        <w:t>quantification can be given here. The absolute error</w:t>
      </w:r>
      <w:r w:rsidR="00E844B7">
        <w:rPr>
          <w:rFonts w:asciiTheme="majorHAnsi" w:hAnsiTheme="majorHAnsi"/>
        </w:rPr>
        <w:t xml:space="preserve"> </w:t>
      </w:r>
      <w:r>
        <w:rPr>
          <w:rFonts w:asciiTheme="majorHAnsi" w:hAnsiTheme="majorHAnsi"/>
        </w:rPr>
        <w:t xml:space="preserve">is higher than one might expect because of experimental and systematic errors. This is particularly true, if the XBIC signal is converted to charge collection efficiency by scaling with a constant as described in the protocol. For example, the empiric relation between bandgap and ionization energy </w:t>
      </w:r>
      <w:r w:rsidR="00E844B7">
        <w:rPr>
          <w:rFonts w:asciiTheme="majorHAnsi" w:hAnsiTheme="majorHAnsi"/>
        </w:rPr>
        <w:t xml:space="preserve">described by </w:t>
      </w:r>
      <m:oMath>
        <m:r>
          <w:rPr>
            <w:rFonts w:ascii="Cambria Math" w:hAnsi="Cambria Math"/>
          </w:rPr>
          <m:t>α</m:t>
        </m:r>
      </m:oMath>
      <w:r w:rsidR="00E844B7">
        <w:rPr>
          <w:rFonts w:asciiTheme="majorHAnsi" w:hAnsiTheme="majorHAnsi"/>
        </w:rPr>
        <w:t xml:space="preserve"> (see Eq. 4) </w:t>
      </w:r>
      <w:r>
        <w:rPr>
          <w:rFonts w:asciiTheme="majorHAnsi" w:hAnsiTheme="majorHAnsi"/>
        </w:rPr>
        <w:t>suffers from significant scatter</w:t>
      </w:r>
      <w:r w:rsidR="00034DB6">
        <w:rPr>
          <w:rFonts w:asciiTheme="majorHAnsi" w:hAnsiTheme="majorHAnsi"/>
        </w:rPr>
        <w:t>;</w:t>
      </w:r>
      <w:r w:rsidR="00E844B7">
        <w:rPr>
          <w:rFonts w:asciiTheme="majorHAnsi" w:hAnsiTheme="majorHAnsi"/>
        </w:rPr>
        <w:t xml:space="preserve"> photon flux measurements are often not available with absolute errors below 10%</w:t>
      </w:r>
      <w:r w:rsidR="00034DB6">
        <w:rPr>
          <w:rFonts w:asciiTheme="majorHAnsi" w:hAnsiTheme="majorHAnsi"/>
        </w:rPr>
        <w:t>;</w:t>
      </w:r>
      <w:r w:rsidR="00E844B7">
        <w:rPr>
          <w:rFonts w:asciiTheme="majorHAnsi" w:hAnsiTheme="majorHAnsi"/>
        </w:rPr>
        <w:t xml:space="preserve"> and the nanoscopic structure of the DUT is poorly known. However, we emphasize that the strength of lock-in amplified XBIC and XBIV measurements lies in the great relative accuracy within maps or comparable measurements.</w:t>
      </w:r>
    </w:p>
    <w:p w14:paraId="78B8C3E9" w14:textId="60F2631F" w:rsidR="001A7385" w:rsidRDefault="001A7385" w:rsidP="00F22EB6">
      <w:pPr>
        <w:pStyle w:val="ac"/>
        <w:ind w:left="0"/>
        <w:rPr>
          <w:rFonts w:asciiTheme="majorHAnsi" w:hAnsiTheme="majorHAnsi"/>
        </w:rPr>
      </w:pPr>
    </w:p>
    <w:p w14:paraId="41211AF0" w14:textId="1A758061" w:rsidR="001A7385" w:rsidRDefault="0038123D" w:rsidP="00F22EB6">
      <w:pPr>
        <w:pStyle w:val="ac"/>
        <w:numPr>
          <w:ilvl w:val="0"/>
          <w:numId w:val="30"/>
        </w:numPr>
        <w:ind w:left="0" w:firstLine="0"/>
        <w:rPr>
          <w:rFonts w:asciiTheme="majorHAnsi" w:hAnsiTheme="majorHAnsi"/>
        </w:rPr>
      </w:pPr>
      <w:r>
        <w:rPr>
          <w:rFonts w:asciiTheme="majorHAnsi" w:hAnsiTheme="majorHAnsi"/>
        </w:rPr>
        <w:t xml:space="preserve">Scanning </w:t>
      </w:r>
      <w:r w:rsidR="00A15D05">
        <w:rPr>
          <w:rFonts w:asciiTheme="majorHAnsi" w:hAnsiTheme="majorHAnsi"/>
        </w:rPr>
        <w:t>S</w:t>
      </w:r>
      <w:r>
        <w:rPr>
          <w:rFonts w:asciiTheme="majorHAnsi" w:hAnsiTheme="majorHAnsi"/>
        </w:rPr>
        <w:t>peed</w:t>
      </w:r>
    </w:p>
    <w:p w14:paraId="4C97C873" w14:textId="012B35A3" w:rsidR="008A4FDF" w:rsidRDefault="008A4FDF" w:rsidP="00F22EB6">
      <w:r>
        <w:t xml:space="preserve">In many measurement modes that are based on photon detection such as XRF or X-ray scattering, the signal intensity increases in first approximation linearly with the acquisition time, with accordingly increased signal-to-noise ratio. This is not true for XBIC measurements, where the window of possible scanning speeds is not </w:t>
      </w:r>
      <w:r w:rsidR="00D60F61">
        <w:t xml:space="preserve">dictated </w:t>
      </w:r>
      <w:r>
        <w:t xml:space="preserve">by count statistics but </w:t>
      </w:r>
      <w:r w:rsidR="00D819EB">
        <w:t xml:space="preserve">by </w:t>
      </w:r>
      <w:r w:rsidR="00D60F61">
        <w:t xml:space="preserve">more complex </w:t>
      </w:r>
      <w:r w:rsidR="00AB57C1">
        <w:t>considerations such as carrier dynamics and device structure</w:t>
      </w:r>
      <w:r>
        <w:t>.</w:t>
      </w:r>
    </w:p>
    <w:p w14:paraId="71B55540" w14:textId="77777777" w:rsidR="00552035" w:rsidRDefault="00552035" w:rsidP="00F22EB6"/>
    <w:p w14:paraId="085F7D40" w14:textId="2B5279B1" w:rsidR="008C5923" w:rsidRDefault="008C5923" w:rsidP="00F22EB6">
      <w:r>
        <w:t>Nevertheless, slow measurements with many periods of modulated signal per pixel typically lead to the best signal-to-noise ratio</w:t>
      </w:r>
      <w:r w:rsidR="00347A8F">
        <w:t xml:space="preserve"> in lock-in amplified XBIC measurements</w:t>
      </w:r>
      <w:r w:rsidR="00D724E2">
        <w:t xml:space="preserve">, and oversampling with smoothening </w:t>
      </w:r>
      <w:r w:rsidR="00AC444B">
        <w:t xml:space="preserve">during </w:t>
      </w:r>
      <w:r w:rsidR="00D724E2">
        <w:t>post-processing (e.g. by binning or applying filters) can further reduce noise levels if measurement time allows</w:t>
      </w:r>
      <w:r>
        <w:t xml:space="preserve">. However, </w:t>
      </w:r>
      <w:r w:rsidR="00D724E2">
        <w:t>apart from throughput considerations, further constraints can set lower limits to the measurement speed</w:t>
      </w:r>
      <w:r w:rsidR="00AC444B">
        <w:t>, including</w:t>
      </w:r>
      <w:r w:rsidR="00D724E2">
        <w:t xml:space="preserve">: (1) X-ray beam induced degradation (see the following section), or environment-induced sample changes during </w:t>
      </w:r>
      <w:r w:rsidR="00D724E2" w:rsidRPr="002123D1">
        <w:rPr>
          <w:i/>
        </w:rPr>
        <w:t>in-situ</w:t>
      </w:r>
      <w:r w:rsidR="00D724E2">
        <w:t xml:space="preserve"> measurements often </w:t>
      </w:r>
      <w:r w:rsidR="00AC444B">
        <w:t>reduce the allowable</w:t>
      </w:r>
      <w:r w:rsidR="00D724E2">
        <w:t xml:space="preserve"> dwell time. (2) Sample drift </w:t>
      </w:r>
      <w:r w:rsidR="000B2979">
        <w:t>and reproducibility of stage movements can be limiting</w:t>
      </w:r>
      <w:r w:rsidR="00D724E2">
        <w:t>, particu</w:t>
      </w:r>
      <w:r w:rsidR="000B2979">
        <w:t xml:space="preserve">larly for measurements at the nanoscale. (3) Variations of the electromagnetic noise level may be outrun by faster measurements. (4) Whereas photon-counting measurements can easily be normalized to the incident photon flux, the XBIC signal (and even more </w:t>
      </w:r>
      <w:r w:rsidR="00AC444B">
        <w:t xml:space="preserve">so </w:t>
      </w:r>
      <w:r w:rsidR="000B2979">
        <w:t>the XBIV signal) is only to some extent linear to the incident photon flux</w:t>
      </w:r>
      <w:r w:rsidR="002C5A71">
        <w:fldChar w:fldCharType="begin" w:fldLock="1"/>
      </w:r>
      <w:r w:rsidR="008F7C07">
        <w:instrText>ADDIN CSL_CITATION {"citationItems":[{"id":"ITEM-1","itemData":{"author":[{"dropping-particle":"","family":"Stuckelberger","given":"Michael E","non-dropping-particle":"","parse-names":false,"suffix":""},{"dropping-particle":"","family":"Nietzold","given":"Tara","non-dropping-particle":"","parse-names":false,"suffix":""},{"dropping-particle":"","family":"West","given":"Bradley M","non-dropping-particle":"","parse-names":false,"suffix":""},{"dropping-particle":"","family":"Lai","given":"Barry","non-dropping-particle":"","parse-names":false,"suffix":""},{"dropping-particle":"","family":"Maser","given":"M","non-dropping-particle":"","parse-names":false,"suffix":""},{"dropping-particle":"","family":"Rose","given":"Volker","non-dropping-particle":"","parse-names":false,"suffix":""},{"dropping-particle":"","family":"Bertoni","given":"Mariana I","non-dropping-particle":"","parse-names":false,"suffix":""}],"container-title":"2017 IEEE 44th Photovoltaic Specialist Conference, PVSC 2017","id":"ITEM-1","issued":{"date-parts":[["2017"]]},"title":"X-Ray Beam Induced Voltage: A Novel Technique for Electrical Nanocharacterization of Solar Cells","type":"article-journal"},"uris":["http://www.mendeley.com/documents/?uuid=4dde74b1-f089-47e8-abb8-92450878c3a5"]}],"mendeley":{"formattedCitation":"&lt;sup&gt;28&lt;/sup&gt;","plainTextFormattedCitation":"28","previouslyFormattedCitation":"&lt;sup&gt;28&lt;/sup&gt;"},"properties":{"noteIndex":0},"schema":"https://github.com/citation-style-language/schema/raw/master/csl-citation.json"}</w:instrText>
      </w:r>
      <w:r w:rsidR="002C5A71">
        <w:fldChar w:fldCharType="separate"/>
      </w:r>
      <w:r w:rsidR="001E7A73" w:rsidRPr="001E7A73">
        <w:rPr>
          <w:noProof/>
          <w:vertAlign w:val="superscript"/>
        </w:rPr>
        <w:t>28</w:t>
      </w:r>
      <w:r w:rsidR="002C5A71">
        <w:fldChar w:fldCharType="end"/>
      </w:r>
      <w:r w:rsidR="00D51BB7">
        <w:t>.</w:t>
      </w:r>
      <w:r w:rsidR="000B2979">
        <w:t xml:space="preserve"> Therefore, normalization to the photon flux only compensates part of the effects from photon-flux variation</w:t>
      </w:r>
      <w:r w:rsidR="00F761C9">
        <w:t>,</w:t>
      </w:r>
      <w:r w:rsidR="000B2979">
        <w:t xml:space="preserve"> and </w:t>
      </w:r>
      <w:r w:rsidR="00F761C9">
        <w:t xml:space="preserve">one should avoid taking </w:t>
      </w:r>
      <w:r w:rsidR="000B2979">
        <w:t>XBIC measurements</w:t>
      </w:r>
      <w:r w:rsidR="00F761C9">
        <w:t xml:space="preserve"> (</w:t>
      </w:r>
      <w:r w:rsidR="00702266">
        <w:t xml:space="preserve">such as </w:t>
      </w:r>
      <w:r w:rsidR="00F761C9">
        <w:t>maps or time-series)</w:t>
      </w:r>
      <w:r w:rsidR="000B2979">
        <w:t xml:space="preserve"> </w:t>
      </w:r>
      <w:r w:rsidR="00F761C9">
        <w:t xml:space="preserve">while the flux is varied. </w:t>
      </w:r>
      <w:r w:rsidR="00AC444B">
        <w:t>T</w:t>
      </w:r>
      <w:r w:rsidR="000B2979">
        <w:t>his is particularly a</w:t>
      </w:r>
      <w:r w:rsidR="00347A8F">
        <w:t>n issue</w:t>
      </w:r>
      <w:r w:rsidR="000B2979">
        <w:t xml:space="preserve"> when the storage ring </w:t>
      </w:r>
      <w:r w:rsidR="00F761C9">
        <w:t xml:space="preserve">is </w:t>
      </w:r>
      <w:r w:rsidR="000B2979">
        <w:t>filled</w:t>
      </w:r>
      <w:r w:rsidR="00385617">
        <w:t xml:space="preserve"> during an XBIC </w:t>
      </w:r>
      <w:r w:rsidR="00F761C9">
        <w:t>map</w:t>
      </w:r>
      <w:r w:rsidR="000B2979">
        <w:t>.</w:t>
      </w:r>
    </w:p>
    <w:p w14:paraId="161345C8" w14:textId="77777777" w:rsidR="00552035" w:rsidRDefault="00552035" w:rsidP="00F22EB6"/>
    <w:p w14:paraId="3200320F" w14:textId="3A31A064" w:rsidR="008A4FDF" w:rsidRDefault="00385617" w:rsidP="00F22EB6">
      <w:r>
        <w:t xml:space="preserve">If the XBIC measurement speed is not governed by other measurement modes (see section (d)), XBIC measurements are typically taken with the maximum speed that provides satisfying signal-to-noise ratio. </w:t>
      </w:r>
      <w:r w:rsidR="009B4A63">
        <w:t xml:space="preserve">Upper limits to the measurement speed are given by the following constraints: (1) A fundamental upper limit to the measurement speed is the response time of the DUT. Ultimately, the response time is limited by the charge-collection time. For most thin-film solar cells with charge-carrier lifetimes in the nano- or microsecond range, this is uncritical, but this has to be kept in mind for high-quality crystalline-silicon solar cells with lifetimes of several milliseconds. However, capacitance effects can increase the response time also of </w:t>
      </w:r>
      <w:r w:rsidR="002123D1">
        <w:t>TF solar cells such that it can</w:t>
      </w:r>
      <w:r w:rsidR="009B4A63">
        <w:t xml:space="preserve"> limit the measurement speed. (2) </w:t>
      </w:r>
      <w:r w:rsidR="007770B1">
        <w:t>R</w:t>
      </w:r>
      <w:r w:rsidR="009B4A63">
        <w:t xml:space="preserve">otating </w:t>
      </w:r>
      <w:r w:rsidR="007770B1">
        <w:t>chopper blades</w:t>
      </w:r>
      <w:r w:rsidR="009B4A63">
        <w:t xml:space="preserve"> that are used to modulate the X-ray beam </w:t>
      </w:r>
      <w:r w:rsidR="007770B1">
        <w:t xml:space="preserve">have upper </w:t>
      </w:r>
      <w:r w:rsidR="00347A8F">
        <w:t xml:space="preserve">speed </w:t>
      </w:r>
      <w:r w:rsidR="007770B1">
        <w:t xml:space="preserve">limits. Depending on their location in the X-ray beam, the beam size </w:t>
      </w:r>
      <w:r w:rsidR="007B58D7">
        <w:t xml:space="preserve">may be </w:t>
      </w:r>
      <w:r w:rsidR="00F72853">
        <w:t>up to 1 </w:t>
      </w:r>
      <w:r w:rsidR="007770B1">
        <w:t xml:space="preserve">mm wide, which defines the minimum period of the blade. If the chopper is operated in vacuum, the rotation frequency is rarely limiting, matching in some cases even the electron-bunch frequency. However, the operation of choppers at such speeds in vacuum is challenging, </w:t>
      </w:r>
      <w:r w:rsidR="00101967">
        <w:t xml:space="preserve">such that </w:t>
      </w:r>
      <w:r w:rsidR="007770B1">
        <w:t xml:space="preserve">most choppers are operated in air. In this case, the rotating speed is limited by mechanical vibrations and ultimately by the speed of the outmost part of the blade that needs to be smaller than the speed of sound. In our experience, the chopping frequency is limited </w:t>
      </w:r>
      <w:r w:rsidR="00347A8F">
        <w:t xml:space="preserve">often </w:t>
      </w:r>
      <w:r w:rsidR="007770B1">
        <w:t xml:space="preserve">to </w:t>
      </w:r>
      <m:oMath>
        <m:r>
          <w:rPr>
            <w:rFonts w:ascii="Cambria Math" w:hAnsi="Cambria Math"/>
          </w:rPr>
          <m:t>~</m:t>
        </m:r>
      </m:oMath>
      <w:r w:rsidR="00D51DBD">
        <w:t xml:space="preserve">7000 Hz in air. (3) In many cases, the response time of the PA sets the upper limit of the measurement speed. </w:t>
      </w:r>
      <w:r w:rsidR="002123D1">
        <w:t xml:space="preserve">As shown in </w:t>
      </w:r>
      <w:r w:rsidR="002123D1" w:rsidRPr="00503A14">
        <w:rPr>
          <w:b/>
        </w:rPr>
        <w:t>Fig</w:t>
      </w:r>
      <w:r w:rsidR="00503A14" w:rsidRPr="00503A14">
        <w:rPr>
          <w:b/>
        </w:rPr>
        <w:t>ure</w:t>
      </w:r>
      <w:r w:rsidR="002123D1" w:rsidRPr="00503A14">
        <w:rPr>
          <w:b/>
        </w:rPr>
        <w:t xml:space="preserve"> </w:t>
      </w:r>
      <w:r w:rsidR="007C3ED6" w:rsidRPr="00503A14">
        <w:rPr>
          <w:b/>
        </w:rPr>
        <w:t>4</w:t>
      </w:r>
      <w:r w:rsidR="00D51DBD">
        <w:t xml:space="preserve">, fast rise times of the PA are required to translate the signal modulation from the chopper. For large amplification, low-noise current amplifiers </w:t>
      </w:r>
      <w:r w:rsidR="007B58D7">
        <w:t>are used, which</w:t>
      </w:r>
      <w:r w:rsidR="00D51DBD">
        <w:t xml:space="preserve"> </w:t>
      </w:r>
      <w:r w:rsidR="00207FBF">
        <w:t xml:space="preserve">have </w:t>
      </w:r>
      <w:proofErr w:type="spellStart"/>
      <w:r w:rsidR="00207FBF">
        <w:t>rise</w:t>
      </w:r>
      <w:proofErr w:type="spellEnd"/>
      <w:r w:rsidR="00207FBF">
        <w:t xml:space="preserve"> times up to 100</w:t>
      </w:r>
      <w:r w:rsidR="003C1C33">
        <w:t> </w:t>
      </w:r>
      <w:proofErr w:type="spellStart"/>
      <w:r w:rsidR="00207FBF">
        <w:t>ms</w:t>
      </w:r>
      <w:r w:rsidR="007B58D7">
        <w:t>.</w:t>
      </w:r>
      <w:proofErr w:type="spellEnd"/>
      <w:r w:rsidR="007B58D7">
        <w:t xml:space="preserve"> With such rise times,</w:t>
      </w:r>
      <w:r w:rsidR="00207FBF">
        <w:t xml:space="preserve"> the chopping frequency </w:t>
      </w:r>
      <w:r w:rsidR="007B58D7">
        <w:t xml:space="preserve">can be limited </w:t>
      </w:r>
      <w:r w:rsidR="00207FBF">
        <w:t>to few Hz, which would require dwell times of several seconds. Therefore, the best strategy is often to choose a lower amplification by the PA with a faster response time</w:t>
      </w:r>
      <w:r w:rsidR="00100CA4">
        <w:t xml:space="preserve"> that matches the chopping frequency</w:t>
      </w:r>
      <w:r w:rsidR="00207FBF">
        <w:t>. Although this translates into smaller signal-to-noise levels after pre-amplification, lock-in amplification can often</w:t>
      </w:r>
      <w:r w:rsidR="007B58D7">
        <w:t xml:space="preserve"> still</w:t>
      </w:r>
      <w:r w:rsidR="00207FBF">
        <w:t xml:space="preserve"> retrieve a </w:t>
      </w:r>
      <w:r w:rsidR="007C3ED6">
        <w:t>high-</w:t>
      </w:r>
      <w:r w:rsidR="007B58D7">
        <w:t xml:space="preserve">quality </w:t>
      </w:r>
      <w:r w:rsidR="00207FBF">
        <w:t>modulated signal.</w:t>
      </w:r>
    </w:p>
    <w:p w14:paraId="495EF9EE" w14:textId="77777777" w:rsidR="00552035" w:rsidRDefault="00552035" w:rsidP="00F22EB6"/>
    <w:p w14:paraId="771A7653" w14:textId="04B06DCA" w:rsidR="00F44E2D" w:rsidRDefault="003C1C33" w:rsidP="00F22EB6">
      <w:r>
        <w:t xml:space="preserve">As an example, the </w:t>
      </w:r>
      <w:r w:rsidR="003E2801">
        <w:t>used PA</w:t>
      </w:r>
      <w:r>
        <w:t xml:space="preserve"> provides a bandwidth of more than 10 kHz for amplification in the µA/V range, even for the low-noise setting</w:t>
      </w:r>
      <w:r w:rsidR="002123D1">
        <w:fldChar w:fldCharType="begin" w:fldLock="1"/>
      </w:r>
      <w:r w:rsidR="003D2185">
        <w:instrText>ADDIN CSL_CITATION {"citationItems":[{"id":"ITEM-1","itemData":{"author":[{"dropping-particle":"","family":"ThinkSRS","given":"","non-dropping-particle":"","parse-names":false,"suffix":""}],"id":"ITEM-1","issue":"408","issued":{"date-parts":[["2015"]]},"publisher":"ThinkSRS","title":"MODEL SR570 Low-Noise Current Preamplifier","type":"webpage"},"uris":["http://www.mendeley.com/documents/?uuid=636fa531-db91-4332-bc23-ef84e5ec27cb"]}],"mendeley":{"formattedCitation":"&lt;sup&gt;37&lt;/sup&gt;","plainTextFormattedCitation":"37","previouslyFormattedCitation":"&lt;sup&gt;37&lt;/sup&gt;"},"properties":{"noteIndex":0},"schema":"https://github.com/citation-style-language/schema/raw/master/csl-citation.json"}</w:instrText>
      </w:r>
      <w:r w:rsidR="002123D1">
        <w:fldChar w:fldCharType="separate"/>
      </w:r>
      <w:r w:rsidR="00594CBE" w:rsidRPr="00594CBE">
        <w:rPr>
          <w:noProof/>
          <w:vertAlign w:val="superscript"/>
        </w:rPr>
        <w:t>37</w:t>
      </w:r>
      <w:r w:rsidR="002123D1">
        <w:fldChar w:fldCharType="end"/>
      </w:r>
      <w:r w:rsidR="00D51BB7">
        <w:t>.</w:t>
      </w:r>
      <w:r>
        <w:t xml:space="preserve"> This </w:t>
      </w:r>
      <w:r w:rsidR="00F44E2D">
        <w:t xml:space="preserve">allows chopping at </w:t>
      </w:r>
      <w:r w:rsidR="00845D1A">
        <w:t xml:space="preserve">the </w:t>
      </w:r>
      <w:r w:rsidR="00F44E2D">
        <w:t>kHz</w:t>
      </w:r>
      <w:r w:rsidR="00845D1A">
        <w:t xml:space="preserve"> range</w:t>
      </w:r>
      <w:r w:rsidR="00F44E2D">
        <w:t xml:space="preserve"> </w:t>
      </w:r>
      <w:r>
        <w:t xml:space="preserve">and measurement speeds </w:t>
      </w:r>
      <w:r w:rsidR="00F44E2D">
        <w:t>up to the 100</w:t>
      </w:r>
      <w:r w:rsidR="002123D1">
        <w:t>-</w:t>
      </w:r>
      <w:r w:rsidR="00F44E2D">
        <w:t>Hz range with a low-pass filter with a cut-off frequency between the scanning and chopping frequency</w:t>
      </w:r>
      <w:r>
        <w:t xml:space="preserve">. </w:t>
      </w:r>
      <w:r w:rsidR="0055381D">
        <w:t>T</w:t>
      </w:r>
      <w:r>
        <w:t>hese are measurement conditions we often utilize.</w:t>
      </w:r>
    </w:p>
    <w:p w14:paraId="23FA5411" w14:textId="77777777" w:rsidR="00552035" w:rsidRDefault="00552035" w:rsidP="00F22EB6"/>
    <w:p w14:paraId="567FD837" w14:textId="4FD11AB4" w:rsidR="00207FBF" w:rsidRDefault="00F44E2D" w:rsidP="00F22EB6">
      <w:r>
        <w:t>To avoid measurement artifacts, it is critically important to analyze the signal along the amplification chain: whereas limitation by the low-pass filter of the LIA can easily be detected as line-artifacts in maps (smearing out of the XBIC signal across several pixels), the system response of the DUT and PA requires inspection of the signal by a scope</w:t>
      </w:r>
      <w:r w:rsidR="0055381D">
        <w:t xml:space="preserve">, </w:t>
      </w:r>
      <w:r w:rsidR="00AE45AC">
        <w:t>which can be</w:t>
      </w:r>
      <w:r w:rsidR="0055381D">
        <w:t xml:space="preserve"> integrated in the LIA</w:t>
      </w:r>
      <w:r>
        <w:t>.</w:t>
      </w:r>
    </w:p>
    <w:p w14:paraId="5DFF1BCC" w14:textId="77777777" w:rsidR="007C266A" w:rsidRPr="00552035" w:rsidRDefault="007C266A" w:rsidP="00F22EB6">
      <w:pPr>
        <w:rPr>
          <w:rFonts w:asciiTheme="majorHAnsi" w:hAnsiTheme="majorHAnsi"/>
          <w:b/>
        </w:rPr>
      </w:pPr>
    </w:p>
    <w:p w14:paraId="3504C972" w14:textId="659266FD" w:rsidR="001A7385" w:rsidRPr="00552035" w:rsidRDefault="001A7385" w:rsidP="00F22EB6">
      <w:pPr>
        <w:pStyle w:val="ac"/>
        <w:numPr>
          <w:ilvl w:val="0"/>
          <w:numId w:val="30"/>
        </w:numPr>
        <w:ind w:left="0" w:firstLine="0"/>
        <w:rPr>
          <w:rFonts w:asciiTheme="majorHAnsi" w:hAnsiTheme="majorHAnsi"/>
          <w:b/>
        </w:rPr>
      </w:pPr>
      <w:r w:rsidRPr="00552035">
        <w:rPr>
          <w:rFonts w:asciiTheme="majorHAnsi" w:hAnsiTheme="majorHAnsi"/>
          <w:b/>
        </w:rPr>
        <w:t>Beam Damage</w:t>
      </w:r>
    </w:p>
    <w:p w14:paraId="1EDA5494" w14:textId="43E8939C" w:rsidR="007C266A" w:rsidRDefault="00126969" w:rsidP="00F22EB6">
      <w:pPr>
        <w:rPr>
          <w:rFonts w:asciiTheme="majorHAnsi" w:hAnsiTheme="majorHAnsi"/>
        </w:rPr>
      </w:pPr>
      <w:r>
        <w:rPr>
          <w:rFonts w:asciiTheme="majorHAnsi" w:hAnsiTheme="majorHAnsi"/>
        </w:rPr>
        <w:t xml:space="preserve">X-ray beam induced </w:t>
      </w:r>
      <w:r w:rsidR="001C3D9E">
        <w:rPr>
          <w:rFonts w:asciiTheme="majorHAnsi" w:hAnsiTheme="majorHAnsi"/>
        </w:rPr>
        <w:t xml:space="preserve">damage </w:t>
      </w:r>
      <w:r>
        <w:rPr>
          <w:rFonts w:asciiTheme="majorHAnsi" w:hAnsiTheme="majorHAnsi"/>
        </w:rPr>
        <w:t xml:space="preserve">is a common issue and </w:t>
      </w:r>
      <w:r w:rsidR="001C3D9E">
        <w:rPr>
          <w:rFonts w:asciiTheme="majorHAnsi" w:hAnsiTheme="majorHAnsi"/>
        </w:rPr>
        <w:t xml:space="preserve">has been discussed for many systems, </w:t>
      </w:r>
      <w:r w:rsidR="007D5D65">
        <w:rPr>
          <w:rFonts w:asciiTheme="majorHAnsi" w:hAnsiTheme="majorHAnsi"/>
        </w:rPr>
        <w:t xml:space="preserve">from </w:t>
      </w:r>
      <w:r w:rsidR="001C3D9E">
        <w:rPr>
          <w:rFonts w:asciiTheme="majorHAnsi" w:hAnsiTheme="majorHAnsi"/>
        </w:rPr>
        <w:t xml:space="preserve">biological samples </w:t>
      </w:r>
      <w:r w:rsidR="007D5D65">
        <w:rPr>
          <w:rFonts w:asciiTheme="majorHAnsi" w:hAnsiTheme="majorHAnsi"/>
        </w:rPr>
        <w:t>to</w:t>
      </w:r>
      <w:r w:rsidR="001C3D9E">
        <w:rPr>
          <w:rFonts w:asciiTheme="majorHAnsi" w:hAnsiTheme="majorHAnsi"/>
        </w:rPr>
        <w:t xml:space="preserve"> silicon solar cells </w:t>
      </w:r>
      <w:r w:rsidR="007D5D65">
        <w:rPr>
          <w:rFonts w:asciiTheme="majorHAnsi" w:hAnsiTheme="majorHAnsi"/>
        </w:rPr>
        <w:t>and</w:t>
      </w:r>
      <w:r w:rsidR="001C3D9E">
        <w:rPr>
          <w:rFonts w:asciiTheme="majorHAnsi" w:hAnsiTheme="majorHAnsi"/>
        </w:rPr>
        <w:t xml:space="preserve"> detectors</w:t>
      </w:r>
      <w:r w:rsidR="005B320E">
        <w:rPr>
          <w:rFonts w:asciiTheme="majorHAnsi" w:hAnsiTheme="majorHAnsi"/>
        </w:rPr>
        <w:fldChar w:fldCharType="begin" w:fldLock="1"/>
      </w:r>
      <w:r w:rsidR="003D2185">
        <w:rPr>
          <w:rFonts w:asciiTheme="majorHAnsi" w:hAnsiTheme="majorHAnsi"/>
        </w:rPr>
        <w:instrText>ADDIN CSL_CITATION {"citationItems":[{"id":"ITEM-1","itemData":{"author":[{"dropping-particle":"","family":"Cazaux","given":"J","non-dropping-particle":"","parse-names":false,"suffix":""}],"container-title":"Journal of Microscopy","id":"ITEM-1","issue":"June","issued":{"date-parts":[["1997"]]},"page":"106-124","title":"A physical approach to the radiation damage mechanisms induced by X-rays in X-ray microscopy and related techniques","type":"article-journal","volume":"188"},"uris":["http://www.mendeley.com/documents/?uuid=bbfad5f1-65c0-4357-aa24-4ae662155494"]},{"id":"ITEM-2","itemData":{"DOI":"10.1063/1.2942380","ISSN":"00036951","abstract":"Radiation induced structural damage is observed in silicon-on-insulator (SOI) and SiGe on SOI samples illuminated with monochromatic (11.2 keV) x-ray microbeams approximately 250 nm in diameter. The x-ray diffraction peaks from the irradiated layers irreversibly degrade with time, indicating permanent structural damage to the crystal lattice. The size of the damaged regions is almost an order of magnitude larger than the beam size. The magnitude of damage decreases as one moves away from the center of the illuminated volume. We discuss the threshold dosage required for damage initiation and possible mechanisms for the observed damage.","author":[{"dropping-particle":"","family":"Polvino","given":"Sean M.","non-dropping-particle":"","parse-names":false,"suffix":""},{"dropping-particle":"","family":"Murray","given":"Conal E.","non-dropping-particle":"","parse-names":false,"suffix":""},{"dropping-particle":"","family":"Kalenci","given":"Özgür","non-dropping-particle":"","parse-names":false,"suffix":""},{"dropping-particle":"","family":"Noyan","given":"I. C.","non-dropping-particle":"","parse-names":false,"suffix":""},{"dropping-particle":"","family":"Lai","given":"Barry","non-dropping-particle":"","parse-names":false,"suffix":""},{"dropping-particle":"","family":"Cai","given":"Zhoghou","non-dropping-particle":"","parse-names":false,"suffix":""}],"container-title":"Applied Physics Letters","id":"ITEM-2","issue":"22","issued":{"date-parts":[["2008"]]},"page":"6-9","title":"Synchrotron microbeam x-ray radiation damage in semiconductor layers","type":"article-journal","volume":"92"},"uris":["http://www.mendeley.com/documents/?uuid=d4e503e1-6d93-4d39-b091-8dc6c92023d7"]}],"mendeley":{"formattedCitation":"&lt;sup&gt;46,47&lt;/sup&gt;","plainTextFormattedCitation":"46,47","previouslyFormattedCitation":"&lt;sup&gt;46,47&lt;/sup&gt;"},"properties":{"noteIndex":0},"schema":"https://github.com/citation-style-language/schema/raw/master/csl-citation.json"}</w:instrText>
      </w:r>
      <w:r w:rsidR="005B320E">
        <w:rPr>
          <w:rFonts w:asciiTheme="majorHAnsi" w:hAnsiTheme="majorHAnsi"/>
        </w:rPr>
        <w:fldChar w:fldCharType="separate"/>
      </w:r>
      <w:r w:rsidR="00594CBE" w:rsidRPr="00594CBE">
        <w:rPr>
          <w:rFonts w:asciiTheme="majorHAnsi" w:hAnsiTheme="majorHAnsi"/>
          <w:noProof/>
          <w:vertAlign w:val="superscript"/>
        </w:rPr>
        <w:t>46,47</w:t>
      </w:r>
      <w:r w:rsidR="005B320E">
        <w:rPr>
          <w:rFonts w:asciiTheme="majorHAnsi" w:hAnsiTheme="majorHAnsi"/>
        </w:rPr>
        <w:fldChar w:fldCharType="end"/>
      </w:r>
      <w:r w:rsidR="00D51BB7">
        <w:rPr>
          <w:rFonts w:asciiTheme="majorHAnsi" w:hAnsiTheme="majorHAnsi"/>
        </w:rPr>
        <w:t>.</w:t>
      </w:r>
      <w:r w:rsidR="001C3D9E">
        <w:rPr>
          <w:rFonts w:asciiTheme="majorHAnsi" w:hAnsiTheme="majorHAnsi"/>
        </w:rPr>
        <w:t xml:space="preserve"> </w:t>
      </w:r>
      <w:r>
        <w:rPr>
          <w:rFonts w:asciiTheme="majorHAnsi" w:hAnsiTheme="majorHAnsi"/>
        </w:rPr>
        <w:t xml:space="preserve">Although inorganic semiconductors are generally more robust against X-ray irradiation compared to organic semiconductors or biological systems, X-ray beam induced damage is common also in thin-film solar cells. Specifically, we have observed X-ray beam induced damage of solar cells with </w:t>
      </w:r>
      <w:r w:rsidR="00D54B89">
        <w:rPr>
          <w:rFonts w:asciiTheme="majorHAnsi" w:hAnsiTheme="majorHAnsi"/>
        </w:rPr>
        <w:t>CdTe, CIGS</w:t>
      </w:r>
      <w:r w:rsidR="00D54B89">
        <w:rPr>
          <w:rFonts w:asciiTheme="majorHAnsi" w:hAnsiTheme="majorHAnsi"/>
        </w:rPr>
        <w:fldChar w:fldCharType="begin" w:fldLock="1"/>
      </w:r>
      <w:r w:rsidR="00155F86">
        <w:rPr>
          <w:rFonts w:asciiTheme="majorHAnsi" w:hAnsiTheme="majorHAnsi"/>
        </w:rPr>
        <w:instrText>ADDIN CSL_CITATION {"citationItems":[{"id":"ITEM-1","itemData":{"DOI":"10.1109/JPHOTOV.2017.2762584","ISSN":"21563381","abstract":"IEEE Unveiling the correlation among electrical performance, elemental distribution, and defects at the microscale is crucial for the understanding and improvement of the overall solar cell performance. While this is true in general for solar cells with polycrystalline absorber layers, it is particularly critical for defect engineering of the complex quaternary CuIn &lt; formula &gt; &lt; tex &gt; $_x$ &lt; /tex &gt; &lt; /formula &gt; Ga &lt; formula &gt; &lt; tex &gt; $_{1-x}$ &lt; /tex &gt; &lt; /formula &gt; Se &lt; formula &gt; &lt; tex &gt; $_2$ &lt; /tex &gt; &lt; /formula &gt;  (CIGS) material system. Studying these relationships under standard ambient conditions can provide important insights but does not provide input on the behavior of the cell under real operating conditions. In this contribution, we take a close look at the complex temperature dependence of defects and voltage in CIGS at the microscale. We have developed correlative X-ray microscopy methods and adapted them for temperature-dependent measurements of the locally generated voltage and elemental compositions at the microscale. We have applied these techniques to industrial CIGS solar cells covering temperatures from room temperature up to 100  &lt; formula &gt; &lt; tex &gt; $^\\circ \\text{C}$ &lt; /tex &gt; &lt; /formula &gt; . We find underperforming areas spanning multiple grains that do not correlate with the elemental distribution of major absorber constituents. However, we demonstrate that low-performing areas perform better at higher temperatures relative to the high-performing areas.","author":[{"dropping-particle":"","family":"Stuckelberger","given":"Michael E.","non-dropping-particle":"","parse-names":false,"suffix":""},{"dropping-particle":"","family":"Nietzold","given":"Tara","non-dropping-particle":"","parse-names":false,"suffix":""},{"dropping-particle":"","family":"West","given":"Bradley M.","non-dropping-particle":"","parse-names":false,"suffix":""},{"dropping-particle":"","family":"Farshchi","given":"Rouin","non-dropping-particle":"","parse-names":false,"suffix":""},{"dropping-particle":"","family":"Poplavskyy","given":"Dmitry","non-dropping-particle":"","parse-names":false,"suffix":""},{"dropping-particle":"","family":"Bailey","given":"Jeff","non-dropping-particle":"","parse-names":false,"suffix":""},{"dropping-particle":"","family":"Lai","given":"Barry","non-dropping-particle":"","parse-names":false,"suffix":""},{"dropping-particle":"","family":"Maser","given":"Jörg M.","non-dropping-particle":"","parse-names":false,"suffix":""},{"dropping-particle":"","family":"Bertoni","given":"Mariana I.","non-dropping-particle":"","parse-names":false,"suffix":""}],"container-title":"IEEE Journal of Photovoltaics","id":"ITEM-1","issue":"1","issued":{"date-parts":[["2018"]]},"page":"278-287","title":"How does CIGS performance depend on temperature at the microscale?","type":"article-journal","volume":"8"},"uris":["http://www.mendeley.com/documents/?uuid=9f7236ef-9f69-4e83-9c41-7fa997aa2d25"]}],"mendeley":{"formattedCitation":"&lt;sup&gt;29&lt;/sup&gt;","plainTextFormattedCitation":"29","previouslyFormattedCitation":"&lt;sup&gt;29&lt;/sup&gt;"},"properties":{"noteIndex":0},"schema":"https://github.com/citation-style-language/schema/raw/master/csl-citation.json"}</w:instrText>
      </w:r>
      <w:r w:rsidR="00D54B89">
        <w:rPr>
          <w:rFonts w:asciiTheme="majorHAnsi" w:hAnsiTheme="majorHAnsi"/>
        </w:rPr>
        <w:fldChar w:fldCharType="separate"/>
      </w:r>
      <w:r w:rsidR="001E7A73" w:rsidRPr="001E7A73">
        <w:rPr>
          <w:rFonts w:asciiTheme="majorHAnsi" w:hAnsiTheme="majorHAnsi"/>
          <w:noProof/>
          <w:vertAlign w:val="superscript"/>
        </w:rPr>
        <w:t>29</w:t>
      </w:r>
      <w:r w:rsidR="00D54B89">
        <w:rPr>
          <w:rFonts w:asciiTheme="majorHAnsi" w:hAnsiTheme="majorHAnsi"/>
        </w:rPr>
        <w:fldChar w:fldCharType="end"/>
      </w:r>
      <w:r w:rsidR="00D51BB7">
        <w:rPr>
          <w:rFonts w:asciiTheme="majorHAnsi" w:hAnsiTheme="majorHAnsi"/>
        </w:rPr>
        <w:t>,</w:t>
      </w:r>
      <w:r w:rsidR="00D54B89">
        <w:rPr>
          <w:rFonts w:asciiTheme="majorHAnsi" w:hAnsiTheme="majorHAnsi"/>
        </w:rPr>
        <w:t xml:space="preserve"> perovskite</w:t>
      </w:r>
      <w:r w:rsidR="00652853">
        <w:rPr>
          <w:rFonts w:asciiTheme="majorHAnsi" w:hAnsiTheme="majorHAnsi"/>
        </w:rPr>
        <w:fldChar w:fldCharType="begin" w:fldLock="1"/>
      </w:r>
      <w:r w:rsidR="00155F86">
        <w:rPr>
          <w:rFonts w:asciiTheme="majorHAnsi" w:hAnsiTheme="majorHAnsi"/>
        </w:rPr>
        <w:instrText>ADDIN CSL_CITATION {"citationItems":[{"id":"ITEM-1","itemData":{"DOI":"10.1109/JPHOTOV.2016.2633801","ISBN":"2156-3381","ISSN":"21563381","abstract":"Unveiling the correlation between elemental composition, Fermi-level splitting, and charge collection in perovskite solar cells (PSCs) when exposed to different environments is crucial to understanding the origin of defects. This will enable defect engineering to achieve high-performance and long-lasting PSCs. In this paper, we measured, for the first time, the spatial distribution and charge-collection efficiency at the nanoscale by synchrotron-based X-ray fluorescence (XRF) and X-ray beam-induced current (XBIC) with subgrain resolution, and we observe a correlation between Pb/I ratio and charge-collection efficiency. In contrast with other thin-film solar cells, PSCs are highly sensitive to ambient conditions (atmosphere and illumination). As the XRF and XBIC measurements were conducted in vacuum under an X-ray source illumination, the impact of measurement conditions on the cells needs to be taken into account. Furthermore, necessary conditions for quantification of XRF/XBIC measurements, such as film homogeneity, are not fulfilled in the case of PSCs. Therefore, we will discuss fundamentals of XRF/XBIC measurements of PSCs that will enable reliable, quantitative, high-resolution measurements of elemental distribution and charge collection.","author":[{"dropping-particle":"","family":"Stuckelberger","given":"Michael","non-dropping-particle":"","parse-names":false,"suffix":""},{"dropping-particle":"","family":"Nietzold","given":"Tara","non-dropping-particle":"","parse-names":false,"suffix":""},{"dropping-particle":"","family":"Hall","given":"Genevieve N.","non-dropping-particle":"","parse-names":false,"suffix":""},{"dropping-particle":"","family":"West","given":"Bradley","non-dropping-particle":"","parse-names":false,"suffix":""},{"dropping-particle":"","family":"Werner","given":"Jeremie","non-dropping-particle":"","parse-names":false,"suffix":""},{"dropping-particle":"","family":"Niesen","given":"Bjoern","non-dropping-particle":"","parse-names":false,"suffix":""},{"dropping-particle":"","family":"Ballif","given":"Christophe","non-dropping-particle":"","parse-names":false,"suffix":""},{"dropping-particle":"","family":"Rose","given":"Volker","non-dropping-particle":"","parse-names":false,"suffix":""},{"dropping-particle":"","family":"Fenning","given":"David P.","non-dropping-particle":"","parse-names":false,"suffix":""},{"dropping-particle":"","family":"Bertoni","given":"Mariana I.","non-dropping-particle":"","parse-names":false,"suffix":""}],"container-title":"IEEE Journal of Photovoltaics","id":"ITEM-1","issue":"2","issued":{"date-parts":[["2017"]]},"page":"590-597","title":"Charge Collection in Hybrid Perovskite Solar Cells: Relation to the Nanoscale Elemental Distribution","type":"article-journal","volume":"7"},"uris":["http://www.mendeley.com/documents/?uuid=a99c02fa-af8a-4bd6-bb3c-b45869b2c05e"]}],"mendeley":{"formattedCitation":"&lt;sup&gt;18&lt;/sup&gt;","plainTextFormattedCitation":"18","previouslyFormattedCitation":"&lt;sup&gt;18&lt;/sup&gt;"},"properties":{"noteIndex":0},"schema":"https://github.com/citation-style-language/schema/raw/master/csl-citation.json"}</w:instrText>
      </w:r>
      <w:r w:rsidR="00652853">
        <w:rPr>
          <w:rFonts w:asciiTheme="majorHAnsi" w:hAnsiTheme="majorHAnsi"/>
        </w:rPr>
        <w:fldChar w:fldCharType="separate"/>
      </w:r>
      <w:r w:rsidR="001E7A73" w:rsidRPr="001E7A73">
        <w:rPr>
          <w:rFonts w:asciiTheme="majorHAnsi" w:hAnsiTheme="majorHAnsi"/>
          <w:noProof/>
          <w:vertAlign w:val="superscript"/>
        </w:rPr>
        <w:t>18</w:t>
      </w:r>
      <w:r w:rsidR="00652853">
        <w:rPr>
          <w:rFonts w:asciiTheme="majorHAnsi" w:hAnsiTheme="majorHAnsi"/>
        </w:rPr>
        <w:fldChar w:fldCharType="end"/>
      </w:r>
      <w:r w:rsidR="00D51BB7">
        <w:rPr>
          <w:rFonts w:asciiTheme="majorHAnsi" w:hAnsiTheme="majorHAnsi"/>
        </w:rPr>
        <w:t>,</w:t>
      </w:r>
      <w:r w:rsidR="00D54B89">
        <w:rPr>
          <w:rFonts w:asciiTheme="majorHAnsi" w:hAnsiTheme="majorHAnsi"/>
        </w:rPr>
        <w:t xml:space="preserve"> and organic absorber layers.</w:t>
      </w:r>
      <w:r>
        <w:rPr>
          <w:rFonts w:asciiTheme="majorHAnsi" w:hAnsiTheme="majorHAnsi"/>
        </w:rPr>
        <w:t xml:space="preserve"> </w:t>
      </w:r>
      <w:r w:rsidR="00D54B89">
        <w:rPr>
          <w:rFonts w:asciiTheme="majorHAnsi" w:hAnsiTheme="majorHAnsi"/>
        </w:rPr>
        <w:t xml:space="preserve">Note that the electronic response of DUT like solar cells is sensitive to defect concentrations below the ppm level, where charge-carrier recombination affects the performance </w:t>
      </w:r>
      <w:r w:rsidR="00E37AC1">
        <w:rPr>
          <w:rFonts w:asciiTheme="majorHAnsi" w:hAnsiTheme="majorHAnsi"/>
        </w:rPr>
        <w:t xml:space="preserve">without apparent </w:t>
      </w:r>
      <w:r w:rsidR="00D54B89">
        <w:rPr>
          <w:rFonts w:asciiTheme="majorHAnsi" w:hAnsiTheme="majorHAnsi"/>
        </w:rPr>
        <w:t>c</w:t>
      </w:r>
      <w:r w:rsidR="00E37AC1">
        <w:rPr>
          <w:rFonts w:asciiTheme="majorHAnsi" w:hAnsiTheme="majorHAnsi"/>
        </w:rPr>
        <w:t>hemical damage.</w:t>
      </w:r>
    </w:p>
    <w:p w14:paraId="4C73B1C3" w14:textId="77777777" w:rsidR="00552035" w:rsidRPr="00180D3A" w:rsidRDefault="00552035" w:rsidP="00F22EB6">
      <w:pPr>
        <w:rPr>
          <w:rFonts w:asciiTheme="majorHAnsi" w:hAnsiTheme="majorHAnsi"/>
        </w:rPr>
      </w:pPr>
    </w:p>
    <w:p w14:paraId="291CF5E5" w14:textId="7D674BFD" w:rsidR="00E37AC1" w:rsidRDefault="00AD3E77" w:rsidP="00F22EB6">
      <w:pPr>
        <w:rPr>
          <w:rFonts w:asciiTheme="majorHAnsi" w:hAnsiTheme="majorHAnsi"/>
        </w:rPr>
      </w:pPr>
      <w:r>
        <w:rPr>
          <w:rFonts w:asciiTheme="majorHAnsi" w:hAnsiTheme="majorHAnsi"/>
        </w:rPr>
        <w:t xml:space="preserve">Therefore, it is </w:t>
      </w:r>
      <w:r w:rsidR="00E37AC1">
        <w:rPr>
          <w:rFonts w:asciiTheme="majorHAnsi" w:hAnsiTheme="majorHAnsi"/>
        </w:rPr>
        <w:t xml:space="preserve">generally </w:t>
      </w:r>
      <w:r w:rsidR="00D54B89">
        <w:rPr>
          <w:rFonts w:asciiTheme="majorHAnsi" w:hAnsiTheme="majorHAnsi"/>
        </w:rPr>
        <w:t xml:space="preserve">required </w:t>
      </w:r>
      <w:r>
        <w:rPr>
          <w:rFonts w:asciiTheme="majorHAnsi" w:hAnsiTheme="majorHAnsi"/>
        </w:rPr>
        <w:t xml:space="preserve">to </w:t>
      </w:r>
      <w:r w:rsidR="00D54B89">
        <w:rPr>
          <w:rFonts w:asciiTheme="majorHAnsi" w:hAnsiTheme="majorHAnsi"/>
        </w:rPr>
        <w:t xml:space="preserve">test the </w:t>
      </w:r>
      <w:r>
        <w:rPr>
          <w:rFonts w:asciiTheme="majorHAnsi" w:hAnsiTheme="majorHAnsi"/>
        </w:rPr>
        <w:t>sensitiv</w:t>
      </w:r>
      <w:r w:rsidR="00D54B89">
        <w:rPr>
          <w:rFonts w:asciiTheme="majorHAnsi" w:hAnsiTheme="majorHAnsi"/>
        </w:rPr>
        <w:t xml:space="preserve">ity </w:t>
      </w:r>
      <w:r>
        <w:rPr>
          <w:rFonts w:asciiTheme="majorHAnsi" w:hAnsiTheme="majorHAnsi"/>
        </w:rPr>
        <w:t xml:space="preserve">of </w:t>
      </w:r>
      <w:r w:rsidR="00E37AC1">
        <w:rPr>
          <w:rFonts w:asciiTheme="majorHAnsi" w:hAnsiTheme="majorHAnsi"/>
        </w:rPr>
        <w:t xml:space="preserve">a </w:t>
      </w:r>
      <w:r w:rsidR="00D54B89">
        <w:rPr>
          <w:rFonts w:asciiTheme="majorHAnsi" w:hAnsiTheme="majorHAnsi"/>
        </w:rPr>
        <w:t xml:space="preserve">DUT to beam damage. In practice, we evaluate the X-ray beam induced degradation of any DUT prior </w:t>
      </w:r>
      <w:r w:rsidR="007D5D65">
        <w:rPr>
          <w:rFonts w:asciiTheme="majorHAnsi" w:hAnsiTheme="majorHAnsi"/>
        </w:rPr>
        <w:t xml:space="preserve">to </w:t>
      </w:r>
      <w:r w:rsidR="00D54B89">
        <w:rPr>
          <w:rFonts w:asciiTheme="majorHAnsi" w:hAnsiTheme="majorHAnsi"/>
        </w:rPr>
        <w:t xml:space="preserve">actual XBIC </w:t>
      </w:r>
      <w:proofErr w:type="gramStart"/>
      <w:r w:rsidR="00D54B89">
        <w:rPr>
          <w:rFonts w:asciiTheme="majorHAnsi" w:hAnsiTheme="majorHAnsi"/>
        </w:rPr>
        <w:t>measurement</w:t>
      </w:r>
      <w:r w:rsidR="007D5D65">
        <w:rPr>
          <w:rFonts w:asciiTheme="majorHAnsi" w:hAnsiTheme="majorHAnsi"/>
        </w:rPr>
        <w:t>s</w:t>
      </w:r>
      <w:r w:rsidR="00D54B89">
        <w:rPr>
          <w:rFonts w:asciiTheme="majorHAnsi" w:hAnsiTheme="majorHAnsi"/>
        </w:rPr>
        <w:t>, and</w:t>
      </w:r>
      <w:proofErr w:type="gramEnd"/>
      <w:r w:rsidR="00D54B89">
        <w:rPr>
          <w:rFonts w:asciiTheme="majorHAnsi" w:hAnsiTheme="majorHAnsi"/>
        </w:rPr>
        <w:t xml:space="preserve"> establish conditions that allow measurements </w:t>
      </w:r>
      <w:r w:rsidR="00920C9B">
        <w:rPr>
          <w:rFonts w:asciiTheme="majorHAnsi" w:hAnsiTheme="majorHAnsi"/>
        </w:rPr>
        <w:t xml:space="preserve">to be the </w:t>
      </w:r>
      <w:r w:rsidR="00D54B89">
        <w:rPr>
          <w:rFonts w:asciiTheme="majorHAnsi" w:hAnsiTheme="majorHAnsi"/>
        </w:rPr>
        <w:t>least affected by degradation effects.</w:t>
      </w:r>
    </w:p>
    <w:p w14:paraId="7EDB1361" w14:textId="77777777" w:rsidR="00503A14" w:rsidRDefault="00503A14" w:rsidP="00F22EB6">
      <w:pPr>
        <w:rPr>
          <w:rFonts w:asciiTheme="majorHAnsi" w:hAnsiTheme="majorHAnsi"/>
        </w:rPr>
      </w:pPr>
    </w:p>
    <w:p w14:paraId="1188B841" w14:textId="26955E9B" w:rsidR="001D3C49" w:rsidRDefault="00E37AC1" w:rsidP="00F22EB6">
      <w:pPr>
        <w:rPr>
          <w:rFonts w:asciiTheme="majorHAnsi" w:hAnsiTheme="majorHAnsi"/>
        </w:rPr>
      </w:pPr>
      <w:r>
        <w:rPr>
          <w:rFonts w:asciiTheme="majorHAnsi" w:hAnsiTheme="majorHAnsi"/>
        </w:rPr>
        <w:t xml:space="preserve">Different strategies exist to cope with X-ray beam induced damage, but </w:t>
      </w:r>
      <w:r w:rsidR="00920C9B">
        <w:rPr>
          <w:rFonts w:asciiTheme="majorHAnsi" w:hAnsiTheme="majorHAnsi"/>
        </w:rPr>
        <w:t xml:space="preserve">what </w:t>
      </w:r>
      <w:r>
        <w:rPr>
          <w:rFonts w:asciiTheme="majorHAnsi" w:hAnsiTheme="majorHAnsi"/>
        </w:rPr>
        <w:t xml:space="preserve">they have in common </w:t>
      </w:r>
      <w:r w:rsidR="00920C9B">
        <w:rPr>
          <w:rFonts w:asciiTheme="majorHAnsi" w:hAnsiTheme="majorHAnsi"/>
        </w:rPr>
        <w:t xml:space="preserve">is </w:t>
      </w:r>
      <w:r>
        <w:rPr>
          <w:rFonts w:asciiTheme="majorHAnsi" w:hAnsiTheme="majorHAnsi"/>
        </w:rPr>
        <w:t>that they aim to reduce the radiation dosage at a measurement spot prior to the evaluation of the performance there</w:t>
      </w:r>
      <w:r w:rsidR="00920C9B">
        <w:rPr>
          <w:rFonts w:asciiTheme="majorHAnsi" w:hAnsiTheme="majorHAnsi"/>
        </w:rPr>
        <w:t>. In other words</w:t>
      </w:r>
      <w:r>
        <w:rPr>
          <w:rFonts w:asciiTheme="majorHAnsi" w:hAnsiTheme="majorHAnsi"/>
        </w:rPr>
        <w:t>,</w:t>
      </w:r>
      <w:r w:rsidR="00920C9B">
        <w:rPr>
          <w:rFonts w:asciiTheme="majorHAnsi" w:hAnsiTheme="majorHAnsi"/>
        </w:rPr>
        <w:t xml:space="preserve"> the objective is</w:t>
      </w:r>
      <w:r>
        <w:rPr>
          <w:rFonts w:asciiTheme="majorHAnsi" w:hAnsiTheme="majorHAnsi"/>
        </w:rPr>
        <w:t xml:space="preserve"> to outrun degradation following the paradigm “</w:t>
      </w:r>
      <w:r>
        <w:t>measure faster than the DUT degrades”</w:t>
      </w:r>
      <w:r>
        <w:rPr>
          <w:rFonts w:asciiTheme="majorHAnsi" w:hAnsiTheme="majorHAnsi"/>
        </w:rPr>
        <w:t xml:space="preserve">. </w:t>
      </w:r>
      <w:r w:rsidR="007D5D65">
        <w:rPr>
          <w:rFonts w:asciiTheme="majorHAnsi" w:hAnsiTheme="majorHAnsi"/>
        </w:rPr>
        <w:t xml:space="preserve">The strategies include: </w:t>
      </w:r>
      <w:r>
        <w:rPr>
          <w:rFonts w:asciiTheme="majorHAnsi" w:hAnsiTheme="majorHAnsi"/>
        </w:rPr>
        <w:t xml:space="preserve">(1) Use </w:t>
      </w:r>
      <w:r w:rsidR="00AD3E77">
        <w:rPr>
          <w:rFonts w:asciiTheme="majorHAnsi" w:hAnsiTheme="majorHAnsi"/>
        </w:rPr>
        <w:t>short dwell times</w:t>
      </w:r>
      <w:r>
        <w:rPr>
          <w:rFonts w:asciiTheme="majorHAnsi" w:hAnsiTheme="majorHAnsi"/>
        </w:rPr>
        <w:t xml:space="preserve">. (2) </w:t>
      </w:r>
      <w:r w:rsidR="007D5D65">
        <w:rPr>
          <w:rFonts w:asciiTheme="majorHAnsi" w:hAnsiTheme="majorHAnsi"/>
        </w:rPr>
        <w:t>Increase the step size</w:t>
      </w:r>
      <w:r w:rsidR="00973FB9">
        <w:rPr>
          <w:rFonts w:asciiTheme="majorHAnsi" w:hAnsiTheme="majorHAnsi"/>
        </w:rPr>
        <w:t>, reducing</w:t>
      </w:r>
      <w:r w:rsidR="00671140">
        <w:rPr>
          <w:rFonts w:asciiTheme="majorHAnsi" w:hAnsiTheme="majorHAnsi"/>
        </w:rPr>
        <w:t xml:space="preserve"> the measurement resolution</w:t>
      </w:r>
      <w:r>
        <w:rPr>
          <w:rFonts w:asciiTheme="majorHAnsi" w:hAnsiTheme="majorHAnsi"/>
        </w:rPr>
        <w:t>. (3) Reduce the X-ray beam intensity by attenuation filters. Depending on the beamline and DUT</w:t>
      </w:r>
      <w:r w:rsidR="007D5D65">
        <w:rPr>
          <w:rFonts w:asciiTheme="majorHAnsi" w:hAnsiTheme="majorHAnsi"/>
        </w:rPr>
        <w:t>,</w:t>
      </w:r>
      <w:r>
        <w:rPr>
          <w:rFonts w:asciiTheme="majorHAnsi" w:hAnsiTheme="majorHAnsi"/>
        </w:rPr>
        <w:t xml:space="preserve"> different approaches may be chosen or a combination thereof. For instance, </w:t>
      </w:r>
      <w:r w:rsidR="001D3C49">
        <w:rPr>
          <w:rFonts w:asciiTheme="majorHAnsi" w:hAnsiTheme="majorHAnsi"/>
        </w:rPr>
        <w:t>the lack of fast shutters or fly</w:t>
      </w:r>
      <w:r w:rsidR="00AE45AC">
        <w:rPr>
          <w:rFonts w:asciiTheme="majorHAnsi" w:hAnsiTheme="majorHAnsi"/>
        </w:rPr>
        <w:t>-</w:t>
      </w:r>
      <w:r w:rsidR="001D3C49">
        <w:rPr>
          <w:rFonts w:asciiTheme="majorHAnsi" w:hAnsiTheme="majorHAnsi"/>
        </w:rPr>
        <w:t>scan modes exclude (1), and wide-spread X-ray beam profile</w:t>
      </w:r>
      <w:r w:rsidR="007D5D65">
        <w:rPr>
          <w:rFonts w:asciiTheme="majorHAnsi" w:hAnsiTheme="majorHAnsi"/>
        </w:rPr>
        <w:t>s</w:t>
      </w:r>
      <w:r w:rsidR="001D3C49">
        <w:rPr>
          <w:rFonts w:asciiTheme="majorHAnsi" w:hAnsiTheme="majorHAnsi"/>
        </w:rPr>
        <w:t xml:space="preserve"> such as </w:t>
      </w:r>
      <w:r w:rsidR="00671140">
        <w:rPr>
          <w:rFonts w:asciiTheme="majorHAnsi" w:hAnsiTheme="majorHAnsi"/>
        </w:rPr>
        <w:t xml:space="preserve">those </w:t>
      </w:r>
      <w:r w:rsidR="001D3C49">
        <w:rPr>
          <w:rFonts w:asciiTheme="majorHAnsi" w:hAnsiTheme="majorHAnsi"/>
        </w:rPr>
        <w:t xml:space="preserve">generated by zone plates </w:t>
      </w:r>
      <w:r w:rsidR="007D5D65">
        <w:rPr>
          <w:rFonts w:asciiTheme="majorHAnsi" w:hAnsiTheme="majorHAnsi"/>
        </w:rPr>
        <w:t xml:space="preserve">can </w:t>
      </w:r>
      <w:r w:rsidR="001D3C49">
        <w:rPr>
          <w:rFonts w:asciiTheme="majorHAnsi" w:hAnsiTheme="majorHAnsi"/>
        </w:rPr>
        <w:t>lead to significant degradation far away from the central beam position.</w:t>
      </w:r>
    </w:p>
    <w:p w14:paraId="4B5B2804" w14:textId="77777777" w:rsidR="00552035" w:rsidRDefault="00552035" w:rsidP="00F22EB6">
      <w:pPr>
        <w:rPr>
          <w:rFonts w:asciiTheme="majorHAnsi" w:hAnsiTheme="majorHAnsi"/>
        </w:rPr>
      </w:pPr>
    </w:p>
    <w:p w14:paraId="2B11255F" w14:textId="25690A7C" w:rsidR="00AD3E77" w:rsidRDefault="001D3C49" w:rsidP="00F22EB6">
      <w:pPr>
        <w:rPr>
          <w:rFonts w:asciiTheme="majorHAnsi" w:hAnsiTheme="majorHAnsi"/>
        </w:rPr>
      </w:pPr>
      <w:r>
        <w:rPr>
          <w:rFonts w:asciiTheme="majorHAnsi" w:hAnsiTheme="majorHAnsi"/>
        </w:rPr>
        <w:t xml:space="preserve">Fortunately, most degradation mechanisms only lead to locally enhanced charge carrier recombination. This limits the lateral effect of the degradation to the diffusion length of the charge carriers, and XBIC measurements further away from the degraded areas remain nearly unaffected. If, instead, degradation mechanisms lead to local shunting of the DUT, further XBIC measurements would be seriously hampered. </w:t>
      </w:r>
      <w:r w:rsidR="005B320E">
        <w:rPr>
          <w:rFonts w:asciiTheme="majorHAnsi" w:hAnsiTheme="majorHAnsi"/>
        </w:rPr>
        <w:t>To k</w:t>
      </w:r>
      <w:r w:rsidR="00AD3E77">
        <w:rPr>
          <w:rFonts w:asciiTheme="majorHAnsi" w:hAnsiTheme="majorHAnsi"/>
        </w:rPr>
        <w:t>eep the deposited radiation dosage to a minimum</w:t>
      </w:r>
      <w:r w:rsidR="007D5D65">
        <w:rPr>
          <w:rFonts w:asciiTheme="majorHAnsi" w:hAnsiTheme="majorHAnsi"/>
        </w:rPr>
        <w:t>,</w:t>
      </w:r>
      <w:r w:rsidR="00AD3E77">
        <w:rPr>
          <w:rFonts w:asciiTheme="majorHAnsi" w:hAnsiTheme="majorHAnsi"/>
        </w:rPr>
        <w:t xml:space="preserve"> the critical measurements should be performed first on a fresh spot and </w:t>
      </w:r>
      <w:r w:rsidR="005C2446">
        <w:rPr>
          <w:rFonts w:asciiTheme="majorHAnsi" w:hAnsiTheme="majorHAnsi"/>
        </w:rPr>
        <w:t xml:space="preserve">then </w:t>
      </w:r>
      <w:r w:rsidR="00AD3E77">
        <w:rPr>
          <w:rFonts w:asciiTheme="majorHAnsi" w:hAnsiTheme="majorHAnsi"/>
        </w:rPr>
        <w:t>afterwards</w:t>
      </w:r>
      <w:r w:rsidR="005C2446">
        <w:rPr>
          <w:rFonts w:asciiTheme="majorHAnsi" w:hAnsiTheme="majorHAnsi"/>
        </w:rPr>
        <w:t>,</w:t>
      </w:r>
      <w:r w:rsidR="00AD3E77">
        <w:rPr>
          <w:rFonts w:asciiTheme="majorHAnsi" w:hAnsiTheme="majorHAnsi"/>
        </w:rPr>
        <w:t xml:space="preserve"> photon</w:t>
      </w:r>
      <w:r w:rsidR="00AE45AC">
        <w:rPr>
          <w:rFonts w:asciiTheme="majorHAnsi" w:hAnsiTheme="majorHAnsi"/>
        </w:rPr>
        <w:t>-hungry m</w:t>
      </w:r>
      <w:r w:rsidR="00AD3E77">
        <w:rPr>
          <w:rFonts w:asciiTheme="majorHAnsi" w:hAnsiTheme="majorHAnsi"/>
        </w:rPr>
        <w:t xml:space="preserve">ethods, like XRF, </w:t>
      </w:r>
      <w:r w:rsidR="005C2446">
        <w:rPr>
          <w:rFonts w:asciiTheme="majorHAnsi" w:hAnsiTheme="majorHAnsi"/>
        </w:rPr>
        <w:t xml:space="preserve">that </w:t>
      </w:r>
      <w:r w:rsidR="00AD3E77">
        <w:rPr>
          <w:rFonts w:asciiTheme="majorHAnsi" w:hAnsiTheme="majorHAnsi"/>
        </w:rPr>
        <w:t>are more indifferent to beam damage</w:t>
      </w:r>
      <w:r w:rsidR="005C2446">
        <w:rPr>
          <w:rFonts w:asciiTheme="majorHAnsi" w:hAnsiTheme="majorHAnsi"/>
        </w:rPr>
        <w:t xml:space="preserve">, may be </w:t>
      </w:r>
      <w:r w:rsidR="00973FB9">
        <w:rPr>
          <w:rFonts w:asciiTheme="majorHAnsi" w:hAnsiTheme="majorHAnsi"/>
        </w:rPr>
        <w:t xml:space="preserve">utilized </w:t>
      </w:r>
      <w:r w:rsidR="005C2446">
        <w:rPr>
          <w:rFonts w:asciiTheme="majorHAnsi" w:hAnsiTheme="majorHAnsi"/>
        </w:rPr>
        <w:t>in the same location</w:t>
      </w:r>
      <w:r w:rsidR="00AD3E77">
        <w:rPr>
          <w:rFonts w:asciiTheme="majorHAnsi" w:hAnsiTheme="majorHAnsi"/>
        </w:rPr>
        <w:t>.</w:t>
      </w:r>
    </w:p>
    <w:p w14:paraId="6579040A" w14:textId="77777777" w:rsidR="007C266A" w:rsidRPr="007C266A" w:rsidRDefault="007C266A" w:rsidP="00F22EB6">
      <w:pPr>
        <w:rPr>
          <w:rFonts w:asciiTheme="majorHAnsi" w:hAnsiTheme="majorHAnsi"/>
        </w:rPr>
      </w:pPr>
    </w:p>
    <w:p w14:paraId="07D08531" w14:textId="0B3034F8" w:rsidR="001A7385" w:rsidRPr="00552035" w:rsidRDefault="00A15D05" w:rsidP="00F22EB6">
      <w:pPr>
        <w:pStyle w:val="ac"/>
        <w:numPr>
          <w:ilvl w:val="0"/>
          <w:numId w:val="30"/>
        </w:numPr>
        <w:ind w:left="0" w:firstLine="0"/>
        <w:rPr>
          <w:rFonts w:asciiTheme="majorHAnsi" w:hAnsiTheme="majorHAnsi"/>
          <w:b/>
        </w:rPr>
      </w:pPr>
      <w:r w:rsidRPr="00552035">
        <w:rPr>
          <w:rFonts w:asciiTheme="majorHAnsi" w:hAnsiTheme="majorHAnsi"/>
          <w:b/>
        </w:rPr>
        <w:t>Multi-Modal M</w:t>
      </w:r>
      <w:r w:rsidR="001A7385" w:rsidRPr="00552035">
        <w:rPr>
          <w:rFonts w:asciiTheme="majorHAnsi" w:hAnsiTheme="majorHAnsi"/>
          <w:b/>
        </w:rPr>
        <w:t>easurements</w:t>
      </w:r>
    </w:p>
    <w:p w14:paraId="646E1C33" w14:textId="76BD21B7" w:rsidR="00056D75" w:rsidRDefault="00EB1CB2" w:rsidP="00F22EB6">
      <w:pPr>
        <w:rPr>
          <w:rFonts w:asciiTheme="majorHAnsi" w:hAnsiTheme="majorHAnsi"/>
        </w:rPr>
      </w:pPr>
      <w:r>
        <w:rPr>
          <w:rFonts w:asciiTheme="majorHAnsi" w:hAnsiTheme="majorHAnsi"/>
        </w:rPr>
        <w:t>The compatibility of XBIC with further measurement modes enables direct point-by-point correlation of the electrical performance with simultaneously assessed parameters</w:t>
      </w:r>
      <w:r w:rsidR="005B320E">
        <w:rPr>
          <w:rFonts w:asciiTheme="majorHAnsi" w:hAnsiTheme="majorHAnsi"/>
        </w:rPr>
        <w:fldChar w:fldCharType="begin" w:fldLock="1"/>
      </w:r>
      <w:r w:rsidR="00155F86">
        <w:rPr>
          <w:rFonts w:asciiTheme="majorHAnsi" w:hAnsiTheme="majorHAnsi"/>
        </w:rPr>
        <w:instrText>ADDIN CSL_CITATION {"citationItems":[{"id":"ITEM-1","itemData":{"DOI":"10.1557/jmr.2017.108","ISSN":"0884-2914","abstract":"&lt;p&gt; &lt;fig position=\"anchor\"&gt; &lt;graphic href=\"S088429141700108X_figAb\" mime-subtype=\"jpeg\" mimetype=\"image\" position=\"float\" type=\"simple\"/&gt; &lt;/fig&gt; &lt;/p&gt;","author":[{"dropping-particle":"","family":"Stuckelberger","given":"Michael","non-dropping-particle":"","parse-names":false,"suffix":""},{"dropping-particle":"","family":"West","given":"Bradley","non-dropping-particle":"","parse-names":false,"suffix":""},{"dropping-particle":"","family":"Nietzold","given":"Tara","non-dropping-particle":"","parse-names":false,"suffix":""},{"dropping-particle":"","family":"Lai","given":"Barry","non-dropping-particle":"","parse-names":false,"suffix":""},{"dropping-particle":"","family":"Maser","given":"Jörg M.","non-dropping-particle":"","parse-names":false,"suffix":""},{"dropping-particle":"","family":"Rose","given":"Volker","non-dropping-particle":"","parse-names":false,"suffix":""},{"dropping-particle":"","family":"Bertoni","given":"Mariana I.","non-dropping-particle":"","parse-names":false,"suffix":""}],"container-title":"Journal of Materials Research","id":"ITEM-1","issue":"10","issued":{"date-parts":[["2017","5"]]},"page":"1825-1854","title":"Engineering solar cells based on correlative X-ray microscopy","type":"article-journal","volume":"32"},"uris":["http://www.mendeley.com/documents/?uuid=69a80032-6bd0-4a5b-946d-74b0fa35fb62"]}],"mendeley":{"formattedCitation":"&lt;sup&gt;23&lt;/sup&gt;","plainTextFormattedCitation":"23","previouslyFormattedCitation":"&lt;sup&gt;23&lt;/sup&gt;"},"properties":{"noteIndex":0},"schema":"https://github.com/citation-style-language/schema/raw/master/csl-citation.json"}</w:instrText>
      </w:r>
      <w:r w:rsidR="005B320E">
        <w:rPr>
          <w:rFonts w:asciiTheme="majorHAnsi" w:hAnsiTheme="majorHAnsi"/>
        </w:rPr>
        <w:fldChar w:fldCharType="separate"/>
      </w:r>
      <w:r w:rsidR="001E7A73" w:rsidRPr="001E7A73">
        <w:rPr>
          <w:rFonts w:asciiTheme="majorHAnsi" w:hAnsiTheme="majorHAnsi"/>
          <w:noProof/>
          <w:vertAlign w:val="superscript"/>
        </w:rPr>
        <w:t>23</w:t>
      </w:r>
      <w:r w:rsidR="005B320E">
        <w:rPr>
          <w:rFonts w:asciiTheme="majorHAnsi" w:hAnsiTheme="majorHAnsi"/>
        </w:rPr>
        <w:fldChar w:fldCharType="end"/>
      </w:r>
      <w:r w:rsidR="00D51BB7">
        <w:rPr>
          <w:rFonts w:asciiTheme="majorHAnsi" w:hAnsiTheme="majorHAnsi"/>
        </w:rPr>
        <w:t>.</w:t>
      </w:r>
      <w:r>
        <w:rPr>
          <w:rFonts w:asciiTheme="majorHAnsi" w:hAnsiTheme="majorHAnsi"/>
        </w:rPr>
        <w:t xml:space="preserve"> Here, we shortly discuss the combination of XBIC measurements with XBIV, XRF, SAXS, WAXS, and XEOL measurements. The combination with further measurement modes such as electron yield or holography can easily be imagined, but these modes are not generally compatible with </w:t>
      </w:r>
      <w:r w:rsidR="006A4E91">
        <w:rPr>
          <w:rFonts w:asciiTheme="majorHAnsi" w:hAnsiTheme="majorHAnsi"/>
        </w:rPr>
        <w:t xml:space="preserve">the </w:t>
      </w:r>
      <w:r>
        <w:rPr>
          <w:rFonts w:asciiTheme="majorHAnsi" w:hAnsiTheme="majorHAnsi"/>
        </w:rPr>
        <w:t>setups or modes</w:t>
      </w:r>
      <w:r w:rsidR="006A4E91">
        <w:rPr>
          <w:rFonts w:asciiTheme="majorHAnsi" w:hAnsiTheme="majorHAnsi"/>
        </w:rPr>
        <w:t xml:space="preserve"> of the scanning measurements</w:t>
      </w:r>
      <w:r>
        <w:rPr>
          <w:rFonts w:asciiTheme="majorHAnsi" w:hAnsiTheme="majorHAnsi"/>
        </w:rPr>
        <w:t xml:space="preserve">. </w:t>
      </w:r>
    </w:p>
    <w:p w14:paraId="50C36D81" w14:textId="77777777" w:rsidR="00552035" w:rsidRDefault="00552035" w:rsidP="00F22EB6">
      <w:pPr>
        <w:rPr>
          <w:rFonts w:asciiTheme="majorHAnsi" w:hAnsiTheme="majorHAnsi"/>
        </w:rPr>
      </w:pPr>
    </w:p>
    <w:p w14:paraId="0110E8F9" w14:textId="40B64C03" w:rsidR="00056D75" w:rsidRDefault="00056D75" w:rsidP="00F22EB6">
      <w:pPr>
        <w:rPr>
          <w:rFonts w:asciiTheme="majorHAnsi" w:hAnsiTheme="majorHAnsi"/>
        </w:rPr>
      </w:pPr>
      <w:r>
        <w:rPr>
          <w:rFonts w:asciiTheme="majorHAnsi" w:hAnsiTheme="majorHAnsi"/>
        </w:rPr>
        <w:t xml:space="preserve">Even if </w:t>
      </w:r>
      <w:r w:rsidR="00FA6BB7">
        <w:rPr>
          <w:rFonts w:asciiTheme="majorHAnsi" w:hAnsiTheme="majorHAnsi"/>
        </w:rPr>
        <w:t xml:space="preserve">the </w:t>
      </w:r>
      <w:r>
        <w:rPr>
          <w:rFonts w:asciiTheme="majorHAnsi" w:hAnsiTheme="majorHAnsi"/>
        </w:rPr>
        <w:t>geometrical arrangement of detectors</w:t>
      </w:r>
      <w:r w:rsidR="00FA6BB7">
        <w:rPr>
          <w:rFonts w:asciiTheme="majorHAnsi" w:hAnsiTheme="majorHAnsi"/>
        </w:rPr>
        <w:t xml:space="preserve"> and sample</w:t>
      </w:r>
      <w:r w:rsidR="007F3739">
        <w:rPr>
          <w:rFonts w:asciiTheme="majorHAnsi" w:hAnsiTheme="majorHAnsi"/>
        </w:rPr>
        <w:t>s</w:t>
      </w:r>
      <w:r w:rsidR="00FA6BB7">
        <w:rPr>
          <w:rFonts w:asciiTheme="majorHAnsi" w:hAnsiTheme="majorHAnsi"/>
        </w:rPr>
        <w:t xml:space="preserve"> </w:t>
      </w:r>
      <w:r>
        <w:rPr>
          <w:rFonts w:asciiTheme="majorHAnsi" w:hAnsiTheme="majorHAnsi"/>
        </w:rPr>
        <w:t>for simultaneous measurement of XBIC, XBI</w:t>
      </w:r>
      <w:r w:rsidR="007D5D65">
        <w:rPr>
          <w:rFonts w:asciiTheme="majorHAnsi" w:hAnsiTheme="majorHAnsi"/>
        </w:rPr>
        <w:t>V</w:t>
      </w:r>
      <w:r>
        <w:rPr>
          <w:rFonts w:asciiTheme="majorHAnsi" w:hAnsiTheme="majorHAnsi"/>
        </w:rPr>
        <w:t>, XRF, SAXS, WAXS, and XEOL is possible, there are fundamental and practical aspects prohibit</w:t>
      </w:r>
      <w:r w:rsidR="00456091">
        <w:rPr>
          <w:rFonts w:asciiTheme="majorHAnsi" w:hAnsiTheme="majorHAnsi"/>
        </w:rPr>
        <w:t>ing</w:t>
      </w:r>
      <w:r>
        <w:rPr>
          <w:rFonts w:asciiTheme="majorHAnsi" w:hAnsiTheme="majorHAnsi"/>
        </w:rPr>
        <w:t xml:space="preserve"> the simultaneous assessment of all modes.</w:t>
      </w:r>
    </w:p>
    <w:p w14:paraId="2C8EEB8E" w14:textId="77777777" w:rsidR="00503A14" w:rsidRDefault="00503A14" w:rsidP="00F22EB6">
      <w:pPr>
        <w:rPr>
          <w:rFonts w:asciiTheme="majorHAnsi" w:hAnsiTheme="majorHAnsi"/>
        </w:rPr>
      </w:pPr>
    </w:p>
    <w:p w14:paraId="629E535D" w14:textId="352F69BF" w:rsidR="00056D75" w:rsidRDefault="00056D75" w:rsidP="00F22EB6">
      <w:pPr>
        <w:rPr>
          <w:rFonts w:asciiTheme="majorHAnsi" w:hAnsiTheme="majorHAnsi"/>
        </w:rPr>
      </w:pPr>
      <w:r>
        <w:rPr>
          <w:rFonts w:asciiTheme="majorHAnsi" w:hAnsiTheme="majorHAnsi"/>
        </w:rPr>
        <w:t>(1) The state of the solar cell prohibits the simultaneous measurement of XBIC (short circuit) and XBIV (open circuit) measurements. As XEOL</w:t>
      </w:r>
      <w:r>
        <w:rPr>
          <w:rFonts w:asciiTheme="majorHAnsi" w:hAnsiTheme="majorHAnsi"/>
        </w:rPr>
        <w:fldChar w:fldCharType="begin" w:fldLock="1"/>
      </w:r>
      <w:r w:rsidR="003D2185">
        <w:rPr>
          <w:rFonts w:asciiTheme="majorHAnsi" w:hAnsiTheme="majorHAnsi"/>
        </w:rPr>
        <w:instrText>ADDIN CSL_CITATION {"citationItems":[{"id":"ITEM-1","itemData":{"DOI":"10.1016/j.nimb.2011.08.013","author":[{"dropping-particle":"","family":"Martínez-Criado","given":"G","non-dropping-particle":"","parse-names":false,"suffix":""},{"dropping-particle":"","family":"Alén","given":"B","non-dropping-particle":"","parse-names":false,"suffix":""},{"dropping-particle":"","family":"Sans","given":"J A","non-dropping-particle":"","parse-names":false,"suffix":""},{"dropping-particle":"","family":"Homs","given":"A","non-dropping-particle":"","parse-names":false,"suffix":""},{"dropping-particle":"","family":"Kieffer","given":"I","non-dropping-particle":"","parse-names":false,"suffix":""},{"dropping-particle":"","family":"Tucoulou","given":"R","non-dropping-particle":"","parse-names":false,"suffix":""},{"dropping-particle":"","family":"Cloetens","given":"P","non-dropping-particle":"","parse-names":false,"suffix":""}],"container-title":"Nuclear Instruments and Methods in Physics Research B","id":"ITEM-1","issued":{"date-parts":[["2012"]]},"page":"36-39","title":"Spatially resolved X-ray excited optical luminescence","type":"article-journal","volume":"284"},"uris":["http://www.mendeley.com/documents/?uuid=6f092413-d5f5-49a8-9f2f-682ad1a0318e"]}],"mendeley":{"formattedCitation":"&lt;sup&gt;48&lt;/sup&gt;","plainTextFormattedCitation":"48","previouslyFormattedCitation":"&lt;sup&gt;48&lt;/sup&gt;"},"properties":{"noteIndex":0},"schema":"https://github.com/citation-style-language/schema/raw/master/csl-citation.json"}</w:instrText>
      </w:r>
      <w:r>
        <w:rPr>
          <w:rFonts w:asciiTheme="majorHAnsi" w:hAnsiTheme="majorHAnsi"/>
        </w:rPr>
        <w:fldChar w:fldCharType="separate"/>
      </w:r>
      <w:r w:rsidR="00594CBE" w:rsidRPr="00594CBE">
        <w:rPr>
          <w:rFonts w:asciiTheme="majorHAnsi" w:hAnsiTheme="majorHAnsi"/>
          <w:noProof/>
          <w:vertAlign w:val="superscript"/>
        </w:rPr>
        <w:t>48</w:t>
      </w:r>
      <w:r>
        <w:rPr>
          <w:rFonts w:asciiTheme="majorHAnsi" w:hAnsiTheme="majorHAnsi"/>
        </w:rPr>
        <w:fldChar w:fldCharType="end"/>
      </w:r>
      <w:r w:rsidRPr="00804851">
        <w:rPr>
          <w:rFonts w:asciiTheme="majorHAnsi" w:hAnsiTheme="majorHAnsi"/>
          <w:vertAlign w:val="superscript"/>
        </w:rPr>
        <w:t>,</w:t>
      </w:r>
      <w:r>
        <w:rPr>
          <w:rFonts w:asciiTheme="majorHAnsi" w:hAnsiTheme="majorHAnsi"/>
        </w:rPr>
        <w:fldChar w:fldCharType="begin" w:fldLock="1"/>
      </w:r>
      <w:r w:rsidR="003D2185">
        <w:rPr>
          <w:rFonts w:asciiTheme="majorHAnsi" w:hAnsiTheme="majorHAnsi"/>
        </w:rPr>
        <w:instrText>ADDIN CSL_CITATION {"citationItems":[{"id":"ITEM-1","itemData":{"DOI":"10.1016/j.jlumin.2012.09.018","ISSN":"0022-2313","author":[{"dropping-particle":"","family":"Taylor","given":"R P","non-dropping-particle":"","parse-names":false,"suffix":""},{"dropping-particle":"","family":"Finch","given":"A A","non-dropping-particle":"","parse-names":false,"suffix":""},{"dropping-particle":"","family":"Mosselmans","given":"J F W","non-dropping-particle":"","parse-names":false,"suffix":""},{"dropping-particle":"","family":"Quinn","given":"P D","non-dropping-particle":"","parse-names":false,"suffix":""}],"container-title":"Journal of Luminescence","id":"ITEM-1","issued":{"date-parts":[["2013"]]},"page":"49-58","publisher":"Elsevier","title":"The development of a XEOL and TR XEOL detection system for the I18 microfocus beamline Diamond light source","type":"article-journal","volume":"134"},"uris":["http://www.mendeley.com/documents/?uuid=57387b8b-d47b-48f0-964e-9dafbe1a0e43"]}],"mendeley":{"formattedCitation":"&lt;sup&gt;49&lt;/sup&gt;","plainTextFormattedCitation":"49","previouslyFormattedCitation":"&lt;sup&gt;49&lt;/sup&gt;"},"properties":{"noteIndex":0},"schema":"https://github.com/citation-style-language/schema/raw/master/csl-citation.json"}</w:instrText>
      </w:r>
      <w:r>
        <w:rPr>
          <w:rFonts w:asciiTheme="majorHAnsi" w:hAnsiTheme="majorHAnsi"/>
        </w:rPr>
        <w:fldChar w:fldCharType="separate"/>
      </w:r>
      <w:r w:rsidR="00594CBE" w:rsidRPr="00594CBE">
        <w:rPr>
          <w:rFonts w:asciiTheme="majorHAnsi" w:hAnsiTheme="majorHAnsi"/>
          <w:noProof/>
          <w:vertAlign w:val="superscript"/>
        </w:rPr>
        <w:t>49</w:t>
      </w:r>
      <w:r>
        <w:rPr>
          <w:rFonts w:asciiTheme="majorHAnsi" w:hAnsiTheme="majorHAnsi"/>
        </w:rPr>
        <w:fldChar w:fldCharType="end"/>
      </w:r>
      <w:r>
        <w:rPr>
          <w:rFonts w:asciiTheme="majorHAnsi" w:hAnsiTheme="majorHAnsi"/>
        </w:rPr>
        <w:t xml:space="preserve"> measures the radiative recombination of electron-hole pairs, a measured current of the solar cell (XBIC) would be a competitive process. Therefore, XEOL measurements are typically conduc</w:t>
      </w:r>
      <w:r w:rsidR="007F3739">
        <w:rPr>
          <w:rFonts w:asciiTheme="majorHAnsi" w:hAnsiTheme="majorHAnsi"/>
        </w:rPr>
        <w:t>t</w:t>
      </w:r>
      <w:r>
        <w:rPr>
          <w:rFonts w:asciiTheme="majorHAnsi" w:hAnsiTheme="majorHAnsi"/>
        </w:rPr>
        <w:t>ed under open-circuit condition</w:t>
      </w:r>
      <w:r w:rsidR="006034CB">
        <w:rPr>
          <w:rFonts w:asciiTheme="majorHAnsi" w:hAnsiTheme="majorHAnsi"/>
        </w:rPr>
        <w:t>, which is compatible with simultaneous XBIV measurements.</w:t>
      </w:r>
    </w:p>
    <w:p w14:paraId="76F893BC" w14:textId="77777777" w:rsidR="00503A14" w:rsidRDefault="00503A14" w:rsidP="00F22EB6">
      <w:pPr>
        <w:rPr>
          <w:rFonts w:asciiTheme="majorHAnsi" w:hAnsiTheme="majorHAnsi"/>
        </w:rPr>
      </w:pPr>
    </w:p>
    <w:p w14:paraId="2F095C3E" w14:textId="7E5D7262" w:rsidR="00056D75" w:rsidRDefault="006034CB" w:rsidP="00F22EB6">
      <w:pPr>
        <w:rPr>
          <w:rFonts w:asciiTheme="majorHAnsi" w:hAnsiTheme="majorHAnsi"/>
        </w:rPr>
      </w:pPr>
      <w:r>
        <w:rPr>
          <w:rFonts w:asciiTheme="majorHAnsi" w:hAnsiTheme="majorHAnsi"/>
        </w:rPr>
        <w:t>(2) If beam damage is an issue for XBIC or XBIV measurements, they may not be combined with photon-hungry techniques such as XRF or XEOL. As a rule of thumb, beam damage effects are first visible in the electrical (XBIC &amp; XBIV) and the optical (XEOL) performance, being sensitive to charge-carrier recombination via electronic defects. Second, structural damage occurs (visible in SAXS &amp; WAXS), followed by compositional modification visible in XRF.</w:t>
      </w:r>
    </w:p>
    <w:p w14:paraId="4EE8C081" w14:textId="77777777" w:rsidR="00503A14" w:rsidRDefault="00503A14" w:rsidP="00F22EB6">
      <w:pPr>
        <w:rPr>
          <w:rFonts w:asciiTheme="majorHAnsi" w:hAnsiTheme="majorHAnsi"/>
        </w:rPr>
      </w:pPr>
    </w:p>
    <w:p w14:paraId="3572686E" w14:textId="2C04CAE7" w:rsidR="00552035" w:rsidRDefault="00FA6BB7" w:rsidP="00F22EB6">
      <w:pPr>
        <w:rPr>
          <w:rFonts w:asciiTheme="majorHAnsi" w:hAnsiTheme="majorHAnsi"/>
        </w:rPr>
      </w:pPr>
      <w:r>
        <w:rPr>
          <w:rFonts w:asciiTheme="majorHAnsi" w:hAnsiTheme="majorHAnsi"/>
        </w:rPr>
        <w:t xml:space="preserve">(3) Although chopping the X-ray beam is generally compatible with all measurement modes, it can lead to artifacts: </w:t>
      </w:r>
      <w:r w:rsidR="000605DB">
        <w:rPr>
          <w:rFonts w:asciiTheme="majorHAnsi" w:hAnsiTheme="majorHAnsi"/>
        </w:rPr>
        <w:t xml:space="preserve">first, the integrated photon flux per pixel varies by the integrated flux passing the chopper wheel in one period. This effect becomes larger with </w:t>
      </w:r>
      <w:r w:rsidR="002377D7">
        <w:rPr>
          <w:rFonts w:asciiTheme="majorHAnsi" w:hAnsiTheme="majorHAnsi"/>
        </w:rPr>
        <w:t xml:space="preserve">a </w:t>
      </w:r>
      <w:r w:rsidR="000605DB">
        <w:rPr>
          <w:rFonts w:asciiTheme="majorHAnsi" w:hAnsiTheme="majorHAnsi"/>
        </w:rPr>
        <w:t xml:space="preserve">smaller ratio between </w:t>
      </w:r>
      <w:r w:rsidR="002377D7">
        <w:rPr>
          <w:rFonts w:asciiTheme="majorHAnsi" w:hAnsiTheme="majorHAnsi"/>
        </w:rPr>
        <w:t xml:space="preserve">the </w:t>
      </w:r>
      <w:r w:rsidR="000605DB">
        <w:rPr>
          <w:rFonts w:asciiTheme="majorHAnsi" w:hAnsiTheme="majorHAnsi"/>
        </w:rPr>
        <w:t xml:space="preserve">chopping and </w:t>
      </w:r>
      <w:r w:rsidR="002377D7">
        <w:rPr>
          <w:rFonts w:asciiTheme="majorHAnsi" w:hAnsiTheme="majorHAnsi"/>
        </w:rPr>
        <w:t xml:space="preserve">the </w:t>
      </w:r>
      <w:r w:rsidR="000605DB">
        <w:rPr>
          <w:rFonts w:asciiTheme="majorHAnsi" w:hAnsiTheme="majorHAnsi"/>
        </w:rPr>
        <w:t>scanning frequency. Second, the interaction between the chopper wheel and the X-ray beam can lead to scattered, diffracted, and fluorescent photons. Third, the integrated photon flux is reduced b</w:t>
      </w:r>
      <w:r w:rsidR="00E864C6">
        <w:rPr>
          <w:rFonts w:asciiTheme="majorHAnsi" w:hAnsiTheme="majorHAnsi"/>
        </w:rPr>
        <w:t>y 50%, which is particularly critical for photon-hungry measurement modes.</w:t>
      </w:r>
    </w:p>
    <w:p w14:paraId="4271DE09" w14:textId="77777777" w:rsidR="00552035" w:rsidRDefault="00552035" w:rsidP="00F22EB6">
      <w:pPr>
        <w:rPr>
          <w:rFonts w:asciiTheme="majorHAnsi" w:hAnsiTheme="majorHAnsi"/>
        </w:rPr>
      </w:pPr>
    </w:p>
    <w:p w14:paraId="0FBB0A91" w14:textId="48BAD45D" w:rsidR="00887855" w:rsidRDefault="00E864C6" w:rsidP="00F22EB6">
      <w:pPr>
        <w:rPr>
          <w:rFonts w:asciiTheme="majorHAnsi" w:hAnsiTheme="majorHAnsi"/>
        </w:rPr>
      </w:pPr>
      <w:r>
        <w:rPr>
          <w:rFonts w:asciiTheme="majorHAnsi" w:hAnsiTheme="majorHAnsi"/>
        </w:rPr>
        <w:t>As</w:t>
      </w:r>
      <w:r w:rsidR="007F3739">
        <w:rPr>
          <w:rFonts w:asciiTheme="majorHAnsi" w:hAnsiTheme="majorHAnsi"/>
        </w:rPr>
        <w:t xml:space="preserve"> a</w:t>
      </w:r>
      <w:r>
        <w:rPr>
          <w:rFonts w:asciiTheme="majorHAnsi" w:hAnsiTheme="majorHAnsi"/>
        </w:rPr>
        <w:t xml:space="preserve"> consequence of these considerations, the ideal measurement scheme depends on the given DUT and priori</w:t>
      </w:r>
      <w:r w:rsidR="00456091">
        <w:rPr>
          <w:rFonts w:asciiTheme="majorHAnsi" w:hAnsiTheme="majorHAnsi"/>
        </w:rPr>
        <w:t>ti</w:t>
      </w:r>
      <w:r>
        <w:rPr>
          <w:rFonts w:asciiTheme="majorHAnsi" w:hAnsiTheme="majorHAnsi"/>
        </w:rPr>
        <w:t xml:space="preserve">zation of measurement modes. However, it is often wise to start with a </w:t>
      </w:r>
      <w:r w:rsidR="0099427C">
        <w:rPr>
          <w:rFonts w:asciiTheme="majorHAnsi" w:hAnsiTheme="majorHAnsi"/>
        </w:rPr>
        <w:t>measurement optimized</w:t>
      </w:r>
      <w:r>
        <w:rPr>
          <w:rFonts w:asciiTheme="majorHAnsi" w:hAnsiTheme="majorHAnsi"/>
        </w:rPr>
        <w:t xml:space="preserve"> for XBIC</w:t>
      </w:r>
      <w:r w:rsidR="0099427C">
        <w:rPr>
          <w:rFonts w:asciiTheme="majorHAnsi" w:hAnsiTheme="majorHAnsi"/>
        </w:rPr>
        <w:t xml:space="preserve">. If lock-in amplified XBIV is required, this is typically the second scan. Otherwise, the chopper can be removed, and all other measurements, including standard XBIV, can be performed with longer dwell time as required for the most photon-hungry technique. </w:t>
      </w:r>
      <w:r w:rsidR="00FF649B">
        <w:rPr>
          <w:rFonts w:asciiTheme="majorHAnsi" w:hAnsiTheme="majorHAnsi"/>
        </w:rPr>
        <w:t>Ideally, XRF data are measured during all scans, which allows for image registration in post-processing</w:t>
      </w:r>
      <w:r w:rsidR="00AE6145">
        <w:rPr>
          <w:rFonts w:asciiTheme="majorHAnsi" w:hAnsiTheme="majorHAnsi"/>
        </w:rPr>
        <w:t xml:space="preserve"> to account for sample drift</w:t>
      </w:r>
      <w:r w:rsidR="00FF649B">
        <w:rPr>
          <w:rFonts w:asciiTheme="majorHAnsi" w:hAnsiTheme="majorHAnsi"/>
        </w:rPr>
        <w:t>.</w:t>
      </w:r>
    </w:p>
    <w:p w14:paraId="04DD2292" w14:textId="77777777" w:rsidR="00887855" w:rsidRPr="00552035" w:rsidRDefault="00887855" w:rsidP="00F22EB6">
      <w:pPr>
        <w:rPr>
          <w:rFonts w:asciiTheme="majorHAnsi" w:hAnsiTheme="majorHAnsi"/>
          <w:b/>
        </w:rPr>
      </w:pPr>
    </w:p>
    <w:p w14:paraId="56FE5A8A" w14:textId="20806DE1" w:rsidR="00FC4A65" w:rsidRPr="00552035" w:rsidRDefault="00A15D05" w:rsidP="00F22EB6">
      <w:pPr>
        <w:pStyle w:val="ac"/>
        <w:numPr>
          <w:ilvl w:val="0"/>
          <w:numId w:val="30"/>
        </w:numPr>
        <w:ind w:left="0" w:firstLine="0"/>
        <w:rPr>
          <w:rFonts w:asciiTheme="majorHAnsi" w:hAnsiTheme="majorHAnsi"/>
          <w:b/>
        </w:rPr>
      </w:pPr>
      <w:r w:rsidRPr="00552035">
        <w:rPr>
          <w:rFonts w:asciiTheme="majorHAnsi" w:hAnsiTheme="majorHAnsi"/>
          <w:b/>
        </w:rPr>
        <w:t>Different Probes for Beam-Induced M</w:t>
      </w:r>
      <w:r w:rsidR="00FF649B" w:rsidRPr="00552035">
        <w:rPr>
          <w:rFonts w:asciiTheme="majorHAnsi" w:hAnsiTheme="majorHAnsi"/>
          <w:b/>
        </w:rPr>
        <w:t>easurements</w:t>
      </w:r>
    </w:p>
    <w:p w14:paraId="11C9F8F1" w14:textId="4E5317FF" w:rsidR="00391FC8" w:rsidRDefault="00C31481" w:rsidP="00F22EB6">
      <w:pPr>
        <w:rPr>
          <w:rFonts w:asciiTheme="majorHAnsi" w:hAnsiTheme="majorHAnsi"/>
        </w:rPr>
      </w:pPr>
      <w:r>
        <w:rPr>
          <w:rFonts w:asciiTheme="majorHAnsi" w:hAnsiTheme="majorHAnsi"/>
        </w:rPr>
        <w:t>There are alternative probes to X-ray beams for the assessment of the spatially resolved electrical performance of</w:t>
      </w:r>
      <w:r w:rsidR="007F3739">
        <w:rPr>
          <w:rFonts w:asciiTheme="majorHAnsi" w:hAnsiTheme="majorHAnsi"/>
        </w:rPr>
        <w:t xml:space="preserve"> a</w:t>
      </w:r>
      <w:r>
        <w:rPr>
          <w:rFonts w:asciiTheme="majorHAnsi" w:hAnsiTheme="majorHAnsi"/>
        </w:rPr>
        <w:t xml:space="preserve"> DUT with specific advantages and disadvantages. Therefore, a qualitative comparison of XBIC with electron-beam induced current (EBIC) and laser-beam induced current (LBIC) as measured in electron microscopes or with optical setups is given in </w:t>
      </w:r>
      <w:r w:rsidRPr="00503A14">
        <w:rPr>
          <w:rFonts w:asciiTheme="majorHAnsi" w:hAnsiTheme="majorHAnsi"/>
          <w:b/>
        </w:rPr>
        <w:t>Tab</w:t>
      </w:r>
      <w:r w:rsidR="00503A14" w:rsidRPr="00503A14">
        <w:rPr>
          <w:rFonts w:asciiTheme="majorHAnsi" w:hAnsiTheme="majorHAnsi"/>
          <w:b/>
        </w:rPr>
        <w:t>le</w:t>
      </w:r>
      <w:r w:rsidRPr="00503A14">
        <w:rPr>
          <w:rFonts w:asciiTheme="majorHAnsi" w:hAnsiTheme="majorHAnsi"/>
          <w:b/>
        </w:rPr>
        <w:t xml:space="preserve"> </w:t>
      </w:r>
      <w:r w:rsidR="00ED1873" w:rsidRPr="00503A14">
        <w:rPr>
          <w:rFonts w:asciiTheme="majorHAnsi" w:hAnsiTheme="majorHAnsi"/>
          <w:b/>
        </w:rPr>
        <w:t>2</w:t>
      </w:r>
      <w:r>
        <w:rPr>
          <w:rFonts w:asciiTheme="majorHAnsi" w:hAnsiTheme="majorHAnsi"/>
        </w:rPr>
        <w:t xml:space="preserve">. </w:t>
      </w:r>
    </w:p>
    <w:p w14:paraId="4C17E073" w14:textId="77777777" w:rsidR="00A144C4" w:rsidRDefault="00A144C4" w:rsidP="00F22EB6">
      <w:pPr>
        <w:rPr>
          <w:rFonts w:asciiTheme="majorHAnsi" w:hAnsiTheme="majorHAnsi"/>
          <w:b/>
          <w:bCs/>
          <w:color w:val="000000" w:themeColor="text1" w:themeShade="BF"/>
        </w:rPr>
      </w:pPr>
    </w:p>
    <w:p w14:paraId="10F1EE91" w14:textId="7019EFA6" w:rsidR="0081556B" w:rsidRDefault="0081556B" w:rsidP="00F22EB6">
      <w:r>
        <w:t>The electron-hole pair generation by a laser comes closest to the outdoor operation of solar cells. However, the spatial resolution of LBIC is fundamentally limited by the wavelength of the laser. EBIC measurements offer a greater spatial resolution that is typically limited by the interaction radius of the electron beam with the DUT. The main drawback of EBIC measurements is their surface sensitivity, hindering the assessment of the absorber layer performance through the layer stack or even in encapsulated devices.</w:t>
      </w:r>
      <w:r w:rsidR="00964738">
        <w:t xml:space="preserve"> Furthermore, </w:t>
      </w:r>
      <w:r w:rsidR="005669FA">
        <w:t xml:space="preserve">uneven surfaces of the DUT in combination with non-linear secondary-electron emission effects often lead to distorted </w:t>
      </w:r>
      <w:r w:rsidR="00964738">
        <w:t>EBIC results</w:t>
      </w:r>
      <w:r w:rsidR="005669FA">
        <w:t xml:space="preserve">. In contrast, XBIC measurements hardly suffer from topological </w:t>
      </w:r>
      <w:r w:rsidR="00B24A71">
        <w:t>variations</w:t>
      </w:r>
      <w:r w:rsidR="005669FA">
        <w:t xml:space="preserve">, as most signal is generated </w:t>
      </w:r>
      <w:r w:rsidR="00B24A71">
        <w:t>deep in the bulk material and surface-charge effects are mitigated by proper grounding.</w:t>
      </w:r>
    </w:p>
    <w:p w14:paraId="2E0B9563" w14:textId="77777777" w:rsidR="00552035" w:rsidRDefault="00552035" w:rsidP="00F22EB6"/>
    <w:p w14:paraId="3948F9BE" w14:textId="7ADC485A" w:rsidR="000E4AAE" w:rsidRDefault="00135764" w:rsidP="00F22EB6">
      <w:r>
        <w:t xml:space="preserve">All three beam-induced techniques have in common that </w:t>
      </w:r>
      <w:r w:rsidR="00B950D8">
        <w:t xml:space="preserve">charge injection is highly inhomogeneous, peaking at the beam position. As a consequence, </w:t>
      </w:r>
      <w:r>
        <w:t xml:space="preserve">the </w:t>
      </w:r>
      <w:r w:rsidR="00B950D8">
        <w:t xml:space="preserve">excess carrier concentration and current density are </w:t>
      </w:r>
      <w:proofErr w:type="spellStart"/>
      <w:r w:rsidR="00B950D8">
        <w:t>inhomogeneously</w:t>
      </w:r>
      <w:proofErr w:type="spellEnd"/>
      <w:r w:rsidR="00B950D8">
        <w:t xml:space="preserve"> distributed</w:t>
      </w:r>
      <w:r w:rsidR="009B1385">
        <w:t xml:space="preserve">. In a simplified picture, </w:t>
      </w:r>
      <w:r w:rsidR="00D855A9">
        <w:t>th</w:t>
      </w:r>
      <w:r w:rsidR="00961B13">
        <w:t>e majority</w:t>
      </w:r>
      <w:r w:rsidR="00D855A9">
        <w:t xml:space="preserve"> </w:t>
      </w:r>
      <w:r w:rsidR="009B1385">
        <w:t xml:space="preserve">of the solar cell operates in dark, and a small spot operates at a </w:t>
      </w:r>
      <w:r w:rsidR="00D855A9">
        <w:t xml:space="preserve">high </w:t>
      </w:r>
      <w:r w:rsidR="009B1385">
        <w:t>injection level that can reach hundreds of sun equivalents for focused beams. The injection-level distribution depends not only on the beam size and shape, but also on the beam energy</w:t>
      </w:r>
      <w:r w:rsidR="00A2266C">
        <w:t>,</w:t>
      </w:r>
      <w:r w:rsidR="009B1385">
        <w:t xml:space="preserve"> device stack</w:t>
      </w:r>
      <w:r w:rsidR="00A2266C">
        <w:t>, and time</w:t>
      </w:r>
      <w:r w:rsidR="00D855A9">
        <w:t xml:space="preserve"> structure </w:t>
      </w:r>
      <w:r w:rsidR="00A2266C">
        <w:t xml:space="preserve">of the injection. </w:t>
      </w:r>
      <w:r w:rsidR="001438B0">
        <w:t>So far,</w:t>
      </w:r>
      <w:r w:rsidR="00A2266C">
        <w:t xml:space="preserve"> the X-ray beam has been treated as a continuous beam</w:t>
      </w:r>
      <w:r w:rsidR="001438B0">
        <w:t>,</w:t>
      </w:r>
      <w:r w:rsidR="00A2266C">
        <w:t xml:space="preserve"> which is </w:t>
      </w:r>
      <w:r w:rsidR="001438B0">
        <w:t xml:space="preserve">justified for charge-carrier collection processes that are slower than nanoseconds. However, synchrotron-sourced X-rays consist of sub-100-ps pulses with intensities and pulse frequency depending on the storage-ring fill pattern. Although we have not noticed any impact </w:t>
      </w:r>
      <w:r w:rsidR="00225F05">
        <w:t xml:space="preserve">of the fill pattern </w:t>
      </w:r>
      <w:r w:rsidR="001438B0">
        <w:t xml:space="preserve">on </w:t>
      </w:r>
      <w:r w:rsidR="00961B13">
        <w:t xml:space="preserve">comparably slow </w:t>
      </w:r>
      <w:r w:rsidR="001438B0">
        <w:t>XBIC measurements</w:t>
      </w:r>
      <w:r w:rsidR="008317DD">
        <w:t xml:space="preserve">, the short-term injection level </w:t>
      </w:r>
      <w:r w:rsidR="00225F05">
        <w:t xml:space="preserve">does </w:t>
      </w:r>
      <w:r w:rsidR="008317DD">
        <w:t>depend on</w:t>
      </w:r>
      <w:r w:rsidR="00225F05">
        <w:t xml:space="preserve"> it</w:t>
      </w:r>
      <w:r w:rsidR="008317DD">
        <w:t>.</w:t>
      </w:r>
      <w:r w:rsidR="00A54D94">
        <w:t xml:space="preserve"> </w:t>
      </w:r>
      <w:r w:rsidR="000E4AAE">
        <w:t>In contrast, one can make use of the time structure of X-rays: similar as has been demonstrated for time-resolved XEOL</w:t>
      </w:r>
      <w:r w:rsidR="000037A4">
        <w:fldChar w:fldCharType="begin" w:fldLock="1"/>
      </w:r>
      <w:r w:rsidR="00B74C40">
        <w:instrText>ADDIN CSL_CITATION {"citationItems":[{"id":"ITEM-1","itemData":{"DOI":"10.1002/adma.201304345","ISSN":"15214095","PMID":"24677416","abstract":"Semiconductor nanowires offer new opportunities for optoelectronic and spintronic nanodevices. However, their full potential is ultimately dictated by our ability to control multiple property-function relationships taking place at the nanoscale in the spatial and time domains. Only a combination of high-resolution analytical techniques can provide a comprehensive understanding of their complex functionalities. Here we describe how a multimodal hard X-ray nanoprobe addresses fundamental questions in nanowire research. Selected topics ranging from cluster formation, dopant segregation, and phase separations to quantum confinement effects are investigated with sub-100 nm spatial resolution and sub-50 ps temporal resolution. This approach opens new avenues for structural, composition and optical studies with broad applicability in materials science.","author":[{"dropping-particle":"","family":"Martínez-Criado","given":"Gema","non-dropping-particle":"","parse-names":false,"suffix":""},{"dropping-particle":"","family":"Segura-Ruiz","given":"Jaime","non-dropping-particle":"","parse-names":false,"suffix":""},{"dropping-particle":"","family":"Alén","given":"Benito","non-dropping-particle":"","parse-names":false,"suffix":""},{"dropping-particle":"","family":"Eymery","given":"Joël","non-dropping-particle":"","parse-names":false,"suffix":""},{"dropping-particle":"","family":"Rogalev","given":"Andrei","non-dropping-particle":"","parse-names":false,"suffix":""},{"dropping-particle":"","family":"Tucoulou","given":"Rémi","non-dropping-particle":"","parse-names":false,"suffix":""},{"dropping-particle":"","family":"Homs","given":"Alejandro","non-dropping-particle":"","parse-names":false,"suffix":""}],"container-title":"Advanced Materials","id":"ITEM-1","issue":"46","issued":{"date-parts":[["2014"]]},"page":"7873-7879","title":"Exploring single semiconductor nanowires with a multimodal hard X-ray nanoprobe","type":"article-journal","volume":"26"},"uris":["http://www.mendeley.com/documents/?uuid=1e65ae01-f5b0-4312-84ff-1d7272d4773e"]}],"mendeley":{"formattedCitation":"&lt;sup&gt;21&lt;/sup&gt;","plainTextFormattedCitation":"21","previouslyFormattedCitation":"&lt;sup&gt;21&lt;/sup&gt;"},"properties":{"noteIndex":0},"schema":"https://github.com/citation-style-language/schema/raw/master/csl-citation.json"}</w:instrText>
      </w:r>
      <w:r w:rsidR="000037A4">
        <w:fldChar w:fldCharType="separate"/>
      </w:r>
      <w:r w:rsidR="000037A4" w:rsidRPr="000037A4">
        <w:rPr>
          <w:noProof/>
          <w:vertAlign w:val="superscript"/>
        </w:rPr>
        <w:t>21</w:t>
      </w:r>
      <w:r w:rsidR="000037A4">
        <w:fldChar w:fldCharType="end"/>
      </w:r>
      <w:r w:rsidR="000E4AAE">
        <w:t>, one can imagine time-resolved XBIC or XBIV measurements, or locking the XBIC/XBIV signal into the electron-bunch frequency.</w:t>
      </w:r>
    </w:p>
    <w:p w14:paraId="6FD0AAE4" w14:textId="77777777" w:rsidR="00552035" w:rsidRDefault="00552035" w:rsidP="00F22EB6"/>
    <w:p w14:paraId="1099DF37" w14:textId="4C8502D3" w:rsidR="00023E4B" w:rsidRDefault="009B1385" w:rsidP="00F22EB6">
      <w:r>
        <w:t xml:space="preserve">An adequate discussion of </w:t>
      </w:r>
      <w:r w:rsidR="00023E4B">
        <w:t xml:space="preserve">the consequences of </w:t>
      </w:r>
      <w:r w:rsidR="009C7FE1">
        <w:t>inhomogeneous</w:t>
      </w:r>
      <w:r w:rsidR="00023E4B">
        <w:t xml:space="preserve"> injection levels </w:t>
      </w:r>
      <w:r>
        <w:t xml:space="preserve">requires full </w:t>
      </w:r>
      <w:r w:rsidR="00A2266C">
        <w:t xml:space="preserve">3D simulation of all relevant beam and device parameters including the convolution of the time-dependent injection level with the </w:t>
      </w:r>
      <w:r w:rsidR="00961B13">
        <w:t xml:space="preserve">3D </w:t>
      </w:r>
      <w:r w:rsidR="00A2266C">
        <w:t>mobility</w:t>
      </w:r>
      <w:r w:rsidR="00961B13">
        <w:t xml:space="preserve"> and lifetime in the DUT</w:t>
      </w:r>
      <w:r w:rsidR="00A2266C">
        <w:t xml:space="preserve">, which is beyond the scope of this manuscript. </w:t>
      </w:r>
      <w:r w:rsidR="00225F05">
        <w:t>However, it is conceptually the same for all beam-induced current</w:t>
      </w:r>
      <w:r w:rsidR="00A54D94">
        <w:t xml:space="preserve"> and voltage</w:t>
      </w:r>
      <w:r w:rsidR="00225F05">
        <w:t xml:space="preserve"> measurements and we refer to the literature discussing the injection-level dependence of EBIC</w:t>
      </w:r>
      <w:r w:rsidR="00E12688">
        <w:fldChar w:fldCharType="begin" w:fldLock="1"/>
      </w:r>
      <w:r w:rsidR="003D2185">
        <w:instrText>ADDIN CSL_CITATION {"citationItems":[{"id":"ITEM-1","itemData":{"author":[{"dropping-particle":"","family":"Cavalcoli, D. and Cavallini","given":"A.","non-dropping-particle":"","parse-names":false,"suffix":""}],"container-title":"Materials Science and Engineering","id":"ITEM-1","issued":{"date-parts":[["1994"]]},"page":"98-100","title":"Evaluation of diffusion length at different excess carrier concentrations","type":"article-journal","volume":"B24"},"uris":["http://www.mendeley.com/documents/?uuid=f30447d5-2d69-4459-b5a6-717edcbf212b"]}],"mendeley":{"formattedCitation":"&lt;sup&gt;50&lt;/sup&gt;","plainTextFormattedCitation":"50","previouslyFormattedCitation":"&lt;sup&gt;50&lt;/sup&gt;"},"properties":{"noteIndex":0},"schema":"https://github.com/citation-style-language/schema/raw/master/csl-citation.json"}</w:instrText>
      </w:r>
      <w:r w:rsidR="00E12688">
        <w:fldChar w:fldCharType="separate"/>
      </w:r>
      <w:r w:rsidR="00594CBE" w:rsidRPr="00594CBE">
        <w:rPr>
          <w:noProof/>
          <w:vertAlign w:val="superscript"/>
        </w:rPr>
        <w:t>50</w:t>
      </w:r>
      <w:r w:rsidR="00E12688">
        <w:fldChar w:fldCharType="end"/>
      </w:r>
      <w:r w:rsidR="00225F05">
        <w:t xml:space="preserve"> and LBIC</w:t>
      </w:r>
      <w:r w:rsidR="00BA7AAB">
        <w:fldChar w:fldCharType="begin" w:fldLock="1"/>
      </w:r>
      <w:r w:rsidR="003D2185">
        <w:instrText>ADDIN CSL_CITATION {"citationItems":[{"id":"ITEM-1","itemData":{"DOI":"10.1002/pssa.201532680","author":[{"dropping-particle":"","family":"Micard","given":"Gabriel","non-dropping-particle":"","parse-names":false,"suffix":""},{"dropping-particle":"","family":"Hahn","given":"Giso","non-dropping-particle":"","parse-names":false,"suffix":""},{"dropping-particle":"","family":"Terheiden","given":"Barbara","non-dropping-particle":"","parse-names":false,"suffix":""}],"container-title":"Physica Status Solidi a","id":"ITEM-1","issue":"5","issued":{"date-parts":[["2016"]]},"page":"1329-1339","title":"Injection in light beam induced current systems : An analytical model","type":"article-journal","volume":"213"},"uris":["http://www.mendeley.com/documents/?uuid=901e47e4-401f-40cf-a6b4-ea5f832cacde"]}],"mendeley":{"formattedCitation":"&lt;sup&gt;51&lt;/sup&gt;","plainTextFormattedCitation":"51","previouslyFormattedCitation":"&lt;sup&gt;51&lt;/sup&gt;"},"properties":{"noteIndex":0},"schema":"https://github.com/citation-style-language/schema/raw/master/csl-citation.json"}</w:instrText>
      </w:r>
      <w:r w:rsidR="00BA7AAB">
        <w:fldChar w:fldCharType="separate"/>
      </w:r>
      <w:r w:rsidR="00594CBE" w:rsidRPr="00594CBE">
        <w:rPr>
          <w:noProof/>
          <w:vertAlign w:val="superscript"/>
        </w:rPr>
        <w:t>51</w:t>
      </w:r>
      <w:r w:rsidR="00BA7AAB">
        <w:fldChar w:fldCharType="end"/>
      </w:r>
      <w:r w:rsidR="00225F05">
        <w:t xml:space="preserve"> measurements.</w:t>
      </w:r>
    </w:p>
    <w:p w14:paraId="25CA31D2" w14:textId="77777777" w:rsidR="0098093E" w:rsidRDefault="0098093E" w:rsidP="00F22EB6"/>
    <w:p w14:paraId="7A65B4A7" w14:textId="42E05813" w:rsidR="00961B13" w:rsidRDefault="00A2266C" w:rsidP="00F22EB6">
      <w:r>
        <w:t>The negative consequences of local charge injection can experimentally be mitigated by the application of bias light</w:t>
      </w:r>
      <w:r w:rsidR="00F659A9">
        <w:t xml:space="preserve"> with the intensity of 1 sun equivalent, and beam-induced excitation adding only a negli</w:t>
      </w:r>
      <w:r w:rsidR="00034DB6">
        <w:t>gi</w:t>
      </w:r>
      <w:r w:rsidR="00F659A9">
        <w:t xml:space="preserve">ble amount of excess charge carriers. In practice, this concept is technologically limited by the </w:t>
      </w:r>
      <w:r w:rsidR="00CC142C">
        <w:t>dynamic reserve of 100-120 dB in state-of-the-art</w:t>
      </w:r>
      <w:r w:rsidR="00F659A9">
        <w:t xml:space="preserve"> lock-in amplifiers, which corresponds to a signal-to-</w:t>
      </w:r>
      <w:r w:rsidR="00076516">
        <w:t>noise</w:t>
      </w:r>
      <w:r w:rsidR="00F659A9">
        <w:t xml:space="preserve"> ratio of 10</w:t>
      </w:r>
      <w:r w:rsidR="00F659A9" w:rsidRPr="00F659A9">
        <w:rPr>
          <w:vertAlign w:val="superscript"/>
        </w:rPr>
        <w:t>5</w:t>
      </w:r>
      <w:r w:rsidR="00F659A9">
        <w:t xml:space="preserve"> to 10</w:t>
      </w:r>
      <w:r w:rsidR="00F659A9" w:rsidRPr="00F659A9">
        <w:rPr>
          <w:vertAlign w:val="superscript"/>
        </w:rPr>
        <w:t>6</w:t>
      </w:r>
      <w:r w:rsidR="00F659A9">
        <w:t xml:space="preserve">. </w:t>
      </w:r>
      <w:r w:rsidR="0016198A">
        <w:t xml:space="preserve">While this suffices for devices of size comparable to the beam size, it does not allow the application of bias light at relevant levels for macroscopic devices. The obvious solution </w:t>
      </w:r>
      <w:r w:rsidR="004C54D7">
        <w:t>is</w:t>
      </w:r>
      <w:r w:rsidR="0016198A">
        <w:t xml:space="preserve"> to decrease the sample size. Unfortunately, this is often </w:t>
      </w:r>
      <w:r w:rsidR="004F6D6D">
        <w:t>limited by</w:t>
      </w:r>
      <w:r w:rsidR="0016198A">
        <w:t xml:space="preserve"> electrical border effects up to several hundred micrometers off the sample border</w:t>
      </w:r>
      <w:r w:rsidR="004F6D6D">
        <w:t xml:space="preserve"> or contact points</w:t>
      </w:r>
      <w:r w:rsidR="0016198A">
        <w:t>.</w:t>
      </w:r>
      <w:r w:rsidR="0014137C">
        <w:t xml:space="preserve"> </w:t>
      </w:r>
    </w:p>
    <w:p w14:paraId="339FAD4A" w14:textId="77777777" w:rsidR="0098093E" w:rsidRDefault="0098093E" w:rsidP="00F22EB6"/>
    <w:p w14:paraId="779BF1B8" w14:textId="6FA2DFD5" w:rsidR="0014137C" w:rsidRDefault="00034F93" w:rsidP="00F22EB6">
      <w:r>
        <w:t xml:space="preserve">Note also that one can make use of the </w:t>
      </w:r>
      <w:r w:rsidR="0014137C">
        <w:t xml:space="preserve">injection-level dependence of XBIC </w:t>
      </w:r>
      <w:r>
        <w:t>measurements</w:t>
      </w:r>
      <w:r w:rsidR="004C54D7">
        <w:t>: similar to EBIC and LBIC,</w:t>
      </w:r>
      <w:r w:rsidR="004F6D6D">
        <w:t xml:space="preserve"> </w:t>
      </w:r>
      <w:r w:rsidR="004C54D7">
        <w:t>p</w:t>
      </w:r>
      <w:r>
        <w:t xml:space="preserve">erforming injection-level series by varying </w:t>
      </w:r>
      <w:r w:rsidR="006E2783">
        <w:t xml:space="preserve">the </w:t>
      </w:r>
      <w:r>
        <w:t>X-ray beam intensity can unveil information about dominant recombination mechanisms and charge carrier diffusion</w:t>
      </w:r>
      <w:r w:rsidR="00B74C40">
        <w:fldChar w:fldCharType="begin" w:fldLock="1"/>
      </w:r>
      <w:r w:rsidR="00C55F87">
        <w:instrText>ADDIN CSL_CITATION {"citationItems":[{"id":"ITEM-1","itemData":{"DOI":"10.1016/j.ultramic.2018.11.005","author":[{"dropping-particle":"","family":"Marcelot, O. and Magnan","given":"P.","non-dropping-particle":"","parse-names":false,"suffix":""}],"container-title":"Ultramicroscopy","id":"ITEM-1","issued":{"date-parts":[["2019"]]},"page":"23-27","title":"From EBIC images to qualitative minority carrier diffusion length maps","type":"article-journal"},"uris":["http://www.mendeley.com/documents/?uuid=d7103449-e3af-47d3-86a7-0ddf2b20ad41"]},{"id":"ITEM-2","itemData":{"DOI":"10.1021/nl5040545","ISSN":"15306992","author":[{"dropping-particle":"","family":"Wallentin","given":"Jesper","non-dropping-particle":"","parse-names":false,"suffix":""},{"dropping-particle":"","family":"Osterhoff","given":"Markus","non-dropping-particle":"","parse-names":false,"suffix":""},{"dropping-particle":"","family":"Wilke","given":"Robin N.","non-dropping-particle":"","parse-names":false,"suffix":""},{"dropping-particle":"","family":"Persson","given":"Karl Magnus","non-dropping-particle":"","parse-names":false,"suffix":""},{"dropping-particle":"","family":"Wernersson","given":"Lars Erik","non-dropping-particle":"","parse-names":false,"suffix":""},{"dropping-particle":"","family":"Sprung","given":"Michael","non-dropping-particle":"","parse-names":false,"suffix":""},{"dropping-particle":"","family":"Salditt","given":"Tim","non-dropping-particle":"","parse-names":false,"suffix":""}],"container-title":"Nano Letters","id":"ITEM-2","issue":"12","issued":{"date-parts":[["2014"]]},"page":"7071-7076","title":"Hard X-ray detection using a single 100 nm diameter nanowire","type":"article-journal","volume":"14"},"uris":["http://www.mendeley.com/documents/?uuid=b8caa7d1-86c3-40be-b9aa-1d39ae1b8490"]}],"mendeley":{"formattedCitation":"&lt;sup&gt;52,53&lt;/sup&gt;","plainTextFormattedCitation":"52,53","previouslyFormattedCitation":"&lt;sup&gt;52,53&lt;/sup&gt;"},"properties":{"noteIndex":0},"schema":"https://github.com/citation-style-language/schema/raw/master/csl-citation.json"}</w:instrText>
      </w:r>
      <w:r w:rsidR="00B74C40">
        <w:fldChar w:fldCharType="separate"/>
      </w:r>
      <w:r w:rsidR="00B74C40" w:rsidRPr="00B74C40">
        <w:rPr>
          <w:noProof/>
          <w:vertAlign w:val="superscript"/>
        </w:rPr>
        <w:t>52,53</w:t>
      </w:r>
      <w:r w:rsidR="00B74C40">
        <w:fldChar w:fldCharType="end"/>
      </w:r>
      <w:r>
        <w:t>.</w:t>
      </w:r>
    </w:p>
    <w:p w14:paraId="5671DB19" w14:textId="77777777" w:rsidR="002F32B2" w:rsidRDefault="002F32B2" w:rsidP="00F22EB6">
      <w:bookmarkStart w:id="0" w:name="_GoBack"/>
      <w:bookmarkEnd w:id="0"/>
    </w:p>
    <w:p w14:paraId="0FD4BA9D" w14:textId="194B4EB5" w:rsidR="003A0A11" w:rsidRDefault="00034F93" w:rsidP="00F22EB6">
      <w:r>
        <w:t>In conclusion, t</w:t>
      </w:r>
      <w:r w:rsidR="00FF10A8">
        <w:t>he penetration depth o</w:t>
      </w:r>
      <w:r w:rsidR="003A0A11">
        <w:t xml:space="preserve">f X-rays </w:t>
      </w:r>
      <w:r w:rsidR="0081556B">
        <w:t xml:space="preserve">combined with the high spatial resolution </w:t>
      </w:r>
      <w:r w:rsidR="003A0A11">
        <w:t>makes XBIC the most fitting technique</w:t>
      </w:r>
      <w:r w:rsidR="00FF10A8">
        <w:t xml:space="preserve"> to study </w:t>
      </w:r>
      <w:r w:rsidR="00A222AA">
        <w:t xml:space="preserve">DUT with buried structures such as </w:t>
      </w:r>
      <w:r w:rsidR="00391FC8">
        <w:t>TF</w:t>
      </w:r>
      <w:r w:rsidR="00FF10A8">
        <w:t xml:space="preserve"> solar cells</w:t>
      </w:r>
      <w:r w:rsidR="0081556B">
        <w:t xml:space="preserve"> in a correlative microscopy approach</w:t>
      </w:r>
      <w:r w:rsidR="00A222AA">
        <w:t>. The interaction radius of XBIC measurements is typically smaller than for EBIC, and the spatial resolution is often limited by the diffusion length of the charge carriers.</w:t>
      </w:r>
      <w:r w:rsidR="0014137C">
        <w:t xml:space="preserve"> </w:t>
      </w:r>
      <w:r w:rsidR="00A222AA">
        <w:t>The main</w:t>
      </w:r>
      <w:r w:rsidR="003A0A11">
        <w:t xml:space="preserve"> drawback </w:t>
      </w:r>
      <w:r w:rsidR="00A222AA">
        <w:t xml:space="preserve">of </w:t>
      </w:r>
      <w:r w:rsidR="003A0A11">
        <w:t xml:space="preserve">XBIC measurements is the </w:t>
      </w:r>
      <w:r w:rsidR="00A222AA">
        <w:t xml:space="preserve">limited </w:t>
      </w:r>
      <w:r w:rsidR="003A0A11">
        <w:t xml:space="preserve">availability of </w:t>
      </w:r>
      <w:r w:rsidR="009D455B">
        <w:t>X</w:t>
      </w:r>
      <w:r w:rsidR="00A222AA">
        <w:t>-ray nanoprobes</w:t>
      </w:r>
      <w:r w:rsidR="003A0A11">
        <w:t>.</w:t>
      </w:r>
    </w:p>
    <w:p w14:paraId="16694585" w14:textId="77777777" w:rsidR="00F90EDC" w:rsidRDefault="00F90EDC" w:rsidP="00F22EB6">
      <w:pPr>
        <w:rPr>
          <w:color w:val="00000A"/>
        </w:rPr>
      </w:pPr>
    </w:p>
    <w:p w14:paraId="5F9CBD6E" w14:textId="0F8141BF" w:rsidR="00F90EDC" w:rsidRDefault="00B15F13" w:rsidP="00F22EB6">
      <w:pPr>
        <w:pBdr>
          <w:top w:val="nil"/>
          <w:left w:val="nil"/>
          <w:bottom w:val="nil"/>
          <w:right w:val="nil"/>
          <w:between w:val="nil"/>
        </w:pBdr>
        <w:rPr>
          <w:color w:val="000000"/>
        </w:rPr>
      </w:pPr>
      <w:r>
        <w:rPr>
          <w:b/>
          <w:color w:val="000000"/>
        </w:rPr>
        <w:t>ACKNOWLEDGMENTS:</w:t>
      </w:r>
    </w:p>
    <w:p w14:paraId="68A70C0F" w14:textId="16B8DE4F" w:rsidR="00377BB0" w:rsidRPr="002F32B2" w:rsidRDefault="007F690E" w:rsidP="00F22EB6">
      <w:pPr>
        <w:rPr>
          <w:rStyle w:val="afb"/>
          <w:rFonts w:eastAsia="Times New Roman"/>
          <w:i w:val="0"/>
        </w:rPr>
      </w:pPr>
      <w:r>
        <w:rPr>
          <w:rStyle w:val="afb"/>
          <w:rFonts w:eastAsia="Times New Roman"/>
          <w:i w:val="0"/>
        </w:rPr>
        <w:t xml:space="preserve">We greatly acknowledge J. Garrevoet, M. Seyrich, A. Schropp, D. </w:t>
      </w:r>
      <w:proofErr w:type="spellStart"/>
      <w:r>
        <w:rPr>
          <w:rStyle w:val="afb"/>
          <w:rFonts w:eastAsia="Times New Roman"/>
          <w:i w:val="0"/>
        </w:rPr>
        <w:t>Brückner</w:t>
      </w:r>
      <w:proofErr w:type="spellEnd"/>
      <w:r>
        <w:rPr>
          <w:rStyle w:val="afb"/>
          <w:rFonts w:eastAsia="Times New Roman"/>
          <w:i w:val="0"/>
        </w:rPr>
        <w:t xml:space="preserve">, J. Hagemann, K. Spiers, and T. Boese from the Deutsches Elektronen-Synchrotron (DESY) and A. </w:t>
      </w:r>
      <w:r w:rsidR="00885D46">
        <w:rPr>
          <w:rStyle w:val="afb"/>
          <w:rFonts w:eastAsia="Times New Roman"/>
          <w:i w:val="0"/>
        </w:rPr>
        <w:t>Kolditz, J. Siebels, J. Flügge, C. Strelow, T. Kipp</w:t>
      </w:r>
      <w:r w:rsidR="002377D7">
        <w:rPr>
          <w:rStyle w:val="afb"/>
          <w:rFonts w:eastAsia="Times New Roman"/>
          <w:i w:val="0"/>
        </w:rPr>
        <w:t>, and A. Mews</w:t>
      </w:r>
      <w:r w:rsidR="00885D46">
        <w:rPr>
          <w:rStyle w:val="afb"/>
          <w:rFonts w:eastAsia="Times New Roman"/>
          <w:i w:val="0"/>
        </w:rPr>
        <w:t xml:space="preserve"> from the University of Hamburg for supporting measurements at beamline P06 at PETRA</w:t>
      </w:r>
      <w:r w:rsidR="00781BF0">
        <w:rPr>
          <w:rStyle w:val="afb"/>
          <w:rFonts w:eastAsia="Times New Roman"/>
          <w:i w:val="0"/>
        </w:rPr>
        <w:t xml:space="preserve"> III, DESY; M. Holt, Z. Cai, M. Cherukara, and V. Rose </w:t>
      </w:r>
      <w:r w:rsidR="00885D46">
        <w:rPr>
          <w:rStyle w:val="afb"/>
          <w:rFonts w:eastAsia="Times New Roman"/>
          <w:i w:val="0"/>
        </w:rPr>
        <w:t>from the Argonne National Laboratory (ANL) for supporting measurements at beamline 26-ID-C at the Advanced Photon Source (APS) at ANL;</w:t>
      </w:r>
      <w:r w:rsidR="00391FC8">
        <w:rPr>
          <w:rStyle w:val="afb"/>
          <w:rFonts w:eastAsia="Times New Roman"/>
          <w:i w:val="0"/>
        </w:rPr>
        <w:t xml:space="preserve"> </w:t>
      </w:r>
      <w:r w:rsidR="00377BB0" w:rsidRPr="00377BB0">
        <w:rPr>
          <w:rFonts w:eastAsia="Times New Roman"/>
        </w:rPr>
        <w:t>D</w:t>
      </w:r>
      <w:r>
        <w:rPr>
          <w:rFonts w:eastAsia="Times New Roman"/>
        </w:rPr>
        <w:t>.</w:t>
      </w:r>
      <w:r w:rsidR="00377BB0" w:rsidRPr="00377BB0">
        <w:rPr>
          <w:rFonts w:eastAsia="Times New Roman"/>
        </w:rPr>
        <w:t xml:space="preserve"> Salomon</w:t>
      </w:r>
      <w:r w:rsidR="00377BB0" w:rsidRPr="00377BB0">
        <w:rPr>
          <w:rFonts w:eastAsia="Times New Roman"/>
          <w:i/>
        </w:rPr>
        <w:t xml:space="preserve"> </w:t>
      </w:r>
      <w:r w:rsidR="00377BB0" w:rsidRPr="00377BB0">
        <w:rPr>
          <w:rFonts w:eastAsia="Times New Roman"/>
        </w:rPr>
        <w:t>and R</w:t>
      </w:r>
      <w:r>
        <w:rPr>
          <w:rFonts w:eastAsia="Times New Roman"/>
        </w:rPr>
        <w:t>.</w:t>
      </w:r>
      <w:r w:rsidR="00377BB0" w:rsidRPr="00377BB0">
        <w:rPr>
          <w:rFonts w:eastAsia="Times New Roman"/>
        </w:rPr>
        <w:t xml:space="preserve"> Tucoulou</w:t>
      </w:r>
      <w:r w:rsidR="00377BB0" w:rsidRPr="00377BB0">
        <w:rPr>
          <w:rFonts w:eastAsia="Times New Roman"/>
          <w:i/>
        </w:rPr>
        <w:t xml:space="preserve"> </w:t>
      </w:r>
      <w:r>
        <w:rPr>
          <w:rStyle w:val="afb"/>
          <w:rFonts w:eastAsia="Times New Roman"/>
          <w:i w:val="0"/>
        </w:rPr>
        <w:t xml:space="preserve">from </w:t>
      </w:r>
      <w:r w:rsidR="00377BB0" w:rsidRPr="00377BB0">
        <w:rPr>
          <w:rStyle w:val="afb"/>
          <w:rFonts w:eastAsia="Times New Roman"/>
          <w:i w:val="0"/>
        </w:rPr>
        <w:t xml:space="preserve">the </w:t>
      </w:r>
      <w:r>
        <w:rPr>
          <w:rStyle w:val="afb"/>
          <w:rFonts w:eastAsia="Times New Roman"/>
          <w:i w:val="0"/>
        </w:rPr>
        <w:t>European Synchrotron Radiation Facility (</w:t>
      </w:r>
      <w:r w:rsidR="00377BB0" w:rsidRPr="00377BB0">
        <w:rPr>
          <w:rStyle w:val="afb"/>
          <w:rFonts w:eastAsia="Times New Roman"/>
          <w:i w:val="0"/>
        </w:rPr>
        <w:t>ESRF</w:t>
      </w:r>
      <w:r>
        <w:rPr>
          <w:rStyle w:val="afb"/>
          <w:rFonts w:eastAsia="Times New Roman"/>
          <w:i w:val="0"/>
        </w:rPr>
        <w:t>)</w:t>
      </w:r>
      <w:r w:rsidR="00377BB0" w:rsidRPr="00377BB0">
        <w:rPr>
          <w:rStyle w:val="afb"/>
          <w:rFonts w:eastAsia="Times New Roman"/>
          <w:i w:val="0"/>
        </w:rPr>
        <w:t xml:space="preserve"> for </w:t>
      </w:r>
      <w:r w:rsidR="00885D46">
        <w:rPr>
          <w:rStyle w:val="afb"/>
          <w:rFonts w:eastAsia="Times New Roman"/>
          <w:i w:val="0"/>
        </w:rPr>
        <w:t xml:space="preserve">supporting measurements at </w:t>
      </w:r>
      <w:r w:rsidR="00377BB0" w:rsidRPr="00377BB0">
        <w:rPr>
          <w:rStyle w:val="afb"/>
          <w:rFonts w:eastAsia="Times New Roman"/>
          <w:i w:val="0"/>
        </w:rPr>
        <w:t>beamline ID-16-B</w:t>
      </w:r>
      <w:r w:rsidR="00885D46">
        <w:rPr>
          <w:rStyle w:val="afb"/>
          <w:rFonts w:eastAsia="Times New Roman"/>
          <w:i w:val="0"/>
        </w:rPr>
        <w:t xml:space="preserve"> at ESRF; R. Farshchi, D. </w:t>
      </w:r>
      <w:proofErr w:type="spellStart"/>
      <w:r w:rsidR="00885D46">
        <w:rPr>
          <w:rStyle w:val="afb"/>
          <w:rFonts w:eastAsia="Times New Roman"/>
          <w:i w:val="0"/>
        </w:rPr>
        <w:t>Poplavkyy</w:t>
      </w:r>
      <w:proofErr w:type="spellEnd"/>
      <w:r w:rsidR="00885D46">
        <w:rPr>
          <w:rStyle w:val="afb"/>
          <w:rFonts w:eastAsia="Times New Roman"/>
          <w:i w:val="0"/>
        </w:rPr>
        <w:t xml:space="preserve">, and J. Bailey from MiaSolé Hi-Tech Corp., and </w:t>
      </w:r>
      <w:r w:rsidR="006D1D5B">
        <w:rPr>
          <w:rStyle w:val="afb"/>
          <w:rFonts w:eastAsia="Times New Roman"/>
          <w:i w:val="0"/>
        </w:rPr>
        <w:t>E. Avancini, Y. Romanyuk, S. Bücheler, and A. Tiwari from the Swiss Federal Laboratories for Materials Science and Technology (EMPA) for providing solar cells</w:t>
      </w:r>
      <w:r w:rsidR="00377BB0" w:rsidRPr="00377BB0">
        <w:rPr>
          <w:rStyle w:val="afb"/>
          <w:rFonts w:eastAsia="Times New Roman"/>
          <w:i w:val="0"/>
        </w:rPr>
        <w:t>.</w:t>
      </w:r>
      <w:r w:rsidR="002F32B2">
        <w:rPr>
          <w:rStyle w:val="afb"/>
          <w:rFonts w:eastAsia="Times New Roman"/>
          <w:i w:val="0"/>
        </w:rPr>
        <w:t xml:space="preserve"> </w:t>
      </w:r>
      <w:r w:rsidR="00377BB0">
        <w:rPr>
          <w:rStyle w:val="afb"/>
          <w:rFonts w:eastAsia="Times New Roman"/>
          <w:i w:val="0"/>
        </w:rPr>
        <w:t xml:space="preserve">We acknowledge DESY (Hamburg, Germany), a member of the Helmholtz Association HGF, for the provision of experimental facilities. </w:t>
      </w:r>
      <w:r w:rsidR="002C5A71">
        <w:t>We acknowledge the European Synchrotron Radiation Facility (Grenoble, France) for provision of synchrotron radiation facilities.</w:t>
      </w:r>
      <w:r w:rsidR="002C5A71">
        <w:rPr>
          <w:rStyle w:val="afb"/>
          <w:i w:val="0"/>
          <w:iCs w:val="0"/>
        </w:rPr>
        <w:t xml:space="preserve"> </w:t>
      </w:r>
      <w:r w:rsidR="001652DA">
        <w:rPr>
          <w:rStyle w:val="afb"/>
          <w:rFonts w:eastAsia="Times New Roman"/>
          <w:i w:val="0"/>
        </w:rPr>
        <w:t xml:space="preserve">This research used resources of the Advanced Photon Source, a U.S. Department of Energy (DOE) Office of Science User Facility operated for the DOE Office of Science by Argonne National Laboratory under Contract No. DE-AC02-06CH11357. </w:t>
      </w:r>
    </w:p>
    <w:p w14:paraId="1F6089BD" w14:textId="77777777" w:rsidR="00F90EDC" w:rsidRDefault="00F90EDC" w:rsidP="00F22EB6">
      <w:pPr>
        <w:rPr>
          <w:b/>
        </w:rPr>
      </w:pPr>
    </w:p>
    <w:p w14:paraId="5590CE5B" w14:textId="25929B11" w:rsidR="00F90EDC" w:rsidRDefault="00B15F13" w:rsidP="00F22EB6">
      <w:pPr>
        <w:pBdr>
          <w:top w:val="nil"/>
          <w:left w:val="nil"/>
          <w:bottom w:val="nil"/>
          <w:right w:val="nil"/>
          <w:between w:val="nil"/>
        </w:pBdr>
        <w:rPr>
          <w:color w:val="000000"/>
        </w:rPr>
      </w:pPr>
      <w:r>
        <w:rPr>
          <w:b/>
          <w:color w:val="000000"/>
        </w:rPr>
        <w:t>DISCLOSURES:</w:t>
      </w:r>
    </w:p>
    <w:p w14:paraId="2F4969D4" w14:textId="77777777" w:rsidR="00F90EDC" w:rsidRDefault="00B15F13" w:rsidP="00F22EB6">
      <w:r>
        <w:t>The authors have nothing to disclose.</w:t>
      </w:r>
    </w:p>
    <w:p w14:paraId="2E6DABA7" w14:textId="77777777" w:rsidR="00F90EDC" w:rsidRDefault="00F90EDC" w:rsidP="00F22EB6">
      <w:pPr>
        <w:rPr>
          <w:color w:val="00000A"/>
        </w:rPr>
      </w:pPr>
    </w:p>
    <w:p w14:paraId="554A3BA7" w14:textId="3397811F" w:rsidR="00F90EDC" w:rsidRDefault="00B15F13" w:rsidP="00F22EB6">
      <w:pPr>
        <w:rPr>
          <w:color w:val="808080"/>
        </w:rPr>
      </w:pPr>
      <w:r>
        <w:rPr>
          <w:b/>
        </w:rPr>
        <w:t>REFERENCES:</w:t>
      </w:r>
      <w:bookmarkStart w:id="1" w:name="gjdgxs" w:colFirst="0" w:colLast="0"/>
      <w:bookmarkStart w:id="2" w:name="3znysh7" w:colFirst="0" w:colLast="0"/>
      <w:bookmarkEnd w:id="1"/>
      <w:bookmarkEnd w:id="2"/>
    </w:p>
    <w:p w14:paraId="57AEB2F2" w14:textId="14F16E81" w:rsidR="00C55F87" w:rsidRPr="00C55F87" w:rsidRDefault="00204256" w:rsidP="00F22EB6">
      <w:pPr>
        <w:autoSpaceDE w:val="0"/>
        <w:autoSpaceDN w:val="0"/>
        <w:adjustRightInd w:val="0"/>
        <w:rPr>
          <w:noProof/>
        </w:rPr>
      </w:pPr>
      <w:r>
        <w:rPr>
          <w:color w:val="808080"/>
        </w:rPr>
        <w:fldChar w:fldCharType="begin" w:fldLock="1"/>
      </w:r>
      <w:r>
        <w:rPr>
          <w:color w:val="808080"/>
        </w:rPr>
        <w:instrText xml:space="preserve">ADDIN Mendeley Bibliography CSL_BIBLIOGRAPHY </w:instrText>
      </w:r>
      <w:r>
        <w:rPr>
          <w:color w:val="808080"/>
        </w:rPr>
        <w:fldChar w:fldCharType="separate"/>
      </w:r>
      <w:r w:rsidR="00C55F87" w:rsidRPr="00C55F87">
        <w:rPr>
          <w:noProof/>
        </w:rPr>
        <w:t>1.</w:t>
      </w:r>
      <w:r w:rsidR="00C55F87" w:rsidRPr="00C55F87">
        <w:rPr>
          <w:noProof/>
        </w:rPr>
        <w:tab/>
        <w:t xml:space="preserve">Hales, D. </w:t>
      </w:r>
      <w:r w:rsidR="00C55F87" w:rsidRPr="00C55F87">
        <w:rPr>
          <w:i/>
          <w:iCs/>
          <w:noProof/>
        </w:rPr>
        <w:t>REN21. Renewables 2018-global status report, Paris, REN21 Secretariate; 2018</w:t>
      </w:r>
      <w:r w:rsidR="00C55F87" w:rsidRPr="00C55F87">
        <w:rPr>
          <w:noProof/>
        </w:rPr>
        <w:t>. (2018). doi:978-3-9818911-3-3</w:t>
      </w:r>
    </w:p>
    <w:p w14:paraId="6413E340" w14:textId="77777777" w:rsidR="00C55F87" w:rsidRPr="00C55F87" w:rsidRDefault="00C55F87" w:rsidP="00F22EB6">
      <w:pPr>
        <w:autoSpaceDE w:val="0"/>
        <w:autoSpaceDN w:val="0"/>
        <w:adjustRightInd w:val="0"/>
        <w:rPr>
          <w:noProof/>
        </w:rPr>
      </w:pPr>
      <w:r w:rsidRPr="00C55F87">
        <w:rPr>
          <w:noProof/>
        </w:rPr>
        <w:t>2.</w:t>
      </w:r>
      <w:r w:rsidRPr="00C55F87">
        <w:rPr>
          <w:noProof/>
        </w:rPr>
        <w:tab/>
        <w:t xml:space="preserve">Jäger-Waldau, A. Snapshot of photovoltaics − February 2018. </w:t>
      </w:r>
      <w:r w:rsidRPr="00C55F87">
        <w:rPr>
          <w:i/>
          <w:iCs/>
          <w:noProof/>
        </w:rPr>
        <w:t>EPJ Photovoltaics</w:t>
      </w:r>
      <w:r w:rsidRPr="00C55F87">
        <w:rPr>
          <w:noProof/>
        </w:rPr>
        <w:t xml:space="preserve"> </w:t>
      </w:r>
      <w:r w:rsidRPr="00C55F87">
        <w:rPr>
          <w:b/>
          <w:bCs/>
          <w:noProof/>
        </w:rPr>
        <w:t>9</w:t>
      </w:r>
      <w:r w:rsidRPr="00C55F87">
        <w:rPr>
          <w:noProof/>
        </w:rPr>
        <w:t>, 6 (2018).</w:t>
      </w:r>
    </w:p>
    <w:p w14:paraId="6A01F952" w14:textId="77777777" w:rsidR="00C55F87" w:rsidRPr="00C55F87" w:rsidRDefault="00C55F87" w:rsidP="00F22EB6">
      <w:pPr>
        <w:autoSpaceDE w:val="0"/>
        <w:autoSpaceDN w:val="0"/>
        <w:adjustRightInd w:val="0"/>
        <w:rPr>
          <w:noProof/>
        </w:rPr>
      </w:pPr>
      <w:r w:rsidRPr="0036510A">
        <w:rPr>
          <w:noProof/>
          <w:lang w:val="de-DE"/>
        </w:rPr>
        <w:t>3.</w:t>
      </w:r>
      <w:r w:rsidRPr="0036510A">
        <w:rPr>
          <w:noProof/>
          <w:lang w:val="de-DE"/>
        </w:rPr>
        <w:tab/>
        <w:t xml:space="preserve">Haegel, N. M. </w:t>
      </w:r>
      <w:r w:rsidRPr="0036510A">
        <w:rPr>
          <w:i/>
          <w:iCs/>
          <w:noProof/>
          <w:lang w:val="de-DE"/>
        </w:rPr>
        <w:t>et al.</w:t>
      </w:r>
      <w:r w:rsidRPr="0036510A">
        <w:rPr>
          <w:noProof/>
          <w:lang w:val="de-DE"/>
        </w:rPr>
        <w:t xml:space="preserve"> </w:t>
      </w:r>
      <w:r w:rsidRPr="00C55F87">
        <w:rPr>
          <w:noProof/>
        </w:rPr>
        <w:t xml:space="preserve">Terawatt-scale photovoltaics: Trajectories and challenges. </w:t>
      </w:r>
      <w:r w:rsidRPr="00C55F87">
        <w:rPr>
          <w:i/>
          <w:iCs/>
          <w:noProof/>
        </w:rPr>
        <w:t>Science</w:t>
      </w:r>
      <w:r w:rsidRPr="00C55F87">
        <w:rPr>
          <w:noProof/>
        </w:rPr>
        <w:t xml:space="preserve"> </w:t>
      </w:r>
      <w:r w:rsidRPr="00C55F87">
        <w:rPr>
          <w:b/>
          <w:bCs/>
          <w:noProof/>
        </w:rPr>
        <w:t>356</w:t>
      </w:r>
      <w:r w:rsidRPr="00C55F87">
        <w:rPr>
          <w:noProof/>
        </w:rPr>
        <w:t>, 141–143 (2017).</w:t>
      </w:r>
    </w:p>
    <w:p w14:paraId="68C6AE48" w14:textId="77777777" w:rsidR="00C55F87" w:rsidRPr="00C55F87" w:rsidRDefault="00C55F87" w:rsidP="00F22EB6">
      <w:pPr>
        <w:autoSpaceDE w:val="0"/>
        <w:autoSpaceDN w:val="0"/>
        <w:adjustRightInd w:val="0"/>
        <w:rPr>
          <w:noProof/>
        </w:rPr>
      </w:pPr>
      <w:r w:rsidRPr="00C55F87">
        <w:rPr>
          <w:noProof/>
        </w:rPr>
        <w:t>4.</w:t>
      </w:r>
      <w:r w:rsidRPr="00C55F87">
        <w:rPr>
          <w:noProof/>
        </w:rPr>
        <w:tab/>
        <w:t xml:space="preserve">Polman, A., Knight, M., Garnett, E. C., Ehrler, B. &amp; Sinke, W. C. Photovoltaic materials: Present efficiencies and future challenges. </w:t>
      </w:r>
      <w:r w:rsidRPr="00C55F87">
        <w:rPr>
          <w:i/>
          <w:iCs/>
          <w:noProof/>
        </w:rPr>
        <w:t>Science</w:t>
      </w:r>
      <w:r w:rsidRPr="00C55F87">
        <w:rPr>
          <w:noProof/>
        </w:rPr>
        <w:t xml:space="preserve"> </w:t>
      </w:r>
      <w:r w:rsidRPr="00C55F87">
        <w:rPr>
          <w:b/>
          <w:bCs/>
          <w:noProof/>
        </w:rPr>
        <w:t>352</w:t>
      </w:r>
      <w:r w:rsidRPr="00C55F87">
        <w:rPr>
          <w:noProof/>
        </w:rPr>
        <w:t>, (2016).</w:t>
      </w:r>
    </w:p>
    <w:p w14:paraId="2918E4C9" w14:textId="77777777" w:rsidR="00C55F87" w:rsidRPr="00C55F87" w:rsidRDefault="00C55F87" w:rsidP="00F22EB6">
      <w:pPr>
        <w:autoSpaceDE w:val="0"/>
        <w:autoSpaceDN w:val="0"/>
        <w:adjustRightInd w:val="0"/>
        <w:rPr>
          <w:noProof/>
        </w:rPr>
      </w:pPr>
      <w:r w:rsidRPr="00C55F87">
        <w:rPr>
          <w:noProof/>
        </w:rPr>
        <w:t>5.</w:t>
      </w:r>
      <w:r w:rsidRPr="00C55F87">
        <w:rPr>
          <w:noProof/>
        </w:rPr>
        <w:tab/>
        <w:t xml:space="preserve">Cao, Q. </w:t>
      </w:r>
      <w:r w:rsidRPr="00C55F87">
        <w:rPr>
          <w:i/>
          <w:iCs/>
          <w:noProof/>
        </w:rPr>
        <w:t>et al.</w:t>
      </w:r>
      <w:r w:rsidRPr="00C55F87">
        <w:rPr>
          <w:noProof/>
        </w:rPr>
        <w:t xml:space="preserve"> Defects in Cu(In,Ga)Se 2 chalcopyrite semiconductors: A comparative study of material properties, defect states, and photovoltaic performance. </w:t>
      </w:r>
      <w:r w:rsidRPr="00C55F87">
        <w:rPr>
          <w:i/>
          <w:iCs/>
          <w:noProof/>
        </w:rPr>
        <w:t>Advanced Energy Materials</w:t>
      </w:r>
      <w:r w:rsidRPr="00C55F87">
        <w:rPr>
          <w:noProof/>
        </w:rPr>
        <w:t xml:space="preserve"> </w:t>
      </w:r>
      <w:r w:rsidRPr="00C55F87">
        <w:rPr>
          <w:b/>
          <w:bCs/>
          <w:noProof/>
        </w:rPr>
        <w:t>1</w:t>
      </w:r>
      <w:r w:rsidRPr="00C55F87">
        <w:rPr>
          <w:noProof/>
        </w:rPr>
        <w:t>, 845–853 (2011).</w:t>
      </w:r>
    </w:p>
    <w:p w14:paraId="3B0DCAB0" w14:textId="77777777" w:rsidR="00C55F87" w:rsidRPr="00C55F87" w:rsidRDefault="00C55F87" w:rsidP="00F22EB6">
      <w:pPr>
        <w:autoSpaceDE w:val="0"/>
        <w:autoSpaceDN w:val="0"/>
        <w:adjustRightInd w:val="0"/>
        <w:rPr>
          <w:noProof/>
        </w:rPr>
      </w:pPr>
      <w:r w:rsidRPr="00C55F87">
        <w:rPr>
          <w:noProof/>
        </w:rPr>
        <w:t>6.</w:t>
      </w:r>
      <w:r w:rsidRPr="00C55F87">
        <w:rPr>
          <w:noProof/>
        </w:rPr>
        <w:tab/>
        <w:t xml:space="preserve">Abou-Ras, D. </w:t>
      </w:r>
      <w:r w:rsidRPr="00C55F87">
        <w:rPr>
          <w:i/>
          <w:iCs/>
          <w:noProof/>
        </w:rPr>
        <w:t>et al.</w:t>
      </w:r>
      <w:r w:rsidRPr="00C55F87">
        <w:rPr>
          <w:noProof/>
        </w:rPr>
        <w:t xml:space="preserve"> Compositional and electrical properties of line and planar defects in Cu(In,Ga)Se2 thin films for solar cells - a review. </w:t>
      </w:r>
      <w:r w:rsidRPr="00C55F87">
        <w:rPr>
          <w:i/>
          <w:iCs/>
          <w:noProof/>
        </w:rPr>
        <w:t>Physica Status Solidi - Rapid Research Letters</w:t>
      </w:r>
      <w:r w:rsidRPr="00C55F87">
        <w:rPr>
          <w:noProof/>
        </w:rPr>
        <w:t xml:space="preserve"> </w:t>
      </w:r>
      <w:r w:rsidRPr="00C55F87">
        <w:rPr>
          <w:b/>
          <w:bCs/>
          <w:noProof/>
        </w:rPr>
        <w:t>10</w:t>
      </w:r>
      <w:r w:rsidRPr="00C55F87">
        <w:rPr>
          <w:noProof/>
        </w:rPr>
        <w:t>, 363–375 (2016).</w:t>
      </w:r>
    </w:p>
    <w:p w14:paraId="1B258959" w14:textId="77777777" w:rsidR="00C55F87" w:rsidRPr="00C55F87" w:rsidRDefault="00C55F87" w:rsidP="00F22EB6">
      <w:pPr>
        <w:autoSpaceDE w:val="0"/>
        <w:autoSpaceDN w:val="0"/>
        <w:adjustRightInd w:val="0"/>
        <w:rPr>
          <w:noProof/>
        </w:rPr>
      </w:pPr>
      <w:r w:rsidRPr="00C55F87">
        <w:rPr>
          <w:noProof/>
        </w:rPr>
        <w:t>7.</w:t>
      </w:r>
      <w:r w:rsidRPr="00C55F87">
        <w:rPr>
          <w:noProof/>
        </w:rPr>
        <w:tab/>
        <w:t xml:space="preserve">West, B. M. </w:t>
      </w:r>
      <w:r w:rsidRPr="00C55F87">
        <w:rPr>
          <w:i/>
          <w:iCs/>
          <w:noProof/>
        </w:rPr>
        <w:t>et al.</w:t>
      </w:r>
      <w:r w:rsidRPr="00C55F87">
        <w:rPr>
          <w:noProof/>
        </w:rPr>
        <w:t xml:space="preserve"> Grain Engineering: How Nanoscale Inhomogeneities Can Control Charge Collection in Solar Cells. </w:t>
      </w:r>
      <w:r w:rsidRPr="00C55F87">
        <w:rPr>
          <w:i/>
          <w:iCs/>
          <w:noProof/>
        </w:rPr>
        <w:t>Nano Energy</w:t>
      </w:r>
      <w:r w:rsidRPr="00C55F87">
        <w:rPr>
          <w:noProof/>
        </w:rPr>
        <w:t xml:space="preserve"> </w:t>
      </w:r>
      <w:r w:rsidRPr="00C55F87">
        <w:rPr>
          <w:b/>
          <w:bCs/>
          <w:noProof/>
        </w:rPr>
        <w:t>32</w:t>
      </w:r>
      <w:r w:rsidRPr="00C55F87">
        <w:rPr>
          <w:noProof/>
        </w:rPr>
        <w:t>, 488–493 (2017).</w:t>
      </w:r>
    </w:p>
    <w:p w14:paraId="0A12D2C8" w14:textId="77777777" w:rsidR="00C55F87" w:rsidRPr="00C55F87" w:rsidRDefault="00C55F87" w:rsidP="00F22EB6">
      <w:pPr>
        <w:autoSpaceDE w:val="0"/>
        <w:autoSpaceDN w:val="0"/>
        <w:adjustRightInd w:val="0"/>
        <w:rPr>
          <w:noProof/>
        </w:rPr>
      </w:pPr>
      <w:r w:rsidRPr="00C55F87">
        <w:rPr>
          <w:noProof/>
        </w:rPr>
        <w:t>8.</w:t>
      </w:r>
      <w:r w:rsidRPr="00C55F87">
        <w:rPr>
          <w:noProof/>
        </w:rPr>
        <w:tab/>
        <w:t xml:space="preserve">Jackson, P. </w:t>
      </w:r>
      <w:r w:rsidRPr="00C55F87">
        <w:rPr>
          <w:i/>
          <w:iCs/>
          <w:noProof/>
        </w:rPr>
        <w:t>et al.</w:t>
      </w:r>
      <w:r w:rsidRPr="00C55F87">
        <w:rPr>
          <w:noProof/>
        </w:rPr>
        <w:t xml:space="preserve"> Properties of Cu(In,Ga)Se2solar cells with new record efficiencies up to 21.7%. </w:t>
      </w:r>
      <w:r w:rsidRPr="00C55F87">
        <w:rPr>
          <w:i/>
          <w:iCs/>
          <w:noProof/>
        </w:rPr>
        <w:t>Physica Status Solidi - Rapid Research Letters</w:t>
      </w:r>
      <w:r w:rsidRPr="00C55F87">
        <w:rPr>
          <w:noProof/>
        </w:rPr>
        <w:t xml:space="preserve"> </w:t>
      </w:r>
      <w:r w:rsidRPr="00C55F87">
        <w:rPr>
          <w:b/>
          <w:bCs/>
          <w:noProof/>
        </w:rPr>
        <w:t>9</w:t>
      </w:r>
      <w:r w:rsidRPr="00C55F87">
        <w:rPr>
          <w:noProof/>
        </w:rPr>
        <w:t>, 28–31 (2015).</w:t>
      </w:r>
    </w:p>
    <w:p w14:paraId="0F2D0605" w14:textId="77777777" w:rsidR="00C55F87" w:rsidRPr="00C55F87" w:rsidRDefault="00C55F87" w:rsidP="00F22EB6">
      <w:pPr>
        <w:autoSpaceDE w:val="0"/>
        <w:autoSpaceDN w:val="0"/>
        <w:adjustRightInd w:val="0"/>
        <w:rPr>
          <w:noProof/>
        </w:rPr>
      </w:pPr>
      <w:r w:rsidRPr="00C55F87">
        <w:rPr>
          <w:noProof/>
        </w:rPr>
        <w:t>9.</w:t>
      </w:r>
      <w:r w:rsidRPr="00C55F87">
        <w:rPr>
          <w:noProof/>
        </w:rPr>
        <w:tab/>
        <w:t xml:space="preserve">Rau, U. Electrical characteristics of CIGS thin film solar cells and the role of defects for device performance. </w:t>
      </w:r>
      <w:r w:rsidRPr="00C55F87">
        <w:rPr>
          <w:i/>
          <w:iCs/>
          <w:noProof/>
        </w:rPr>
        <w:t>Solar Energy Materials and Solar Cells</w:t>
      </w:r>
      <w:r w:rsidRPr="00C55F87">
        <w:rPr>
          <w:noProof/>
        </w:rPr>
        <w:t xml:space="preserve"> </w:t>
      </w:r>
      <w:r w:rsidRPr="00C55F87">
        <w:rPr>
          <w:b/>
          <w:bCs/>
          <w:noProof/>
        </w:rPr>
        <w:t>67</w:t>
      </w:r>
      <w:r w:rsidRPr="00C55F87">
        <w:rPr>
          <w:noProof/>
        </w:rPr>
        <w:t>, 137–143 (2001).</w:t>
      </w:r>
    </w:p>
    <w:p w14:paraId="4D4CAC9B" w14:textId="77777777" w:rsidR="00C55F87" w:rsidRPr="00C55F87" w:rsidRDefault="00C55F87" w:rsidP="00F22EB6">
      <w:pPr>
        <w:autoSpaceDE w:val="0"/>
        <w:autoSpaceDN w:val="0"/>
        <w:adjustRightInd w:val="0"/>
        <w:rPr>
          <w:noProof/>
        </w:rPr>
      </w:pPr>
      <w:r w:rsidRPr="00C55F87">
        <w:rPr>
          <w:noProof/>
        </w:rPr>
        <w:t>10.</w:t>
      </w:r>
      <w:r w:rsidRPr="00C55F87">
        <w:rPr>
          <w:noProof/>
        </w:rPr>
        <w:tab/>
        <w:t xml:space="preserve">Jordan, D. C. &amp; Kurtz, S. R. Photovoltaic Degradation Rates - an Analytical Review. </w:t>
      </w:r>
      <w:r w:rsidRPr="00C55F87">
        <w:rPr>
          <w:i/>
          <w:iCs/>
          <w:noProof/>
        </w:rPr>
        <w:t>Progress in Photovoltaics: Research and Applications</w:t>
      </w:r>
      <w:r w:rsidRPr="00C55F87">
        <w:rPr>
          <w:noProof/>
        </w:rPr>
        <w:t xml:space="preserve"> </w:t>
      </w:r>
      <w:r w:rsidRPr="00C55F87">
        <w:rPr>
          <w:b/>
          <w:bCs/>
          <w:noProof/>
        </w:rPr>
        <w:t>21</w:t>
      </w:r>
      <w:r w:rsidRPr="00C55F87">
        <w:rPr>
          <w:noProof/>
        </w:rPr>
        <w:t>, 12–29 (2013).</w:t>
      </w:r>
    </w:p>
    <w:p w14:paraId="11869865" w14:textId="77777777" w:rsidR="00C55F87" w:rsidRPr="00C55F87" w:rsidRDefault="00C55F87" w:rsidP="00F22EB6">
      <w:pPr>
        <w:autoSpaceDE w:val="0"/>
        <w:autoSpaceDN w:val="0"/>
        <w:adjustRightInd w:val="0"/>
        <w:rPr>
          <w:noProof/>
        </w:rPr>
      </w:pPr>
      <w:r w:rsidRPr="00C55F87">
        <w:rPr>
          <w:noProof/>
        </w:rPr>
        <w:t>11.</w:t>
      </w:r>
      <w:r w:rsidRPr="00C55F87">
        <w:rPr>
          <w:noProof/>
        </w:rPr>
        <w:tab/>
        <w:t xml:space="preserve">Bailey, J., Zapalac, G. &amp; Poplavskyy, D. Metastable defect measurement from capacitance-voltage and admittance measurements in Cu(In,Ga)Se2 solar cells. </w:t>
      </w:r>
      <w:r w:rsidRPr="00C55F87">
        <w:rPr>
          <w:i/>
          <w:iCs/>
          <w:noProof/>
        </w:rPr>
        <w:t>2017 IEEE 44th Photovoltaic Specialist Conference, PVSC 2017</w:t>
      </w:r>
      <w:r w:rsidRPr="00C55F87">
        <w:rPr>
          <w:noProof/>
        </w:rPr>
        <w:t xml:space="preserve"> 1–6 (2018). doi:10.1109/PVSC.2017.8366486</w:t>
      </w:r>
    </w:p>
    <w:p w14:paraId="7391053F" w14:textId="77777777" w:rsidR="00C55F87" w:rsidRPr="0036510A" w:rsidRDefault="00C55F87" w:rsidP="00F22EB6">
      <w:pPr>
        <w:autoSpaceDE w:val="0"/>
        <w:autoSpaceDN w:val="0"/>
        <w:adjustRightInd w:val="0"/>
        <w:rPr>
          <w:noProof/>
          <w:lang w:val="de-DE"/>
        </w:rPr>
      </w:pPr>
      <w:r w:rsidRPr="00C55F87">
        <w:rPr>
          <w:noProof/>
        </w:rPr>
        <w:t>12.</w:t>
      </w:r>
      <w:r w:rsidRPr="00C55F87">
        <w:rPr>
          <w:noProof/>
        </w:rPr>
        <w:tab/>
        <w:t xml:space="preserve">Abou-ras, D., Kirchartz, T. &amp; Rau, U. </w:t>
      </w:r>
      <w:r w:rsidRPr="00C55F87">
        <w:rPr>
          <w:i/>
          <w:iCs/>
          <w:noProof/>
        </w:rPr>
        <w:t>Advanced Characterization Techniques for Thin Film Solar Cells</w:t>
      </w:r>
      <w:r w:rsidRPr="00C55F87">
        <w:rPr>
          <w:noProof/>
        </w:rPr>
        <w:t xml:space="preserve">. </w:t>
      </w:r>
      <w:r w:rsidRPr="0036510A">
        <w:rPr>
          <w:noProof/>
          <w:lang w:val="de-DE"/>
        </w:rPr>
        <w:t>(Wiley-VCH Verlag GmbH&amp;Co. KGaA, 2011). doi:10.1046/j.1365-2915.1998.00123.x</w:t>
      </w:r>
    </w:p>
    <w:p w14:paraId="1D8348AF" w14:textId="77777777" w:rsidR="00C55F87" w:rsidRPr="00C55F87" w:rsidRDefault="00C55F87" w:rsidP="00F22EB6">
      <w:pPr>
        <w:autoSpaceDE w:val="0"/>
        <w:autoSpaceDN w:val="0"/>
        <w:adjustRightInd w:val="0"/>
        <w:rPr>
          <w:noProof/>
        </w:rPr>
      </w:pPr>
      <w:r w:rsidRPr="0036510A">
        <w:rPr>
          <w:noProof/>
          <w:lang w:val="de-DE"/>
        </w:rPr>
        <w:t>13.</w:t>
      </w:r>
      <w:r w:rsidRPr="0036510A">
        <w:rPr>
          <w:noProof/>
          <w:lang w:val="de-DE"/>
        </w:rPr>
        <w:tab/>
        <w:t xml:space="preserve">Schroer, C. G. </w:t>
      </w:r>
      <w:r w:rsidRPr="0036510A">
        <w:rPr>
          <w:i/>
          <w:iCs/>
          <w:noProof/>
          <w:lang w:val="de-DE"/>
        </w:rPr>
        <w:t>et al.</w:t>
      </w:r>
      <w:r w:rsidRPr="0036510A">
        <w:rPr>
          <w:noProof/>
          <w:lang w:val="de-DE"/>
        </w:rPr>
        <w:t xml:space="preserve"> </w:t>
      </w:r>
      <w:r w:rsidRPr="00C55F87">
        <w:rPr>
          <w:noProof/>
        </w:rPr>
        <w:t xml:space="preserve">Hard X-ray nanoprobe at beamline P06 at PETRA III. </w:t>
      </w:r>
      <w:r w:rsidRPr="00C55F87">
        <w:rPr>
          <w:i/>
          <w:iCs/>
          <w:noProof/>
        </w:rPr>
        <w:t>Nuclear Instruments and Methods in Physics Research, Section A: Accelerators, Spectrometers, Detectors and Associated Equipment</w:t>
      </w:r>
      <w:r w:rsidRPr="00C55F87">
        <w:rPr>
          <w:noProof/>
        </w:rPr>
        <w:t xml:space="preserve"> </w:t>
      </w:r>
      <w:r w:rsidRPr="00C55F87">
        <w:rPr>
          <w:b/>
          <w:bCs/>
          <w:noProof/>
        </w:rPr>
        <w:t>616</w:t>
      </w:r>
      <w:r w:rsidRPr="00C55F87">
        <w:rPr>
          <w:noProof/>
        </w:rPr>
        <w:t>, 93–97 (2010).</w:t>
      </w:r>
    </w:p>
    <w:p w14:paraId="508832B9" w14:textId="77777777" w:rsidR="00C55F87" w:rsidRPr="00C55F87" w:rsidRDefault="00C55F87" w:rsidP="00F22EB6">
      <w:pPr>
        <w:autoSpaceDE w:val="0"/>
        <w:autoSpaceDN w:val="0"/>
        <w:adjustRightInd w:val="0"/>
        <w:rPr>
          <w:noProof/>
        </w:rPr>
      </w:pPr>
      <w:r w:rsidRPr="00C55F87">
        <w:rPr>
          <w:noProof/>
        </w:rPr>
        <w:t>14.</w:t>
      </w:r>
      <w:r w:rsidRPr="00C55F87">
        <w:rPr>
          <w:noProof/>
        </w:rPr>
        <w:tab/>
        <w:t xml:space="preserve">Winarski, R. P. </w:t>
      </w:r>
      <w:r w:rsidRPr="00C55F87">
        <w:rPr>
          <w:i/>
          <w:iCs/>
          <w:noProof/>
        </w:rPr>
        <w:t>et al.</w:t>
      </w:r>
      <w:r w:rsidRPr="00C55F87">
        <w:rPr>
          <w:noProof/>
        </w:rPr>
        <w:t xml:space="preserve"> A hard X-ray nanoprobe beamline for nanoscale microscopy. </w:t>
      </w:r>
      <w:r w:rsidRPr="00C55F87">
        <w:rPr>
          <w:i/>
          <w:iCs/>
          <w:noProof/>
        </w:rPr>
        <w:t>Journal of Synchrotron Radiation</w:t>
      </w:r>
      <w:r w:rsidRPr="00C55F87">
        <w:rPr>
          <w:noProof/>
        </w:rPr>
        <w:t xml:space="preserve"> </w:t>
      </w:r>
      <w:r w:rsidRPr="00C55F87">
        <w:rPr>
          <w:b/>
          <w:bCs/>
          <w:noProof/>
        </w:rPr>
        <w:t>19</w:t>
      </w:r>
      <w:r w:rsidRPr="00C55F87">
        <w:rPr>
          <w:noProof/>
        </w:rPr>
        <w:t>, 1056–1060 (2012).</w:t>
      </w:r>
    </w:p>
    <w:p w14:paraId="140EB22F" w14:textId="77777777" w:rsidR="00C55F87" w:rsidRPr="00C55F87" w:rsidRDefault="00C55F87" w:rsidP="00F22EB6">
      <w:pPr>
        <w:autoSpaceDE w:val="0"/>
        <w:autoSpaceDN w:val="0"/>
        <w:adjustRightInd w:val="0"/>
        <w:rPr>
          <w:noProof/>
        </w:rPr>
      </w:pPr>
      <w:r w:rsidRPr="00C55F87">
        <w:rPr>
          <w:noProof/>
        </w:rPr>
        <w:t>15.</w:t>
      </w:r>
      <w:r w:rsidRPr="00C55F87">
        <w:rPr>
          <w:noProof/>
        </w:rPr>
        <w:tab/>
        <w:t xml:space="preserve">Martinez-Criado, G. </w:t>
      </w:r>
      <w:r w:rsidRPr="00C55F87">
        <w:rPr>
          <w:i/>
          <w:iCs/>
          <w:noProof/>
        </w:rPr>
        <w:t>et al.</w:t>
      </w:r>
      <w:r w:rsidRPr="00C55F87">
        <w:rPr>
          <w:noProof/>
        </w:rPr>
        <w:t xml:space="preserve"> ID16B: A hard X-ray nanoprobe beamline at the ESRF for nano-analysis. </w:t>
      </w:r>
      <w:r w:rsidRPr="00C55F87">
        <w:rPr>
          <w:i/>
          <w:iCs/>
          <w:noProof/>
        </w:rPr>
        <w:t>Journal of Synchrotron Radiation</w:t>
      </w:r>
      <w:r w:rsidRPr="00C55F87">
        <w:rPr>
          <w:noProof/>
        </w:rPr>
        <w:t xml:space="preserve"> </w:t>
      </w:r>
      <w:r w:rsidRPr="00C55F87">
        <w:rPr>
          <w:b/>
          <w:bCs/>
          <w:noProof/>
        </w:rPr>
        <w:t>23</w:t>
      </w:r>
      <w:r w:rsidRPr="00C55F87">
        <w:rPr>
          <w:noProof/>
        </w:rPr>
        <w:t>, 344–352 (2016).</w:t>
      </w:r>
    </w:p>
    <w:p w14:paraId="12D679C9" w14:textId="77777777" w:rsidR="00C55F87" w:rsidRPr="00C55F87" w:rsidRDefault="00C55F87" w:rsidP="00F22EB6">
      <w:pPr>
        <w:autoSpaceDE w:val="0"/>
        <w:autoSpaceDN w:val="0"/>
        <w:adjustRightInd w:val="0"/>
        <w:rPr>
          <w:noProof/>
        </w:rPr>
      </w:pPr>
      <w:r w:rsidRPr="00C55F87">
        <w:rPr>
          <w:noProof/>
        </w:rPr>
        <w:t>16.</w:t>
      </w:r>
      <w:r w:rsidRPr="00C55F87">
        <w:rPr>
          <w:noProof/>
        </w:rPr>
        <w:tab/>
        <w:t xml:space="preserve">Nazaretski, E. </w:t>
      </w:r>
      <w:r w:rsidRPr="00C55F87">
        <w:rPr>
          <w:i/>
          <w:iCs/>
          <w:noProof/>
        </w:rPr>
        <w:t>et al.</w:t>
      </w:r>
      <w:r w:rsidRPr="00C55F87">
        <w:rPr>
          <w:noProof/>
        </w:rPr>
        <w:t xml:space="preserve"> Design and performance of an X-ray scanning microscope at the Hard X-ray Nanoprobe beamline of NSLS-II. </w:t>
      </w:r>
      <w:r w:rsidRPr="00C55F87">
        <w:rPr>
          <w:i/>
          <w:iCs/>
          <w:noProof/>
        </w:rPr>
        <w:t>Journal of Synchrotron Radiation</w:t>
      </w:r>
      <w:r w:rsidRPr="00C55F87">
        <w:rPr>
          <w:noProof/>
        </w:rPr>
        <w:t xml:space="preserve"> </w:t>
      </w:r>
      <w:r w:rsidRPr="00C55F87">
        <w:rPr>
          <w:b/>
          <w:bCs/>
          <w:noProof/>
        </w:rPr>
        <w:t>24</w:t>
      </w:r>
      <w:r w:rsidRPr="00C55F87">
        <w:rPr>
          <w:noProof/>
        </w:rPr>
        <w:t>, 1113–1119 (2017).</w:t>
      </w:r>
    </w:p>
    <w:p w14:paraId="490ADD26" w14:textId="77777777" w:rsidR="00C55F87" w:rsidRPr="00C55F87" w:rsidRDefault="00C55F87" w:rsidP="00F22EB6">
      <w:pPr>
        <w:autoSpaceDE w:val="0"/>
        <w:autoSpaceDN w:val="0"/>
        <w:adjustRightInd w:val="0"/>
        <w:rPr>
          <w:noProof/>
        </w:rPr>
      </w:pPr>
      <w:r w:rsidRPr="00C55F87">
        <w:rPr>
          <w:noProof/>
        </w:rPr>
        <w:t>17.</w:t>
      </w:r>
      <w:r w:rsidRPr="00C55F87">
        <w:rPr>
          <w:noProof/>
        </w:rPr>
        <w:tab/>
        <w:t xml:space="preserve">West, B. M. </w:t>
      </w:r>
      <w:r w:rsidRPr="00C55F87">
        <w:rPr>
          <w:i/>
          <w:iCs/>
          <w:noProof/>
        </w:rPr>
        <w:t>et al.</w:t>
      </w:r>
      <w:r w:rsidRPr="00C55F87">
        <w:rPr>
          <w:noProof/>
        </w:rPr>
        <w:t xml:space="preserve"> X-ray fluorescence at nanoscale resolution for multicomponent layered structures: A solar cell case study. </w:t>
      </w:r>
      <w:r w:rsidRPr="00C55F87">
        <w:rPr>
          <w:i/>
          <w:iCs/>
          <w:noProof/>
        </w:rPr>
        <w:t>Journal of Synchrotron Radiation</w:t>
      </w:r>
      <w:r w:rsidRPr="00C55F87">
        <w:rPr>
          <w:noProof/>
        </w:rPr>
        <w:t xml:space="preserve"> </w:t>
      </w:r>
      <w:r w:rsidRPr="00C55F87">
        <w:rPr>
          <w:b/>
          <w:bCs/>
          <w:noProof/>
        </w:rPr>
        <w:t>24</w:t>
      </w:r>
      <w:r w:rsidRPr="00C55F87">
        <w:rPr>
          <w:noProof/>
        </w:rPr>
        <w:t>, 288–295 (2017).</w:t>
      </w:r>
    </w:p>
    <w:p w14:paraId="40D2DF6F" w14:textId="77777777" w:rsidR="00C55F87" w:rsidRPr="00C55F87" w:rsidRDefault="00C55F87" w:rsidP="00F22EB6">
      <w:pPr>
        <w:autoSpaceDE w:val="0"/>
        <w:autoSpaceDN w:val="0"/>
        <w:adjustRightInd w:val="0"/>
        <w:rPr>
          <w:noProof/>
        </w:rPr>
      </w:pPr>
      <w:r w:rsidRPr="00C55F87">
        <w:rPr>
          <w:noProof/>
        </w:rPr>
        <w:t>18.</w:t>
      </w:r>
      <w:r w:rsidRPr="00C55F87">
        <w:rPr>
          <w:noProof/>
        </w:rPr>
        <w:tab/>
        <w:t xml:space="preserve">Stuckelberger, M. </w:t>
      </w:r>
      <w:r w:rsidRPr="00C55F87">
        <w:rPr>
          <w:i/>
          <w:iCs/>
          <w:noProof/>
        </w:rPr>
        <w:t>et al.</w:t>
      </w:r>
      <w:r w:rsidRPr="00C55F87">
        <w:rPr>
          <w:noProof/>
        </w:rPr>
        <w:t xml:space="preserve"> Charge Collection in Hybrid Perovskite Solar Cells: Relation to the Nanoscale Elemental Distribution. </w:t>
      </w:r>
      <w:r w:rsidRPr="00C55F87">
        <w:rPr>
          <w:i/>
          <w:iCs/>
          <w:noProof/>
        </w:rPr>
        <w:t>IEEE Journal of Photovoltaics</w:t>
      </w:r>
      <w:r w:rsidRPr="00C55F87">
        <w:rPr>
          <w:noProof/>
        </w:rPr>
        <w:t xml:space="preserve"> </w:t>
      </w:r>
      <w:r w:rsidRPr="00C55F87">
        <w:rPr>
          <w:b/>
          <w:bCs/>
          <w:noProof/>
        </w:rPr>
        <w:t>7</w:t>
      </w:r>
      <w:r w:rsidRPr="00C55F87">
        <w:rPr>
          <w:noProof/>
        </w:rPr>
        <w:t>, 590–597 (2017).</w:t>
      </w:r>
    </w:p>
    <w:p w14:paraId="74D27CFD" w14:textId="77777777" w:rsidR="00C55F87" w:rsidRPr="00C55F87" w:rsidRDefault="00C55F87" w:rsidP="00F22EB6">
      <w:pPr>
        <w:autoSpaceDE w:val="0"/>
        <w:autoSpaceDN w:val="0"/>
        <w:adjustRightInd w:val="0"/>
        <w:rPr>
          <w:noProof/>
        </w:rPr>
      </w:pPr>
      <w:r w:rsidRPr="00C55F87">
        <w:rPr>
          <w:noProof/>
        </w:rPr>
        <w:t>19.</w:t>
      </w:r>
      <w:r w:rsidRPr="00C55F87">
        <w:rPr>
          <w:noProof/>
        </w:rPr>
        <w:tab/>
        <w:t xml:space="preserve">Chayanun, L. </w:t>
      </w:r>
      <w:r w:rsidRPr="00C55F87">
        <w:rPr>
          <w:i/>
          <w:iCs/>
          <w:noProof/>
        </w:rPr>
        <w:t>et al.</w:t>
      </w:r>
      <w:r w:rsidRPr="00C55F87">
        <w:rPr>
          <w:noProof/>
        </w:rPr>
        <w:t xml:space="preserve"> Nanoscale mapping of carrier collection in single nanowire solar cells using X-ray beam induced current. </w:t>
      </w:r>
      <w:r w:rsidRPr="00C55F87">
        <w:rPr>
          <w:i/>
          <w:iCs/>
          <w:noProof/>
        </w:rPr>
        <w:t>Journal of Synchrotron Radiation</w:t>
      </w:r>
      <w:r w:rsidRPr="00C55F87">
        <w:rPr>
          <w:noProof/>
        </w:rPr>
        <w:t xml:space="preserve"> </w:t>
      </w:r>
      <w:r w:rsidRPr="00C55F87">
        <w:rPr>
          <w:b/>
          <w:bCs/>
          <w:noProof/>
        </w:rPr>
        <w:t>26</w:t>
      </w:r>
      <w:r w:rsidRPr="00C55F87">
        <w:rPr>
          <w:noProof/>
        </w:rPr>
        <w:t>, 102–108 (2019).</w:t>
      </w:r>
    </w:p>
    <w:p w14:paraId="4A11E3AE" w14:textId="77777777" w:rsidR="00C55F87" w:rsidRPr="00C55F87" w:rsidRDefault="00C55F87" w:rsidP="00F22EB6">
      <w:pPr>
        <w:autoSpaceDE w:val="0"/>
        <w:autoSpaceDN w:val="0"/>
        <w:adjustRightInd w:val="0"/>
        <w:rPr>
          <w:noProof/>
        </w:rPr>
      </w:pPr>
      <w:r w:rsidRPr="00C55F87">
        <w:rPr>
          <w:noProof/>
        </w:rPr>
        <w:t>20.</w:t>
      </w:r>
      <w:r w:rsidRPr="00C55F87">
        <w:rPr>
          <w:noProof/>
        </w:rPr>
        <w:tab/>
        <w:t xml:space="preserve">Martínez-Criado, G. </w:t>
      </w:r>
      <w:r w:rsidRPr="00C55F87">
        <w:rPr>
          <w:i/>
          <w:iCs/>
          <w:noProof/>
        </w:rPr>
        <w:t>et al.</w:t>
      </w:r>
      <w:r w:rsidRPr="00C55F87">
        <w:rPr>
          <w:noProof/>
        </w:rPr>
        <w:t xml:space="preserve"> Probing quantum confinement within single core-multishell nanowires. </w:t>
      </w:r>
      <w:r w:rsidRPr="00C55F87">
        <w:rPr>
          <w:i/>
          <w:iCs/>
          <w:noProof/>
        </w:rPr>
        <w:t>Nano Letters</w:t>
      </w:r>
      <w:r w:rsidRPr="00C55F87">
        <w:rPr>
          <w:noProof/>
        </w:rPr>
        <w:t xml:space="preserve"> </w:t>
      </w:r>
      <w:r w:rsidRPr="00C55F87">
        <w:rPr>
          <w:b/>
          <w:bCs/>
          <w:noProof/>
        </w:rPr>
        <w:t>12</w:t>
      </w:r>
      <w:r w:rsidRPr="00C55F87">
        <w:rPr>
          <w:noProof/>
        </w:rPr>
        <w:t>, 5829–5834 (2012).</w:t>
      </w:r>
    </w:p>
    <w:p w14:paraId="2B586819" w14:textId="77777777" w:rsidR="00C55F87" w:rsidRPr="00C55F87" w:rsidRDefault="00C55F87" w:rsidP="00F22EB6">
      <w:pPr>
        <w:autoSpaceDE w:val="0"/>
        <w:autoSpaceDN w:val="0"/>
        <w:adjustRightInd w:val="0"/>
        <w:rPr>
          <w:noProof/>
        </w:rPr>
      </w:pPr>
      <w:r w:rsidRPr="00C55F87">
        <w:rPr>
          <w:noProof/>
        </w:rPr>
        <w:t>21.</w:t>
      </w:r>
      <w:r w:rsidRPr="00C55F87">
        <w:rPr>
          <w:noProof/>
        </w:rPr>
        <w:tab/>
        <w:t xml:space="preserve">Martínez-Criado, G. </w:t>
      </w:r>
      <w:r w:rsidRPr="00C55F87">
        <w:rPr>
          <w:i/>
          <w:iCs/>
          <w:noProof/>
        </w:rPr>
        <w:t>et al.</w:t>
      </w:r>
      <w:r w:rsidRPr="00C55F87">
        <w:rPr>
          <w:noProof/>
        </w:rPr>
        <w:t xml:space="preserve"> Exploring single semiconductor nanowires with a multimodal hard X-ray nanoprobe. </w:t>
      </w:r>
      <w:r w:rsidRPr="00C55F87">
        <w:rPr>
          <w:i/>
          <w:iCs/>
          <w:noProof/>
        </w:rPr>
        <w:t>Advanced Materials</w:t>
      </w:r>
      <w:r w:rsidRPr="00C55F87">
        <w:rPr>
          <w:noProof/>
        </w:rPr>
        <w:t xml:space="preserve"> </w:t>
      </w:r>
      <w:r w:rsidRPr="00C55F87">
        <w:rPr>
          <w:b/>
          <w:bCs/>
          <w:noProof/>
        </w:rPr>
        <w:t>26</w:t>
      </w:r>
      <w:r w:rsidRPr="00C55F87">
        <w:rPr>
          <w:noProof/>
        </w:rPr>
        <w:t>, 7873–7879 (2014).</w:t>
      </w:r>
    </w:p>
    <w:p w14:paraId="799E5168" w14:textId="77777777" w:rsidR="00C55F87" w:rsidRPr="00C55F87" w:rsidRDefault="00C55F87" w:rsidP="00F22EB6">
      <w:pPr>
        <w:autoSpaceDE w:val="0"/>
        <w:autoSpaceDN w:val="0"/>
        <w:adjustRightInd w:val="0"/>
        <w:rPr>
          <w:noProof/>
        </w:rPr>
      </w:pPr>
      <w:r w:rsidRPr="00C55F87">
        <w:rPr>
          <w:noProof/>
        </w:rPr>
        <w:t>22.</w:t>
      </w:r>
      <w:r w:rsidRPr="00C55F87">
        <w:rPr>
          <w:noProof/>
        </w:rPr>
        <w:tab/>
        <w:t xml:space="preserve">Ulvestad, A. </w:t>
      </w:r>
      <w:r w:rsidRPr="00C55F87">
        <w:rPr>
          <w:i/>
          <w:iCs/>
          <w:noProof/>
        </w:rPr>
        <w:t>et al.</w:t>
      </w:r>
      <w:r w:rsidRPr="00C55F87">
        <w:rPr>
          <w:noProof/>
        </w:rPr>
        <w:t xml:space="preserve"> Multimodal x-ray imaging of grain-level properties and performance in a polycrystalline solar cell. </w:t>
      </w:r>
      <w:r w:rsidRPr="00C55F87">
        <w:rPr>
          <w:i/>
          <w:iCs/>
          <w:noProof/>
        </w:rPr>
        <w:t>Accepted for publication in the Journal of Synchrotron Radiation</w:t>
      </w:r>
      <w:r w:rsidRPr="00C55F87">
        <w:rPr>
          <w:noProof/>
        </w:rPr>
        <w:t xml:space="preserve"> (2019).</w:t>
      </w:r>
    </w:p>
    <w:p w14:paraId="49A60A2D" w14:textId="77777777" w:rsidR="00C55F87" w:rsidRPr="00C55F87" w:rsidRDefault="00C55F87" w:rsidP="00F22EB6">
      <w:pPr>
        <w:autoSpaceDE w:val="0"/>
        <w:autoSpaceDN w:val="0"/>
        <w:adjustRightInd w:val="0"/>
        <w:rPr>
          <w:noProof/>
        </w:rPr>
      </w:pPr>
      <w:r w:rsidRPr="00C55F87">
        <w:rPr>
          <w:noProof/>
        </w:rPr>
        <w:t>23.</w:t>
      </w:r>
      <w:r w:rsidRPr="00C55F87">
        <w:rPr>
          <w:noProof/>
        </w:rPr>
        <w:tab/>
        <w:t xml:space="preserve">Stuckelberger, M. </w:t>
      </w:r>
      <w:r w:rsidRPr="00C55F87">
        <w:rPr>
          <w:i/>
          <w:iCs/>
          <w:noProof/>
        </w:rPr>
        <w:t>et al.</w:t>
      </w:r>
      <w:r w:rsidRPr="00C55F87">
        <w:rPr>
          <w:noProof/>
        </w:rPr>
        <w:t xml:space="preserve"> Engineering solar cells based on correlative X-ray microscopy. </w:t>
      </w:r>
      <w:r w:rsidRPr="00C55F87">
        <w:rPr>
          <w:i/>
          <w:iCs/>
          <w:noProof/>
        </w:rPr>
        <w:t>Journal of Materials Research</w:t>
      </w:r>
      <w:r w:rsidRPr="00C55F87">
        <w:rPr>
          <w:noProof/>
        </w:rPr>
        <w:t xml:space="preserve"> </w:t>
      </w:r>
      <w:r w:rsidRPr="00C55F87">
        <w:rPr>
          <w:b/>
          <w:bCs/>
          <w:noProof/>
        </w:rPr>
        <w:t>32</w:t>
      </w:r>
      <w:r w:rsidRPr="00C55F87">
        <w:rPr>
          <w:noProof/>
        </w:rPr>
        <w:t>, 1825–1854 (2017).</w:t>
      </w:r>
    </w:p>
    <w:p w14:paraId="01E142E2" w14:textId="77777777" w:rsidR="00C55F87" w:rsidRPr="00C55F87" w:rsidRDefault="00C55F87" w:rsidP="00F22EB6">
      <w:pPr>
        <w:autoSpaceDE w:val="0"/>
        <w:autoSpaceDN w:val="0"/>
        <w:adjustRightInd w:val="0"/>
        <w:rPr>
          <w:noProof/>
        </w:rPr>
      </w:pPr>
      <w:r w:rsidRPr="00C55F87">
        <w:rPr>
          <w:noProof/>
        </w:rPr>
        <w:t>24.</w:t>
      </w:r>
      <w:r w:rsidRPr="00C55F87">
        <w:rPr>
          <w:noProof/>
        </w:rPr>
        <w:tab/>
        <w:t xml:space="preserve">Chayanun, L. </w:t>
      </w:r>
      <w:r w:rsidRPr="00C55F87">
        <w:rPr>
          <w:i/>
          <w:iCs/>
          <w:noProof/>
        </w:rPr>
        <w:t>et al.</w:t>
      </w:r>
      <w:r w:rsidRPr="00C55F87">
        <w:rPr>
          <w:noProof/>
        </w:rPr>
        <w:t xml:space="preserve"> Spectrally resolved x-ray beam induced current in a single InGaP nanowire. </w:t>
      </w:r>
      <w:r w:rsidRPr="00C55F87">
        <w:rPr>
          <w:i/>
          <w:iCs/>
          <w:noProof/>
        </w:rPr>
        <w:t>Nanotechnology</w:t>
      </w:r>
      <w:r w:rsidRPr="00C55F87">
        <w:rPr>
          <w:noProof/>
        </w:rPr>
        <w:t xml:space="preserve"> </w:t>
      </w:r>
      <w:r w:rsidRPr="00C55F87">
        <w:rPr>
          <w:b/>
          <w:bCs/>
          <w:noProof/>
        </w:rPr>
        <w:t>29</w:t>
      </w:r>
      <w:r w:rsidRPr="00C55F87">
        <w:rPr>
          <w:noProof/>
        </w:rPr>
        <w:t>, (2018).</w:t>
      </w:r>
    </w:p>
    <w:p w14:paraId="39CF861C" w14:textId="77777777" w:rsidR="00C55F87" w:rsidRPr="00C55F87" w:rsidRDefault="00C55F87" w:rsidP="00F22EB6">
      <w:pPr>
        <w:autoSpaceDE w:val="0"/>
        <w:autoSpaceDN w:val="0"/>
        <w:adjustRightInd w:val="0"/>
        <w:rPr>
          <w:noProof/>
        </w:rPr>
      </w:pPr>
      <w:r w:rsidRPr="00C55F87">
        <w:rPr>
          <w:noProof/>
        </w:rPr>
        <w:t>25.</w:t>
      </w:r>
      <w:r w:rsidRPr="00C55F87">
        <w:rPr>
          <w:noProof/>
        </w:rPr>
        <w:tab/>
        <w:t xml:space="preserve">Johannes, A. </w:t>
      </w:r>
      <w:r w:rsidRPr="00C55F87">
        <w:rPr>
          <w:i/>
          <w:iCs/>
          <w:noProof/>
        </w:rPr>
        <w:t>et al.</w:t>
      </w:r>
      <w:r w:rsidRPr="00C55F87">
        <w:rPr>
          <w:noProof/>
        </w:rPr>
        <w:t xml:space="preserve"> In operando x-ray imaging of nanoscale devices: Composition, valence, and internal electrical fields. </w:t>
      </w:r>
      <w:r w:rsidRPr="00C55F87">
        <w:rPr>
          <w:i/>
          <w:iCs/>
          <w:noProof/>
        </w:rPr>
        <w:t>Science Advances</w:t>
      </w:r>
      <w:r w:rsidRPr="00C55F87">
        <w:rPr>
          <w:noProof/>
        </w:rPr>
        <w:t xml:space="preserve"> </w:t>
      </w:r>
      <w:r w:rsidRPr="00C55F87">
        <w:rPr>
          <w:b/>
          <w:bCs/>
          <w:noProof/>
        </w:rPr>
        <w:t>3</w:t>
      </w:r>
      <w:r w:rsidRPr="00C55F87">
        <w:rPr>
          <w:noProof/>
        </w:rPr>
        <w:t>, 1–7 (2017).</w:t>
      </w:r>
    </w:p>
    <w:p w14:paraId="6958A7E1" w14:textId="77777777" w:rsidR="00C55F87" w:rsidRPr="00C55F87" w:rsidRDefault="00C55F87" w:rsidP="00F22EB6">
      <w:pPr>
        <w:autoSpaceDE w:val="0"/>
        <w:autoSpaceDN w:val="0"/>
        <w:adjustRightInd w:val="0"/>
        <w:rPr>
          <w:noProof/>
        </w:rPr>
      </w:pPr>
      <w:r w:rsidRPr="00C55F87">
        <w:rPr>
          <w:noProof/>
        </w:rPr>
        <w:t>26.</w:t>
      </w:r>
      <w:r w:rsidRPr="00C55F87">
        <w:rPr>
          <w:noProof/>
        </w:rPr>
        <w:tab/>
        <w:t xml:space="preserve">Hieslmair, H., Istratov, A. A., Sachdeva, R. &amp; Weber, E. R. New Synchrotron-Radiation Based Technique to Study Localized Defects in Silicon: ‘EBIC’ with X-Ray Excitation. </w:t>
      </w:r>
      <w:r w:rsidRPr="00C55F87">
        <w:rPr>
          <w:i/>
          <w:iCs/>
          <w:noProof/>
        </w:rPr>
        <w:t>10th Workshop on Crystalline Silicon Solar Cell Materials and Processes</w:t>
      </w:r>
      <w:r w:rsidRPr="00C55F87">
        <w:rPr>
          <w:noProof/>
        </w:rPr>
        <w:t xml:space="preserve"> 162–165 (2000).</w:t>
      </w:r>
    </w:p>
    <w:p w14:paraId="092D4D11" w14:textId="77777777" w:rsidR="00C55F87" w:rsidRPr="00C55F87" w:rsidRDefault="00C55F87" w:rsidP="00F22EB6">
      <w:pPr>
        <w:autoSpaceDE w:val="0"/>
        <w:autoSpaceDN w:val="0"/>
        <w:adjustRightInd w:val="0"/>
        <w:rPr>
          <w:noProof/>
        </w:rPr>
      </w:pPr>
      <w:r w:rsidRPr="00C55F87">
        <w:rPr>
          <w:noProof/>
        </w:rPr>
        <w:t>27.</w:t>
      </w:r>
      <w:r w:rsidRPr="00C55F87">
        <w:rPr>
          <w:noProof/>
        </w:rPr>
        <w:tab/>
        <w:t xml:space="preserve">Vyvenko, O. </w:t>
      </w:r>
      <w:r w:rsidRPr="00C55F87">
        <w:rPr>
          <w:i/>
          <w:iCs/>
          <w:noProof/>
        </w:rPr>
        <w:t>et al.</w:t>
      </w:r>
      <w:r w:rsidRPr="00C55F87">
        <w:rPr>
          <w:noProof/>
        </w:rPr>
        <w:t xml:space="preserve"> X-ray beam induced current - A synchrotron radiation based technique for the in situ analysis of recombination properties and chemical nature of metal clusters in silicon. </w:t>
      </w:r>
      <w:r w:rsidRPr="00C55F87">
        <w:rPr>
          <w:b/>
          <w:bCs/>
          <w:noProof/>
        </w:rPr>
        <w:t>91</w:t>
      </w:r>
      <w:r w:rsidRPr="00C55F87">
        <w:rPr>
          <w:noProof/>
        </w:rPr>
        <w:t>, 3614–3617 (2002).</w:t>
      </w:r>
    </w:p>
    <w:p w14:paraId="29F22EFD" w14:textId="77777777" w:rsidR="00C55F87" w:rsidRPr="00C55F87" w:rsidRDefault="00C55F87" w:rsidP="00F22EB6">
      <w:pPr>
        <w:autoSpaceDE w:val="0"/>
        <w:autoSpaceDN w:val="0"/>
        <w:adjustRightInd w:val="0"/>
        <w:rPr>
          <w:noProof/>
        </w:rPr>
      </w:pPr>
      <w:r w:rsidRPr="00C55F87">
        <w:rPr>
          <w:noProof/>
        </w:rPr>
        <w:t>28.</w:t>
      </w:r>
      <w:r w:rsidRPr="00C55F87">
        <w:rPr>
          <w:noProof/>
        </w:rPr>
        <w:tab/>
        <w:t xml:space="preserve">Stuckelberger, M. E. </w:t>
      </w:r>
      <w:r w:rsidRPr="00C55F87">
        <w:rPr>
          <w:i/>
          <w:iCs/>
          <w:noProof/>
        </w:rPr>
        <w:t>et al.</w:t>
      </w:r>
      <w:r w:rsidRPr="00C55F87">
        <w:rPr>
          <w:noProof/>
        </w:rPr>
        <w:t xml:space="preserve"> X-Ray Beam Induced Voltage: A Novel Technique for Electrical Nanocharacterization of Solar Cells. </w:t>
      </w:r>
      <w:r w:rsidRPr="00C55F87">
        <w:rPr>
          <w:i/>
          <w:iCs/>
          <w:noProof/>
        </w:rPr>
        <w:t>2017 IEEE 44th Photovoltaic Specialist Conference, PVSC 2017</w:t>
      </w:r>
      <w:r w:rsidRPr="00C55F87">
        <w:rPr>
          <w:noProof/>
        </w:rPr>
        <w:t xml:space="preserve"> (2017).</w:t>
      </w:r>
    </w:p>
    <w:p w14:paraId="4B016106" w14:textId="77777777" w:rsidR="00C55F87" w:rsidRPr="00C55F87" w:rsidRDefault="00C55F87" w:rsidP="00F22EB6">
      <w:pPr>
        <w:autoSpaceDE w:val="0"/>
        <w:autoSpaceDN w:val="0"/>
        <w:adjustRightInd w:val="0"/>
        <w:rPr>
          <w:noProof/>
        </w:rPr>
      </w:pPr>
      <w:r w:rsidRPr="00C55F87">
        <w:rPr>
          <w:noProof/>
        </w:rPr>
        <w:t>29.</w:t>
      </w:r>
      <w:r w:rsidRPr="00C55F87">
        <w:rPr>
          <w:noProof/>
        </w:rPr>
        <w:tab/>
        <w:t xml:space="preserve">Stuckelberger, M. E. </w:t>
      </w:r>
      <w:r w:rsidRPr="00C55F87">
        <w:rPr>
          <w:i/>
          <w:iCs/>
          <w:noProof/>
        </w:rPr>
        <w:t>et al.</w:t>
      </w:r>
      <w:r w:rsidRPr="00C55F87">
        <w:rPr>
          <w:noProof/>
        </w:rPr>
        <w:t xml:space="preserve"> How does CIGS performance depend on temperature at the microscale? </w:t>
      </w:r>
      <w:r w:rsidRPr="00C55F87">
        <w:rPr>
          <w:i/>
          <w:iCs/>
          <w:noProof/>
        </w:rPr>
        <w:t>IEEE Journal of Photovoltaics</w:t>
      </w:r>
      <w:r w:rsidRPr="00C55F87">
        <w:rPr>
          <w:noProof/>
        </w:rPr>
        <w:t xml:space="preserve"> </w:t>
      </w:r>
      <w:r w:rsidRPr="00C55F87">
        <w:rPr>
          <w:b/>
          <w:bCs/>
          <w:noProof/>
        </w:rPr>
        <w:t>8</w:t>
      </w:r>
      <w:r w:rsidRPr="00C55F87">
        <w:rPr>
          <w:noProof/>
        </w:rPr>
        <w:t>, 278–287 (2018).</w:t>
      </w:r>
    </w:p>
    <w:p w14:paraId="0EF3F71A" w14:textId="77777777" w:rsidR="00C55F87" w:rsidRPr="00C55F87" w:rsidRDefault="00C55F87" w:rsidP="00F22EB6">
      <w:pPr>
        <w:autoSpaceDE w:val="0"/>
        <w:autoSpaceDN w:val="0"/>
        <w:adjustRightInd w:val="0"/>
        <w:rPr>
          <w:noProof/>
        </w:rPr>
      </w:pPr>
      <w:r w:rsidRPr="00C55F87">
        <w:rPr>
          <w:noProof/>
        </w:rPr>
        <w:t>30.</w:t>
      </w:r>
      <w:r w:rsidRPr="00C55F87">
        <w:rPr>
          <w:noProof/>
        </w:rPr>
        <w:tab/>
        <w:t xml:space="preserve">Stuckelberger, M. E. </w:t>
      </w:r>
      <w:r w:rsidRPr="00C55F87">
        <w:rPr>
          <w:i/>
          <w:iCs/>
          <w:noProof/>
        </w:rPr>
        <w:t>et al.</w:t>
      </w:r>
      <w:r w:rsidRPr="00C55F87">
        <w:rPr>
          <w:noProof/>
        </w:rPr>
        <w:t xml:space="preserve"> Challenges and Opportunities with Highly Brilliant X-ray Sources for multi-Modal in-Situ and Operando Characterization of Solar Cells. </w:t>
      </w:r>
      <w:r w:rsidRPr="00C55F87">
        <w:rPr>
          <w:i/>
          <w:iCs/>
          <w:noProof/>
        </w:rPr>
        <w:t>Microscopy and Microanalysis</w:t>
      </w:r>
      <w:r w:rsidRPr="00C55F87">
        <w:rPr>
          <w:noProof/>
        </w:rPr>
        <w:t xml:space="preserve"> </w:t>
      </w:r>
      <w:r w:rsidRPr="00C55F87">
        <w:rPr>
          <w:b/>
          <w:bCs/>
          <w:noProof/>
        </w:rPr>
        <w:t>24</w:t>
      </w:r>
      <w:r w:rsidRPr="00C55F87">
        <w:rPr>
          <w:noProof/>
        </w:rPr>
        <w:t>, 434–435 (2018).</w:t>
      </w:r>
    </w:p>
    <w:p w14:paraId="405B64B5" w14:textId="77777777" w:rsidR="00C55F87" w:rsidRPr="00C55F87" w:rsidRDefault="00C55F87" w:rsidP="00F22EB6">
      <w:pPr>
        <w:autoSpaceDE w:val="0"/>
        <w:autoSpaceDN w:val="0"/>
        <w:adjustRightInd w:val="0"/>
        <w:rPr>
          <w:noProof/>
        </w:rPr>
      </w:pPr>
      <w:r w:rsidRPr="00C55F87">
        <w:rPr>
          <w:noProof/>
        </w:rPr>
        <w:t>31.</w:t>
      </w:r>
      <w:r w:rsidRPr="00C55F87">
        <w:rPr>
          <w:noProof/>
        </w:rPr>
        <w:tab/>
        <w:t>Zurich Instruments. Principles of Lock-in Detection. 1–10 (2016). doi:10.1121/1.392931</w:t>
      </w:r>
    </w:p>
    <w:p w14:paraId="0D333971" w14:textId="77777777" w:rsidR="00C55F87" w:rsidRPr="00C55F87" w:rsidRDefault="00C55F87" w:rsidP="00F22EB6">
      <w:pPr>
        <w:autoSpaceDE w:val="0"/>
        <w:autoSpaceDN w:val="0"/>
        <w:adjustRightInd w:val="0"/>
        <w:rPr>
          <w:noProof/>
        </w:rPr>
      </w:pPr>
      <w:r w:rsidRPr="00C55F87">
        <w:rPr>
          <w:noProof/>
        </w:rPr>
        <w:t>32.</w:t>
      </w:r>
      <w:r w:rsidRPr="00C55F87">
        <w:rPr>
          <w:noProof/>
        </w:rPr>
        <w:tab/>
        <w:t xml:space="preserve">Kitchin, C. &amp; Counts, L. </w:t>
      </w:r>
      <w:r w:rsidRPr="00C55F87">
        <w:rPr>
          <w:i/>
          <w:iCs/>
          <w:noProof/>
        </w:rPr>
        <w:t>RMS To DC Conversion Application Guide</w:t>
      </w:r>
      <w:r w:rsidRPr="00C55F87">
        <w:rPr>
          <w:noProof/>
        </w:rPr>
        <w:t>. (Analog Devices, Inc., 1986).</w:t>
      </w:r>
    </w:p>
    <w:p w14:paraId="012F54AF" w14:textId="77777777" w:rsidR="00C55F87" w:rsidRPr="00C55F87" w:rsidRDefault="00C55F87" w:rsidP="00F22EB6">
      <w:pPr>
        <w:autoSpaceDE w:val="0"/>
        <w:autoSpaceDN w:val="0"/>
        <w:adjustRightInd w:val="0"/>
        <w:rPr>
          <w:noProof/>
        </w:rPr>
      </w:pPr>
      <w:r w:rsidRPr="00C55F87">
        <w:rPr>
          <w:noProof/>
        </w:rPr>
        <w:t>33.</w:t>
      </w:r>
      <w:r w:rsidRPr="00C55F87">
        <w:rPr>
          <w:noProof/>
        </w:rPr>
        <w:tab/>
        <w:t>Hubbell, J. H. &amp; Seltzer, S. M. X-Ray Mass Attenuation Coefficients - NIST Standard Reference Database 126. (2004).</w:t>
      </w:r>
    </w:p>
    <w:p w14:paraId="0FD06CA2" w14:textId="77777777" w:rsidR="00C55F87" w:rsidRPr="00C55F87" w:rsidRDefault="00C55F87" w:rsidP="00F22EB6">
      <w:pPr>
        <w:autoSpaceDE w:val="0"/>
        <w:autoSpaceDN w:val="0"/>
        <w:adjustRightInd w:val="0"/>
        <w:rPr>
          <w:noProof/>
        </w:rPr>
      </w:pPr>
      <w:r w:rsidRPr="00C55F87">
        <w:rPr>
          <w:noProof/>
        </w:rPr>
        <w:t>34.</w:t>
      </w:r>
      <w:r w:rsidRPr="00C55F87">
        <w:rPr>
          <w:noProof/>
        </w:rPr>
        <w:tab/>
        <w:t xml:space="preserve">Klein, C. A. Bandgap Dependence and Related Features of Radiation Ionization Energies in Semiconductors. </w:t>
      </w:r>
      <w:r w:rsidRPr="00C55F87">
        <w:rPr>
          <w:i/>
          <w:iCs/>
          <w:noProof/>
        </w:rPr>
        <w:t>Journal of Applied Physics</w:t>
      </w:r>
      <w:r w:rsidRPr="00C55F87">
        <w:rPr>
          <w:noProof/>
        </w:rPr>
        <w:t xml:space="preserve"> </w:t>
      </w:r>
      <w:r w:rsidRPr="00C55F87">
        <w:rPr>
          <w:b/>
          <w:bCs/>
          <w:noProof/>
        </w:rPr>
        <w:t>39</w:t>
      </w:r>
      <w:r w:rsidRPr="00C55F87">
        <w:rPr>
          <w:noProof/>
        </w:rPr>
        <w:t>, 2029–2038 (1967).</w:t>
      </w:r>
    </w:p>
    <w:p w14:paraId="49E43907" w14:textId="77777777" w:rsidR="00C55F87" w:rsidRPr="00C55F87" w:rsidRDefault="00C55F87" w:rsidP="00F22EB6">
      <w:pPr>
        <w:autoSpaceDE w:val="0"/>
        <w:autoSpaceDN w:val="0"/>
        <w:adjustRightInd w:val="0"/>
        <w:rPr>
          <w:noProof/>
        </w:rPr>
      </w:pPr>
      <w:r w:rsidRPr="00C55F87">
        <w:rPr>
          <w:noProof/>
        </w:rPr>
        <w:t>35.</w:t>
      </w:r>
      <w:r w:rsidRPr="00C55F87">
        <w:rPr>
          <w:noProof/>
        </w:rPr>
        <w:tab/>
        <w:t>IEC. IEC (International Electrotechnical Commission) 60904-3 Ed.2: Photovoltaic devices - Part 3: Measurement principles for terrestrial photovoltaic (PV) solar devices with reference spectral irradiance data, 2006. (2006).</w:t>
      </w:r>
    </w:p>
    <w:p w14:paraId="536C8D08" w14:textId="77777777" w:rsidR="00C55F87" w:rsidRPr="00C55F87" w:rsidRDefault="00C55F87" w:rsidP="00F22EB6">
      <w:pPr>
        <w:autoSpaceDE w:val="0"/>
        <w:autoSpaceDN w:val="0"/>
        <w:adjustRightInd w:val="0"/>
        <w:rPr>
          <w:noProof/>
        </w:rPr>
      </w:pPr>
      <w:r w:rsidRPr="00C55F87">
        <w:rPr>
          <w:noProof/>
        </w:rPr>
        <w:t>36.</w:t>
      </w:r>
      <w:r w:rsidRPr="00C55F87">
        <w:rPr>
          <w:noProof/>
        </w:rPr>
        <w:tab/>
        <w:t>Keithley. Keithley 487/86 Pico-ammeter instruction manual. (2000).</w:t>
      </w:r>
    </w:p>
    <w:p w14:paraId="066B5915" w14:textId="77777777" w:rsidR="00C55F87" w:rsidRPr="00C55F87" w:rsidRDefault="00C55F87" w:rsidP="00F22EB6">
      <w:pPr>
        <w:autoSpaceDE w:val="0"/>
        <w:autoSpaceDN w:val="0"/>
        <w:adjustRightInd w:val="0"/>
        <w:rPr>
          <w:noProof/>
        </w:rPr>
      </w:pPr>
      <w:r w:rsidRPr="00C55F87">
        <w:rPr>
          <w:noProof/>
        </w:rPr>
        <w:t>37.</w:t>
      </w:r>
      <w:r w:rsidRPr="00C55F87">
        <w:rPr>
          <w:noProof/>
        </w:rPr>
        <w:tab/>
        <w:t>ThinkSRS. MODEL SR570 Low-Noise Current Preamplifier. (2015).</w:t>
      </w:r>
    </w:p>
    <w:p w14:paraId="5F4520B1" w14:textId="77777777" w:rsidR="00C55F87" w:rsidRPr="00C55F87" w:rsidRDefault="00C55F87" w:rsidP="00F22EB6">
      <w:pPr>
        <w:autoSpaceDE w:val="0"/>
        <w:autoSpaceDN w:val="0"/>
        <w:adjustRightInd w:val="0"/>
        <w:rPr>
          <w:noProof/>
        </w:rPr>
      </w:pPr>
      <w:r w:rsidRPr="00C55F87">
        <w:rPr>
          <w:noProof/>
        </w:rPr>
        <w:t>38.</w:t>
      </w:r>
      <w:r w:rsidRPr="00C55F87">
        <w:rPr>
          <w:noProof/>
        </w:rPr>
        <w:tab/>
        <w:t xml:space="preserve">Scofield, J. H. Frequency‐domain description of a lock‐in amplifier. </w:t>
      </w:r>
      <w:r w:rsidRPr="00C55F87">
        <w:rPr>
          <w:i/>
          <w:iCs/>
          <w:noProof/>
        </w:rPr>
        <w:t>American Journal of Physics</w:t>
      </w:r>
      <w:r w:rsidRPr="00C55F87">
        <w:rPr>
          <w:noProof/>
        </w:rPr>
        <w:t xml:space="preserve"> </w:t>
      </w:r>
      <w:r w:rsidRPr="00C55F87">
        <w:rPr>
          <w:b/>
          <w:bCs/>
          <w:noProof/>
        </w:rPr>
        <w:t>62</w:t>
      </w:r>
      <w:r w:rsidRPr="00C55F87">
        <w:rPr>
          <w:noProof/>
        </w:rPr>
        <w:t>, 129–133 (1994).</w:t>
      </w:r>
    </w:p>
    <w:p w14:paraId="7A040AA0" w14:textId="77777777" w:rsidR="00C55F87" w:rsidRPr="00C55F87" w:rsidRDefault="00C55F87" w:rsidP="00F22EB6">
      <w:pPr>
        <w:autoSpaceDE w:val="0"/>
        <w:autoSpaceDN w:val="0"/>
        <w:adjustRightInd w:val="0"/>
        <w:rPr>
          <w:noProof/>
        </w:rPr>
      </w:pPr>
      <w:r w:rsidRPr="00C55F87">
        <w:rPr>
          <w:noProof/>
        </w:rPr>
        <w:t>39.</w:t>
      </w:r>
      <w:r w:rsidRPr="00C55F87">
        <w:rPr>
          <w:noProof/>
        </w:rPr>
        <w:tab/>
        <w:t xml:space="preserve">Poon, T.-C. Heterodyning. in </w:t>
      </w:r>
      <w:r w:rsidRPr="00C55F87">
        <w:rPr>
          <w:i/>
          <w:iCs/>
          <w:noProof/>
        </w:rPr>
        <w:t>Encyclopedia of Modern Optics II, Volume 1</w:t>
      </w:r>
      <w:r w:rsidRPr="00C55F87">
        <w:rPr>
          <w:noProof/>
        </w:rPr>
        <w:t xml:space="preserve"> 373 (Elsevier Ltd., 2005). doi:10.1016/8978-O-12-809283-5 00821-1</w:t>
      </w:r>
    </w:p>
    <w:p w14:paraId="0818A4A6" w14:textId="77777777" w:rsidR="00C55F87" w:rsidRPr="00C55F87" w:rsidRDefault="00C55F87" w:rsidP="00F22EB6">
      <w:pPr>
        <w:autoSpaceDE w:val="0"/>
        <w:autoSpaceDN w:val="0"/>
        <w:adjustRightInd w:val="0"/>
        <w:rPr>
          <w:noProof/>
        </w:rPr>
      </w:pPr>
      <w:r w:rsidRPr="00C55F87">
        <w:rPr>
          <w:noProof/>
        </w:rPr>
        <w:t>40.</w:t>
      </w:r>
      <w:r w:rsidRPr="00C55F87">
        <w:rPr>
          <w:noProof/>
        </w:rPr>
        <w:tab/>
        <w:t xml:space="preserve">Zurich Instruments. </w:t>
      </w:r>
      <w:r w:rsidRPr="00C55F87">
        <w:rPr>
          <w:i/>
          <w:iCs/>
          <w:noProof/>
        </w:rPr>
        <w:t>UHF User Manual</w:t>
      </w:r>
      <w:r w:rsidRPr="00C55F87">
        <w:rPr>
          <w:noProof/>
        </w:rPr>
        <w:t>. (2018).</w:t>
      </w:r>
    </w:p>
    <w:p w14:paraId="347125D5" w14:textId="77777777" w:rsidR="00C55F87" w:rsidRPr="00C55F87" w:rsidRDefault="00C55F87" w:rsidP="00F22EB6">
      <w:pPr>
        <w:autoSpaceDE w:val="0"/>
        <w:autoSpaceDN w:val="0"/>
        <w:adjustRightInd w:val="0"/>
        <w:rPr>
          <w:noProof/>
        </w:rPr>
      </w:pPr>
      <w:r w:rsidRPr="00C55F87">
        <w:rPr>
          <w:noProof/>
        </w:rPr>
        <w:t>41.</w:t>
      </w:r>
      <w:r w:rsidRPr="00C55F87">
        <w:rPr>
          <w:noProof/>
        </w:rPr>
        <w:tab/>
        <w:t xml:space="preserve">Witte, W. </w:t>
      </w:r>
      <w:r w:rsidRPr="00C55F87">
        <w:rPr>
          <w:i/>
          <w:iCs/>
          <w:noProof/>
        </w:rPr>
        <w:t>et al.</w:t>
      </w:r>
      <w:r w:rsidRPr="00C55F87">
        <w:rPr>
          <w:noProof/>
        </w:rPr>
        <w:t xml:space="preserve"> Gallium gradients in Cu(In,Ga)Se2 thin-film solar cells. </w:t>
      </w:r>
      <w:r w:rsidRPr="00C55F87">
        <w:rPr>
          <w:i/>
          <w:iCs/>
          <w:noProof/>
        </w:rPr>
        <w:t>Progress in Photovoltaics: Research and Applications</w:t>
      </w:r>
      <w:r w:rsidRPr="00C55F87">
        <w:rPr>
          <w:noProof/>
        </w:rPr>
        <w:t xml:space="preserve"> </w:t>
      </w:r>
      <w:r w:rsidRPr="00C55F87">
        <w:rPr>
          <w:b/>
          <w:bCs/>
          <w:noProof/>
        </w:rPr>
        <w:t>23</w:t>
      </w:r>
      <w:r w:rsidRPr="00C55F87">
        <w:rPr>
          <w:noProof/>
        </w:rPr>
        <w:t>, 717–733 (2015).</w:t>
      </w:r>
    </w:p>
    <w:p w14:paraId="73C538B0" w14:textId="77777777" w:rsidR="00C55F87" w:rsidRPr="00C55F87" w:rsidRDefault="00C55F87" w:rsidP="00F22EB6">
      <w:pPr>
        <w:autoSpaceDE w:val="0"/>
        <w:autoSpaceDN w:val="0"/>
        <w:adjustRightInd w:val="0"/>
        <w:rPr>
          <w:noProof/>
        </w:rPr>
      </w:pPr>
      <w:r w:rsidRPr="00C55F87">
        <w:rPr>
          <w:noProof/>
        </w:rPr>
        <w:t>42.</w:t>
      </w:r>
      <w:r w:rsidRPr="00C55F87">
        <w:rPr>
          <w:noProof/>
        </w:rPr>
        <w:tab/>
        <w:t xml:space="preserve">Fish, P. J. </w:t>
      </w:r>
      <w:r w:rsidRPr="00C55F87">
        <w:rPr>
          <w:i/>
          <w:iCs/>
          <w:noProof/>
        </w:rPr>
        <w:t>Electronic Noise and Low Noise Design</w:t>
      </w:r>
      <w:r w:rsidRPr="00C55F87">
        <w:rPr>
          <w:noProof/>
        </w:rPr>
        <w:t>. (The Macmillan Press LTD, 1993). doi:10.1007/978-1-349-23060-0</w:t>
      </w:r>
    </w:p>
    <w:p w14:paraId="701CAFBF" w14:textId="77777777" w:rsidR="00C55F87" w:rsidRPr="00C55F87" w:rsidRDefault="00C55F87" w:rsidP="00F22EB6">
      <w:pPr>
        <w:autoSpaceDE w:val="0"/>
        <w:autoSpaceDN w:val="0"/>
        <w:adjustRightInd w:val="0"/>
        <w:rPr>
          <w:noProof/>
        </w:rPr>
      </w:pPr>
      <w:r w:rsidRPr="00C55F87">
        <w:rPr>
          <w:noProof/>
        </w:rPr>
        <w:t>43.</w:t>
      </w:r>
      <w:r w:rsidRPr="00C55F87">
        <w:rPr>
          <w:noProof/>
        </w:rPr>
        <w:tab/>
        <w:t xml:space="preserve">Keithley A Tektronix Company. Precision DC Current, Voltage and Resistance Measurements. </w:t>
      </w:r>
      <w:r w:rsidRPr="00C55F87">
        <w:rPr>
          <w:i/>
          <w:iCs/>
          <w:noProof/>
        </w:rPr>
        <w:t>Low Level Measurements Handbook - 7 th Edition</w:t>
      </w:r>
      <w:r w:rsidRPr="00C55F87">
        <w:rPr>
          <w:noProof/>
        </w:rPr>
        <w:t xml:space="preserve"> (2013).</w:t>
      </w:r>
    </w:p>
    <w:p w14:paraId="178F1D50" w14:textId="77777777" w:rsidR="00C55F87" w:rsidRPr="00C55F87" w:rsidRDefault="00C55F87" w:rsidP="00F22EB6">
      <w:pPr>
        <w:autoSpaceDE w:val="0"/>
        <w:autoSpaceDN w:val="0"/>
        <w:adjustRightInd w:val="0"/>
        <w:rPr>
          <w:noProof/>
        </w:rPr>
      </w:pPr>
      <w:r w:rsidRPr="00C55F87">
        <w:rPr>
          <w:noProof/>
        </w:rPr>
        <w:t>44.</w:t>
      </w:r>
      <w:r w:rsidRPr="00C55F87">
        <w:rPr>
          <w:noProof/>
        </w:rPr>
        <w:tab/>
        <w:t xml:space="preserve">Letzter, S. &amp; Webster, N. Noise in amplifiers. </w:t>
      </w:r>
      <w:r w:rsidRPr="00C55F87">
        <w:rPr>
          <w:i/>
          <w:iCs/>
          <w:noProof/>
        </w:rPr>
        <w:t>IEEE Spectrum</w:t>
      </w:r>
      <w:r w:rsidRPr="00C55F87">
        <w:rPr>
          <w:noProof/>
        </w:rPr>
        <w:t xml:space="preserve"> </w:t>
      </w:r>
      <w:r w:rsidRPr="00C55F87">
        <w:rPr>
          <w:b/>
          <w:bCs/>
          <w:noProof/>
        </w:rPr>
        <w:t>7</w:t>
      </w:r>
      <w:r w:rsidRPr="00C55F87">
        <w:rPr>
          <w:noProof/>
        </w:rPr>
        <w:t>, 67–75 (1970).</w:t>
      </w:r>
    </w:p>
    <w:p w14:paraId="68644154" w14:textId="77777777" w:rsidR="00C55F87" w:rsidRPr="00C55F87" w:rsidRDefault="00C55F87" w:rsidP="00F22EB6">
      <w:pPr>
        <w:autoSpaceDE w:val="0"/>
        <w:autoSpaceDN w:val="0"/>
        <w:adjustRightInd w:val="0"/>
        <w:rPr>
          <w:noProof/>
        </w:rPr>
      </w:pPr>
      <w:r w:rsidRPr="00C55F87">
        <w:rPr>
          <w:noProof/>
        </w:rPr>
        <w:t>45.</w:t>
      </w:r>
      <w:r w:rsidRPr="00C55F87">
        <w:rPr>
          <w:noProof/>
        </w:rPr>
        <w:tab/>
        <w:t xml:space="preserve">Meade, M. L. </w:t>
      </w:r>
      <w:r w:rsidRPr="00C55F87">
        <w:rPr>
          <w:i/>
          <w:iCs/>
          <w:noProof/>
        </w:rPr>
        <w:t>Lock-in amplifiers: principles and applications (e-edition)</w:t>
      </w:r>
      <w:r w:rsidRPr="00C55F87">
        <w:rPr>
          <w:noProof/>
        </w:rPr>
        <w:t>. (2013).</w:t>
      </w:r>
    </w:p>
    <w:p w14:paraId="692B275A" w14:textId="77777777" w:rsidR="00C55F87" w:rsidRPr="00C55F87" w:rsidRDefault="00C55F87" w:rsidP="00F22EB6">
      <w:pPr>
        <w:autoSpaceDE w:val="0"/>
        <w:autoSpaceDN w:val="0"/>
        <w:adjustRightInd w:val="0"/>
        <w:rPr>
          <w:noProof/>
        </w:rPr>
      </w:pPr>
      <w:r w:rsidRPr="00C55F87">
        <w:rPr>
          <w:noProof/>
        </w:rPr>
        <w:t>46.</w:t>
      </w:r>
      <w:r w:rsidRPr="00C55F87">
        <w:rPr>
          <w:noProof/>
        </w:rPr>
        <w:tab/>
        <w:t xml:space="preserve">Cazaux, J. A physical approach to the radiation damage mechanisms induced by X-rays in X-ray microscopy and related techniques. </w:t>
      </w:r>
      <w:r w:rsidRPr="00C55F87">
        <w:rPr>
          <w:i/>
          <w:iCs/>
          <w:noProof/>
        </w:rPr>
        <w:t>Journal of Microscopy</w:t>
      </w:r>
      <w:r w:rsidRPr="00C55F87">
        <w:rPr>
          <w:noProof/>
        </w:rPr>
        <w:t xml:space="preserve"> </w:t>
      </w:r>
      <w:r w:rsidRPr="00C55F87">
        <w:rPr>
          <w:b/>
          <w:bCs/>
          <w:noProof/>
        </w:rPr>
        <w:t>188</w:t>
      </w:r>
      <w:r w:rsidRPr="00C55F87">
        <w:rPr>
          <w:noProof/>
        </w:rPr>
        <w:t>, 106–124 (1997).</w:t>
      </w:r>
    </w:p>
    <w:p w14:paraId="3791A0DB" w14:textId="77777777" w:rsidR="00C55F87" w:rsidRPr="00C55F87" w:rsidRDefault="00C55F87" w:rsidP="00F22EB6">
      <w:pPr>
        <w:autoSpaceDE w:val="0"/>
        <w:autoSpaceDN w:val="0"/>
        <w:adjustRightInd w:val="0"/>
        <w:rPr>
          <w:noProof/>
        </w:rPr>
      </w:pPr>
      <w:r w:rsidRPr="00C55F87">
        <w:rPr>
          <w:noProof/>
        </w:rPr>
        <w:t>47.</w:t>
      </w:r>
      <w:r w:rsidRPr="00C55F87">
        <w:rPr>
          <w:noProof/>
        </w:rPr>
        <w:tab/>
        <w:t xml:space="preserve">Polvino, S. M. </w:t>
      </w:r>
      <w:r w:rsidRPr="00C55F87">
        <w:rPr>
          <w:i/>
          <w:iCs/>
          <w:noProof/>
        </w:rPr>
        <w:t>et al.</w:t>
      </w:r>
      <w:r w:rsidRPr="00C55F87">
        <w:rPr>
          <w:noProof/>
        </w:rPr>
        <w:t xml:space="preserve"> Synchrotron microbeam x-ray radiation damage in semiconductor layers. </w:t>
      </w:r>
      <w:r w:rsidRPr="00C55F87">
        <w:rPr>
          <w:i/>
          <w:iCs/>
          <w:noProof/>
        </w:rPr>
        <w:t>Applied Physics Letters</w:t>
      </w:r>
      <w:r w:rsidRPr="00C55F87">
        <w:rPr>
          <w:noProof/>
        </w:rPr>
        <w:t xml:space="preserve"> </w:t>
      </w:r>
      <w:r w:rsidRPr="00C55F87">
        <w:rPr>
          <w:b/>
          <w:bCs/>
          <w:noProof/>
        </w:rPr>
        <w:t>92</w:t>
      </w:r>
      <w:r w:rsidRPr="00C55F87">
        <w:rPr>
          <w:noProof/>
        </w:rPr>
        <w:t>, 6–9 (2008).</w:t>
      </w:r>
    </w:p>
    <w:p w14:paraId="68D4C062" w14:textId="77777777" w:rsidR="00C55F87" w:rsidRPr="00C55F87" w:rsidRDefault="00C55F87" w:rsidP="00F22EB6">
      <w:pPr>
        <w:autoSpaceDE w:val="0"/>
        <w:autoSpaceDN w:val="0"/>
        <w:adjustRightInd w:val="0"/>
        <w:rPr>
          <w:noProof/>
        </w:rPr>
      </w:pPr>
      <w:r w:rsidRPr="00C55F87">
        <w:rPr>
          <w:noProof/>
        </w:rPr>
        <w:t>48.</w:t>
      </w:r>
      <w:r w:rsidRPr="00C55F87">
        <w:rPr>
          <w:noProof/>
        </w:rPr>
        <w:tab/>
        <w:t xml:space="preserve">Martínez-Criado, G. </w:t>
      </w:r>
      <w:r w:rsidRPr="00C55F87">
        <w:rPr>
          <w:i/>
          <w:iCs/>
          <w:noProof/>
        </w:rPr>
        <w:t>et al.</w:t>
      </w:r>
      <w:r w:rsidRPr="00C55F87">
        <w:rPr>
          <w:noProof/>
        </w:rPr>
        <w:t xml:space="preserve"> Spatially resolved X-ray excited optical luminescence. </w:t>
      </w:r>
      <w:r w:rsidRPr="00C55F87">
        <w:rPr>
          <w:i/>
          <w:iCs/>
          <w:noProof/>
        </w:rPr>
        <w:t>Nuclear Instruments and Methods in Physics Research B</w:t>
      </w:r>
      <w:r w:rsidRPr="00C55F87">
        <w:rPr>
          <w:noProof/>
        </w:rPr>
        <w:t xml:space="preserve"> </w:t>
      </w:r>
      <w:r w:rsidRPr="00C55F87">
        <w:rPr>
          <w:b/>
          <w:bCs/>
          <w:noProof/>
        </w:rPr>
        <w:t>284</w:t>
      </w:r>
      <w:r w:rsidRPr="00C55F87">
        <w:rPr>
          <w:noProof/>
        </w:rPr>
        <w:t>, 36–39 (2012).</w:t>
      </w:r>
    </w:p>
    <w:p w14:paraId="44E54CBD" w14:textId="77777777" w:rsidR="00C55F87" w:rsidRPr="00C55F87" w:rsidRDefault="00C55F87" w:rsidP="00F22EB6">
      <w:pPr>
        <w:autoSpaceDE w:val="0"/>
        <w:autoSpaceDN w:val="0"/>
        <w:adjustRightInd w:val="0"/>
        <w:rPr>
          <w:noProof/>
        </w:rPr>
      </w:pPr>
      <w:r w:rsidRPr="00C55F87">
        <w:rPr>
          <w:noProof/>
        </w:rPr>
        <w:t>49.</w:t>
      </w:r>
      <w:r w:rsidRPr="00C55F87">
        <w:rPr>
          <w:noProof/>
        </w:rPr>
        <w:tab/>
        <w:t xml:space="preserve">Taylor, R. P., Finch, A. A., Mosselmans, J. F. W. &amp; Quinn, P. D. The development of a XEOL and TR XEOL detection system for the I18 microfocus beamline Diamond light source. </w:t>
      </w:r>
      <w:r w:rsidRPr="00C55F87">
        <w:rPr>
          <w:i/>
          <w:iCs/>
          <w:noProof/>
        </w:rPr>
        <w:t>Journal of Luminescence</w:t>
      </w:r>
      <w:r w:rsidRPr="00C55F87">
        <w:rPr>
          <w:noProof/>
        </w:rPr>
        <w:t xml:space="preserve"> </w:t>
      </w:r>
      <w:r w:rsidRPr="00C55F87">
        <w:rPr>
          <w:b/>
          <w:bCs/>
          <w:noProof/>
        </w:rPr>
        <w:t>134</w:t>
      </w:r>
      <w:r w:rsidRPr="00C55F87">
        <w:rPr>
          <w:noProof/>
        </w:rPr>
        <w:t>, 49–58 (2013).</w:t>
      </w:r>
    </w:p>
    <w:p w14:paraId="2BBDC009" w14:textId="77777777" w:rsidR="00C55F87" w:rsidRPr="00C55F87" w:rsidRDefault="00C55F87" w:rsidP="00F22EB6">
      <w:pPr>
        <w:autoSpaceDE w:val="0"/>
        <w:autoSpaceDN w:val="0"/>
        <w:adjustRightInd w:val="0"/>
        <w:rPr>
          <w:noProof/>
        </w:rPr>
      </w:pPr>
      <w:r w:rsidRPr="00C55F87">
        <w:rPr>
          <w:noProof/>
        </w:rPr>
        <w:t>50.</w:t>
      </w:r>
      <w:r w:rsidRPr="00C55F87">
        <w:rPr>
          <w:noProof/>
        </w:rPr>
        <w:tab/>
        <w:t xml:space="preserve">Cavalcoli, D. and Cavallini, A. Evaluation of diffusion length at different excess carrier concentrations. </w:t>
      </w:r>
      <w:r w:rsidRPr="00C55F87">
        <w:rPr>
          <w:i/>
          <w:iCs/>
          <w:noProof/>
        </w:rPr>
        <w:t>Materials Science and Engineering</w:t>
      </w:r>
      <w:r w:rsidRPr="00C55F87">
        <w:rPr>
          <w:noProof/>
        </w:rPr>
        <w:t xml:space="preserve"> </w:t>
      </w:r>
      <w:r w:rsidRPr="00C55F87">
        <w:rPr>
          <w:b/>
          <w:bCs/>
          <w:noProof/>
        </w:rPr>
        <w:t>B24</w:t>
      </w:r>
      <w:r w:rsidRPr="00C55F87">
        <w:rPr>
          <w:noProof/>
        </w:rPr>
        <w:t>, 98–100 (1994).</w:t>
      </w:r>
    </w:p>
    <w:p w14:paraId="297CD6CA" w14:textId="77777777" w:rsidR="00C55F87" w:rsidRPr="00C55F87" w:rsidRDefault="00C55F87" w:rsidP="00F22EB6">
      <w:pPr>
        <w:autoSpaceDE w:val="0"/>
        <w:autoSpaceDN w:val="0"/>
        <w:adjustRightInd w:val="0"/>
        <w:rPr>
          <w:noProof/>
        </w:rPr>
      </w:pPr>
      <w:r w:rsidRPr="00C55F87">
        <w:rPr>
          <w:noProof/>
        </w:rPr>
        <w:t>51.</w:t>
      </w:r>
      <w:r w:rsidRPr="00C55F87">
        <w:rPr>
          <w:noProof/>
        </w:rPr>
        <w:tab/>
        <w:t xml:space="preserve">Micard, G., Hahn, G. &amp; Terheiden, B. Injection in light beam induced current systems : An analytical model. </w:t>
      </w:r>
      <w:r w:rsidRPr="00C55F87">
        <w:rPr>
          <w:i/>
          <w:iCs/>
          <w:noProof/>
        </w:rPr>
        <w:t>Physica Status Solidi a</w:t>
      </w:r>
      <w:r w:rsidRPr="00C55F87">
        <w:rPr>
          <w:noProof/>
        </w:rPr>
        <w:t xml:space="preserve"> </w:t>
      </w:r>
      <w:r w:rsidRPr="00C55F87">
        <w:rPr>
          <w:b/>
          <w:bCs/>
          <w:noProof/>
        </w:rPr>
        <w:t>213</w:t>
      </w:r>
      <w:r w:rsidRPr="00C55F87">
        <w:rPr>
          <w:noProof/>
        </w:rPr>
        <w:t>, 1329–1339 (2016).</w:t>
      </w:r>
    </w:p>
    <w:p w14:paraId="3548BBBB" w14:textId="77777777" w:rsidR="00C55F87" w:rsidRPr="00C55F87" w:rsidRDefault="00C55F87" w:rsidP="00F22EB6">
      <w:pPr>
        <w:autoSpaceDE w:val="0"/>
        <w:autoSpaceDN w:val="0"/>
        <w:adjustRightInd w:val="0"/>
        <w:rPr>
          <w:noProof/>
        </w:rPr>
      </w:pPr>
      <w:r w:rsidRPr="00C55F87">
        <w:rPr>
          <w:noProof/>
        </w:rPr>
        <w:t>52.</w:t>
      </w:r>
      <w:r w:rsidRPr="00C55F87">
        <w:rPr>
          <w:noProof/>
        </w:rPr>
        <w:tab/>
        <w:t xml:space="preserve">Marcelot, O. and Magnan, P. From EBIC images to qualitative minority carrier diffusion length maps. </w:t>
      </w:r>
      <w:r w:rsidRPr="00C55F87">
        <w:rPr>
          <w:i/>
          <w:iCs/>
          <w:noProof/>
        </w:rPr>
        <w:t>Ultramicroscopy</w:t>
      </w:r>
      <w:r w:rsidRPr="00C55F87">
        <w:rPr>
          <w:noProof/>
        </w:rPr>
        <w:t xml:space="preserve"> 23–27 (2019). doi:10.1016/j.ultramic.2018.11.005</w:t>
      </w:r>
    </w:p>
    <w:p w14:paraId="4256BF30" w14:textId="77777777" w:rsidR="00C55F87" w:rsidRPr="00C55F87" w:rsidRDefault="00C55F87" w:rsidP="00F22EB6">
      <w:pPr>
        <w:autoSpaceDE w:val="0"/>
        <w:autoSpaceDN w:val="0"/>
        <w:adjustRightInd w:val="0"/>
        <w:rPr>
          <w:noProof/>
        </w:rPr>
      </w:pPr>
      <w:r w:rsidRPr="00C55F87">
        <w:rPr>
          <w:noProof/>
        </w:rPr>
        <w:t>53.</w:t>
      </w:r>
      <w:r w:rsidRPr="00C55F87">
        <w:rPr>
          <w:noProof/>
        </w:rPr>
        <w:tab/>
        <w:t xml:space="preserve">Wallentin, J. </w:t>
      </w:r>
      <w:r w:rsidRPr="00C55F87">
        <w:rPr>
          <w:i/>
          <w:iCs/>
          <w:noProof/>
        </w:rPr>
        <w:t>et al.</w:t>
      </w:r>
      <w:r w:rsidRPr="00C55F87">
        <w:rPr>
          <w:noProof/>
        </w:rPr>
        <w:t xml:space="preserve"> Hard X-ray detection using a single 100 nm diameter nanowire. </w:t>
      </w:r>
      <w:r w:rsidRPr="00C55F87">
        <w:rPr>
          <w:i/>
          <w:iCs/>
          <w:noProof/>
        </w:rPr>
        <w:t>Nano Letters</w:t>
      </w:r>
      <w:r w:rsidRPr="00C55F87">
        <w:rPr>
          <w:noProof/>
        </w:rPr>
        <w:t xml:space="preserve"> </w:t>
      </w:r>
      <w:r w:rsidRPr="00C55F87">
        <w:rPr>
          <w:b/>
          <w:bCs/>
          <w:noProof/>
        </w:rPr>
        <w:t>14</w:t>
      </w:r>
      <w:r w:rsidRPr="00C55F87">
        <w:rPr>
          <w:noProof/>
        </w:rPr>
        <w:t>, 7071–7076 (2014).</w:t>
      </w:r>
    </w:p>
    <w:p w14:paraId="3F5991FE" w14:textId="14EB91B6" w:rsidR="00F37393" w:rsidRPr="00E55954" w:rsidRDefault="00204256" w:rsidP="00F22EB6">
      <w:pPr>
        <w:autoSpaceDE w:val="0"/>
        <w:autoSpaceDN w:val="0"/>
        <w:adjustRightInd w:val="0"/>
        <w:rPr>
          <w:color w:val="808080"/>
        </w:rPr>
      </w:pPr>
      <w:r>
        <w:rPr>
          <w:color w:val="808080"/>
        </w:rPr>
        <w:fldChar w:fldCharType="end"/>
      </w:r>
    </w:p>
    <w:sectPr w:rsidR="00F37393" w:rsidRPr="00E55954" w:rsidSect="00023641">
      <w:headerReference w:type="default" r:id="rId13"/>
      <w:footerReference w:type="default" r:id="rId14"/>
      <w:headerReference w:type="first" r:id="rId15"/>
      <w:footerReference w:type="first" r:id="rId16"/>
      <w:pgSz w:w="12240" w:h="15840"/>
      <w:pgMar w:top="1440" w:right="1440" w:bottom="1440" w:left="1440" w:header="720" w:footer="605"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7CC89" w14:textId="77777777" w:rsidR="00200306" w:rsidRDefault="00200306">
      <w:r>
        <w:separator/>
      </w:r>
    </w:p>
  </w:endnote>
  <w:endnote w:type="continuationSeparator" w:id="0">
    <w:p w14:paraId="564B8CBF" w14:textId="77777777" w:rsidR="00200306" w:rsidRDefault="00200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Liberation Sans">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8CF63" w14:textId="609771A7" w:rsidR="00067EFD" w:rsidRDefault="00067EFD" w:rsidP="00774C46">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39F5C" w14:textId="77777777" w:rsidR="00067EFD" w:rsidRDefault="00067EFD">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E16A3" w14:textId="77777777" w:rsidR="00200306" w:rsidRDefault="00200306">
      <w:r>
        <w:separator/>
      </w:r>
    </w:p>
  </w:footnote>
  <w:footnote w:type="continuationSeparator" w:id="0">
    <w:p w14:paraId="53FC7309" w14:textId="77777777" w:rsidR="00200306" w:rsidRDefault="00200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46C94" w14:textId="77777777" w:rsidR="00067EFD" w:rsidRDefault="00067EFD">
    <w:pPr>
      <w:pBdr>
        <w:top w:val="nil"/>
        <w:left w:val="nil"/>
        <w:bottom w:val="nil"/>
        <w:right w:val="nil"/>
        <w:between w:val="nil"/>
      </w:pBdr>
      <w:tabs>
        <w:tab w:val="center" w:pos="4680"/>
        <w:tab w:val="left" w:pos="5724"/>
      </w:tabs>
      <w:rPr>
        <w:b/>
        <w:color w:val="1F497D"/>
        <w:sz w:val="28"/>
        <w:szCs w:val="28"/>
      </w:rPr>
    </w:pPr>
    <w:r>
      <w:rPr>
        <w:color w:val="000000"/>
        <w:sz w:val="22"/>
        <w:szCs w:val="22"/>
      </w:rPr>
      <w:tab/>
    </w:r>
    <w:r>
      <w:rPr>
        <w:color w:val="00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B883C" w14:textId="7D6D0571" w:rsidR="00067EFD" w:rsidRDefault="00067EFD">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r>
      <w:rPr>
        <w:noProof/>
        <w:lang w:val="de-DE"/>
      </w:rPr>
      <w:drawing>
        <wp:anchor distT="0" distB="0" distL="0" distR="0" simplePos="0" relativeHeight="251658240" behindDoc="0" locked="0" layoutInCell="1" hidden="0" allowOverlap="1" wp14:anchorId="6AB9774B" wp14:editId="68225B13">
          <wp:simplePos x="0" y="0"/>
          <wp:positionH relativeFrom="column">
            <wp:posOffset>0</wp:posOffset>
          </wp:positionH>
          <wp:positionV relativeFrom="paragraph">
            <wp:posOffset>-428624</wp:posOffset>
          </wp:positionV>
          <wp:extent cx="2843530" cy="934085"/>
          <wp:effectExtent l="0" t="0" r="0" b="0"/>
          <wp:wrapSquare wrapText="bothSides" distT="0" distB="0" distL="0" distR="0"/>
          <wp:docPr id="1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2843530" cy="9340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D1085"/>
    <w:multiLevelType w:val="hybridMultilevel"/>
    <w:tmpl w:val="B51CA580"/>
    <w:lvl w:ilvl="0" w:tplc="7BA012BA">
      <w:numFmt w:val="bullet"/>
      <w:lvlText w:val=""/>
      <w:lvlJc w:val="left"/>
      <w:pPr>
        <w:ind w:left="720" w:hanging="360"/>
      </w:pPr>
      <w:rPr>
        <w:rFonts w:ascii="Wingdings" w:eastAsia="Arial"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596E20"/>
    <w:multiLevelType w:val="hybridMultilevel"/>
    <w:tmpl w:val="E14E29E0"/>
    <w:lvl w:ilvl="0" w:tplc="4ED81DDC">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275217"/>
    <w:multiLevelType w:val="hybridMultilevel"/>
    <w:tmpl w:val="E22664F0"/>
    <w:lvl w:ilvl="0" w:tplc="921CD550">
      <w:start w:val="10"/>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53F00F1"/>
    <w:multiLevelType w:val="hybridMultilevel"/>
    <w:tmpl w:val="58ECD31A"/>
    <w:lvl w:ilvl="0" w:tplc="D35E777C">
      <w:numFmt w:val="bullet"/>
      <w:lvlText w:val=""/>
      <w:lvlJc w:val="left"/>
      <w:pPr>
        <w:ind w:left="720" w:hanging="360"/>
      </w:pPr>
      <w:rPr>
        <w:rFonts w:ascii="Wingdings" w:eastAsia="Arial"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A41E93"/>
    <w:multiLevelType w:val="multilevel"/>
    <w:tmpl w:val="39FCC2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B46F61"/>
    <w:multiLevelType w:val="multilevel"/>
    <w:tmpl w:val="3662BA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887C47"/>
    <w:multiLevelType w:val="multilevel"/>
    <w:tmpl w:val="3D4E2D4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996703"/>
    <w:multiLevelType w:val="hybridMultilevel"/>
    <w:tmpl w:val="92E259F2"/>
    <w:lvl w:ilvl="0" w:tplc="8E40D37A">
      <w:start w:val="1"/>
      <w:numFmt w:val="lowerLetter"/>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1D4C201B"/>
    <w:multiLevelType w:val="hybridMultilevel"/>
    <w:tmpl w:val="BCC43B44"/>
    <w:lvl w:ilvl="0" w:tplc="DE68E780">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E1F31E6"/>
    <w:multiLevelType w:val="multilevel"/>
    <w:tmpl w:val="EC3A105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1F0242BD"/>
    <w:multiLevelType w:val="hybridMultilevel"/>
    <w:tmpl w:val="74FEA7A8"/>
    <w:lvl w:ilvl="0" w:tplc="2626EC9A">
      <w:start w:val="10"/>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2060340"/>
    <w:multiLevelType w:val="multilevel"/>
    <w:tmpl w:val="B7ACCA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o"/>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38C750A"/>
    <w:multiLevelType w:val="multilevel"/>
    <w:tmpl w:val="C654FD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5817B07"/>
    <w:multiLevelType w:val="multilevel"/>
    <w:tmpl w:val="0E6236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8822AE9"/>
    <w:multiLevelType w:val="multilevel"/>
    <w:tmpl w:val="D64EF2F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2B812FE3"/>
    <w:multiLevelType w:val="hybridMultilevel"/>
    <w:tmpl w:val="75EC3B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4322436"/>
    <w:multiLevelType w:val="hybridMultilevel"/>
    <w:tmpl w:val="C3D2D966"/>
    <w:lvl w:ilvl="0" w:tplc="9E021F1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4BE16DE"/>
    <w:multiLevelType w:val="hybridMultilevel"/>
    <w:tmpl w:val="CF707DBA"/>
    <w:lvl w:ilvl="0" w:tplc="129ADE54">
      <w:start w:val="4"/>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6ED554F"/>
    <w:multiLevelType w:val="multilevel"/>
    <w:tmpl w:val="FD264C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84D3034"/>
    <w:multiLevelType w:val="multilevel"/>
    <w:tmpl w:val="DA1047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5B27E11"/>
    <w:multiLevelType w:val="hybridMultilevel"/>
    <w:tmpl w:val="1046BD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8D30DA2"/>
    <w:multiLevelType w:val="multilevel"/>
    <w:tmpl w:val="885491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AF260CE"/>
    <w:multiLevelType w:val="multilevel"/>
    <w:tmpl w:val="EE3AA6D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5A30354D"/>
    <w:multiLevelType w:val="hybridMultilevel"/>
    <w:tmpl w:val="0E063F52"/>
    <w:lvl w:ilvl="0" w:tplc="E35E0C30">
      <w:numFmt w:val="bullet"/>
      <w:lvlText w:val=""/>
      <w:lvlJc w:val="left"/>
      <w:pPr>
        <w:ind w:left="720" w:hanging="360"/>
      </w:pPr>
      <w:rPr>
        <w:rFonts w:ascii="Wingdings" w:eastAsia="Arial"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743122"/>
    <w:multiLevelType w:val="multilevel"/>
    <w:tmpl w:val="60EA7F0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FD0124"/>
    <w:multiLevelType w:val="multilevel"/>
    <w:tmpl w:val="030EA8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F272F4D"/>
    <w:multiLevelType w:val="multilevel"/>
    <w:tmpl w:val="C804F7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1D8566A"/>
    <w:multiLevelType w:val="multilevel"/>
    <w:tmpl w:val="E88E33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D6475F5"/>
    <w:multiLevelType w:val="multilevel"/>
    <w:tmpl w:val="215046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E894E1E"/>
    <w:multiLevelType w:val="multilevel"/>
    <w:tmpl w:val="25DCC9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EEE5F2D"/>
    <w:multiLevelType w:val="hybridMultilevel"/>
    <w:tmpl w:val="51BAE6A0"/>
    <w:lvl w:ilvl="0" w:tplc="188C07B0">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078045E"/>
    <w:multiLevelType w:val="multilevel"/>
    <w:tmpl w:val="54049C0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2" w15:restartNumberingAfterBreak="0">
    <w:nsid w:val="7DD80EDE"/>
    <w:multiLevelType w:val="multilevel"/>
    <w:tmpl w:val="2EC83ADE"/>
    <w:lvl w:ilvl="0">
      <w:start w:val="1"/>
      <w:numFmt w:val="bullet"/>
      <w:lvlText w:val=""/>
      <w:lvlJc w:val="left"/>
      <w:pPr>
        <w:ind w:left="900" w:hanging="360"/>
      </w:pPr>
      <w:rPr>
        <w:sz w:val="24"/>
        <w:szCs w:val="24"/>
      </w:rPr>
    </w:lvl>
    <w:lvl w:ilvl="1">
      <w:start w:val="1"/>
      <w:numFmt w:val="bullet"/>
      <w:lvlText w:val="o"/>
      <w:lvlJc w:val="left"/>
      <w:pPr>
        <w:ind w:left="162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
      <w:lvlJc w:val="left"/>
      <w:pPr>
        <w:ind w:left="4320" w:hanging="360"/>
      </w:pPr>
      <w:rPr>
        <w:rFonts w:ascii="Noto Sans Symbols" w:eastAsia="Noto Sans Symbols" w:hAnsi="Noto Sans Symbols" w:cs="Noto Sans Symbols"/>
      </w:rPr>
    </w:lvl>
    <w:lvl w:ilvl="5">
      <w:start w:val="1"/>
      <w:numFmt w:val="bullet"/>
      <w:lvlText w:val="●"/>
      <w:lvlJc w:val="left"/>
      <w:pPr>
        <w:ind w:left="522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
      <w:lvlJc w:val="left"/>
      <w:pPr>
        <w:ind w:left="7020" w:hanging="360"/>
      </w:pPr>
      <w:rPr>
        <w:rFonts w:ascii="Noto Sans Symbols" w:eastAsia="Noto Sans Symbols" w:hAnsi="Noto Sans Symbols" w:cs="Noto Sans Symbols"/>
      </w:rPr>
    </w:lvl>
    <w:lvl w:ilvl="8">
      <w:start w:val="1"/>
      <w:numFmt w:val="bullet"/>
      <w:lvlText w:val="●"/>
      <w:lvlJc w:val="left"/>
      <w:pPr>
        <w:ind w:left="7920" w:hanging="360"/>
      </w:pPr>
      <w:rPr>
        <w:rFonts w:ascii="Noto Sans Symbols" w:eastAsia="Noto Sans Symbols" w:hAnsi="Noto Sans Symbols" w:cs="Noto Sans Symbols"/>
      </w:rPr>
    </w:lvl>
  </w:abstractNum>
  <w:num w:numId="1">
    <w:abstractNumId w:val="26"/>
  </w:num>
  <w:num w:numId="2">
    <w:abstractNumId w:val="5"/>
  </w:num>
  <w:num w:numId="3">
    <w:abstractNumId w:val="19"/>
  </w:num>
  <w:num w:numId="4">
    <w:abstractNumId w:val="25"/>
  </w:num>
  <w:num w:numId="5">
    <w:abstractNumId w:val="18"/>
  </w:num>
  <w:num w:numId="6">
    <w:abstractNumId w:val="9"/>
  </w:num>
  <w:num w:numId="7">
    <w:abstractNumId w:val="12"/>
  </w:num>
  <w:num w:numId="8">
    <w:abstractNumId w:val="29"/>
  </w:num>
  <w:num w:numId="9">
    <w:abstractNumId w:val="28"/>
  </w:num>
  <w:num w:numId="10">
    <w:abstractNumId w:val="32"/>
  </w:num>
  <w:num w:numId="11">
    <w:abstractNumId w:val="27"/>
  </w:num>
  <w:num w:numId="12">
    <w:abstractNumId w:val="13"/>
  </w:num>
  <w:num w:numId="13">
    <w:abstractNumId w:val="21"/>
  </w:num>
  <w:num w:numId="14">
    <w:abstractNumId w:val="4"/>
  </w:num>
  <w:num w:numId="15">
    <w:abstractNumId w:val="31"/>
  </w:num>
  <w:num w:numId="16">
    <w:abstractNumId w:val="14"/>
  </w:num>
  <w:num w:numId="17">
    <w:abstractNumId w:val="22"/>
  </w:num>
  <w:num w:numId="18">
    <w:abstractNumId w:val="11"/>
  </w:num>
  <w:num w:numId="19">
    <w:abstractNumId w:val="1"/>
  </w:num>
  <w:num w:numId="20">
    <w:abstractNumId w:val="24"/>
  </w:num>
  <w:num w:numId="21">
    <w:abstractNumId w:val="6"/>
  </w:num>
  <w:num w:numId="22">
    <w:abstractNumId w:val="15"/>
  </w:num>
  <w:num w:numId="23">
    <w:abstractNumId w:val="3"/>
  </w:num>
  <w:num w:numId="24">
    <w:abstractNumId w:val="23"/>
  </w:num>
  <w:num w:numId="25">
    <w:abstractNumId w:val="0"/>
  </w:num>
  <w:num w:numId="26">
    <w:abstractNumId w:val="16"/>
  </w:num>
  <w:num w:numId="27">
    <w:abstractNumId w:val="8"/>
  </w:num>
  <w:num w:numId="28">
    <w:abstractNumId w:val="20"/>
  </w:num>
  <w:num w:numId="29">
    <w:abstractNumId w:val="7"/>
  </w:num>
  <w:num w:numId="30">
    <w:abstractNumId w:val="30"/>
  </w:num>
  <w:num w:numId="31">
    <w:abstractNumId w:val="17"/>
  </w:num>
  <w:num w:numId="32">
    <w:abstractNumId w:val="2"/>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0EDC"/>
    <w:rsid w:val="0000322D"/>
    <w:rsid w:val="000037A4"/>
    <w:rsid w:val="00004D96"/>
    <w:rsid w:val="000144CF"/>
    <w:rsid w:val="000154BA"/>
    <w:rsid w:val="00017571"/>
    <w:rsid w:val="00017645"/>
    <w:rsid w:val="00017693"/>
    <w:rsid w:val="00017D32"/>
    <w:rsid w:val="00023641"/>
    <w:rsid w:val="00023E4B"/>
    <w:rsid w:val="000245AD"/>
    <w:rsid w:val="0002525E"/>
    <w:rsid w:val="00031A70"/>
    <w:rsid w:val="00034DB6"/>
    <w:rsid w:val="00034F93"/>
    <w:rsid w:val="00037984"/>
    <w:rsid w:val="00041C22"/>
    <w:rsid w:val="00044A5E"/>
    <w:rsid w:val="00044B6E"/>
    <w:rsid w:val="00050C1E"/>
    <w:rsid w:val="00051E4A"/>
    <w:rsid w:val="0005517F"/>
    <w:rsid w:val="000557C6"/>
    <w:rsid w:val="00056D75"/>
    <w:rsid w:val="000577A3"/>
    <w:rsid w:val="000605DB"/>
    <w:rsid w:val="00061E75"/>
    <w:rsid w:val="00067EFD"/>
    <w:rsid w:val="00070698"/>
    <w:rsid w:val="00073260"/>
    <w:rsid w:val="00075924"/>
    <w:rsid w:val="00076516"/>
    <w:rsid w:val="00082BFF"/>
    <w:rsid w:val="000846F6"/>
    <w:rsid w:val="00086344"/>
    <w:rsid w:val="000905CA"/>
    <w:rsid w:val="00090D01"/>
    <w:rsid w:val="00091C36"/>
    <w:rsid w:val="00092CA8"/>
    <w:rsid w:val="0009589B"/>
    <w:rsid w:val="000A72D3"/>
    <w:rsid w:val="000B013D"/>
    <w:rsid w:val="000B14D3"/>
    <w:rsid w:val="000B270C"/>
    <w:rsid w:val="000B2979"/>
    <w:rsid w:val="000B59EF"/>
    <w:rsid w:val="000B6697"/>
    <w:rsid w:val="000B7920"/>
    <w:rsid w:val="000C52F6"/>
    <w:rsid w:val="000C79D7"/>
    <w:rsid w:val="000D1A4E"/>
    <w:rsid w:val="000D26EC"/>
    <w:rsid w:val="000D29E0"/>
    <w:rsid w:val="000D328F"/>
    <w:rsid w:val="000D3E19"/>
    <w:rsid w:val="000D5C14"/>
    <w:rsid w:val="000D6A05"/>
    <w:rsid w:val="000D746A"/>
    <w:rsid w:val="000E43DA"/>
    <w:rsid w:val="000E4AAE"/>
    <w:rsid w:val="000F1B64"/>
    <w:rsid w:val="000F26BE"/>
    <w:rsid w:val="000F40DA"/>
    <w:rsid w:val="000F76FE"/>
    <w:rsid w:val="00100CA4"/>
    <w:rsid w:val="00101967"/>
    <w:rsid w:val="001035D9"/>
    <w:rsid w:val="00105A60"/>
    <w:rsid w:val="00105B9E"/>
    <w:rsid w:val="00106BF5"/>
    <w:rsid w:val="0011341B"/>
    <w:rsid w:val="0011354B"/>
    <w:rsid w:val="0011745A"/>
    <w:rsid w:val="00117BC9"/>
    <w:rsid w:val="0012123A"/>
    <w:rsid w:val="00126969"/>
    <w:rsid w:val="00131376"/>
    <w:rsid w:val="00132A85"/>
    <w:rsid w:val="00133765"/>
    <w:rsid w:val="00134DF5"/>
    <w:rsid w:val="00135764"/>
    <w:rsid w:val="00137E41"/>
    <w:rsid w:val="0014137C"/>
    <w:rsid w:val="00142399"/>
    <w:rsid w:val="00143148"/>
    <w:rsid w:val="001438B0"/>
    <w:rsid w:val="0014585B"/>
    <w:rsid w:val="00147778"/>
    <w:rsid w:val="00155F86"/>
    <w:rsid w:val="00156795"/>
    <w:rsid w:val="001575C0"/>
    <w:rsid w:val="001604D8"/>
    <w:rsid w:val="0016198A"/>
    <w:rsid w:val="0016210D"/>
    <w:rsid w:val="00162345"/>
    <w:rsid w:val="00162DEE"/>
    <w:rsid w:val="001652DA"/>
    <w:rsid w:val="001663CA"/>
    <w:rsid w:val="001675AE"/>
    <w:rsid w:val="00167AA3"/>
    <w:rsid w:val="00172B31"/>
    <w:rsid w:val="00174ABE"/>
    <w:rsid w:val="00176789"/>
    <w:rsid w:val="0017724E"/>
    <w:rsid w:val="00180D3A"/>
    <w:rsid w:val="001814C0"/>
    <w:rsid w:val="001840C3"/>
    <w:rsid w:val="00185870"/>
    <w:rsid w:val="0019097C"/>
    <w:rsid w:val="00190EBA"/>
    <w:rsid w:val="00191DED"/>
    <w:rsid w:val="00191FA4"/>
    <w:rsid w:val="001946C8"/>
    <w:rsid w:val="001A0F87"/>
    <w:rsid w:val="001A2A03"/>
    <w:rsid w:val="001A57E7"/>
    <w:rsid w:val="001A6B0A"/>
    <w:rsid w:val="001A7385"/>
    <w:rsid w:val="001A780A"/>
    <w:rsid w:val="001B0305"/>
    <w:rsid w:val="001B119C"/>
    <w:rsid w:val="001B1520"/>
    <w:rsid w:val="001B5A1E"/>
    <w:rsid w:val="001C3D9E"/>
    <w:rsid w:val="001C431B"/>
    <w:rsid w:val="001C4616"/>
    <w:rsid w:val="001D082B"/>
    <w:rsid w:val="001D0937"/>
    <w:rsid w:val="001D0BF4"/>
    <w:rsid w:val="001D2B48"/>
    <w:rsid w:val="001D3C49"/>
    <w:rsid w:val="001D4DBE"/>
    <w:rsid w:val="001D5B2A"/>
    <w:rsid w:val="001E1556"/>
    <w:rsid w:val="001E2F6B"/>
    <w:rsid w:val="001E7A73"/>
    <w:rsid w:val="001F01BC"/>
    <w:rsid w:val="001F3D68"/>
    <w:rsid w:val="001F3D6A"/>
    <w:rsid w:val="001F4D11"/>
    <w:rsid w:val="001F6748"/>
    <w:rsid w:val="001F6E2E"/>
    <w:rsid w:val="001F73A2"/>
    <w:rsid w:val="001F7A15"/>
    <w:rsid w:val="00200306"/>
    <w:rsid w:val="0020071F"/>
    <w:rsid w:val="00201568"/>
    <w:rsid w:val="00201BD5"/>
    <w:rsid w:val="00204256"/>
    <w:rsid w:val="00204989"/>
    <w:rsid w:val="00207023"/>
    <w:rsid w:val="00207FBF"/>
    <w:rsid w:val="00210BE6"/>
    <w:rsid w:val="00211462"/>
    <w:rsid w:val="002123D1"/>
    <w:rsid w:val="00213514"/>
    <w:rsid w:val="00217C71"/>
    <w:rsid w:val="00222A2B"/>
    <w:rsid w:val="00222CC3"/>
    <w:rsid w:val="00225F05"/>
    <w:rsid w:val="002272A8"/>
    <w:rsid w:val="00231C10"/>
    <w:rsid w:val="002322C4"/>
    <w:rsid w:val="00234344"/>
    <w:rsid w:val="002377D7"/>
    <w:rsid w:val="00241EE6"/>
    <w:rsid w:val="00246CA2"/>
    <w:rsid w:val="00250AB8"/>
    <w:rsid w:val="00251518"/>
    <w:rsid w:val="002519FA"/>
    <w:rsid w:val="00251F3E"/>
    <w:rsid w:val="002544AA"/>
    <w:rsid w:val="002550F0"/>
    <w:rsid w:val="00255998"/>
    <w:rsid w:val="00256EBB"/>
    <w:rsid w:val="00261154"/>
    <w:rsid w:val="0026144B"/>
    <w:rsid w:val="00262541"/>
    <w:rsid w:val="00267995"/>
    <w:rsid w:val="00270665"/>
    <w:rsid w:val="00271347"/>
    <w:rsid w:val="00271F54"/>
    <w:rsid w:val="00272C29"/>
    <w:rsid w:val="00272F44"/>
    <w:rsid w:val="00276EEA"/>
    <w:rsid w:val="00286826"/>
    <w:rsid w:val="00291203"/>
    <w:rsid w:val="002941AB"/>
    <w:rsid w:val="00294AC2"/>
    <w:rsid w:val="0029714F"/>
    <w:rsid w:val="002A23B8"/>
    <w:rsid w:val="002A4238"/>
    <w:rsid w:val="002A4A21"/>
    <w:rsid w:val="002A6498"/>
    <w:rsid w:val="002A6CB2"/>
    <w:rsid w:val="002B02F9"/>
    <w:rsid w:val="002B18B6"/>
    <w:rsid w:val="002B1DED"/>
    <w:rsid w:val="002B1DF1"/>
    <w:rsid w:val="002B2294"/>
    <w:rsid w:val="002B292F"/>
    <w:rsid w:val="002B5736"/>
    <w:rsid w:val="002B6A8F"/>
    <w:rsid w:val="002B75A3"/>
    <w:rsid w:val="002B7ECE"/>
    <w:rsid w:val="002C1FE9"/>
    <w:rsid w:val="002C3C1C"/>
    <w:rsid w:val="002C5A71"/>
    <w:rsid w:val="002C67BA"/>
    <w:rsid w:val="002D2B44"/>
    <w:rsid w:val="002D2C80"/>
    <w:rsid w:val="002D4906"/>
    <w:rsid w:val="002D4907"/>
    <w:rsid w:val="002D4AFA"/>
    <w:rsid w:val="002E0AAD"/>
    <w:rsid w:val="002E0D22"/>
    <w:rsid w:val="002E2690"/>
    <w:rsid w:val="002F20C1"/>
    <w:rsid w:val="002F2BB7"/>
    <w:rsid w:val="002F32B2"/>
    <w:rsid w:val="002F53D3"/>
    <w:rsid w:val="002F6207"/>
    <w:rsid w:val="002F75B5"/>
    <w:rsid w:val="002F7DD2"/>
    <w:rsid w:val="00300FA2"/>
    <w:rsid w:val="003025F6"/>
    <w:rsid w:val="00302FBF"/>
    <w:rsid w:val="003045C5"/>
    <w:rsid w:val="00304EB0"/>
    <w:rsid w:val="00306536"/>
    <w:rsid w:val="0030702E"/>
    <w:rsid w:val="00313609"/>
    <w:rsid w:val="00313BB0"/>
    <w:rsid w:val="00314D50"/>
    <w:rsid w:val="0031612C"/>
    <w:rsid w:val="00316301"/>
    <w:rsid w:val="00317AB7"/>
    <w:rsid w:val="00321596"/>
    <w:rsid w:val="00321C56"/>
    <w:rsid w:val="00321DA4"/>
    <w:rsid w:val="00321FBB"/>
    <w:rsid w:val="0032575A"/>
    <w:rsid w:val="00330D1C"/>
    <w:rsid w:val="00335BC7"/>
    <w:rsid w:val="003378DB"/>
    <w:rsid w:val="003401AF"/>
    <w:rsid w:val="00340C31"/>
    <w:rsid w:val="0034288C"/>
    <w:rsid w:val="00344B5B"/>
    <w:rsid w:val="00345B5E"/>
    <w:rsid w:val="00347A8F"/>
    <w:rsid w:val="003506B1"/>
    <w:rsid w:val="0035145A"/>
    <w:rsid w:val="00351787"/>
    <w:rsid w:val="0035219D"/>
    <w:rsid w:val="0035412E"/>
    <w:rsid w:val="00355460"/>
    <w:rsid w:val="00355780"/>
    <w:rsid w:val="00357B14"/>
    <w:rsid w:val="003601AE"/>
    <w:rsid w:val="00361626"/>
    <w:rsid w:val="0036240F"/>
    <w:rsid w:val="00362F1D"/>
    <w:rsid w:val="00363020"/>
    <w:rsid w:val="00363C0D"/>
    <w:rsid w:val="0036510A"/>
    <w:rsid w:val="00365F33"/>
    <w:rsid w:val="003712F0"/>
    <w:rsid w:val="00372D2E"/>
    <w:rsid w:val="00373BE0"/>
    <w:rsid w:val="003751F5"/>
    <w:rsid w:val="00377BB0"/>
    <w:rsid w:val="003801DE"/>
    <w:rsid w:val="00380755"/>
    <w:rsid w:val="0038123D"/>
    <w:rsid w:val="003830BE"/>
    <w:rsid w:val="00383534"/>
    <w:rsid w:val="00383649"/>
    <w:rsid w:val="0038538D"/>
    <w:rsid w:val="00385617"/>
    <w:rsid w:val="00385E18"/>
    <w:rsid w:val="00387FC4"/>
    <w:rsid w:val="00390071"/>
    <w:rsid w:val="00391FC8"/>
    <w:rsid w:val="00392CA2"/>
    <w:rsid w:val="003959B6"/>
    <w:rsid w:val="00396428"/>
    <w:rsid w:val="00397320"/>
    <w:rsid w:val="0039779A"/>
    <w:rsid w:val="003A0A11"/>
    <w:rsid w:val="003A17E3"/>
    <w:rsid w:val="003A27DC"/>
    <w:rsid w:val="003A3F63"/>
    <w:rsid w:val="003A62BB"/>
    <w:rsid w:val="003A7E39"/>
    <w:rsid w:val="003B1500"/>
    <w:rsid w:val="003B1885"/>
    <w:rsid w:val="003B6436"/>
    <w:rsid w:val="003B6B9E"/>
    <w:rsid w:val="003B6E2D"/>
    <w:rsid w:val="003B7090"/>
    <w:rsid w:val="003B74AB"/>
    <w:rsid w:val="003C12B9"/>
    <w:rsid w:val="003C1C33"/>
    <w:rsid w:val="003C4CE2"/>
    <w:rsid w:val="003C7910"/>
    <w:rsid w:val="003C7975"/>
    <w:rsid w:val="003D1F1A"/>
    <w:rsid w:val="003D213F"/>
    <w:rsid w:val="003D2185"/>
    <w:rsid w:val="003D2445"/>
    <w:rsid w:val="003D2917"/>
    <w:rsid w:val="003D6B31"/>
    <w:rsid w:val="003D6DA3"/>
    <w:rsid w:val="003D779A"/>
    <w:rsid w:val="003E1596"/>
    <w:rsid w:val="003E1BA6"/>
    <w:rsid w:val="003E2801"/>
    <w:rsid w:val="003E7915"/>
    <w:rsid w:val="003F55E8"/>
    <w:rsid w:val="00402CDC"/>
    <w:rsid w:val="004037FF"/>
    <w:rsid w:val="004045DB"/>
    <w:rsid w:val="00405354"/>
    <w:rsid w:val="0041022C"/>
    <w:rsid w:val="00411FD1"/>
    <w:rsid w:val="00412624"/>
    <w:rsid w:val="00412C43"/>
    <w:rsid w:val="00413517"/>
    <w:rsid w:val="00416AE3"/>
    <w:rsid w:val="0042122B"/>
    <w:rsid w:val="00422815"/>
    <w:rsid w:val="0042381C"/>
    <w:rsid w:val="004255BC"/>
    <w:rsid w:val="004263E5"/>
    <w:rsid w:val="00431249"/>
    <w:rsid w:val="00431DEE"/>
    <w:rsid w:val="00433FEB"/>
    <w:rsid w:val="00434F66"/>
    <w:rsid w:val="00435BC6"/>
    <w:rsid w:val="004411B6"/>
    <w:rsid w:val="004414C2"/>
    <w:rsid w:val="004419F7"/>
    <w:rsid w:val="00441C64"/>
    <w:rsid w:val="0044220E"/>
    <w:rsid w:val="0044307E"/>
    <w:rsid w:val="00443875"/>
    <w:rsid w:val="0044433A"/>
    <w:rsid w:val="004446F4"/>
    <w:rsid w:val="00445C39"/>
    <w:rsid w:val="00447B38"/>
    <w:rsid w:val="00447E64"/>
    <w:rsid w:val="00447EB8"/>
    <w:rsid w:val="004501E0"/>
    <w:rsid w:val="0045191A"/>
    <w:rsid w:val="00451CD2"/>
    <w:rsid w:val="00454ACC"/>
    <w:rsid w:val="00455689"/>
    <w:rsid w:val="00456091"/>
    <w:rsid w:val="00456DC9"/>
    <w:rsid w:val="004575A7"/>
    <w:rsid w:val="00457697"/>
    <w:rsid w:val="00460BE3"/>
    <w:rsid w:val="00462CDE"/>
    <w:rsid w:val="00463BAC"/>
    <w:rsid w:val="00470F87"/>
    <w:rsid w:val="00473868"/>
    <w:rsid w:val="00474608"/>
    <w:rsid w:val="00475F7C"/>
    <w:rsid w:val="004774AA"/>
    <w:rsid w:val="00484F98"/>
    <w:rsid w:val="004902C7"/>
    <w:rsid w:val="004929CE"/>
    <w:rsid w:val="00492D56"/>
    <w:rsid w:val="00494E07"/>
    <w:rsid w:val="00497D95"/>
    <w:rsid w:val="004A22E8"/>
    <w:rsid w:val="004A2684"/>
    <w:rsid w:val="004A3F7E"/>
    <w:rsid w:val="004A749A"/>
    <w:rsid w:val="004B0F9B"/>
    <w:rsid w:val="004B2FA5"/>
    <w:rsid w:val="004B5214"/>
    <w:rsid w:val="004B609A"/>
    <w:rsid w:val="004B734F"/>
    <w:rsid w:val="004B7A81"/>
    <w:rsid w:val="004C1909"/>
    <w:rsid w:val="004C268A"/>
    <w:rsid w:val="004C2B58"/>
    <w:rsid w:val="004C4038"/>
    <w:rsid w:val="004C54D7"/>
    <w:rsid w:val="004C5CC5"/>
    <w:rsid w:val="004C75CE"/>
    <w:rsid w:val="004D24B7"/>
    <w:rsid w:val="004D2A14"/>
    <w:rsid w:val="004D44A7"/>
    <w:rsid w:val="004D478C"/>
    <w:rsid w:val="004D65EF"/>
    <w:rsid w:val="004E015E"/>
    <w:rsid w:val="004E3EA6"/>
    <w:rsid w:val="004E6B50"/>
    <w:rsid w:val="004E6CCB"/>
    <w:rsid w:val="004F146D"/>
    <w:rsid w:val="004F3287"/>
    <w:rsid w:val="004F460B"/>
    <w:rsid w:val="004F502D"/>
    <w:rsid w:val="004F6D6D"/>
    <w:rsid w:val="004F7503"/>
    <w:rsid w:val="00501F59"/>
    <w:rsid w:val="0050213B"/>
    <w:rsid w:val="00503A14"/>
    <w:rsid w:val="00504264"/>
    <w:rsid w:val="00505A81"/>
    <w:rsid w:val="0050660D"/>
    <w:rsid w:val="005107EE"/>
    <w:rsid w:val="00512C26"/>
    <w:rsid w:val="005131A0"/>
    <w:rsid w:val="00516DB8"/>
    <w:rsid w:val="00522B05"/>
    <w:rsid w:val="00522F04"/>
    <w:rsid w:val="005305CB"/>
    <w:rsid w:val="00532082"/>
    <w:rsid w:val="00533747"/>
    <w:rsid w:val="00536D96"/>
    <w:rsid w:val="00537A9B"/>
    <w:rsid w:val="005405A1"/>
    <w:rsid w:val="00541330"/>
    <w:rsid w:val="0054281D"/>
    <w:rsid w:val="00542FF8"/>
    <w:rsid w:val="0054320A"/>
    <w:rsid w:val="00544009"/>
    <w:rsid w:val="0054722E"/>
    <w:rsid w:val="00547453"/>
    <w:rsid w:val="00552035"/>
    <w:rsid w:val="00552A3E"/>
    <w:rsid w:val="0055381D"/>
    <w:rsid w:val="00554A7D"/>
    <w:rsid w:val="0055735A"/>
    <w:rsid w:val="005614F0"/>
    <w:rsid w:val="00562798"/>
    <w:rsid w:val="00562E2F"/>
    <w:rsid w:val="00562F09"/>
    <w:rsid w:val="00564A7E"/>
    <w:rsid w:val="00566297"/>
    <w:rsid w:val="005669FA"/>
    <w:rsid w:val="00567212"/>
    <w:rsid w:val="00567889"/>
    <w:rsid w:val="00570235"/>
    <w:rsid w:val="0057115C"/>
    <w:rsid w:val="00572DE0"/>
    <w:rsid w:val="00576353"/>
    <w:rsid w:val="00576895"/>
    <w:rsid w:val="0058056A"/>
    <w:rsid w:val="005808DC"/>
    <w:rsid w:val="00583A1C"/>
    <w:rsid w:val="0058446F"/>
    <w:rsid w:val="00584A70"/>
    <w:rsid w:val="00585288"/>
    <w:rsid w:val="005867FC"/>
    <w:rsid w:val="005926C3"/>
    <w:rsid w:val="005933AB"/>
    <w:rsid w:val="005936C9"/>
    <w:rsid w:val="00594CBE"/>
    <w:rsid w:val="00595089"/>
    <w:rsid w:val="00597B67"/>
    <w:rsid w:val="00597E44"/>
    <w:rsid w:val="005A1427"/>
    <w:rsid w:val="005A2E99"/>
    <w:rsid w:val="005A67B0"/>
    <w:rsid w:val="005A7805"/>
    <w:rsid w:val="005B28B3"/>
    <w:rsid w:val="005B320E"/>
    <w:rsid w:val="005B38CF"/>
    <w:rsid w:val="005C11F5"/>
    <w:rsid w:val="005C2446"/>
    <w:rsid w:val="005C5B6B"/>
    <w:rsid w:val="005D0FB9"/>
    <w:rsid w:val="005D303E"/>
    <w:rsid w:val="005D3C4C"/>
    <w:rsid w:val="005D42AE"/>
    <w:rsid w:val="005D5762"/>
    <w:rsid w:val="005D5F78"/>
    <w:rsid w:val="005E044F"/>
    <w:rsid w:val="005E0E4E"/>
    <w:rsid w:val="005E1C22"/>
    <w:rsid w:val="005E327E"/>
    <w:rsid w:val="005E50BC"/>
    <w:rsid w:val="005E5BA9"/>
    <w:rsid w:val="005E6486"/>
    <w:rsid w:val="005E73C6"/>
    <w:rsid w:val="005E7A9A"/>
    <w:rsid w:val="005F1D34"/>
    <w:rsid w:val="005F3024"/>
    <w:rsid w:val="006027E1"/>
    <w:rsid w:val="006034CB"/>
    <w:rsid w:val="00603CBA"/>
    <w:rsid w:val="00603E16"/>
    <w:rsid w:val="006047E4"/>
    <w:rsid w:val="0060755D"/>
    <w:rsid w:val="006079B2"/>
    <w:rsid w:val="00611941"/>
    <w:rsid w:val="00612FC5"/>
    <w:rsid w:val="0061403E"/>
    <w:rsid w:val="006175BB"/>
    <w:rsid w:val="006234E4"/>
    <w:rsid w:val="00624E76"/>
    <w:rsid w:val="006252EB"/>
    <w:rsid w:val="00625389"/>
    <w:rsid w:val="00625B9B"/>
    <w:rsid w:val="006268A0"/>
    <w:rsid w:val="00627DF7"/>
    <w:rsid w:val="00630C9C"/>
    <w:rsid w:val="00630D09"/>
    <w:rsid w:val="00630DA9"/>
    <w:rsid w:val="006315BE"/>
    <w:rsid w:val="0064412A"/>
    <w:rsid w:val="006449FC"/>
    <w:rsid w:val="006450E9"/>
    <w:rsid w:val="00646446"/>
    <w:rsid w:val="00646A90"/>
    <w:rsid w:val="0064742A"/>
    <w:rsid w:val="006514DB"/>
    <w:rsid w:val="00651CC1"/>
    <w:rsid w:val="00651CEA"/>
    <w:rsid w:val="00652853"/>
    <w:rsid w:val="00657DF3"/>
    <w:rsid w:val="00662407"/>
    <w:rsid w:val="00663C5F"/>
    <w:rsid w:val="00664893"/>
    <w:rsid w:val="006653AB"/>
    <w:rsid w:val="0066576C"/>
    <w:rsid w:val="00665D43"/>
    <w:rsid w:val="00667058"/>
    <w:rsid w:val="006671F6"/>
    <w:rsid w:val="00670C59"/>
    <w:rsid w:val="00671140"/>
    <w:rsid w:val="00671631"/>
    <w:rsid w:val="006724D7"/>
    <w:rsid w:val="00680325"/>
    <w:rsid w:val="00681C8A"/>
    <w:rsid w:val="00683238"/>
    <w:rsid w:val="00685670"/>
    <w:rsid w:val="006915E1"/>
    <w:rsid w:val="00691B49"/>
    <w:rsid w:val="00694F84"/>
    <w:rsid w:val="006972D8"/>
    <w:rsid w:val="006A096F"/>
    <w:rsid w:val="006A2E9F"/>
    <w:rsid w:val="006A4E91"/>
    <w:rsid w:val="006A60EF"/>
    <w:rsid w:val="006B03DB"/>
    <w:rsid w:val="006B06C1"/>
    <w:rsid w:val="006B0716"/>
    <w:rsid w:val="006B1F24"/>
    <w:rsid w:val="006B36B1"/>
    <w:rsid w:val="006B4822"/>
    <w:rsid w:val="006B4F3C"/>
    <w:rsid w:val="006B7E35"/>
    <w:rsid w:val="006C118C"/>
    <w:rsid w:val="006C1432"/>
    <w:rsid w:val="006C3378"/>
    <w:rsid w:val="006C3D72"/>
    <w:rsid w:val="006C50E0"/>
    <w:rsid w:val="006C53C1"/>
    <w:rsid w:val="006D1531"/>
    <w:rsid w:val="006D1D5B"/>
    <w:rsid w:val="006D2F1F"/>
    <w:rsid w:val="006D3577"/>
    <w:rsid w:val="006D4260"/>
    <w:rsid w:val="006E0E97"/>
    <w:rsid w:val="006E1FAD"/>
    <w:rsid w:val="006E2783"/>
    <w:rsid w:val="006E7AFE"/>
    <w:rsid w:val="006F1B90"/>
    <w:rsid w:val="006F1E41"/>
    <w:rsid w:val="006F4531"/>
    <w:rsid w:val="006F7B3E"/>
    <w:rsid w:val="00700639"/>
    <w:rsid w:val="00700CAE"/>
    <w:rsid w:val="00702266"/>
    <w:rsid w:val="00702BBF"/>
    <w:rsid w:val="0070365C"/>
    <w:rsid w:val="007124E3"/>
    <w:rsid w:val="0071576C"/>
    <w:rsid w:val="00715A87"/>
    <w:rsid w:val="007218F4"/>
    <w:rsid w:val="00723678"/>
    <w:rsid w:val="0072425C"/>
    <w:rsid w:val="0072429E"/>
    <w:rsid w:val="0072499A"/>
    <w:rsid w:val="00726F8B"/>
    <w:rsid w:val="00731360"/>
    <w:rsid w:val="00731C4E"/>
    <w:rsid w:val="00733884"/>
    <w:rsid w:val="00736D79"/>
    <w:rsid w:val="007425B0"/>
    <w:rsid w:val="00745965"/>
    <w:rsid w:val="007469BC"/>
    <w:rsid w:val="00751EED"/>
    <w:rsid w:val="00756094"/>
    <w:rsid w:val="00756D2A"/>
    <w:rsid w:val="00765623"/>
    <w:rsid w:val="007661F9"/>
    <w:rsid w:val="007665F5"/>
    <w:rsid w:val="00766D4F"/>
    <w:rsid w:val="00766FE2"/>
    <w:rsid w:val="0076758E"/>
    <w:rsid w:val="0077054E"/>
    <w:rsid w:val="007712E4"/>
    <w:rsid w:val="00771384"/>
    <w:rsid w:val="00771FD8"/>
    <w:rsid w:val="00771FEA"/>
    <w:rsid w:val="007728D2"/>
    <w:rsid w:val="007731A9"/>
    <w:rsid w:val="00774812"/>
    <w:rsid w:val="00774C46"/>
    <w:rsid w:val="0077648A"/>
    <w:rsid w:val="007770B1"/>
    <w:rsid w:val="007817B6"/>
    <w:rsid w:val="00781BF0"/>
    <w:rsid w:val="00783DBB"/>
    <w:rsid w:val="00784A51"/>
    <w:rsid w:val="00785C15"/>
    <w:rsid w:val="00785C22"/>
    <w:rsid w:val="00791F1D"/>
    <w:rsid w:val="00792278"/>
    <w:rsid w:val="0079543E"/>
    <w:rsid w:val="00796E9E"/>
    <w:rsid w:val="00796F0B"/>
    <w:rsid w:val="00797DE0"/>
    <w:rsid w:val="007A2F2D"/>
    <w:rsid w:val="007A685E"/>
    <w:rsid w:val="007A6F89"/>
    <w:rsid w:val="007A71D5"/>
    <w:rsid w:val="007A79D8"/>
    <w:rsid w:val="007B42AB"/>
    <w:rsid w:val="007B440C"/>
    <w:rsid w:val="007B58D7"/>
    <w:rsid w:val="007B75C7"/>
    <w:rsid w:val="007B76AB"/>
    <w:rsid w:val="007C0A3F"/>
    <w:rsid w:val="007C0C92"/>
    <w:rsid w:val="007C266A"/>
    <w:rsid w:val="007C30C8"/>
    <w:rsid w:val="007C3BF0"/>
    <w:rsid w:val="007C3ED6"/>
    <w:rsid w:val="007C696B"/>
    <w:rsid w:val="007C69EF"/>
    <w:rsid w:val="007C6AEC"/>
    <w:rsid w:val="007C7E56"/>
    <w:rsid w:val="007D14D0"/>
    <w:rsid w:val="007D4677"/>
    <w:rsid w:val="007D5C37"/>
    <w:rsid w:val="007D5D65"/>
    <w:rsid w:val="007D63C9"/>
    <w:rsid w:val="007E1221"/>
    <w:rsid w:val="007E127B"/>
    <w:rsid w:val="007E2467"/>
    <w:rsid w:val="007E543B"/>
    <w:rsid w:val="007E660B"/>
    <w:rsid w:val="007F3739"/>
    <w:rsid w:val="007F690E"/>
    <w:rsid w:val="007F76D6"/>
    <w:rsid w:val="00804851"/>
    <w:rsid w:val="00804F41"/>
    <w:rsid w:val="0081365D"/>
    <w:rsid w:val="008145FF"/>
    <w:rsid w:val="0081556B"/>
    <w:rsid w:val="008179F2"/>
    <w:rsid w:val="00822509"/>
    <w:rsid w:val="00823541"/>
    <w:rsid w:val="00824C61"/>
    <w:rsid w:val="00826930"/>
    <w:rsid w:val="0082708C"/>
    <w:rsid w:val="00827D9C"/>
    <w:rsid w:val="008317DD"/>
    <w:rsid w:val="00842C03"/>
    <w:rsid w:val="00845D1A"/>
    <w:rsid w:val="00846C4B"/>
    <w:rsid w:val="008504D0"/>
    <w:rsid w:val="008536A0"/>
    <w:rsid w:val="008537FA"/>
    <w:rsid w:val="008544A7"/>
    <w:rsid w:val="00854EBD"/>
    <w:rsid w:val="00856885"/>
    <w:rsid w:val="00857D17"/>
    <w:rsid w:val="00860DB0"/>
    <w:rsid w:val="008623D3"/>
    <w:rsid w:val="00864538"/>
    <w:rsid w:val="00865356"/>
    <w:rsid w:val="0086680C"/>
    <w:rsid w:val="00867BCC"/>
    <w:rsid w:val="00870E2A"/>
    <w:rsid w:val="00871668"/>
    <w:rsid w:val="0087312D"/>
    <w:rsid w:val="0087354D"/>
    <w:rsid w:val="00876CB4"/>
    <w:rsid w:val="008770B1"/>
    <w:rsid w:val="00881592"/>
    <w:rsid w:val="00882519"/>
    <w:rsid w:val="008845B5"/>
    <w:rsid w:val="0088478F"/>
    <w:rsid w:val="00884D4B"/>
    <w:rsid w:val="008851AE"/>
    <w:rsid w:val="00885D46"/>
    <w:rsid w:val="00886B5E"/>
    <w:rsid w:val="00887855"/>
    <w:rsid w:val="008956B9"/>
    <w:rsid w:val="00895EF6"/>
    <w:rsid w:val="008A4FDF"/>
    <w:rsid w:val="008A6F8B"/>
    <w:rsid w:val="008B0752"/>
    <w:rsid w:val="008B1EF5"/>
    <w:rsid w:val="008B374E"/>
    <w:rsid w:val="008B37F6"/>
    <w:rsid w:val="008B4C88"/>
    <w:rsid w:val="008B68A9"/>
    <w:rsid w:val="008C1D63"/>
    <w:rsid w:val="008C5923"/>
    <w:rsid w:val="008D0CA1"/>
    <w:rsid w:val="008D0D20"/>
    <w:rsid w:val="008D1E97"/>
    <w:rsid w:val="008D562D"/>
    <w:rsid w:val="008D61F3"/>
    <w:rsid w:val="008E1C65"/>
    <w:rsid w:val="008E1DD1"/>
    <w:rsid w:val="008E2D51"/>
    <w:rsid w:val="008E36CC"/>
    <w:rsid w:val="008E3B70"/>
    <w:rsid w:val="008E3EC8"/>
    <w:rsid w:val="008E5BAE"/>
    <w:rsid w:val="008E5CC6"/>
    <w:rsid w:val="008F11C0"/>
    <w:rsid w:val="008F3FB6"/>
    <w:rsid w:val="008F6D3D"/>
    <w:rsid w:val="008F7C07"/>
    <w:rsid w:val="008F7C45"/>
    <w:rsid w:val="00900DA2"/>
    <w:rsid w:val="00901499"/>
    <w:rsid w:val="009026AD"/>
    <w:rsid w:val="009067BA"/>
    <w:rsid w:val="009161C2"/>
    <w:rsid w:val="009161E4"/>
    <w:rsid w:val="00920C9B"/>
    <w:rsid w:val="00920FA5"/>
    <w:rsid w:val="00923786"/>
    <w:rsid w:val="009246B1"/>
    <w:rsid w:val="00926227"/>
    <w:rsid w:val="00927DA4"/>
    <w:rsid w:val="0093112F"/>
    <w:rsid w:val="00931F30"/>
    <w:rsid w:val="00932322"/>
    <w:rsid w:val="00932D61"/>
    <w:rsid w:val="00941730"/>
    <w:rsid w:val="009452A9"/>
    <w:rsid w:val="00946AB8"/>
    <w:rsid w:val="00953B1C"/>
    <w:rsid w:val="00954954"/>
    <w:rsid w:val="00961B13"/>
    <w:rsid w:val="00964738"/>
    <w:rsid w:val="00964C23"/>
    <w:rsid w:val="00970066"/>
    <w:rsid w:val="00973FB9"/>
    <w:rsid w:val="009801C8"/>
    <w:rsid w:val="0098093E"/>
    <w:rsid w:val="00984AE5"/>
    <w:rsid w:val="009853D0"/>
    <w:rsid w:val="00986279"/>
    <w:rsid w:val="00991624"/>
    <w:rsid w:val="0099427C"/>
    <w:rsid w:val="0099624A"/>
    <w:rsid w:val="00997A26"/>
    <w:rsid w:val="009A4558"/>
    <w:rsid w:val="009A5FA9"/>
    <w:rsid w:val="009A6471"/>
    <w:rsid w:val="009B1385"/>
    <w:rsid w:val="009B2BC0"/>
    <w:rsid w:val="009B4A63"/>
    <w:rsid w:val="009B51AA"/>
    <w:rsid w:val="009B636E"/>
    <w:rsid w:val="009B6EC9"/>
    <w:rsid w:val="009B743D"/>
    <w:rsid w:val="009C0FEA"/>
    <w:rsid w:val="009C10C8"/>
    <w:rsid w:val="009C1301"/>
    <w:rsid w:val="009C186E"/>
    <w:rsid w:val="009C23B6"/>
    <w:rsid w:val="009C2AE5"/>
    <w:rsid w:val="009C3763"/>
    <w:rsid w:val="009C4382"/>
    <w:rsid w:val="009C7FE1"/>
    <w:rsid w:val="009D3143"/>
    <w:rsid w:val="009D455B"/>
    <w:rsid w:val="009D58D1"/>
    <w:rsid w:val="009D5F15"/>
    <w:rsid w:val="009D5FA2"/>
    <w:rsid w:val="009E09CB"/>
    <w:rsid w:val="009E1407"/>
    <w:rsid w:val="009E19FE"/>
    <w:rsid w:val="009E35EE"/>
    <w:rsid w:val="009E49A3"/>
    <w:rsid w:val="009E521A"/>
    <w:rsid w:val="009E5739"/>
    <w:rsid w:val="009E5AC2"/>
    <w:rsid w:val="009E6F78"/>
    <w:rsid w:val="009E6F85"/>
    <w:rsid w:val="009F0123"/>
    <w:rsid w:val="009F058E"/>
    <w:rsid w:val="009F1C7B"/>
    <w:rsid w:val="009F7B1F"/>
    <w:rsid w:val="00A008AC"/>
    <w:rsid w:val="00A03DBF"/>
    <w:rsid w:val="00A0446D"/>
    <w:rsid w:val="00A0550C"/>
    <w:rsid w:val="00A05A6B"/>
    <w:rsid w:val="00A0752D"/>
    <w:rsid w:val="00A10188"/>
    <w:rsid w:val="00A11CE2"/>
    <w:rsid w:val="00A127F7"/>
    <w:rsid w:val="00A13BD3"/>
    <w:rsid w:val="00A13CAE"/>
    <w:rsid w:val="00A140BD"/>
    <w:rsid w:val="00A144C4"/>
    <w:rsid w:val="00A15D05"/>
    <w:rsid w:val="00A17931"/>
    <w:rsid w:val="00A222AA"/>
    <w:rsid w:val="00A2266C"/>
    <w:rsid w:val="00A22FF5"/>
    <w:rsid w:val="00A23566"/>
    <w:rsid w:val="00A23982"/>
    <w:rsid w:val="00A24D4D"/>
    <w:rsid w:val="00A27DD8"/>
    <w:rsid w:val="00A402A7"/>
    <w:rsid w:val="00A42724"/>
    <w:rsid w:val="00A42812"/>
    <w:rsid w:val="00A43743"/>
    <w:rsid w:val="00A52A6F"/>
    <w:rsid w:val="00A52C5F"/>
    <w:rsid w:val="00A547F5"/>
    <w:rsid w:val="00A54D94"/>
    <w:rsid w:val="00A5658E"/>
    <w:rsid w:val="00A604EE"/>
    <w:rsid w:val="00A655C5"/>
    <w:rsid w:val="00A6787F"/>
    <w:rsid w:val="00A7169F"/>
    <w:rsid w:val="00A73B25"/>
    <w:rsid w:val="00A84139"/>
    <w:rsid w:val="00A84D8F"/>
    <w:rsid w:val="00A90ADA"/>
    <w:rsid w:val="00A90C6B"/>
    <w:rsid w:val="00A91406"/>
    <w:rsid w:val="00A928B9"/>
    <w:rsid w:val="00A95F97"/>
    <w:rsid w:val="00A96C74"/>
    <w:rsid w:val="00AA0C76"/>
    <w:rsid w:val="00AA1358"/>
    <w:rsid w:val="00AA36C1"/>
    <w:rsid w:val="00AA5798"/>
    <w:rsid w:val="00AA595B"/>
    <w:rsid w:val="00AB0260"/>
    <w:rsid w:val="00AB02F2"/>
    <w:rsid w:val="00AB3694"/>
    <w:rsid w:val="00AB57C1"/>
    <w:rsid w:val="00AB6062"/>
    <w:rsid w:val="00AB65A3"/>
    <w:rsid w:val="00AC0F10"/>
    <w:rsid w:val="00AC1F61"/>
    <w:rsid w:val="00AC444B"/>
    <w:rsid w:val="00AD115F"/>
    <w:rsid w:val="00AD3E77"/>
    <w:rsid w:val="00AD4410"/>
    <w:rsid w:val="00AD7E62"/>
    <w:rsid w:val="00AE01EE"/>
    <w:rsid w:val="00AE1057"/>
    <w:rsid w:val="00AE3DD0"/>
    <w:rsid w:val="00AE45AC"/>
    <w:rsid w:val="00AE4926"/>
    <w:rsid w:val="00AE5012"/>
    <w:rsid w:val="00AE5D50"/>
    <w:rsid w:val="00AE6145"/>
    <w:rsid w:val="00AF3A84"/>
    <w:rsid w:val="00AF6555"/>
    <w:rsid w:val="00AF79D0"/>
    <w:rsid w:val="00B008F4"/>
    <w:rsid w:val="00B00C99"/>
    <w:rsid w:val="00B0127B"/>
    <w:rsid w:val="00B012F5"/>
    <w:rsid w:val="00B03898"/>
    <w:rsid w:val="00B04905"/>
    <w:rsid w:val="00B05DAA"/>
    <w:rsid w:val="00B10984"/>
    <w:rsid w:val="00B13C7B"/>
    <w:rsid w:val="00B15F13"/>
    <w:rsid w:val="00B17C33"/>
    <w:rsid w:val="00B225DC"/>
    <w:rsid w:val="00B22E4B"/>
    <w:rsid w:val="00B23F5F"/>
    <w:rsid w:val="00B24A71"/>
    <w:rsid w:val="00B30210"/>
    <w:rsid w:val="00B31B6D"/>
    <w:rsid w:val="00B33B9E"/>
    <w:rsid w:val="00B37D25"/>
    <w:rsid w:val="00B42499"/>
    <w:rsid w:val="00B44D6A"/>
    <w:rsid w:val="00B4763C"/>
    <w:rsid w:val="00B47D5F"/>
    <w:rsid w:val="00B50F88"/>
    <w:rsid w:val="00B628E5"/>
    <w:rsid w:val="00B62F8D"/>
    <w:rsid w:val="00B62FB2"/>
    <w:rsid w:val="00B64B6D"/>
    <w:rsid w:val="00B64D8C"/>
    <w:rsid w:val="00B6691C"/>
    <w:rsid w:val="00B71380"/>
    <w:rsid w:val="00B729D0"/>
    <w:rsid w:val="00B74C40"/>
    <w:rsid w:val="00B758ED"/>
    <w:rsid w:val="00B76642"/>
    <w:rsid w:val="00B822D9"/>
    <w:rsid w:val="00B834BF"/>
    <w:rsid w:val="00B85A6B"/>
    <w:rsid w:val="00B90974"/>
    <w:rsid w:val="00B9190E"/>
    <w:rsid w:val="00B937AF"/>
    <w:rsid w:val="00B93E36"/>
    <w:rsid w:val="00B950D8"/>
    <w:rsid w:val="00BA46F9"/>
    <w:rsid w:val="00BA5485"/>
    <w:rsid w:val="00BA77A3"/>
    <w:rsid w:val="00BA7AAB"/>
    <w:rsid w:val="00BB39B3"/>
    <w:rsid w:val="00BB3DCE"/>
    <w:rsid w:val="00BB62A2"/>
    <w:rsid w:val="00BB7B89"/>
    <w:rsid w:val="00BC2B22"/>
    <w:rsid w:val="00BC4717"/>
    <w:rsid w:val="00BC4FA8"/>
    <w:rsid w:val="00BC577A"/>
    <w:rsid w:val="00BC5A6A"/>
    <w:rsid w:val="00BC6344"/>
    <w:rsid w:val="00BD2DA1"/>
    <w:rsid w:val="00BD3D3D"/>
    <w:rsid w:val="00BD5EB2"/>
    <w:rsid w:val="00BD6821"/>
    <w:rsid w:val="00BD7603"/>
    <w:rsid w:val="00BD7CAC"/>
    <w:rsid w:val="00BE3F54"/>
    <w:rsid w:val="00BF21AC"/>
    <w:rsid w:val="00BF5A07"/>
    <w:rsid w:val="00BF72BD"/>
    <w:rsid w:val="00BF79A4"/>
    <w:rsid w:val="00BF7CD1"/>
    <w:rsid w:val="00C00FDA"/>
    <w:rsid w:val="00C036F3"/>
    <w:rsid w:val="00C03FB1"/>
    <w:rsid w:val="00C04A21"/>
    <w:rsid w:val="00C055F6"/>
    <w:rsid w:val="00C058D6"/>
    <w:rsid w:val="00C07AD3"/>
    <w:rsid w:val="00C10CC8"/>
    <w:rsid w:val="00C11269"/>
    <w:rsid w:val="00C13F70"/>
    <w:rsid w:val="00C1532B"/>
    <w:rsid w:val="00C15800"/>
    <w:rsid w:val="00C20423"/>
    <w:rsid w:val="00C214CF"/>
    <w:rsid w:val="00C2182A"/>
    <w:rsid w:val="00C26470"/>
    <w:rsid w:val="00C265C7"/>
    <w:rsid w:val="00C26990"/>
    <w:rsid w:val="00C27809"/>
    <w:rsid w:val="00C31481"/>
    <w:rsid w:val="00C32A4F"/>
    <w:rsid w:val="00C33088"/>
    <w:rsid w:val="00C34CBD"/>
    <w:rsid w:val="00C356E2"/>
    <w:rsid w:val="00C4002B"/>
    <w:rsid w:val="00C4082C"/>
    <w:rsid w:val="00C40EC2"/>
    <w:rsid w:val="00C41AA1"/>
    <w:rsid w:val="00C42F02"/>
    <w:rsid w:val="00C446A7"/>
    <w:rsid w:val="00C45638"/>
    <w:rsid w:val="00C457CA"/>
    <w:rsid w:val="00C45BAD"/>
    <w:rsid w:val="00C47029"/>
    <w:rsid w:val="00C50645"/>
    <w:rsid w:val="00C51E64"/>
    <w:rsid w:val="00C523F5"/>
    <w:rsid w:val="00C537E2"/>
    <w:rsid w:val="00C53F4E"/>
    <w:rsid w:val="00C54197"/>
    <w:rsid w:val="00C54C5A"/>
    <w:rsid w:val="00C554FB"/>
    <w:rsid w:val="00C55F87"/>
    <w:rsid w:val="00C567CA"/>
    <w:rsid w:val="00C56E08"/>
    <w:rsid w:val="00C573DC"/>
    <w:rsid w:val="00C57C1D"/>
    <w:rsid w:val="00C61F9D"/>
    <w:rsid w:val="00C6546D"/>
    <w:rsid w:val="00C66700"/>
    <w:rsid w:val="00C66CB1"/>
    <w:rsid w:val="00C67CA1"/>
    <w:rsid w:val="00C701D9"/>
    <w:rsid w:val="00C731C9"/>
    <w:rsid w:val="00C77382"/>
    <w:rsid w:val="00C77427"/>
    <w:rsid w:val="00C77FA1"/>
    <w:rsid w:val="00C80B38"/>
    <w:rsid w:val="00C80E0B"/>
    <w:rsid w:val="00C80FA7"/>
    <w:rsid w:val="00C8221C"/>
    <w:rsid w:val="00C82E9E"/>
    <w:rsid w:val="00C83711"/>
    <w:rsid w:val="00C84D51"/>
    <w:rsid w:val="00C84FBF"/>
    <w:rsid w:val="00C85B75"/>
    <w:rsid w:val="00C86D90"/>
    <w:rsid w:val="00C93F1E"/>
    <w:rsid w:val="00C947D5"/>
    <w:rsid w:val="00C94828"/>
    <w:rsid w:val="00C976E3"/>
    <w:rsid w:val="00C979F6"/>
    <w:rsid w:val="00CA0431"/>
    <w:rsid w:val="00CA20F4"/>
    <w:rsid w:val="00CB1817"/>
    <w:rsid w:val="00CB27ED"/>
    <w:rsid w:val="00CB64DE"/>
    <w:rsid w:val="00CB7902"/>
    <w:rsid w:val="00CC10D4"/>
    <w:rsid w:val="00CC135D"/>
    <w:rsid w:val="00CC142C"/>
    <w:rsid w:val="00CC53D3"/>
    <w:rsid w:val="00CC738F"/>
    <w:rsid w:val="00CD16C2"/>
    <w:rsid w:val="00CD3AF4"/>
    <w:rsid w:val="00CD41A1"/>
    <w:rsid w:val="00CE248E"/>
    <w:rsid w:val="00CE26F3"/>
    <w:rsid w:val="00CE37DB"/>
    <w:rsid w:val="00CF1A71"/>
    <w:rsid w:val="00CF1B2C"/>
    <w:rsid w:val="00CF1F9A"/>
    <w:rsid w:val="00CF2D0F"/>
    <w:rsid w:val="00CF3934"/>
    <w:rsid w:val="00CF5020"/>
    <w:rsid w:val="00CF6230"/>
    <w:rsid w:val="00CF6AED"/>
    <w:rsid w:val="00D01535"/>
    <w:rsid w:val="00D017E8"/>
    <w:rsid w:val="00D01A27"/>
    <w:rsid w:val="00D038D2"/>
    <w:rsid w:val="00D061AD"/>
    <w:rsid w:val="00D06799"/>
    <w:rsid w:val="00D07F82"/>
    <w:rsid w:val="00D106A3"/>
    <w:rsid w:val="00D14A30"/>
    <w:rsid w:val="00D1589C"/>
    <w:rsid w:val="00D15971"/>
    <w:rsid w:val="00D15EEF"/>
    <w:rsid w:val="00D15F68"/>
    <w:rsid w:val="00D17E80"/>
    <w:rsid w:val="00D17F9C"/>
    <w:rsid w:val="00D214BF"/>
    <w:rsid w:val="00D2239B"/>
    <w:rsid w:val="00D24720"/>
    <w:rsid w:val="00D254A9"/>
    <w:rsid w:val="00D258B1"/>
    <w:rsid w:val="00D26BD3"/>
    <w:rsid w:val="00D27CC6"/>
    <w:rsid w:val="00D33079"/>
    <w:rsid w:val="00D33452"/>
    <w:rsid w:val="00D359EF"/>
    <w:rsid w:val="00D362B1"/>
    <w:rsid w:val="00D408DD"/>
    <w:rsid w:val="00D432E3"/>
    <w:rsid w:val="00D4362C"/>
    <w:rsid w:val="00D43D61"/>
    <w:rsid w:val="00D4678A"/>
    <w:rsid w:val="00D469CF"/>
    <w:rsid w:val="00D51BB7"/>
    <w:rsid w:val="00D51DBD"/>
    <w:rsid w:val="00D52703"/>
    <w:rsid w:val="00D533D8"/>
    <w:rsid w:val="00D534CC"/>
    <w:rsid w:val="00D536A5"/>
    <w:rsid w:val="00D54B89"/>
    <w:rsid w:val="00D550EB"/>
    <w:rsid w:val="00D56551"/>
    <w:rsid w:val="00D57A13"/>
    <w:rsid w:val="00D60F61"/>
    <w:rsid w:val="00D61A43"/>
    <w:rsid w:val="00D6277D"/>
    <w:rsid w:val="00D628C1"/>
    <w:rsid w:val="00D63072"/>
    <w:rsid w:val="00D64B61"/>
    <w:rsid w:val="00D6613B"/>
    <w:rsid w:val="00D67FB3"/>
    <w:rsid w:val="00D724E2"/>
    <w:rsid w:val="00D7772E"/>
    <w:rsid w:val="00D80E72"/>
    <w:rsid w:val="00D813A6"/>
    <w:rsid w:val="00D819EB"/>
    <w:rsid w:val="00D82F84"/>
    <w:rsid w:val="00D855A9"/>
    <w:rsid w:val="00D87631"/>
    <w:rsid w:val="00D924E3"/>
    <w:rsid w:val="00D94E3A"/>
    <w:rsid w:val="00D95015"/>
    <w:rsid w:val="00D963BC"/>
    <w:rsid w:val="00D97150"/>
    <w:rsid w:val="00D97265"/>
    <w:rsid w:val="00D97F64"/>
    <w:rsid w:val="00DA0009"/>
    <w:rsid w:val="00DA0C91"/>
    <w:rsid w:val="00DA1469"/>
    <w:rsid w:val="00DA340A"/>
    <w:rsid w:val="00DA4556"/>
    <w:rsid w:val="00DA71FB"/>
    <w:rsid w:val="00DA7D45"/>
    <w:rsid w:val="00DB26A7"/>
    <w:rsid w:val="00DB4131"/>
    <w:rsid w:val="00DB518E"/>
    <w:rsid w:val="00DB5BBB"/>
    <w:rsid w:val="00DC05BE"/>
    <w:rsid w:val="00DC73BB"/>
    <w:rsid w:val="00DD0408"/>
    <w:rsid w:val="00DD2BB5"/>
    <w:rsid w:val="00DD431B"/>
    <w:rsid w:val="00DD6EE9"/>
    <w:rsid w:val="00DE096D"/>
    <w:rsid w:val="00DF1205"/>
    <w:rsid w:val="00DF39FD"/>
    <w:rsid w:val="00DF3A13"/>
    <w:rsid w:val="00DF6190"/>
    <w:rsid w:val="00DF7713"/>
    <w:rsid w:val="00E0024E"/>
    <w:rsid w:val="00E00407"/>
    <w:rsid w:val="00E00FBE"/>
    <w:rsid w:val="00E012E0"/>
    <w:rsid w:val="00E05494"/>
    <w:rsid w:val="00E0776F"/>
    <w:rsid w:val="00E12688"/>
    <w:rsid w:val="00E14B61"/>
    <w:rsid w:val="00E16795"/>
    <w:rsid w:val="00E17398"/>
    <w:rsid w:val="00E17959"/>
    <w:rsid w:val="00E21830"/>
    <w:rsid w:val="00E2487C"/>
    <w:rsid w:val="00E26240"/>
    <w:rsid w:val="00E268C6"/>
    <w:rsid w:val="00E300EC"/>
    <w:rsid w:val="00E31A2A"/>
    <w:rsid w:val="00E32663"/>
    <w:rsid w:val="00E32D00"/>
    <w:rsid w:val="00E33A54"/>
    <w:rsid w:val="00E374D5"/>
    <w:rsid w:val="00E37AC1"/>
    <w:rsid w:val="00E41164"/>
    <w:rsid w:val="00E41172"/>
    <w:rsid w:val="00E4441D"/>
    <w:rsid w:val="00E45799"/>
    <w:rsid w:val="00E502B6"/>
    <w:rsid w:val="00E523D5"/>
    <w:rsid w:val="00E546B0"/>
    <w:rsid w:val="00E55954"/>
    <w:rsid w:val="00E62193"/>
    <w:rsid w:val="00E63796"/>
    <w:rsid w:val="00E70354"/>
    <w:rsid w:val="00E70835"/>
    <w:rsid w:val="00E73674"/>
    <w:rsid w:val="00E82780"/>
    <w:rsid w:val="00E844B7"/>
    <w:rsid w:val="00E864C6"/>
    <w:rsid w:val="00E9584E"/>
    <w:rsid w:val="00E97A0B"/>
    <w:rsid w:val="00EA2413"/>
    <w:rsid w:val="00EA2D3F"/>
    <w:rsid w:val="00EA2F2D"/>
    <w:rsid w:val="00EA6A03"/>
    <w:rsid w:val="00EA7433"/>
    <w:rsid w:val="00EA7BB0"/>
    <w:rsid w:val="00EB1CB2"/>
    <w:rsid w:val="00EB39E1"/>
    <w:rsid w:val="00EB5E5D"/>
    <w:rsid w:val="00EB6251"/>
    <w:rsid w:val="00EB6FFF"/>
    <w:rsid w:val="00EB7DB9"/>
    <w:rsid w:val="00EC01B0"/>
    <w:rsid w:val="00EC137C"/>
    <w:rsid w:val="00EC1AA3"/>
    <w:rsid w:val="00EC22BA"/>
    <w:rsid w:val="00EC2305"/>
    <w:rsid w:val="00EC52AB"/>
    <w:rsid w:val="00EC5CD0"/>
    <w:rsid w:val="00EC715E"/>
    <w:rsid w:val="00ED1873"/>
    <w:rsid w:val="00ED3484"/>
    <w:rsid w:val="00ED6149"/>
    <w:rsid w:val="00ED757B"/>
    <w:rsid w:val="00EE0C11"/>
    <w:rsid w:val="00EE51B7"/>
    <w:rsid w:val="00EE65E6"/>
    <w:rsid w:val="00EF3D10"/>
    <w:rsid w:val="00EF485A"/>
    <w:rsid w:val="00EF730D"/>
    <w:rsid w:val="00EF7453"/>
    <w:rsid w:val="00F01917"/>
    <w:rsid w:val="00F059A9"/>
    <w:rsid w:val="00F05AA4"/>
    <w:rsid w:val="00F05D87"/>
    <w:rsid w:val="00F06C2E"/>
    <w:rsid w:val="00F075B7"/>
    <w:rsid w:val="00F116E3"/>
    <w:rsid w:val="00F13DD3"/>
    <w:rsid w:val="00F149B8"/>
    <w:rsid w:val="00F15724"/>
    <w:rsid w:val="00F1628E"/>
    <w:rsid w:val="00F16512"/>
    <w:rsid w:val="00F2193E"/>
    <w:rsid w:val="00F22B63"/>
    <w:rsid w:val="00F22EB6"/>
    <w:rsid w:val="00F2682F"/>
    <w:rsid w:val="00F30A6B"/>
    <w:rsid w:val="00F32CC1"/>
    <w:rsid w:val="00F34F9E"/>
    <w:rsid w:val="00F35433"/>
    <w:rsid w:val="00F36100"/>
    <w:rsid w:val="00F37393"/>
    <w:rsid w:val="00F37434"/>
    <w:rsid w:val="00F402A1"/>
    <w:rsid w:val="00F403DD"/>
    <w:rsid w:val="00F42A4F"/>
    <w:rsid w:val="00F43B23"/>
    <w:rsid w:val="00F44E2D"/>
    <w:rsid w:val="00F455E1"/>
    <w:rsid w:val="00F46127"/>
    <w:rsid w:val="00F46513"/>
    <w:rsid w:val="00F47EF0"/>
    <w:rsid w:val="00F510B8"/>
    <w:rsid w:val="00F52D55"/>
    <w:rsid w:val="00F52EE2"/>
    <w:rsid w:val="00F54FB5"/>
    <w:rsid w:val="00F62A30"/>
    <w:rsid w:val="00F64EF3"/>
    <w:rsid w:val="00F659A9"/>
    <w:rsid w:val="00F71195"/>
    <w:rsid w:val="00F727DF"/>
    <w:rsid w:val="00F72853"/>
    <w:rsid w:val="00F73B85"/>
    <w:rsid w:val="00F74D0B"/>
    <w:rsid w:val="00F760A8"/>
    <w:rsid w:val="00F761C9"/>
    <w:rsid w:val="00F7643D"/>
    <w:rsid w:val="00F81B08"/>
    <w:rsid w:val="00F82CD1"/>
    <w:rsid w:val="00F83BCE"/>
    <w:rsid w:val="00F85C74"/>
    <w:rsid w:val="00F87146"/>
    <w:rsid w:val="00F87274"/>
    <w:rsid w:val="00F87DE9"/>
    <w:rsid w:val="00F90EDC"/>
    <w:rsid w:val="00F937C2"/>
    <w:rsid w:val="00F94D9D"/>
    <w:rsid w:val="00F960E3"/>
    <w:rsid w:val="00F9672E"/>
    <w:rsid w:val="00F97E0F"/>
    <w:rsid w:val="00FA3710"/>
    <w:rsid w:val="00FA6BB7"/>
    <w:rsid w:val="00FB1551"/>
    <w:rsid w:val="00FB1742"/>
    <w:rsid w:val="00FB185E"/>
    <w:rsid w:val="00FB42EC"/>
    <w:rsid w:val="00FB7659"/>
    <w:rsid w:val="00FC0E8C"/>
    <w:rsid w:val="00FC1DB6"/>
    <w:rsid w:val="00FC2B98"/>
    <w:rsid w:val="00FC342E"/>
    <w:rsid w:val="00FC4A65"/>
    <w:rsid w:val="00FC6451"/>
    <w:rsid w:val="00FC645E"/>
    <w:rsid w:val="00FC6E4F"/>
    <w:rsid w:val="00FD03B3"/>
    <w:rsid w:val="00FD2100"/>
    <w:rsid w:val="00FD3B31"/>
    <w:rsid w:val="00FD3C5C"/>
    <w:rsid w:val="00FD43E2"/>
    <w:rsid w:val="00FD4847"/>
    <w:rsid w:val="00FD5353"/>
    <w:rsid w:val="00FD7216"/>
    <w:rsid w:val="00FD7E36"/>
    <w:rsid w:val="00FE2059"/>
    <w:rsid w:val="00FE4036"/>
    <w:rsid w:val="00FE4A6B"/>
    <w:rsid w:val="00FE4A8F"/>
    <w:rsid w:val="00FE6AAC"/>
    <w:rsid w:val="00FE7CF5"/>
    <w:rsid w:val="00FF10A8"/>
    <w:rsid w:val="00FF239B"/>
    <w:rsid w:val="00FF2433"/>
    <w:rsid w:val="00FF3378"/>
    <w:rsid w:val="00FF36D7"/>
    <w:rsid w:val="00FF3B67"/>
    <w:rsid w:val="00FF4F2B"/>
    <w:rsid w:val="00FF54F6"/>
    <w:rsid w:val="00FF59A1"/>
    <w:rsid w:val="00FF649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CCE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de-DE"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uiPriority w:val="9"/>
    <w:qFormat/>
    <w:pPr>
      <w:keepNext/>
      <w:spacing w:before="240" w:after="60"/>
      <w:outlineLvl w:val="0"/>
    </w:pPr>
    <w:rPr>
      <w:b/>
      <w:sz w:val="28"/>
      <w:szCs w:val="28"/>
    </w:rPr>
  </w:style>
  <w:style w:type="paragraph" w:styleId="2">
    <w:name w:val="heading 2"/>
    <w:basedOn w:val="a"/>
    <w:next w:val="a"/>
    <w:pPr>
      <w:keepNext/>
      <w:outlineLvl w:val="1"/>
    </w:pPr>
    <w:rPr>
      <w:b/>
    </w:rPr>
  </w:style>
  <w:style w:type="paragraph" w:styleId="3">
    <w:name w:val="heading 3"/>
    <w:basedOn w:val="a"/>
    <w:next w:val="a"/>
    <w:pPr>
      <w:keepNext/>
      <w:keepLines/>
      <w:spacing w:before="200"/>
      <w:outlineLvl w:val="2"/>
    </w:pPr>
    <w:rPr>
      <w:rFonts w:ascii="Cambria" w:eastAsia="Cambria" w:hAnsi="Cambria" w:cs="Cambria"/>
      <w:b/>
      <w:color w:val="4F81BD"/>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spacing w:before="240" w:after="120"/>
    </w:pPr>
    <w:rPr>
      <w:rFonts w:ascii="Liberation Sans" w:eastAsia="Liberation Sans" w:hAnsi="Liberation Sans" w:cs="Liberation Sans"/>
      <w:sz w:val="28"/>
      <w:szCs w:val="28"/>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annotation text"/>
    <w:basedOn w:val="a"/>
    <w:link w:val="a6"/>
    <w:uiPriority w:val="99"/>
    <w:unhideWhenUsed/>
    <w:rPr>
      <w:sz w:val="20"/>
      <w:szCs w:val="20"/>
    </w:rPr>
  </w:style>
  <w:style w:type="character" w:customStyle="1" w:styleId="a6">
    <w:name w:val="批注文字 字符"/>
    <w:basedOn w:val="a0"/>
    <w:link w:val="a5"/>
    <w:uiPriority w:val="99"/>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B15F13"/>
    <w:rPr>
      <w:rFonts w:ascii="Tahoma" w:hAnsi="Tahoma" w:cs="Tahoma"/>
      <w:sz w:val="16"/>
      <w:szCs w:val="16"/>
    </w:rPr>
  </w:style>
  <w:style w:type="character" w:customStyle="1" w:styleId="a9">
    <w:name w:val="批注框文本 字符"/>
    <w:basedOn w:val="a0"/>
    <w:link w:val="a8"/>
    <w:uiPriority w:val="99"/>
    <w:semiHidden/>
    <w:rsid w:val="00B15F13"/>
    <w:rPr>
      <w:rFonts w:ascii="Tahoma" w:hAnsi="Tahoma" w:cs="Tahoma"/>
      <w:sz w:val="16"/>
      <w:szCs w:val="16"/>
    </w:rPr>
  </w:style>
  <w:style w:type="paragraph" w:styleId="aa">
    <w:name w:val="annotation subject"/>
    <w:basedOn w:val="a5"/>
    <w:next w:val="a5"/>
    <w:link w:val="ab"/>
    <w:uiPriority w:val="99"/>
    <w:semiHidden/>
    <w:unhideWhenUsed/>
    <w:rsid w:val="00B15F13"/>
    <w:rPr>
      <w:b/>
      <w:bCs/>
    </w:rPr>
  </w:style>
  <w:style w:type="character" w:customStyle="1" w:styleId="ab">
    <w:name w:val="批注主题 字符"/>
    <w:basedOn w:val="a6"/>
    <w:link w:val="aa"/>
    <w:uiPriority w:val="99"/>
    <w:semiHidden/>
    <w:rsid w:val="00B15F13"/>
    <w:rPr>
      <w:b/>
      <w:bCs/>
      <w:sz w:val="20"/>
      <w:szCs w:val="20"/>
    </w:rPr>
  </w:style>
  <w:style w:type="paragraph" w:styleId="ac">
    <w:name w:val="List Paragraph"/>
    <w:basedOn w:val="a"/>
    <w:uiPriority w:val="34"/>
    <w:qFormat/>
    <w:rsid w:val="007D63C9"/>
    <w:pPr>
      <w:ind w:left="720"/>
      <w:contextualSpacing/>
    </w:pPr>
  </w:style>
  <w:style w:type="paragraph" w:styleId="ad">
    <w:name w:val="Revision"/>
    <w:hidden/>
    <w:uiPriority w:val="99"/>
    <w:semiHidden/>
    <w:rsid w:val="00E4441D"/>
    <w:pPr>
      <w:widowControl/>
      <w:jc w:val="left"/>
    </w:pPr>
  </w:style>
  <w:style w:type="character" w:styleId="ae">
    <w:name w:val="Placeholder Text"/>
    <w:basedOn w:val="a0"/>
    <w:uiPriority w:val="99"/>
    <w:semiHidden/>
    <w:rsid w:val="00533747"/>
    <w:rPr>
      <w:color w:val="808080"/>
    </w:rPr>
  </w:style>
  <w:style w:type="paragraph" w:styleId="af">
    <w:name w:val="footnote text"/>
    <w:basedOn w:val="a"/>
    <w:link w:val="af0"/>
    <w:uiPriority w:val="99"/>
    <w:unhideWhenUsed/>
    <w:rsid w:val="0042122B"/>
  </w:style>
  <w:style w:type="character" w:customStyle="1" w:styleId="af0">
    <w:name w:val="脚注文本 字符"/>
    <w:basedOn w:val="a0"/>
    <w:link w:val="af"/>
    <w:uiPriority w:val="99"/>
    <w:rsid w:val="0042122B"/>
  </w:style>
  <w:style w:type="character" w:styleId="af1">
    <w:name w:val="footnote reference"/>
    <w:basedOn w:val="a0"/>
    <w:uiPriority w:val="99"/>
    <w:unhideWhenUsed/>
    <w:rsid w:val="0042122B"/>
    <w:rPr>
      <w:vertAlign w:val="superscript"/>
    </w:rPr>
  </w:style>
  <w:style w:type="paragraph" w:styleId="af2">
    <w:name w:val="endnote text"/>
    <w:basedOn w:val="a"/>
    <w:link w:val="af3"/>
    <w:uiPriority w:val="99"/>
    <w:unhideWhenUsed/>
    <w:rsid w:val="0016210D"/>
  </w:style>
  <w:style w:type="character" w:customStyle="1" w:styleId="af3">
    <w:name w:val="尾注文本 字符"/>
    <w:basedOn w:val="a0"/>
    <w:link w:val="af2"/>
    <w:uiPriority w:val="99"/>
    <w:rsid w:val="0016210D"/>
  </w:style>
  <w:style w:type="character" w:styleId="af4">
    <w:name w:val="endnote reference"/>
    <w:basedOn w:val="a0"/>
    <w:uiPriority w:val="99"/>
    <w:unhideWhenUsed/>
    <w:rsid w:val="0016210D"/>
    <w:rPr>
      <w:vertAlign w:val="superscript"/>
    </w:rPr>
  </w:style>
  <w:style w:type="character" w:customStyle="1" w:styleId="10">
    <w:name w:val="标题 1 字符"/>
    <w:basedOn w:val="a0"/>
    <w:link w:val="1"/>
    <w:uiPriority w:val="9"/>
    <w:rsid w:val="008B37F6"/>
    <w:rPr>
      <w:b/>
      <w:sz w:val="28"/>
      <w:szCs w:val="28"/>
    </w:rPr>
  </w:style>
  <w:style w:type="paragraph" w:styleId="af5">
    <w:name w:val="Bibliography"/>
    <w:basedOn w:val="a"/>
    <w:next w:val="a"/>
    <w:uiPriority w:val="37"/>
    <w:unhideWhenUsed/>
    <w:rsid w:val="008B37F6"/>
  </w:style>
  <w:style w:type="table" w:styleId="af6">
    <w:name w:val="Table Grid"/>
    <w:basedOn w:val="a1"/>
    <w:uiPriority w:val="59"/>
    <w:rsid w:val="006C5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Light Shading"/>
    <w:basedOn w:val="a1"/>
    <w:uiPriority w:val="60"/>
    <w:rsid w:val="006C53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f8">
    <w:name w:val="Light Grid"/>
    <w:basedOn w:val="a1"/>
    <w:uiPriority w:val="62"/>
    <w:rsid w:val="002049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Medium Shading 1"/>
    <w:basedOn w:val="a1"/>
    <w:uiPriority w:val="63"/>
    <w:rsid w:val="002049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20">
    <w:name w:val="Medium List 2"/>
    <w:basedOn w:val="a1"/>
    <w:uiPriority w:val="66"/>
    <w:rsid w:val="0020498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30">
    <w:name w:val="Medium Grid 3"/>
    <w:basedOn w:val="a1"/>
    <w:uiPriority w:val="69"/>
    <w:rsid w:val="002049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5">
    <w:name w:val="Medium List 2 Accent 5"/>
    <w:basedOn w:val="a1"/>
    <w:uiPriority w:val="66"/>
    <w:rsid w:val="0020498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List 1 Accent 4"/>
    <w:basedOn w:val="a1"/>
    <w:uiPriority w:val="65"/>
    <w:rsid w:val="0020498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2">
    <w:name w:val="Medium List 1"/>
    <w:basedOn w:val="a1"/>
    <w:uiPriority w:val="65"/>
    <w:rsid w:val="0020498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af9">
    <w:name w:val="Light List"/>
    <w:basedOn w:val="a1"/>
    <w:uiPriority w:val="61"/>
    <w:rsid w:val="002049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fa">
    <w:name w:val="Hyperlink"/>
    <w:basedOn w:val="a0"/>
    <w:uiPriority w:val="99"/>
    <w:unhideWhenUsed/>
    <w:rsid w:val="00665D43"/>
    <w:rPr>
      <w:color w:val="0000FF" w:themeColor="hyperlink"/>
      <w:u w:val="single"/>
    </w:rPr>
  </w:style>
  <w:style w:type="table" w:styleId="21">
    <w:name w:val="Medium Shading 2"/>
    <w:basedOn w:val="a1"/>
    <w:uiPriority w:val="64"/>
    <w:rsid w:val="00EC52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b">
    <w:name w:val="Emphasis"/>
    <w:basedOn w:val="a0"/>
    <w:uiPriority w:val="20"/>
    <w:qFormat/>
    <w:rsid w:val="00377BB0"/>
    <w:rPr>
      <w:i/>
      <w:iCs/>
    </w:rPr>
  </w:style>
  <w:style w:type="paragraph" w:styleId="afc">
    <w:name w:val="header"/>
    <w:basedOn w:val="a"/>
    <w:link w:val="afd"/>
    <w:uiPriority w:val="99"/>
    <w:unhideWhenUsed/>
    <w:rsid w:val="00E864C6"/>
    <w:pPr>
      <w:tabs>
        <w:tab w:val="center" w:pos="4536"/>
        <w:tab w:val="right" w:pos="9072"/>
      </w:tabs>
    </w:pPr>
  </w:style>
  <w:style w:type="character" w:customStyle="1" w:styleId="afd">
    <w:name w:val="页眉 字符"/>
    <w:basedOn w:val="a0"/>
    <w:link w:val="afc"/>
    <w:uiPriority w:val="99"/>
    <w:rsid w:val="00E864C6"/>
  </w:style>
  <w:style w:type="paragraph" w:styleId="afe">
    <w:name w:val="footer"/>
    <w:basedOn w:val="a"/>
    <w:link w:val="aff"/>
    <w:uiPriority w:val="99"/>
    <w:unhideWhenUsed/>
    <w:rsid w:val="00E864C6"/>
    <w:pPr>
      <w:tabs>
        <w:tab w:val="center" w:pos="4536"/>
        <w:tab w:val="right" w:pos="9072"/>
      </w:tabs>
    </w:pPr>
  </w:style>
  <w:style w:type="character" w:customStyle="1" w:styleId="aff">
    <w:name w:val="页脚 字符"/>
    <w:basedOn w:val="a0"/>
    <w:link w:val="afe"/>
    <w:uiPriority w:val="99"/>
    <w:rsid w:val="00E864C6"/>
  </w:style>
  <w:style w:type="character" w:styleId="aff0">
    <w:name w:val="line number"/>
    <w:basedOn w:val="a0"/>
    <w:uiPriority w:val="99"/>
    <w:semiHidden/>
    <w:unhideWhenUsed/>
    <w:rsid w:val="00023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a.ossig@desy.d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ristian.schroer@desy.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rald.falkenberg@desy.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bertoni@asu.edu" TargetMode="External"/><Relationship Id="rId4" Type="http://schemas.openxmlformats.org/officeDocument/2006/relationships/settings" Target="settings.xml"/><Relationship Id="rId9" Type="http://schemas.openxmlformats.org/officeDocument/2006/relationships/hyperlink" Target="mailto:bradwest2@g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Int18</b:Tag>
    <b:SourceType>Report</b:SourceType>
    <b:Guid>{7A8EB05C-F431-0E46-9BFD-4B67E5197EAE}</b:Guid>
    <b:Title>Renewables</b:Title>
    <b:Year>2018</b:Year>
    <b:Author>
      <b:Author>
        <b:Corporate>International Energy Agency</b:Corporate>
      </b:Author>
    </b:Author>
    <b:RefOrder>1</b:RefOrder>
  </b:Source>
  <b:Source>
    <b:Tag>AJä18</b:Tag>
    <b:SourceType>ArticleInAPeriodical</b:SourceType>
    <b:Guid>{0A858540-A500-E64F-9551-25D43417C433}</b:Guid>
    <b:Title>Snapshot of photovoltaics</b:Title>
    <b:Year>2018</b:Year>
    <b:Pages>6</b:Pages>
    <b:Author>
      <b:Author>
        <b:NameList>
          <b:Person>
            <b:Last>Jäger-Waldau</b:Last>
            <b:First>A.</b:First>
          </b:Person>
        </b:NameList>
      </b:Author>
    </b:Author>
    <b:PeriodicalTitle>EPJ Photovoltaics</b:PeriodicalTitle>
    <b:Month>Februar</b:Month>
    <b:Volume>9</b:Volume>
    <b:RefOrder>2</b:RefOrder>
  </b:Source>
  <b:Source>
    <b:Tag>Yan08</b:Tag>
    <b:SourceType>ConferenceProceedings</b:SourceType>
    <b:Guid>{0E7F6F5E-B4FA-3044-8274-9AF945A87EC0}</b:Guid>
    <b:Author>
      <b:Author>
        <b:NameList>
          <b:Person>
            <b:Last>Yan</b:Last>
            <b:First>Y.</b:First>
          </b:Person>
        </b:NameList>
      </b:Author>
    </b:Author>
    <b:Title>Grain-boundary physics in polycrystalline photovoltaic materials</b:Title>
    <b:Year>2008</b:Year>
    <b:StandardNumber>10.1109/pvsc.2008.4922726</b:StandardNumber>
    <b:ConferenceName>33rd IEEE Photovoltaic Specialists Conference</b:ConferenceName>
    <b:RefOrder>11</b:RefOrder>
  </b:Source>
  <b:Source>
    <b:Tag>MSt17</b:Tag>
    <b:SourceType>ArticleInAPeriodical</b:SourceType>
    <b:Guid>{B4A8B332-4C02-1745-BC22-27BB839327A3}</b:Guid>
    <b:Title>Engineering solar cells based on correlative X-ray microscopy</b:Title>
    <b:Volume>32</b:Volume>
    <b:Year>2017</b:Year>
    <b:Pages>1825-1854</b:Pages>
    <b:Author>
      <b:Author>
        <b:NameList>
          <b:Person>
            <b:Last>M. Stuckelberger</b:Last>
            <b:First>et.</b:First>
            <b:Middle>al.</b:Middle>
          </b:Person>
        </b:NameList>
      </b:Author>
    </b:Author>
    <b:PeriodicalTitle>J. Mater. Res.</b:PeriodicalTitle>
    <b:RefOrder>3</b:RefOrder>
  </b:Source>
  <b:Source>
    <b:Tag>Zai17</b:Tag>
    <b:SourceType>ConferenceProceedings</b:SourceType>
    <b:Guid>{389C7159-0041-4142-9F75-2F5F6F2F987E}</b:Guid>
    <b:Author>
      <b:Author>
        <b:NameList>
          <b:Person>
            <b:Last>Zaiqun</b:Last>
            <b:First>W.</b:First>
          </b:Person>
        </b:NameList>
      </b:Author>
    </b:Author>
    <b:Title>Study on Detection of Weak Signal by Phase Lock-in Amplification</b:Title>
    <b:Year>2017</b:Year>
    <b:Pages>10.1109/icmtma.2017.0034</b:Pages>
    <b:ConferenceName>9th International Conference on Measuring Technology and Mechatronics Automation (ICMTMA)</b:ConferenceName>
    <b:RefOrder>4</b:RefOrder>
  </b:Source>
  <b:Source>
    <b:Tag>MSt171</b:Tag>
    <b:SourceType>ConferenceProceedings</b:SourceType>
    <b:Guid>{152C78EC-AC1F-FB49-A7DE-59DFCF4A9CB5}</b:Guid>
    <b:Title>Elemental distribution and charge collction at the nanoscale on perovskite solar cells</b:Title>
    <b:ConferenceName>IEEE 44th Photovoltaic Specialist Conference (PVSC)</b:ConferenceName>
    <b:Year>2017</b:Year>
    <b:Author>
      <b:Author>
        <b:NameList>
          <b:Person>
            <b:Last>M. Stuckelberger</b:Last>
            <b:First>et</b:First>
            <b:Middle>al.</b:Middle>
          </b:Person>
        </b:NameList>
      </b:Author>
    </b:Author>
    <b:PeriodicalTitle>IEEE 44th Photovoltaic Specialist Conference (PVSC)</b:PeriodicalTitle>
    <b:RefOrder>12</b:RefOrder>
  </b:Source>
  <b:Source>
    <b:Tag>BDG18</b:Tag>
    <b:SourceType>Book</b:SourceType>
    <b:Guid>{6173185D-1EED-C149-A4CE-3E325A5E9659}</b:Guid>
    <b:Title>Encyclopedia of Modern Optics</b:Title>
    <b:Publisher>Academic Press</b:Publisher>
    <b:Year>2018</b:Year>
    <b:Author>
      <b:Author>
        <b:NameList>
          <b:Person>
            <b:Last>B. D. Guenther</b:Last>
            <b:First>D.</b:First>
            <b:Middle>Steel</b:Middle>
          </b:Person>
        </b:NameList>
      </b:Author>
    </b:Author>
    <b:RefOrder>5</b:RefOrder>
  </b:Source>
  <b:Source>
    <b:Tag>JHS94</b:Tag>
    <b:SourceType>ArticleInAPeriodical</b:SourceType>
    <b:Guid>{D9EA1A21-714E-6044-AD7B-53E14622E5B7}</b:Guid>
    <b:Title>Frequency-domain description of lock-in amplification</b:Title>
    <b:Publisher>American Association of Physics Teachers</b:Publisher>
    <b:Year>1994</b:Year>
    <b:Volume>62</b:Volume>
    <b:StandardNumber>10.1119/1.17629</b:StandardNumber>
    <b:Author>
      <b:Author>
        <b:NameList>
          <b:Person>
            <b:Last>Scofield</b:Last>
            <b:First>J.</b:First>
            <b:Middle>H.</b:Middle>
          </b:Person>
        </b:NameList>
      </b:Author>
    </b:Author>
    <b:PeriodicalTitle>American Journal of Physics</b:PeriodicalTitle>
    <b:RefOrder>6</b:RefOrder>
  </b:Source>
  <b:Source>
    <b:Tag>CMo01</b:Tag>
    <b:SourceType>Book</b:SourceType>
    <b:Guid>{5C62E7FF-5A4B-CC4C-B95B-5A2F92BF7BB9}</b:Guid>
    <b:Title>ActionScript: The Definitive Guide</b:Title>
    <b:Publisher>O'Reilly Media, Inc.</b:Publisher>
    <b:Year>2001</b:Year>
    <b:StandardNumber>ISBN: 1565928520</b:StandardNumber>
    <b:Author>
      <b:Author>
        <b:NameList>
          <b:Person>
            <b:Last>Mook</b:Last>
            <b:First>C.</b:First>
          </b:Person>
        </b:NameList>
      </b:Author>
    </b:Author>
    <b:RefOrder>7</b:RefOrder>
  </b:Source>
  <b:Source>
    <b:Tag>CKi86</b:Tag>
    <b:SourceType>Book</b:SourceType>
    <b:Guid>{D0BE6C86-DE36-5D49-98FB-575A6A9A5ABB}</b:Guid>
    <b:Author>
      <b:Author>
        <b:NameList>
          <b:Person>
            <b:Last>C. Kitchin</b:Last>
            <b:First>L.</b:First>
            <b:Middle>Counts</b:Middle>
          </b:Person>
        </b:NameList>
      </b:Author>
    </b:Author>
    <b:Title>RMS to DC Conversion Application Guide 2nd Edition</b:Title>
    <b:Publisher>Analog Devices Inc.</b:Publisher>
    <b:Year>1986</b:Year>
    <b:RefOrder>8</b:RefOrder>
  </b:Source>
  <b:Source>
    <b:Tag>Sta15</b:Tag>
    <b:SourceType>InternetSite</b:SourceType>
    <b:Guid>{C8E9903F-6012-6840-B830-5618A3411099}</b:Guid>
    <b:Author>
      <b:Author>
        <b:Corporate>Standford Research Systems</b:Corporate>
      </b:Author>
    </b:Author>
    <b:URL>https://www.thinksrs.com/downloads/pdfs/manuals/SR570m.pdf</b:URL>
    <b:ProductionCompany>Standford Research Systems</b:ProductionCompany>
    <b:Year>2015</b:Year>
    <b:Month>August</b:Month>
    <b:YearAccessed>2018</b:YearAccessed>
    <b:MonthAccessed>December</b:MonthAccessed>
    <b:DayAccessed>29</b:DayAccessed>
    <b:RefOrder>9</b:RefOrder>
  </b:Source>
  <b:Source>
    <b:Tag>AHM</b:Tag>
    <b:SourceType>Book</b:SourceType>
    <b:Guid>{1D90D566-B17D-1E43-AFF9-9D489FFCBCF0}</b:Guid>
    <b:Author>
      <b:Author>
        <b:NameList>
          <b:Person>
            <b:Last>A. H. M. Smets</b:Last>
            <b:First>K.</b:First>
            <b:Middle>Jäger, O. Isabella, R.A.C.M.M. van Swaaij, M. Zeman</b:Middle>
          </b:Person>
        </b:NameList>
      </b:Author>
    </b:Author>
    <b:Title>Solar energy: the physics and engineering of photovoltaic conversion technologies and systems</b:Title>
    <b:City>Cambridge</b:City>
    <b:Publisher>UIT</b:Publisher>
    <b:Year>2016</b:Year>
    <b:RefOrder>10</b:RefOrder>
  </b:Source>
</b:Sources>
</file>

<file path=customXml/itemProps1.xml><?xml version="1.0" encoding="utf-8"?>
<ds:datastoreItem xmlns:ds="http://schemas.openxmlformats.org/officeDocument/2006/customXml" ds:itemID="{2D7C4847-BC23-4814-925F-BAD0D1E47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32353</Words>
  <Characters>184413</Characters>
  <Application>Microsoft Office Word</Application>
  <DocSecurity>0</DocSecurity>
  <Lines>1536</Lines>
  <Paragraphs>432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2019-04-30T02:16:00Z</dcterms:created>
  <dcterms:modified xsi:type="dcterms:W3CDTF">2019-05-01T01:13:00Z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http://csl.mendeley.com/styles/535855051/ieee-stuecki-short</vt:lpwstr>
  </property>
  <property fmtid="{D5CDD505-2E9C-101B-9397-08002B2CF9AE}" pid="15" name="Mendeley Recent Style Name 6_1">
    <vt:lpwstr>IEEE - Michael Stuckelberger short</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http://csl.mendeley.com/styles/345389721/nature-2</vt:lpwstr>
  </property>
  <property fmtid="{D5CDD505-2E9C-101B-9397-08002B2CF9AE}" pid="19" name="Mendeley Recent Style Name 8_1">
    <vt:lpwstr>Nature - Christina Ossig</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http://csl.mendeley.com/styles/345389721/nature-2</vt:lpwstr>
  </property>
  <property fmtid="{D5CDD505-2E9C-101B-9397-08002B2CF9AE}" pid="23" name="Mendeley Document_1">
    <vt:lpwstr>True</vt:lpwstr>
  </property>
  <property fmtid="{D5CDD505-2E9C-101B-9397-08002B2CF9AE}" pid="24" name="Mendeley Unique User Id_1">
    <vt:lpwstr>cbceeab5-35df-3f79-8dba-17f6f0921f1a</vt:lpwstr>
  </property>
</Properties>
</file>