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Modulation of Tau Subcellular Localization as a Tool to Investigate the Expression of Disease-Related Genes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Giacomo Siano, Maria Claudia Caiazza, Martina Varisco, Mariantonietta Calvello, Valentina Quercioli, Antonino Cattaneo, Cristina Di Primio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of Biology, BIO@SNS, Scuola Normale Superiore, Pisa,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Giacomo Siano</w:t>
        <w:tab/>
        <w:tab/>
        <w:t xml:space="preserve">(giacomo.siano@sns.it)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Claudia Caiazza</w:t>
        <w:tab/>
        <w:tab/>
        <w:t xml:space="preserve">(mariaclaudia.caiazza@sns.it)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Varisco</w:t>
        <w:tab/>
        <w:tab/>
        <w:t xml:space="preserve">(martina.varisco@sns.it)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Mariantonietta Calvello</w:t>
        <w:tab/>
        <w:t xml:space="preserve">(mariantonietta.calvello@sns.it)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Valentina Quercioli</w:t>
        <w:tab/>
        <w:tab/>
        <w:t xml:space="preserve">(valentina.quercioli@sns.it)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Antonino Cattaneo</w:t>
        <w:tab/>
        <w:tab/>
        <w:t xml:space="preserve">(antonino.cattaneo@sns.it)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Di Primio</w:t>
        <w:tab/>
        <w:tab/>
        <w:t xml:space="preserve">(cristina.diprimio@sns.it)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Tau, differentiated SH-SY5Y, nuclear fractions, localization signals, subcellular fractionation, western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Tau is a neuronal protein present both in the cytoplasm, where it binds microtubules, and in the nucleus, where it exerts unconventional functions including the modulation of Alzheimer’s disease-related genes. Here, we describe a method to investigate the function of nuclear Tau while excluding any interferences coming from cytoplasmic Tau.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Tau is a microtubule binding protein expressed in neurons and its main known function is related to the maintenance of cytoskeletal stability. However, recent evidence indicated that Tau is present also in other subcellular compartments including the nucleus where it is implicated in DNA protection, in rRNA transcription, in the mobility of retrotransposons and in the structural organization of the nucleolus. We have recently demonstrated that nuclear Tau is involved in the expression of the VGluT1 gene, suggesting a molecular mechanism that could explain the pathological increase of glutamate release in the early stages of Alzheimer’s disease. Until recently, the involvement of nuclear Tau in modulating the expression of target genes has been relatively uncertain and ambiguous due to technical limitations that prevented the exclusion of the contribution of cytoplasmic Tau or the effect of other downstream factors not related to nuclear Tau. To overcome this uncertainty, we developed a method to study the expression of target genes specifically modulated by the nuclear Tau protein. We employed a protocol that couples the use of localization signals and the subcellular fractionation, allowing the exclusion of the interference from the cytoplasmic Tau molecules. Most notably, the protocol is easy and is composed of classic and reliable methods that are broadly applicable to study the nuclear function of Tau in other cell types and cellular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functions of Tau protein in the nucleus have garnered significant interest in recent years, as it has been shown to be closely associated with nucleic acids</w:t>
      </w:r>
      <w:r>
        <w:rPr>
          <w:rFonts w:ascii="Calibri" w:hAnsi="Calibri" w:cs="Calibri" w:eastAsia="Calibri"/>
          <w:color w:val="auto"/>
          <w:spacing w:val="0"/>
          <w:position w:val="0"/>
          <w:sz w:val="24"/>
          <w:shd w:fill="auto" w:val="clear"/>
          <w:vertAlign w:val="superscript"/>
        </w:rPr>
        <w:t xml:space="preserve">1,2,3,4,5,6</w:t>
      </w:r>
      <w:r>
        <w:rPr>
          <w:rFonts w:ascii="Calibri" w:hAnsi="Calibri" w:cs="Calibri" w:eastAsia="Calibri"/>
          <w:color w:val="auto"/>
          <w:spacing w:val="0"/>
          <w:position w:val="0"/>
          <w:sz w:val="24"/>
          <w:shd w:fill="auto" w:val="clear"/>
        </w:rPr>
        <w:t xml:space="preserve">. Indeed, a recent genome-wide study demonstrated that Tau binds genic and intergenic DNA sequences in vivo</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role in nucleolar organization has been suggested</w:t>
      </w:r>
      <w:r>
        <w:rPr>
          <w:rFonts w:ascii="Calibri" w:hAnsi="Calibri" w:cs="Calibri" w:eastAsia="Calibri"/>
          <w:color w:val="auto"/>
          <w:spacing w:val="0"/>
          <w:position w:val="0"/>
          <w:sz w:val="24"/>
          <w:shd w:fill="auto" w:val="clear"/>
          <w:vertAlign w:val="superscript"/>
        </w:rPr>
        <w:t xml:space="preserve">8,9,10,11</w:t>
      </w:r>
      <w:r>
        <w:rPr>
          <w:rFonts w:ascii="Calibri" w:hAnsi="Calibri" w:cs="Calibri" w:eastAsia="Calibri"/>
          <w:color w:val="auto"/>
          <w:spacing w:val="0"/>
          <w:position w:val="0"/>
          <w:sz w:val="24"/>
          <w:shd w:fill="auto" w:val="clear"/>
        </w:rPr>
        <w:t xml:space="preserve">. Moreover, Tau has been proposed to be involved in DNA protection from oxidative and hyperthermic stress</w:t>
      </w:r>
      <w:r>
        <w:rPr>
          <w:rFonts w:ascii="Calibri" w:hAnsi="Calibri" w:cs="Calibri" w:eastAsia="Calibri"/>
          <w:color w:val="auto"/>
          <w:spacing w:val="0"/>
          <w:position w:val="0"/>
          <w:sz w:val="24"/>
          <w:shd w:fill="auto" w:val="clear"/>
          <w:vertAlign w:val="superscript"/>
        </w:rPr>
        <w:t xml:space="preserve">5,10,12,13</w:t>
      </w:r>
      <w:r>
        <w:rPr>
          <w:rFonts w:ascii="Calibri" w:hAnsi="Calibri" w:cs="Calibri" w:eastAsia="Calibri"/>
          <w:color w:val="auto"/>
          <w:spacing w:val="0"/>
          <w:position w:val="0"/>
          <w:sz w:val="24"/>
          <w:shd w:fill="auto" w:val="clear"/>
        </w:rPr>
        <w:t xml:space="preserve">, whereas mutated Tau has been linked to chromosome instability and aneuploidy</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now, the challenges in studying the functions of Tau in the nuclear compartment remained almost unsolved due to the difficulties in dissecting the specific contribution of nuclear Tau from the contribution of cytoplasmic Tau. Moreover, the functions attributed to Tau molecules in the nuclear compartment, up to now, are only correlative because they lack an unequivocal demonstration of the direct involvement of nuclear Tau proteins. Indeed, the involvement of Tau in the mobility of retrotransposons or in the rRNA transcription or in DNA protection</w:t>
      </w:r>
      <w:r>
        <w:rPr>
          <w:rFonts w:ascii="Calibri" w:hAnsi="Calibri" w:cs="Calibri" w:eastAsia="Calibri"/>
          <w:color w:val="auto"/>
          <w:spacing w:val="0"/>
          <w:position w:val="0"/>
          <w:sz w:val="24"/>
          <w:shd w:fill="auto" w:val="clear"/>
          <w:vertAlign w:val="superscript"/>
        </w:rPr>
        <w:t xml:space="preserve">11,12,17,18,19</w:t>
      </w:r>
      <w:r>
        <w:rPr>
          <w:rFonts w:ascii="Calibri" w:hAnsi="Calibri" w:cs="Calibri" w:eastAsia="Calibri"/>
          <w:color w:val="auto"/>
          <w:spacing w:val="0"/>
          <w:position w:val="0"/>
          <w:sz w:val="24"/>
          <w:shd w:fill="auto" w:val="clear"/>
        </w:rPr>
        <w:t xml:space="preserve"> might be also explained by the contribution of cytoplasmic Tau or by the effect of other downstream factors not related to nuclear Tau.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method that can solve this issue by exploiting a classical procedure to isolate the nuclear compartment combined with the use of Tau constructs 0N4R tagged with nuclear localization (NLS) or nuclear export signals (NES). This approach eliminates the complex issues related to possible artefacts due to the spillover of Tau molecules from the cytoplasmic compartment. Moreover, Tau-NLS and Tau-NES constructs induce the enrichment or the exclusion of Tau molecules from the nuclear compartment, respectively, providing positive and negative controls for the involvement of nuclear Tau molecules in a specific function. The protocol is technically easy and it is composed of classic and reliable methods that are broadly applicable to study the nuclear function of Tau in other cell types, differentiated or not, such as cancer cells that reactivate Tau expression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Moreover, it might be applied also to other proteins that are present in both the cytoplasm and the nucleus in order to dissect biological functions related to different compartments.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Culture SH-SY5Y cells (human neuroblastoma cell line, CRL-2266) in complete medium (Dulbecco’s modified Eagle medium:nutrient mixture F12 [DMEM/F-12] supplemented with 10% fetal bovine serum [FBS], 2 mM L-glutamine, 100 U/mL penicillin and 100 &amp;#181;g/mL streptomycin). Maintain the cells in an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Grow cells in 10 cm plates and split when confluent.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Cell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To differentiate SH-SY5Y cells, the day after the plating, add 10 &amp;#181;M retinoic acid (RA) to complete medium for 5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The sixth day replace medium with differentiation medium: DMEM/F-12 supplemented with 50 ng/mL BDNF, 2 mM L-glutamine. Do not add FBS or antibiotics.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Grow the cells in differentiation medium for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Chimeric constructs cloning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Generate Tau-NLS construct by cloning by restriction enzyme digestion in frame at the 3’ end of Tau sequence 0N4R (383aa) the 3xNLS(SV40NLS):5’-CCAAAAAAGAAGAGAAAGGTAGATCCAAAAAAGAAGAGAAAGGTAGATCCAAAAAAGAAGAGAAAGGTA-3’.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3xNLS at the 3’ end of Tau is cloned into the pCMV-Tau plasmid for mammalian expression exploiting the XhoI and BamHI restriction sites into the multicloning site (MCS).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Generate Tau-NES construct by cloning by restriction enzyme digestion in frame at the 3’ end of Tau sequence 0N4R (383aa) the NES sequence: 5’-AGTGAGCTGCAGAACAAGCTGGAAGAGTTGGATCTGGACTCGTACAA-3’.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NES at the 3’ end of Tau is cloned into the pCMV-Tau plasmid for mammalian expression exploiting the EcoRI and BamHI restriction sites into the MCS.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Transform DH5alpha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coli </w:t>
      </w:r>
      <w:r>
        <w:rPr>
          <w:rFonts w:ascii="Calibri" w:hAnsi="Calibri" w:cs="Calibri" w:eastAsia="Calibri"/>
          <w:color w:val="auto"/>
          <w:spacing w:val="0"/>
          <w:position w:val="0"/>
          <w:sz w:val="24"/>
          <w:shd w:fill="auto" w:val="clear"/>
        </w:rPr>
        <w:t xml:space="preserve">strain with 100 ng of DNA from step 3.1 or 3.2 and plate cells on LB-Agar plates with 100 mg/mL ampicillin. Let grow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Pick a single colony and spike the cells into 5 mL of LB with ampicillin. Let the cells grow at 37 &amp;#176;C in agitation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Extract plasmid with a DNA miniprep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sequence to verify the constructs.</w:t>
      </w:r>
    </w:p>
    <w:p>
      <w:pPr>
        <w:spacing w:before="0" w:after="0" w:line="276"/>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Transform DH5alpha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with the sequence verified constructs and plate cells on LB-Agar plates with ampicillin. Let grow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Pick a single colony and spike the cells into 5 mL of LB with ampicillin. Let the cells grow at 37 &amp;#176;C in agitation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Put the cells from step 3.7 in 200 mL of LB with ampicillin. Let grow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Pellet the cells at 3,500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Extract plasmid with a DNA maxiprep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Cell transfection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Seed 400,000 cells from step 1.1 in 6-well plates or 20,000 cells in 8-well chamber slides. Plate four samples: control cells to be transfected with an empty vector, cells to be transfected with untagged Tau, cells to be transfected with Tau-NLS and cells to be transfected with Tau-NES.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The day after seeding transfect 400 ng of DNA for each well using the cationic lipids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6-well plates or 200 ng of DNA for each well for 8-well chamber slides</w:t>
      </w:r>
      <w:r>
        <w:rPr>
          <w:rFonts w:ascii="Calibri" w:hAnsi="Calibri" w:cs="Calibri" w:eastAsia="Calibri"/>
          <w:color w:val="auto"/>
          <w:spacing w:val="0"/>
          <w:position w:val="0"/>
          <w:sz w:val="24"/>
          <w:shd w:fill="auto" w:val="clear"/>
        </w:rPr>
        <w:t xml:space="preserve">, according to the manufacturer’s instructions.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Incubate the DNA and the cationic lipids separately in 250 &amp;#181;L (for 6-well plates) or 25 &amp;#181;L (for 8-well chamber slides) of reduced serum medium for 5 min at RT. Then combine them to generate the DNA-lipid complex and incubate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4.2.2. Replace the culture medium with 2 mL (for 6-well plates) or 250 &amp;#181;L (for 8-well chamber slides) of fresh complete culture medium. Add the DNA-lipid complex to the cells and incubate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Alternatively, transfect DNA with the cationic reagent polyethylenimine (PEI).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Mix 2 &amp;#181;g of DNA and 6 &amp;#181;L of PEI with 200 &amp;#181;L of complete culture medium (for each well in 6-well plates), or 1 &amp;#181;g of DNA and 3 &amp;#181;L of PEI with 100 &amp;#181;L of complete culture medium (for each well in 8-well chamber slides), vortex and incubate for 10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4.3.2. Add the mix to the cells and add 1.8 mL of complete culture medium per well in 6-well plates or 150 &amp;#181;L of complete culture medium per well in 8-well chamber slides to reach plating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Change the medium the day after transfection and add the differentiation media as described in step 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Immunofluorescence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Remove the culture medium and rinse cells with 1x PBS. Fix cells with 100% ice cold methanol for 3 min without shaking. Remove the fixing solution and wash briefly with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Permeabilize with 0.1% non-ionic surfactant in 1x PBS for 5 min at room temperature (RT). Briefly, wash with 1x PBS, 3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Incubate cells with blocking buffer (0.1% Tween 20 and 1% BSA in PBS) for 30 min at RT on an orbital shaker.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Incubate with appropriate primary antibodies (e.g., mouse monoclonal anti-Tau13 antibody) diluted 1:500 in blocking buffer overnight at 4 &amp;#176;C on an orbital shaker. Remove the antibody solution and wash, briefly, with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Incubate with secondary antibodies conjugated to fluorophore (e.g., goat anti-mouse antibodies conjugated to Alexa Fluor 633) diluted 1:500 in blocking buffer for 1 h at RT. Remove the antibody solution and wash briefly with 1x PBS 3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To stain nuclei, incubate with DAPI diluted 1:20,000 in blocking buffer for 10 </w:t>
        <w:tab/>
        <w:t xml:space="preserve">min at RT. Wash with 1x PBS 3 times. Mount coverslips on a slide using antifade mounting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Western blot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To collect the cell pellet from step 4.4, remove the medium, and wash cells with PBS. Incubate with 500 &amp;#181;L of 0.1% trypsin for 4 min at 37 &amp;#176;C. Add an equal volume of complete medium and resuspend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Collect cells in a tube and centrifuge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the end of centrifugation carefully remove the supernatant. Add 1 mL of PBS, centrifuge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carefully remove the supernatant. Store cell pellets on ice for immediate use or freeze at -80 &amp;#176;C for long-term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For total protein extracts, incubate the cell pellet for 30 min on ice in lysis buffer (20 mM Tris-HCl pH 8, 20 mM NaCl, 10% glycerol, 1% octylphenoxy poly(ethyleneoxy)ethanol, branched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10 mM EDTA) supplemented with protease and phosphatase inhibitors. According to the abundance of the pellet, use 50 &amp;#181;L to 100 &amp;#181;L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0"/>
          <w:position w:val="0"/>
          <w:sz w:val="24"/>
          <w:shd w:fill="FFFF00" w:val="clear"/>
        </w:rPr>
        <w:t xml:space="preserve">lysis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6.3.1. Centrifuge the extract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Collect the supernatant and quantify the protein concentration </w:t>
      </w:r>
      <w:r>
        <w:rPr>
          <w:rFonts w:ascii="Calibri" w:hAnsi="Calibri" w:cs="Calibri" w:eastAsia="Calibri"/>
          <w:color w:val="auto"/>
          <w:spacing w:val="0"/>
          <w:position w:val="0"/>
          <w:sz w:val="24"/>
          <w:shd w:fill="auto" w:val="clear"/>
        </w:rPr>
        <w:t xml:space="preserve">by any standard quantification assay</w:t>
      </w:r>
      <w:r>
        <w:rPr>
          <w:rFonts w:ascii="Calibri" w:hAnsi="Calibri" w:cs="Calibri" w:eastAsia="Calibri"/>
          <w:color w:val="auto"/>
          <w:spacing w:val="0"/>
          <w:position w:val="0"/>
          <w:sz w:val="24"/>
          <w:shd w:fill="FFFF00" w:val="clear"/>
        </w:rPr>
        <w:t xml:space="preserve">. Prepare the protein samples for the SDS-PAGE by mixing 20 &amp;#181;g of proteins with 5 &amp;#181;L of 4x Laemmli buffer in a total volume of 20 &amp;#181;L and boil at 100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sample can be stored at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For subcellular fractionations, resuspend cells from step 6.2 in complete medium, and collect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each sample. Centrifuge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to obtain cell pellets for the following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 </w:t>
      </w:r>
      <w:r>
        <w:rPr>
          <w:rFonts w:ascii="Calibri" w:hAnsi="Calibri" w:cs="Calibri" w:eastAsia="Calibri"/>
          <w:color w:val="auto"/>
          <w:spacing w:val="0"/>
          <w:position w:val="0"/>
          <w:sz w:val="24"/>
          <w:shd w:fill="auto" w:val="clear"/>
        </w:rPr>
        <w:t xml:space="preserve">To isolate subcellular compartments, fractionate according to kit specifications. </w:t>
      </w:r>
      <w:r>
        <w:rPr>
          <w:rFonts w:ascii="Calibri" w:hAnsi="Calibri" w:cs="Calibri" w:eastAsia="Calibri"/>
          <w:color w:val="auto"/>
          <w:spacing w:val="0"/>
          <w:position w:val="0"/>
          <w:sz w:val="24"/>
          <w:shd w:fill="FFFF00" w:val="clear"/>
        </w:rPr>
        <w:t xml:space="preserve">To isolate each fraction, incubate the cell pellet from step 6.4 with the corresponding buffer, centrifuge, collect the supernatant and add the next buffer to the pellet as described in 6.4.1.1-6.4.1.5. Add in order cytoplasmic extraction buffer, membrane extraction buffer, nuclear extraction buffer, nuclear extraction buffer supplemented with 5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3 U/&amp;#181;L micrococcal nuclease and cytoskeletal extraction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buffers must be supplemented with protease inhibitors. Scale buffer volumes according to the volume of the cell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6.4.1.1. To isolate the cytosolic fraction, incubate cell pellets in 100 &amp;#181;L of ice-cold cytoplasmic extraction buffer supplemented with protease inhibitors at 4 &amp;#176;C with gentle mixing for 10 min. Centrifuge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for 5 min and transfer the supernatant to pre-chilled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6.4.1.2. Add 100 &amp;#181;L of ice-cold membrane extraction buffer supplemented with protease inhibitors to the pellet from step 6.4.1.1, and incubate at 4 &amp;#176;C with gentle mixing for 10 min. Centrifuge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for 5 min and collect the supernatant.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6.4.1.3. For the soluble nuclear fraction, add 50 &amp;#181;L of nuclear extraction buffer supplemented with protease inhibitors to the pellet from step 6.4.1.2, and vortex. Incubate at 4 &amp;#176;C for 30 min, centrifuge at 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for 5 min, and collect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6.4.1.4. For the insoluble nuclear fraction, add 50 &amp;#181;L of nuclear extraction buffer supplemented with protease inhibitors,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micrococcal nuclease to the pellet from step 6.4.1.3, and vortex. Incubate at 37 &amp;#176;C for 5 min, and then vortex again. Centrifuge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RT for 5 min and collect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6.4.1.5. For the cytoskeletal fraction, add 50 &amp;#181;L of cytoskeletal extraction buffer supplemented with protease inhibitors to the pellet from step 6.4.1.4, and vortex. Incubate 10 min at RT. Centrifuge the tube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collect the supernatant and discard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Scale buffer volumes according to the cell volume, as indicated in the kit protocol. Refer to the kit protocol for further details on incubation and centrifugation time and temperature</w:t>
      </w:r>
      <w:r>
        <w:rPr>
          <w:rFonts w:ascii="Calibri" w:hAnsi="Calibri" w:cs="Calibri" w:eastAsia="Calibri"/>
          <w:color w:val="auto"/>
          <w:spacing w:val="0"/>
          <w:position w:val="0"/>
          <w:sz w:val="24"/>
          <w:shd w:fill="auto" w:val="clear"/>
          <w:vertAlign w:val="superscript"/>
        </w:rPr>
        <w:t xml:space="preserve">22,23,24,25,26,27,28,29</w:t>
      </w:r>
      <w:r>
        <w:rPr>
          <w:rFonts w:ascii="Calibri" w:hAnsi="Calibri" w:cs="Calibri" w:eastAsia="Calibri"/>
          <w:color w:val="auto"/>
          <w:spacing w:val="0"/>
          <w:position w:val="0"/>
          <w:sz w:val="24"/>
          <w:shd w:fill="auto" w:val="clear"/>
        </w:rPr>
        <w:t xml:space="preserve">. Alternatively, use any standard methods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that, by using detergents and by increasing ionic strength and centrifugation speed, separates the cytosolic, the membrane-bound, the cytoskeletal and the nuclear fractions. Separate the soluble nuclear fraction and the insoluble nuclear fraction by exploiting standard nuclear extraction buffers. The sample can be stored at -20 &amp;#176;C.</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 For the SDS-PAGE, add 7 &amp;#181;L of 4x Laemmli buffer to 20 &amp;#181;L of subcellular fractions obtained from steps 6.4.1.1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6.4.1.5, boil at 100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Load samples on an acrylamide gel and perform electrophoresis at a constant voltage of 120 V. Transfer proteins to nitrocellulose membrane at 250 mA for 90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Check proper protein gel electrophoresis and successful blotting by incubating the membrane for 5 min in Ponceau staining solution. Rinse the membrane in distilled water until the background is clean. Remove the stain by continued washing with Tris buffered saline with Tween 20 (TBST) for 10 min on a shaker.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Incubate the membrane with blocking solution (5% milk in TBST) for 1 h at RT on shaker. Wash 3 times with TBST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Hybridize the membrane with the primary antibody in blocking solution (1% milk in TBST) overnight at 4 &amp;#176;C. Wash 3 times with TBST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Hybridize the membrane with the HRP-conjugated secondary antibody in blocking solution for 1 h at RT. Wash 3 times with TBST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Detect the protein band using chemiluminescence. Quantify the intensity of Western Blot bands by ImageJ. Normalize protein expression onto the product of a housekeeping gene: histone H2B for the nuclear soluble and insoluble fraction, GAPDH for the cytoplasmic fraction and for total extracts.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strategy used to dissect the impact of nuclear Tau in gene expression avoiding the contribution of cytoplasmic Tau proteins has been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Briefly, Tau proteins tagged with NLS or NES are accumulated in or excluded from the nuclear compartment, respectively. The functional effect of this unbalance is the alteration of the gene expression measured as the product of the VGluT1 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description, SH-SY5Y cells were treated with RA for 5 days and then with BDNF for 3 days in order to obtain post-mitotic neuron-like cells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the absence of RA and BDNF, undifferentiated SH-SY5Y cells assume a rounder morphology and form cell clumps. As expected, starting the differentiation protocol, clumps unwind and cells spread out neurites; at the end of differentiation, cells are uniformly distributed and interconnected via a network of branched neurites.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day after seeding, cells have been transfected with Tau-NLS or Tau-NES plasmids (section 4.2) with cationic lipids. For cells expressing Tau-NLS or Tau-NES constructs, Tau subcellular localization can be detected by immunofluorescence with anti-Tau antibodies. Depending on the efficiency of transfection, cells display a strong nuclear staining merging with the DAPI signal or a cytoplasmic staining with empty nuclei if they are successfully transfected with Tau-NLS or Tau-NES, respectively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lack of these specific signals indicates an inefficient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analyse the proteins enriched in different subcellular compartment, cells were collected and counted in order to process equal amounts of cells per sample. Any standard fractionation method that exploits increasing detergent and ionic strength and increasing centrifugation speed can be used to separate the cellular compartments from one another and thus isolate the cytosolic, the membrane-bound, the cytoskeletal and the nuclear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nuclei have been isolated, the nuclear soluble fraction and the chromatin bound fraction were separated by adding 3 U/&amp;#181;L of micrococcal nuclease and 5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Western blot analysis, equal volumes of cytoplasmic and membrane fractions and half volumes of the other fractions have been loaded on a gradient precast acrylamide gel, to correct for the different amount of buffer added at each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the efficient separation of different fractions, the Western blot exploiting the following antibodies has been performed: anti-GADPH (present in all fractions except the cytoskeleton and particularly enriched in the cytoplasmic fraction); anti-actin (particularly enriched in the cytoskeletal fraction); anti-tubulin (particularly enriched in Cytoplasmic and cytoskeletal fractions); anti-H2B (enriched in the nuclear fractions)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enrichment of these markers in different subcellular fractions indicates that the fractionation is not well performed. It must be noted that any protocol for subcellular fractionation might present a 10-15% of contamination between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verified the successful fractionation of the sample, the Western blot has been performed to check the signal of Tau in the nuclear compartment and the VGluT1 signal in the total extract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While untagged Tau is detectable in all fractions, Tau-NLS is strongly enriched in the nuclear compartment and it is poorly detectable in the cytoplasmic fraction. On the contrary, Tau-NES is enriched in the cytoplasmic fraction and it is less detectable in the nuclear fraction. The presence of a small amount of Tau-NES into the soluble nuclear fraction has to be expected since, like the endogenous Tau, it is translocated into the nucleus and once into the nuclear compartment the nuclear export signal allows its translocation to the cytoplasm. The detection of a different enrichment for these two fusion proteins might indicate a problem in the efficiency of transfection or in the cloning of constructs or in fractionation.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analysis of Western blot can be done using ImageJ. Values are normalized for the housekeeping gene specific for each fraction (GAPDH for cytoplasmic fraction; histone H2B for soluble nuclear and chromatin-bound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graph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reports the ratio of Tau in the soluble nuclear fraction and cytoplasmic fraction to highlight that Tau-NLS is highly enriched in the soluble nuclear fraction (SNF) while Tau-NES is decreased. Moreover, Tau-NLS is enriched in the chromatin-bound fraction (CBF) with respect to the cytoplasmic fraction (CF) while Tau-NES is decreased. SNF/CF = 1 and CBF/CF = 1 correspond to Tau ratio in control cells. The endogenous Tau is weakly detectable in all fractions as expected. The graph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reports the quantification of VGluT1 expression in the total extracts of samples expressing different amount of nuclear Tau. In cells expressing Tau-NES, VGluT1 expression is comparable to the baseline expression in control cells. On the contrary, in cells expressing untagged Tau or Tau-NLS, the expression of VGluT1 is more than doubled.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Graphical representation of the strategy used to allow a nuclear or a cytoplasmic accumulation of Tau. </w:t>
      </w:r>
      <w:r>
        <w:rPr>
          <w:rFonts w:ascii="Calibri" w:hAnsi="Calibri" w:cs="Calibri" w:eastAsia="Calibri"/>
          <w:color w:val="auto"/>
          <w:spacing w:val="0"/>
          <w:position w:val="0"/>
          <w:sz w:val="24"/>
          <w:shd w:fill="auto" w:val="clear"/>
        </w:rPr>
        <w:t xml:space="preserve">Tau-NLS is accumulated in the nuclear compartment while Tau-NES is excluded. The experimental readout is the modulation of the VGluT1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undifferentiated and differentiated cell culture. </w:t>
      </w:r>
      <w:r>
        <w:rPr>
          <w:rFonts w:ascii="Calibri" w:hAnsi="Calibri" w:cs="Calibri" w:eastAsia="Calibri"/>
          <w:color w:val="000000"/>
          <w:spacing w:val="0"/>
          <w:position w:val="0"/>
          <w:sz w:val="24"/>
          <w:shd w:fill="auto" w:val="clear"/>
        </w:rPr>
        <w:t xml:space="preserve">Image of undifferentiated SH-SY5Y (left), cells differentiated by RA (middle) and differentiated by RA and BDNF (right). Scale bar = 100 &amp;#181;m.</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image of Tau subcellular enrichment by immunofluorescence.</w:t>
      </w:r>
      <w:r>
        <w:rPr>
          <w:rFonts w:ascii="Calibri" w:hAnsi="Calibri" w:cs="Calibri" w:eastAsia="Calibri"/>
          <w:color w:val="000000"/>
          <w:spacing w:val="0"/>
          <w:position w:val="0"/>
          <w:sz w:val="24"/>
          <w:shd w:fill="auto" w:val="clear"/>
        </w:rPr>
        <w:t xml:space="preserve"> Image of cells untransfected or expressing untagged Tau, Tau-NES or Tau-NLS constructs. Tau signal has been obtained by immunofluorescence (red), nuclei signal has been obtained by DAPI staining (blue), merged images are reported. Scale bar = 10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detection of proteins enriched in subcellular fractions by Western blot. </w:t>
      </w:r>
      <w:r>
        <w:rPr>
          <w:rFonts w:ascii="Calibri" w:hAnsi="Calibri" w:cs="Calibri" w:eastAsia="Calibri"/>
          <w:color w:val="000000"/>
          <w:spacing w:val="0"/>
          <w:position w:val="0"/>
          <w:sz w:val="24"/>
          <w:shd w:fill="auto" w:val="clear"/>
        </w:rPr>
        <w:t xml:space="preserve">Western blot of subcellular fractions from SH-SY5Y cells. CF = cytoplasmic fraction; MF = membrane fraction; SNF = soluble nuclear fraction; CBF = chromatin bound fraction; CKF = cytoskeletal fraction.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detection of nuclear Tau and VGluT1 proteins.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Western blot of Tau protein detected in the nuclear and cytoplasmic fractions.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graph reports the ratio of Tau in the nuclear fractions and cytoplasmic fraction. The values have been normalized on the endogenous Tau. SNF/CF = 1 and CBF/CF = 1 corresponds to endogenous Tau ratio in control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Western blot of VGluT1 protein.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graph reports the quantification of VGluT1 expression in the total extracts of samples expressing different amount of nuclear Tau. Kruskal-Wallis ANOVA and Mann-Whitney test;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 n.s.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&amp;gt; 0.05. All results are shown as mean &amp;plusmn; SEM from at least three independent experiments. This representative figure has been modified from Siano et al.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36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to measure the impact of nuclear Tau protein on gene expression. With this protocol the contribution of cytoplasmic Tau is strongly limited. Critical steps of this protocol are the following: the differentiation of human neuroblastoma SH-SY5Y cells, the subcellular fractionation and the localization of Tau protein in the nuclear compartment.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as shown in the representative results section, the differentiation of SH-SY5Y cells by adding RA and BDNF is crucial to obtain a good preparation of neuron-like cells in culture. The density of cells seeded is particularly important since a lower density might impact cell proliferation. Moreover, for experiments that need a high number of cells, like cellular fractionation and Western blot, it is important to note that the BDNF differentiation step blocks the cellular proliferation to allow the terminal differentiation, thus limiting the number of cells in culture. Alternative differentiation protocols use only RA or NGF instead of BDNF. However, while adding BDNF after RA allows to reach a better morphological differentiation</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NGF induces a weaker neurite outgrowth in SH-SY5Y cells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Moreover, it has been extensively demonstrated that the combination of RA and BDNF allows to obtain a homogeneous neuronal population with expression of neuronal markers and decreased proliferation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this reason, the differentiation protocol exploited here combines RA and BDNF.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procedure reported to dissect the role of Tau in different subcellular compartments can be used also for undifferentiated cells or for different cell types.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subcellular fractionation is a very critical step and</w:t>
      </w:r>
      <w:r>
        <w:rPr>
          <w:rFonts w:ascii="Calibri" w:hAnsi="Calibri" w:cs="Calibri" w:eastAsia="Calibri"/>
          <w:strike w:val="true"/>
          <w:color w:val="FFFF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crucial to have enough starting material: a commercial kit requires only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whereas other procedures may need a much higher starting quantity. Moreover, the use of a kit with standard buffers and steps guarantees the reproducibility of the experiment that is unavoidable and essential. However, since the composition of buffers is often proprietary, they might contain detergents which may alter the function of the protein of interest and it might be difficult to optimize the isolation of the fractions. Moreover, even in the best condition, there might be a 10-15% of contamination between fractions. A poor yield from each fraction could be overcome by increasing the incubation time in extraction buffers of specific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functions of nuclear Tau have gained significant interest in recent years, it is particularly important to provide a reliable method to dissect the function of Tau in different cellular compartments. Coupling the subcellular fractionation, with the expression of Tau constructs specifically directed or excluded from the nucleus, allows one to finely tune the amount of Tau in different compartments.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this part of the protocol is the cloning of Tau tagged with nuclear localization signal or with the nuclear export signal. The efficiency of the NLS is guaranteed by the presence of a 3XNLS consensus sequence from the SV40 virus. The nuclear translocation of the protein can be easily checked by immunofluorescence, and the lack of signal into the nucleus might be due to an incorrect cloning or to an inefficient transfection. On the contrary, the nuclear export is guaranteed by the NES consensus sequence. In this case, the immunofluorescence allows checking of the export of Tau from the nucleus. However, a weak nuclear signal is not to be excluded since Tau-NES protein enters the nucleus and then, due to the NES sequence, it is exported into the cytosol.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 to now, the function of nuclear Tau has been studied only by correlative approaches that do not assure its direct involvement. The protocol here described, provide the first approach allowing to clearly discriminate the specific function of Tau into the nuclear compartment. As previously demonstrated, the endogenous Tau does not affect the results obtained by this protocol. Indeed, the same experiment performed in non-neuronal cells that do not express endogenous Tau, leads to VGluT1 altered expression. We applied this protocol to study the expression of disease-related genes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Anyhow, it could be exploited also to investigate other nuclear Tau functions, such as the involvement on DNA damage, the interaction with nuclear cofactors or with the chromatin.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Scuola Normale Superiore (SNS14_B_DIPRIMIO; SNS16_B_DIPRIMIO).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57" w:firstLine="357"/>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Padmaraju, V., Indi, S.S., Rao, K.S.J. New evidences on Tau-DNA interactions and relevance to neurodegeneration. </w:t>
      </w:r>
      <w:r>
        <w:rPr>
          <w:rFonts w:ascii="Calibri" w:hAnsi="Calibri" w:cs="Calibri" w:eastAsia="Calibri"/>
          <w:i/>
          <w:color w:val="auto"/>
          <w:spacing w:val="0"/>
          <w:position w:val="0"/>
          <w:sz w:val="24"/>
          <w:shd w:fill="auto" w:val="clear"/>
        </w:rPr>
        <w:t xml:space="preserve">Neurochemistry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51-57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Rady, R.M., Zinkowski, R.P., Binder, L.I. Presence of tau in isolated nuclei from human brain. </w:t>
      </w:r>
      <w:r>
        <w:rPr>
          <w:rFonts w:ascii="Calibri" w:hAnsi="Calibri" w:cs="Calibri" w:eastAsia="Calibri"/>
          <w:i/>
          <w:color w:val="auto"/>
          <w:spacing w:val="0"/>
          <w:position w:val="0"/>
          <w:sz w:val="24"/>
          <w:shd w:fill="auto" w:val="clear"/>
        </w:rPr>
        <w:t xml:space="preserve">Neurobiology of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479-486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Krylova, S.M., Musheev, M., Nutiu, R., Li, Y., Lee, G., Krylov, S.N. Tau protein binds single-stranded DNA sequence specifically - The proof obtained in vitro with non-equilibrium capillary electrophoresis of equilibrium mixtures.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579</w:t>
      </w:r>
      <w:r>
        <w:rPr>
          <w:rFonts w:ascii="Calibri" w:hAnsi="Calibri" w:cs="Calibri" w:eastAsia="Calibri"/>
          <w:color w:val="auto"/>
          <w:spacing w:val="0"/>
          <w:position w:val="0"/>
          <w:sz w:val="24"/>
          <w:shd w:fill="auto" w:val="clear"/>
        </w:rPr>
        <w:t xml:space="preserve"> (6), 1371-1375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 Vasudevaraju, E.G., Hegde, M.L., Collen, T.B., Britton, G.B., Rao, K.S. New evidence on &amp;#945;-synuclein and Tau binding to conformation and sequence specific GC* rich DNA: Relevance to neurological disorders. </w:t>
      </w:r>
      <w:r>
        <w:rPr>
          <w:rFonts w:ascii="Calibri" w:hAnsi="Calibri" w:cs="Calibri" w:eastAsia="Calibri"/>
          <w:i/>
          <w:color w:val="auto"/>
          <w:spacing w:val="0"/>
          <w:position w:val="0"/>
          <w:sz w:val="24"/>
          <w:shd w:fill="auto" w:val="clear"/>
        </w:rPr>
        <w:t xml:space="preserve">Journal of Pharmacy &amp;amp; Bioallied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112-117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Wei, Y. et al. Binding to the minor groove of the double-strand, Tau protein prevents DNA damage by peroxidation.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Qi, H. et al. Nuclear Magnetic Resonance Spectroscopy Characterization of Interaction of Tau with DNA and Its Regulation by Phosphorylation.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(7), 1525-1533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Benhelli-Mokrani, H. et al. Genome-wide identification of genic and intergenic neuronal DNA regions bound by Tau protein under physiological and stress conditions.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Sotiropoulos, I. et al. Atypical, non-standard functions of the microtubule associated Tau protein.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Lu, J., Li, T., He, R.Q., Bartlett, P.F., G&amp;#246;tz, J. Visualizing the microtubule-associated protein tau in the nucleus. </w:t>
      </w:r>
      <w:r>
        <w:rPr>
          <w:rFonts w:ascii="Calibri" w:hAnsi="Calibri" w:cs="Calibri" w:eastAsia="Calibri"/>
          <w:i/>
          <w:color w:val="auto"/>
          <w:spacing w:val="0"/>
          <w:position w:val="0"/>
          <w:sz w:val="24"/>
          <w:shd w:fill="auto" w:val="clear"/>
        </w:rPr>
        <w:t xml:space="preserve">Science China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 422-431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Sultan, A. et al. Nuclear Tau, a key player in neuronal DNA protection.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(6), 4566-4575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Sj&amp;#246;berg, M.K., Shestakova, E., Mansuroglu, Z., Maccioni, R.B., Bonnefoy, E. Tau protein binds to pericentromeric DNA: a putative role for nuclear tau in nucleolar organization.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(10), 2025-2034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Violet, M. et al. A major role for Tau in neuronal DNA and RNA protection in vivo under physiological and hyperthermic conditions.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(March), 1-11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Hua, Q., He, R.Q. Tau could protect DNA double helix structure. </w:t>
      </w:r>
      <w:r>
        <w:rPr>
          <w:rFonts w:ascii="Calibri" w:hAnsi="Calibri" w:cs="Calibri" w:eastAsia="Calibri"/>
          <w:i/>
          <w:color w:val="auto"/>
          <w:spacing w:val="0"/>
          <w:position w:val="0"/>
          <w:sz w:val="24"/>
          <w:shd w:fill="auto" w:val="clear"/>
        </w:rPr>
        <w:t xml:space="preserve">Biochimica et Biophysica Acta - Proteins and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1645</w:t>
      </w:r>
      <w:r>
        <w:rPr>
          <w:rFonts w:ascii="Calibri" w:hAnsi="Calibri" w:cs="Calibri" w:eastAsia="Calibri"/>
          <w:color w:val="auto"/>
          <w:spacing w:val="0"/>
          <w:position w:val="0"/>
          <w:sz w:val="24"/>
          <w:shd w:fill="auto" w:val="clear"/>
        </w:rPr>
        <w:t xml:space="preserve"> (2), 205-211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Rossi, G. et al. A new function of microtubule-associated protein tau: Involvement in chromosome stability.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1788-1794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Rossi, G. et al. Mutations in MAPT gene cause chromosome instability and introduce copy number variations widely in the genome. </w:t>
      </w:r>
      <w:r>
        <w:rPr>
          <w:rFonts w:ascii="Calibri" w:hAnsi="Calibri" w:cs="Calibri" w:eastAsia="Calibri"/>
          <w:i/>
          <w:color w:val="auto"/>
          <w:spacing w:val="0"/>
          <w:position w:val="0"/>
          <w:sz w:val="24"/>
          <w:shd w:fill="auto" w:val="clear"/>
        </w:rPr>
        <w:t xml:space="preserve">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969-982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Rossi, G. et al. Mutations in MAPT give rise to aneuploidy in animal models of tauopathy. </w:t>
      </w:r>
      <w:r>
        <w:rPr>
          <w:rFonts w:ascii="Calibri" w:hAnsi="Calibri" w:cs="Calibri" w:eastAsia="Calibri"/>
          <w:i/>
          <w:color w:val="auto"/>
          <w:spacing w:val="0"/>
          <w:position w:val="0"/>
          <w:sz w:val="24"/>
          <w:shd w:fill="auto" w:val="clear"/>
        </w:rPr>
        <w:t xml:space="preserve">neurogenetics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31-40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Sun, W., Samimi, H., Gamez, M., Zare, H., Frost, B. Pathogenic tau-induced piRNA depletion promotes neuronal death through transposable element dysregulation in neurodegenerative tauopathies.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1038-1048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Guo, C. et al. Tau Activates Transposable Elements in Alzheimer’s Disease.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 2874-2880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Maina, M.B. et al. The involvement of tau in nucleolar transcription and the stress response.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Bonneau, C., Gurard-Levin, Z.A., Andre, F., Pusztai, L., Rouzier, R. Predictive and prognostic value of the Tau protein in breast cancer.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5179-5184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Vanier, M.T., Neuville, P., Michalik, L., Launay, J.F. Expression of specific tau exons in normal and tumoral pancreatic acinar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(1), 1419-32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Liao, A. et al. Therapeutic efficacy of FTY720 in a rat model of NK-cell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(10), 2793-800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Cascio, S., Zhang, L., Finn, O.J. MUC1 protein expression in tumor cells regulates transcription of proinflammatory cytokines by forming a complex with nuclear factor-</w:t>
      </w:r>
      <w:r>
        <w:rPr>
          <w:rFonts w:ascii="Calibri" w:hAnsi="Calibri" w:cs="Calibri" w:eastAsia="Calibri"/>
          <w:color w:val="auto"/>
          <w:spacing w:val="0"/>
          <w:position w:val="0"/>
          <w:sz w:val="24"/>
          <w:shd w:fill="auto" w:val="clear"/>
        </w:rPr>
        <w:t xml:space="preserve">κB p65 and binding to cytokine promoters: Importance of extracellular domain.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(49),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Costello, D.A. et al. Long Term Potentiation Is Impaired in Membrane Glycoprotein CD200-deficient Mice.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(40), 34722-34732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Roy, G., Placzek, E., Scanlan, T.S. ApoB-100-containing lipoproteins are major carriers of 3-iodothyronamine in circulation.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(3), 1790-1800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Loo, L.H. et al. Heterogeneity in the physiological states and pharmacological responses of differentiating 3T3-L1 preadipocytes.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(3), 375-384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Draker, R., Sarcinella, E., Cheung, P. USP10 deubiquitylates the histone variant H2A.Z and both are required for androgen receptor-mediated gene activation.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(9), 3529-3542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Richard, D.J. et al. HSSB1 rapidly binds at the sites of DNA double-strand breaks and is required for the efficient recruitment of the MRN complex.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1692-1702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Roger, L., Jullien, L., Gire, V., Roux, P. Gain of oncogenic function of p53 mutants regulates E-cadherin expression uncoupled from cell invasion in colon cancer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ten Have, S., Hodge, K., Lamond, A.I. Dynamic Proteomics: Methodologies and Analysis. </w:t>
      </w:r>
      <w:r>
        <w:rPr>
          <w:rFonts w:ascii="Calibri" w:hAnsi="Calibri" w:cs="Calibri" w:eastAsia="Calibri"/>
          <w:i/>
          <w:color w:val="auto"/>
          <w:spacing w:val="0"/>
          <w:position w:val="0"/>
          <w:sz w:val="24"/>
          <w:shd w:fill="auto" w:val="clear"/>
        </w:rPr>
        <w:t xml:space="preserve">Functional Genomics</w:t>
      </w:r>
      <w:r>
        <w:rPr>
          <w:rFonts w:ascii="Calibri" w:hAnsi="Calibri" w:cs="Calibri" w:eastAsia="Calibri"/>
          <w:color w:val="auto"/>
          <w:spacing w:val="0"/>
          <w:position w:val="0"/>
          <w:sz w:val="24"/>
          <w:shd w:fill="auto" w:val="clear"/>
        </w:rPr>
        <w:t xml:space="preserve">. Intechopen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Siano, G. et al. Tau Modulates VGluT1 Expression.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431</w:t>
      </w:r>
      <w:r>
        <w:rPr>
          <w:rFonts w:ascii="Calibri" w:hAnsi="Calibri" w:cs="Calibri" w:eastAsia="Calibri"/>
          <w:color w:val="auto"/>
          <w:spacing w:val="0"/>
          <w:position w:val="0"/>
          <w:sz w:val="24"/>
          <w:shd w:fill="auto" w:val="clear"/>
        </w:rPr>
        <w:t xml:space="preserve"> (4), 873-884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Serdar, B.S., Ko&amp;#231;t&amp;#252;rk, S., Akan, P., Erkmen, T., Erg&amp;#252;r, B.U. Which Medium and Ingredients Provide Better Morphological Differentiation of SH-SY5Y Cells? </w:t>
      </w:r>
      <w:r>
        <w:rPr>
          <w:rFonts w:ascii="Calibri" w:hAnsi="Calibri" w:cs="Calibri" w:eastAsia="Calibri"/>
          <w:i/>
          <w:color w:val="auto"/>
          <w:spacing w:val="0"/>
          <w:position w:val="0"/>
          <w:sz w:val="24"/>
          <w:shd w:fill="auto" w:val="clear"/>
        </w:rPr>
        <w:t xml:space="preserve">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(25), 1577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Forster, J.I. et al. Characterization of differentiated SH-SY5Y as neuronal screening model reveals increased oxidative vulnerability.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496-509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Dwane, S., Durack, E., Kiely, P.A. Optimising parameters for the differentiation of SH-SY5Y cells to study cell adhesion and cell migration.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 (2013).</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35. Encinas, M. et al. Sequential Treatment of SH-SY5Y Cells with Retinoic Acid and Brain-Derived Neurotrophic Factor Gives Rise to Fully Differentiated, Neurotrophic Factor-Dependent, Human Neuron-Like Cells.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 991-1003 (2002).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