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2896"/>
        <w:gridCol w:w="2028"/>
        <w:gridCol w:w="2440"/>
      </w:tblGrid>
      <w:tr w:rsidR="00A32B6D" w14:paraId="6278ABAA" w14:textId="77777777" w:rsidTr="00192D21">
        <w:tc>
          <w:tcPr>
            <w:tcW w:w="2257" w:type="dxa"/>
          </w:tcPr>
          <w:p w14:paraId="2EB5F8A4" w14:textId="77777777" w:rsidR="00A32B6D" w:rsidRDefault="00890F40" w:rsidP="00714830">
            <w:pPr>
              <w:spacing w:line="360" w:lineRule="auto"/>
              <w:jc w:val="center"/>
            </w:pPr>
            <w:r w:rsidRPr="00B66934"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7A4203EC" wp14:editId="519D802D">
                  <wp:simplePos x="0" y="0"/>
                  <wp:positionH relativeFrom="column">
                    <wp:posOffset>-76200</wp:posOffset>
                  </wp:positionH>
                  <wp:positionV relativeFrom="page">
                    <wp:posOffset>60960</wp:posOffset>
                  </wp:positionV>
                  <wp:extent cx="1530350" cy="626745"/>
                  <wp:effectExtent l="0" t="0" r="0" b="0"/>
                  <wp:wrapTopAndBottom/>
                  <wp:docPr id="3" name="Picture 5" descr="Medicine 2-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Medicine 2-colo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3" w:type="dxa"/>
          </w:tcPr>
          <w:p w14:paraId="16108053" w14:textId="77777777" w:rsidR="00A32B6D" w:rsidRPr="00A32B6D" w:rsidRDefault="00A32B6D" w:rsidP="00A32B6D">
            <w:pPr>
              <w:rPr>
                <w:color w:val="595959" w:themeColor="text1" w:themeTint="A6"/>
                <w:sz w:val="32"/>
                <w:szCs w:val="32"/>
              </w:rPr>
            </w:pPr>
          </w:p>
        </w:tc>
        <w:tc>
          <w:tcPr>
            <w:tcW w:w="2068" w:type="dxa"/>
          </w:tcPr>
          <w:p w14:paraId="1217B457" w14:textId="77777777" w:rsidR="00A32B6D" w:rsidRPr="00A32B6D" w:rsidRDefault="00890F40" w:rsidP="00A32B6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Robert M. Berne</w:t>
            </w:r>
            <w:r w:rsidR="00A32B6D" w:rsidRPr="00A32B6D">
              <w:rPr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26E2C52" w14:textId="77777777" w:rsidR="00A32B6D" w:rsidRPr="00A32B6D" w:rsidRDefault="00A32B6D" w:rsidP="00A32B6D">
            <w:pPr>
              <w:rPr>
                <w:color w:val="595959" w:themeColor="text1" w:themeTint="A6"/>
                <w:sz w:val="20"/>
                <w:szCs w:val="20"/>
              </w:rPr>
            </w:pPr>
            <w:r w:rsidRPr="00A32B6D">
              <w:rPr>
                <w:color w:val="595959" w:themeColor="text1" w:themeTint="A6"/>
                <w:sz w:val="20"/>
                <w:szCs w:val="20"/>
              </w:rPr>
              <w:t xml:space="preserve">Cardiovascular </w:t>
            </w:r>
          </w:p>
          <w:p w14:paraId="47A720E7" w14:textId="77777777" w:rsidR="00A32B6D" w:rsidRPr="00A32B6D" w:rsidRDefault="00890F40" w:rsidP="00A32B6D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Research Center</w:t>
            </w:r>
          </w:p>
          <w:p w14:paraId="71A612F5" w14:textId="77777777" w:rsidR="00A32B6D" w:rsidRPr="00A32B6D" w:rsidRDefault="00A32B6D" w:rsidP="00A32B6D">
            <w:pPr>
              <w:rPr>
                <w:color w:val="595959" w:themeColor="text1" w:themeTint="A6"/>
                <w:sz w:val="10"/>
                <w:szCs w:val="10"/>
              </w:rPr>
            </w:pPr>
          </w:p>
          <w:p w14:paraId="0B32476E" w14:textId="77777777" w:rsidR="00CC1573" w:rsidRPr="00CC1573" w:rsidRDefault="00CC1573" w:rsidP="00CC1573">
            <w:pPr>
              <w:rPr>
                <w:color w:val="595959" w:themeColor="text1" w:themeTint="A6"/>
                <w:sz w:val="14"/>
                <w:szCs w:val="14"/>
              </w:rPr>
            </w:pPr>
            <w:r w:rsidRPr="00CC1573">
              <w:rPr>
                <w:color w:val="595959" w:themeColor="text1" w:themeTint="A6"/>
                <w:sz w:val="14"/>
                <w:szCs w:val="14"/>
              </w:rPr>
              <w:t>415 Lane Road</w:t>
            </w:r>
          </w:p>
          <w:p w14:paraId="22EAF558" w14:textId="77777777" w:rsidR="00A32B6D" w:rsidRPr="00A32B6D" w:rsidRDefault="00CC1573" w:rsidP="00CC1573">
            <w:pPr>
              <w:rPr>
                <w:color w:val="595959" w:themeColor="text1" w:themeTint="A6"/>
                <w:sz w:val="14"/>
                <w:szCs w:val="14"/>
              </w:rPr>
            </w:pPr>
            <w:r w:rsidRPr="00CC1573">
              <w:rPr>
                <w:color w:val="595959" w:themeColor="text1" w:themeTint="A6"/>
                <w:sz w:val="14"/>
                <w:szCs w:val="14"/>
              </w:rPr>
              <w:t>Box 801394; Suite 1010</w:t>
            </w:r>
          </w:p>
          <w:p w14:paraId="2AD2F528" w14:textId="77777777" w:rsidR="00A32B6D" w:rsidRPr="00A32B6D" w:rsidRDefault="00CC1573" w:rsidP="00A32B6D">
            <w:pPr>
              <w:rPr>
                <w:color w:val="595959" w:themeColor="text1" w:themeTint="A6"/>
                <w:sz w:val="14"/>
                <w:szCs w:val="14"/>
              </w:rPr>
            </w:pPr>
            <w:r>
              <w:rPr>
                <w:color w:val="595959" w:themeColor="text1" w:themeTint="A6"/>
                <w:sz w:val="14"/>
                <w:szCs w:val="14"/>
              </w:rPr>
              <w:t>Charlottesville, Virginia</w:t>
            </w:r>
          </w:p>
          <w:p w14:paraId="7A13BE3E" w14:textId="77777777" w:rsidR="00A32B6D" w:rsidRPr="00A32B6D" w:rsidRDefault="00CC1573" w:rsidP="00A32B6D">
            <w:pPr>
              <w:rPr>
                <w:color w:val="595959" w:themeColor="text1" w:themeTint="A6"/>
                <w:sz w:val="14"/>
                <w:szCs w:val="14"/>
              </w:rPr>
            </w:pPr>
            <w:r w:rsidRPr="00CC1573">
              <w:rPr>
                <w:color w:val="595959" w:themeColor="text1" w:themeTint="A6"/>
                <w:sz w:val="14"/>
                <w:szCs w:val="14"/>
              </w:rPr>
              <w:t>22908</w:t>
            </w:r>
          </w:p>
          <w:p w14:paraId="627651FF" w14:textId="0AC8C228" w:rsidR="00A32B6D" w:rsidRPr="00A32B6D" w:rsidRDefault="00A32B6D" w:rsidP="00A32B6D">
            <w:pPr>
              <w:rPr>
                <w:color w:val="595959" w:themeColor="text1" w:themeTint="A6"/>
                <w:sz w:val="14"/>
                <w:szCs w:val="14"/>
              </w:rPr>
            </w:pPr>
            <w:r w:rsidRPr="00A32B6D">
              <w:rPr>
                <w:color w:val="595959" w:themeColor="text1" w:themeTint="A6"/>
                <w:sz w:val="14"/>
                <w:szCs w:val="14"/>
              </w:rPr>
              <w:t xml:space="preserve">Tel: </w:t>
            </w:r>
            <w:r w:rsidR="00CC1573" w:rsidRPr="00CC1573">
              <w:rPr>
                <w:color w:val="595959" w:themeColor="text1" w:themeTint="A6"/>
                <w:sz w:val="14"/>
                <w:szCs w:val="14"/>
              </w:rPr>
              <w:t xml:space="preserve">(434) </w:t>
            </w:r>
            <w:r w:rsidR="00973264">
              <w:rPr>
                <w:color w:val="595959" w:themeColor="text1" w:themeTint="A6"/>
                <w:sz w:val="14"/>
                <w:szCs w:val="14"/>
              </w:rPr>
              <w:t>243</w:t>
            </w:r>
            <w:r w:rsidR="00CC1573" w:rsidRPr="00CC1573">
              <w:rPr>
                <w:color w:val="595959" w:themeColor="text1" w:themeTint="A6"/>
                <w:sz w:val="14"/>
                <w:szCs w:val="14"/>
              </w:rPr>
              <w:t>-</w:t>
            </w:r>
            <w:r w:rsidR="00973264">
              <w:rPr>
                <w:color w:val="595959" w:themeColor="text1" w:themeTint="A6"/>
                <w:sz w:val="14"/>
                <w:szCs w:val="14"/>
              </w:rPr>
              <w:t>8303</w:t>
            </w:r>
          </w:p>
          <w:p w14:paraId="70349F0A" w14:textId="77777777" w:rsidR="00A32B6D" w:rsidRPr="00A32B6D" w:rsidRDefault="00CC1573" w:rsidP="00CC1573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  <w:sz w:val="14"/>
                <w:szCs w:val="14"/>
              </w:rPr>
              <w:t>Email</w:t>
            </w:r>
            <w:r w:rsidR="00A32B6D" w:rsidRPr="00A32B6D">
              <w:rPr>
                <w:color w:val="595959" w:themeColor="text1" w:themeTint="A6"/>
                <w:sz w:val="14"/>
                <w:szCs w:val="14"/>
              </w:rPr>
              <w:t xml:space="preserve">: </w:t>
            </w:r>
            <w:r>
              <w:rPr>
                <w:color w:val="595959" w:themeColor="text1" w:themeTint="A6"/>
                <w:sz w:val="14"/>
                <w:szCs w:val="14"/>
              </w:rPr>
              <w:t>kw9ar@virginia.edu</w:t>
            </w:r>
          </w:p>
        </w:tc>
        <w:tc>
          <w:tcPr>
            <w:tcW w:w="2542" w:type="dxa"/>
          </w:tcPr>
          <w:p w14:paraId="2DC6490E" w14:textId="77777777" w:rsidR="00A32B6D" w:rsidRPr="00A32B6D" w:rsidRDefault="00A32B6D" w:rsidP="00A32B6D">
            <w:pPr>
              <w:rPr>
                <w:color w:val="595959" w:themeColor="text1" w:themeTint="A6"/>
                <w:sz w:val="14"/>
                <w:szCs w:val="14"/>
              </w:rPr>
            </w:pPr>
            <w:r w:rsidRPr="00A32B6D">
              <w:rPr>
                <w:color w:val="595959" w:themeColor="text1" w:themeTint="A6"/>
                <w:sz w:val="14"/>
                <w:szCs w:val="14"/>
              </w:rPr>
              <w:t>Kenneth Walsh, Ph.D.</w:t>
            </w:r>
          </w:p>
          <w:p w14:paraId="2AED72D5" w14:textId="77777777" w:rsidR="00A32B6D" w:rsidRPr="00A32B6D" w:rsidRDefault="00A32B6D" w:rsidP="00A32B6D">
            <w:pPr>
              <w:rPr>
                <w:noProof/>
                <w:color w:val="595959" w:themeColor="text1" w:themeTint="A6"/>
                <w:sz w:val="14"/>
                <w:szCs w:val="14"/>
              </w:rPr>
            </w:pPr>
          </w:p>
          <w:p w14:paraId="725B1990" w14:textId="77777777" w:rsidR="00890F40" w:rsidRDefault="00890F40" w:rsidP="00890F40">
            <w:pPr>
              <w:rPr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noProof/>
                <w:color w:val="595959" w:themeColor="text1" w:themeTint="A6"/>
                <w:sz w:val="14"/>
                <w:szCs w:val="14"/>
              </w:rPr>
              <w:t xml:space="preserve">Lockhard B. McGuire </w:t>
            </w:r>
          </w:p>
          <w:p w14:paraId="2BF08E64" w14:textId="77777777" w:rsidR="00890F40" w:rsidRPr="00A32B6D" w:rsidRDefault="00890F40" w:rsidP="00890F40">
            <w:pPr>
              <w:rPr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noProof/>
                <w:color w:val="595959" w:themeColor="text1" w:themeTint="A6"/>
                <w:sz w:val="14"/>
                <w:szCs w:val="14"/>
              </w:rPr>
              <w:t xml:space="preserve">   </w:t>
            </w:r>
            <w:r w:rsidRPr="00A32B6D">
              <w:rPr>
                <w:noProof/>
                <w:color w:val="595959" w:themeColor="text1" w:themeTint="A6"/>
                <w:sz w:val="14"/>
                <w:szCs w:val="14"/>
              </w:rPr>
              <w:t xml:space="preserve">Professor of </w:t>
            </w:r>
            <w:r>
              <w:rPr>
                <w:noProof/>
                <w:color w:val="595959" w:themeColor="text1" w:themeTint="A6"/>
                <w:sz w:val="14"/>
                <w:szCs w:val="14"/>
              </w:rPr>
              <w:t>Internal</w:t>
            </w:r>
            <w:r w:rsidRPr="00A32B6D">
              <w:rPr>
                <w:noProof/>
                <w:color w:val="595959" w:themeColor="text1" w:themeTint="A6"/>
                <w:sz w:val="14"/>
                <w:szCs w:val="14"/>
              </w:rPr>
              <w:t xml:space="preserve"> Medicine</w:t>
            </w:r>
          </w:p>
          <w:p w14:paraId="46936D84" w14:textId="77777777" w:rsidR="00890F40" w:rsidRDefault="00890F40" w:rsidP="00890F40">
            <w:pPr>
              <w:rPr>
                <w:noProof/>
                <w:color w:val="595959" w:themeColor="text1" w:themeTint="A6"/>
                <w:sz w:val="14"/>
                <w:szCs w:val="14"/>
              </w:rPr>
            </w:pPr>
            <w:r w:rsidRPr="00A32B6D">
              <w:rPr>
                <w:noProof/>
                <w:color w:val="595959" w:themeColor="text1" w:themeTint="A6"/>
                <w:sz w:val="14"/>
                <w:szCs w:val="14"/>
              </w:rPr>
              <w:t xml:space="preserve">Director, </w:t>
            </w:r>
            <w:r>
              <w:rPr>
                <w:noProof/>
                <w:color w:val="595959" w:themeColor="text1" w:themeTint="A6"/>
                <w:sz w:val="14"/>
                <w:szCs w:val="14"/>
              </w:rPr>
              <w:t xml:space="preserve">Hematovascular Biology </w:t>
            </w:r>
          </w:p>
          <w:p w14:paraId="20DD3CF8" w14:textId="77777777" w:rsidR="00A32B6D" w:rsidRPr="00A32B6D" w:rsidRDefault="00890F40" w:rsidP="00A32B6D">
            <w:pPr>
              <w:rPr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noProof/>
                <w:color w:val="595959" w:themeColor="text1" w:themeTint="A6"/>
                <w:sz w:val="14"/>
                <w:szCs w:val="14"/>
              </w:rPr>
              <w:t xml:space="preserve">   Center (HBC)</w:t>
            </w:r>
          </w:p>
        </w:tc>
      </w:tr>
    </w:tbl>
    <w:p w14:paraId="29640F72" w14:textId="6A837B64" w:rsidR="007A2D01" w:rsidRDefault="007A2D01" w:rsidP="00374C30"/>
    <w:p w14:paraId="5121950D" w14:textId="77777777" w:rsidR="008305AC" w:rsidRPr="00D4151B" w:rsidRDefault="008305AC" w:rsidP="00374C30"/>
    <w:p w14:paraId="597A35A5" w14:textId="5A8FBA3D" w:rsidR="00055F6E" w:rsidRPr="008305AC" w:rsidRDefault="001647E7" w:rsidP="008305AC">
      <w:pPr>
        <w:ind w:left="360" w:right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April</w:t>
      </w:r>
      <w:bookmarkStart w:id="0" w:name="_GoBack"/>
      <w:bookmarkEnd w:id="0"/>
      <w:r w:rsidR="00FE16C0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F5AE7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  <w:r w:rsidR="00FE16C0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, 2019</w:t>
      </w:r>
    </w:p>
    <w:p w14:paraId="4068D322" w14:textId="787A5252" w:rsidR="00055F6E" w:rsidRPr="008305AC" w:rsidRDefault="00055F6E" w:rsidP="008305AC">
      <w:pPr>
        <w:ind w:left="360" w:right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7B4F9E9" w14:textId="5F2E714F" w:rsidR="005C209A" w:rsidRPr="008305AC" w:rsidRDefault="00FE16C0" w:rsidP="008305AC">
      <w:pPr>
        <w:ind w:left="360" w:right="1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Jaydev</w:t>
      </w:r>
      <w:proofErr w:type="spellEnd"/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Upponi</w:t>
      </w:r>
      <w:proofErr w:type="spellEnd"/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, Ph.D.</w:t>
      </w:r>
    </w:p>
    <w:p w14:paraId="6B252115" w14:textId="2172A5B7" w:rsidR="00FD09BC" w:rsidRPr="008305AC" w:rsidRDefault="00FE16C0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Senior Editor</w:t>
      </w:r>
      <w:r w:rsidR="00FD09BC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305A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JoVE</w:t>
      </w:r>
    </w:p>
    <w:p w14:paraId="57A18008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B987CC" w14:textId="4D5F3180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Dear </w:t>
      </w:r>
      <w:r w:rsidR="007073B4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Dr.</w:t>
      </w:r>
      <w:r w:rsidR="005C209A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83F8F">
        <w:rPr>
          <w:rFonts w:asciiTheme="minorHAnsi" w:hAnsiTheme="minorHAnsi" w:cstheme="minorHAnsi"/>
          <w:color w:val="000000" w:themeColor="text1"/>
          <w:sz w:val="24"/>
          <w:szCs w:val="24"/>
        </w:rPr>
        <w:t>Upponi</w:t>
      </w:r>
      <w:proofErr w:type="spellEnd"/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9B9599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DEA184" w14:textId="58E87CD1" w:rsidR="00055F6E" w:rsidRPr="008305AC" w:rsidRDefault="00FD09BC" w:rsidP="008305AC">
      <w:pPr>
        <w:ind w:left="360" w:right="18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Please </w:t>
      </w:r>
      <w:r w:rsidR="00BF5AE7">
        <w:rPr>
          <w:rFonts w:asciiTheme="minorHAnsi" w:hAnsiTheme="minorHAnsi" w:cstheme="minorHAnsi"/>
          <w:color w:val="000000" w:themeColor="text1"/>
          <w:sz w:val="24"/>
          <w:szCs w:val="24"/>
        </w:rPr>
        <w:t>re</w:t>
      </w: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consider our </w:t>
      </w:r>
      <w:r w:rsidR="00BF5AE7">
        <w:rPr>
          <w:rFonts w:asciiTheme="minorHAnsi" w:hAnsiTheme="minorHAnsi" w:cstheme="minorHAnsi"/>
          <w:color w:val="000000" w:themeColor="text1"/>
          <w:sz w:val="24"/>
          <w:szCs w:val="24"/>
        </w:rPr>
        <w:t>revised</w:t>
      </w: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article entitled, “</w:t>
      </w:r>
      <w:r w:rsidR="00E1311B" w:rsidRPr="008305A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Lentiviral CRISPR/Cas9-mediated genome editing for the study of hematopoietic cells in disease models</w:t>
      </w: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by S. Sano et al. for publication in </w:t>
      </w:r>
      <w:r w:rsidR="00E1311B" w:rsidRPr="008305A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JoVE</w:t>
      </w: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D901B9" w14:textId="77777777" w:rsidR="008305AC" w:rsidRPr="008305AC" w:rsidRDefault="008305AC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280D32" w14:textId="1CE01AEC" w:rsidR="007D75C0" w:rsidRPr="008305AC" w:rsidRDefault="00583F8F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5850FA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his study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05AC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describe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8305AC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protocols for the highly efficient genome editing of murine hematopoietic stem and progenitor cells (HSPCs) by the CRISPR/Cas9 system to rapidly develop mouse model systems with hematopoietic system-specific gene modifications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570B61" w14:textId="1E5C7C28" w:rsidR="00966437" w:rsidRPr="008305AC" w:rsidRDefault="00966437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6DA003" w14:textId="21E26D2C" w:rsidR="00764F82" w:rsidRPr="008305AC" w:rsidRDefault="00764F82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This paper is not under consideration elsewhere and none of the paper’s contents have been previously published. All authors have read and approved the manuscript. The authors declare no </w:t>
      </w:r>
      <w:r w:rsidR="00966437"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conflicts of</w:t>
      </w: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interest.</w:t>
      </w:r>
    </w:p>
    <w:p w14:paraId="419636EC" w14:textId="3AC5C2B1" w:rsidR="00FD09BC" w:rsidRPr="008305AC" w:rsidRDefault="00FD09BC" w:rsidP="008305AC">
      <w:pPr>
        <w:ind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CADAAA" w14:textId="6D56FAA1" w:rsidR="00FD09BC" w:rsidRPr="008305AC" w:rsidRDefault="00FD09BC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Thank you for your consideration.</w:t>
      </w:r>
    </w:p>
    <w:p w14:paraId="63E72A1B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472FE4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Sincerely,</w:t>
      </w:r>
    </w:p>
    <w:p w14:paraId="64050EC0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6CBEF590" wp14:editId="74DF8195">
            <wp:extent cx="1177925" cy="343535"/>
            <wp:effectExtent l="0" t="0" r="3175" b="0"/>
            <wp:docPr id="1" name="Picture 1" descr="Ken Wal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n Wals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3BC2F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color w:val="000000" w:themeColor="text1"/>
          <w:sz w:val="24"/>
          <w:szCs w:val="24"/>
        </w:rPr>
        <w:t>Kenneth Walsh, Ph.D.</w:t>
      </w:r>
    </w:p>
    <w:p w14:paraId="5D272825" w14:textId="77777777" w:rsidR="00055F6E" w:rsidRPr="008305AC" w:rsidRDefault="00055F6E" w:rsidP="008305AC">
      <w:pPr>
        <w:spacing w:before="60"/>
        <w:ind w:left="360" w:right="180"/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  <w:t>Lockhard B. McGuire Professor of Internal Medicine</w:t>
      </w:r>
    </w:p>
    <w:p w14:paraId="423C01D0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  <w:t>Director, Hematovascular Biology Center (HBC)</w:t>
      </w:r>
    </w:p>
    <w:p w14:paraId="131E5165" w14:textId="77777777" w:rsidR="00055F6E" w:rsidRPr="008305AC" w:rsidRDefault="00055F6E" w:rsidP="008305AC">
      <w:pPr>
        <w:ind w:left="360" w:right="180"/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  <w:t>Robert M. Berne Cardiovascular Research Center</w:t>
      </w:r>
    </w:p>
    <w:p w14:paraId="5CEE4782" w14:textId="37183E8B" w:rsidR="00E30C3A" w:rsidRPr="008305AC" w:rsidRDefault="00055F6E" w:rsidP="008305AC">
      <w:pPr>
        <w:ind w:left="360" w:right="180"/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</w:pPr>
      <w:r w:rsidRPr="008305AC"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  <w:t>University of Virginia – School of Medicine</w:t>
      </w:r>
    </w:p>
    <w:sectPr w:rsidR="00E30C3A" w:rsidRPr="008305AC" w:rsidSect="007A2D01">
      <w:pgSz w:w="12240" w:h="15840" w:code="1"/>
      <w:pgMar w:top="720" w:right="720" w:bottom="720" w:left="720" w:header="720" w:footer="720" w:gutter="0"/>
      <w:paperSrc w:first="15" w:other="15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61B81"/>
    <w:multiLevelType w:val="hybridMultilevel"/>
    <w:tmpl w:val="C85E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52B6B"/>
    <w:multiLevelType w:val="hybridMultilevel"/>
    <w:tmpl w:val="2C02A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64EC"/>
    <w:multiLevelType w:val="hybridMultilevel"/>
    <w:tmpl w:val="358C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8F"/>
    <w:rsid w:val="000053B6"/>
    <w:rsid w:val="00011509"/>
    <w:rsid w:val="00055519"/>
    <w:rsid w:val="00055F6E"/>
    <w:rsid w:val="000B2447"/>
    <w:rsid w:val="00115670"/>
    <w:rsid w:val="001647E7"/>
    <w:rsid w:val="00192D21"/>
    <w:rsid w:val="001A1CDE"/>
    <w:rsid w:val="001F4E62"/>
    <w:rsid w:val="00215BF6"/>
    <w:rsid w:val="00226966"/>
    <w:rsid w:val="00234FC8"/>
    <w:rsid w:val="00240A61"/>
    <w:rsid w:val="002420D1"/>
    <w:rsid w:val="00250930"/>
    <w:rsid w:val="002F798E"/>
    <w:rsid w:val="0033607A"/>
    <w:rsid w:val="003436F9"/>
    <w:rsid w:val="00374C30"/>
    <w:rsid w:val="00441B5E"/>
    <w:rsid w:val="004B3FCD"/>
    <w:rsid w:val="00553D04"/>
    <w:rsid w:val="00583F8F"/>
    <w:rsid w:val="005850FA"/>
    <w:rsid w:val="00595DA4"/>
    <w:rsid w:val="005C209A"/>
    <w:rsid w:val="005D5068"/>
    <w:rsid w:val="00696062"/>
    <w:rsid w:val="00697039"/>
    <w:rsid w:val="006D3D55"/>
    <w:rsid w:val="006F5A8F"/>
    <w:rsid w:val="006F679B"/>
    <w:rsid w:val="007073B4"/>
    <w:rsid w:val="00714830"/>
    <w:rsid w:val="007171AA"/>
    <w:rsid w:val="007440DA"/>
    <w:rsid w:val="00764F82"/>
    <w:rsid w:val="007A2D01"/>
    <w:rsid w:val="007B0F9F"/>
    <w:rsid w:val="007D75C0"/>
    <w:rsid w:val="007F2EED"/>
    <w:rsid w:val="008009E8"/>
    <w:rsid w:val="00811958"/>
    <w:rsid w:val="008216DA"/>
    <w:rsid w:val="008305AC"/>
    <w:rsid w:val="008768B9"/>
    <w:rsid w:val="0089082F"/>
    <w:rsid w:val="00890F40"/>
    <w:rsid w:val="008A22EB"/>
    <w:rsid w:val="008B79C6"/>
    <w:rsid w:val="008D0952"/>
    <w:rsid w:val="00966437"/>
    <w:rsid w:val="00973264"/>
    <w:rsid w:val="009E5FAB"/>
    <w:rsid w:val="009E6BC7"/>
    <w:rsid w:val="00A07B55"/>
    <w:rsid w:val="00A32B6D"/>
    <w:rsid w:val="00A93F42"/>
    <w:rsid w:val="00A95603"/>
    <w:rsid w:val="00AE5CBA"/>
    <w:rsid w:val="00B15557"/>
    <w:rsid w:val="00B2271B"/>
    <w:rsid w:val="00B234D7"/>
    <w:rsid w:val="00BF5AE7"/>
    <w:rsid w:val="00BF6537"/>
    <w:rsid w:val="00C06444"/>
    <w:rsid w:val="00C21D20"/>
    <w:rsid w:val="00C502B6"/>
    <w:rsid w:val="00C645C3"/>
    <w:rsid w:val="00C70625"/>
    <w:rsid w:val="00CA50E6"/>
    <w:rsid w:val="00CC1573"/>
    <w:rsid w:val="00CD42E4"/>
    <w:rsid w:val="00D26534"/>
    <w:rsid w:val="00D4151B"/>
    <w:rsid w:val="00D55A8B"/>
    <w:rsid w:val="00D606C8"/>
    <w:rsid w:val="00D65488"/>
    <w:rsid w:val="00DC4FC6"/>
    <w:rsid w:val="00DE109B"/>
    <w:rsid w:val="00DF7024"/>
    <w:rsid w:val="00E0500B"/>
    <w:rsid w:val="00E1311B"/>
    <w:rsid w:val="00E15D96"/>
    <w:rsid w:val="00E30C3A"/>
    <w:rsid w:val="00E434B3"/>
    <w:rsid w:val="00E45B72"/>
    <w:rsid w:val="00E708DD"/>
    <w:rsid w:val="00E81BBB"/>
    <w:rsid w:val="00E86AAA"/>
    <w:rsid w:val="00ED01D4"/>
    <w:rsid w:val="00EF13AC"/>
    <w:rsid w:val="00F12FA6"/>
    <w:rsid w:val="00F33C50"/>
    <w:rsid w:val="00F72A04"/>
    <w:rsid w:val="00FC6831"/>
    <w:rsid w:val="00FD09BC"/>
    <w:rsid w:val="00FD2CEF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D831"/>
  <w15:docId w15:val="{DC18F236-C5EC-4840-82AD-6F64D3FB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A8F"/>
    <w:rPr>
      <w:rFonts w:ascii="Tahoma" w:hAnsi="Tahoma" w:cs="Tahoma"/>
      <w:sz w:val="16"/>
      <w:szCs w:val="16"/>
    </w:rPr>
  </w:style>
  <w:style w:type="character" w:customStyle="1" w:styleId="jnl-name1">
    <w:name w:val="jnl-name1"/>
    <w:basedOn w:val="DefaultParagraphFont"/>
    <w:rsid w:val="00C21D20"/>
    <w:rPr>
      <w:b/>
      <w:bCs/>
      <w:i/>
      <w:iCs/>
      <w:color w:val="990000"/>
    </w:rPr>
  </w:style>
  <w:style w:type="character" w:styleId="Hyperlink">
    <w:name w:val="Hyperlink"/>
    <w:basedOn w:val="DefaultParagraphFont"/>
    <w:uiPriority w:val="99"/>
    <w:unhideWhenUsed/>
    <w:rsid w:val="007B0F9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B2271B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7A2D01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A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83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character" w:styleId="Emphasis">
    <w:name w:val="Emphasis"/>
    <w:uiPriority w:val="20"/>
    <w:qFormat/>
    <w:rsid w:val="00FC6831"/>
    <w:rPr>
      <w:i/>
      <w:iCs/>
    </w:rPr>
  </w:style>
  <w:style w:type="character" w:customStyle="1" w:styleId="ident80267">
    <w:name w:val="ident_80_267"/>
    <w:basedOn w:val="DefaultParagraphFont"/>
    <w:rsid w:val="00E30C3A"/>
  </w:style>
  <w:style w:type="paragraph" w:styleId="BodyText">
    <w:name w:val="Body Text"/>
    <w:basedOn w:val="Normal"/>
    <w:link w:val="BodyTextChar"/>
    <w:semiHidden/>
    <w:rsid w:val="00055F6E"/>
    <w:rPr>
      <w:rFonts w:ascii="Times" w:eastAsia="Times" w:hAnsi="Times" w:cs="Times New Roman"/>
      <w:color w:val="00000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055F6E"/>
    <w:rPr>
      <w:rFonts w:ascii="Times" w:eastAsia="Times" w:hAnsi="Times" w:cs="Times New Roman"/>
      <w:color w:val="000000"/>
      <w:sz w:val="22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055F6E"/>
    <w:pPr>
      <w:spacing w:after="200"/>
      <w:jc w:val="both"/>
    </w:pPr>
    <w:rPr>
      <w:rFonts w:eastAsiaTheme="minorHAns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55F6E"/>
    <w:rPr>
      <w:rFonts w:eastAsiaTheme="minorHAnsi"/>
      <w:noProof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55F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925B38-8DC9-694C-B201-852F36D2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Whittaker, Linda</dc:creator>
  <cp:keywords/>
  <dc:description/>
  <cp:lastModifiedBy>Microsoft Office User</cp:lastModifiedBy>
  <cp:revision>3</cp:revision>
  <cp:lastPrinted>2019-03-07T21:41:00Z</cp:lastPrinted>
  <dcterms:created xsi:type="dcterms:W3CDTF">2019-04-19T19:37:00Z</dcterms:created>
  <dcterms:modified xsi:type="dcterms:W3CDTF">2019-04-19T19:39:00Z</dcterms:modified>
</cp:coreProperties>
</file>