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2FDA" w:rsidRPr="008019C9" w:rsidRDefault="00512FDA" w:rsidP="00512FDA">
      <w:pPr>
        <w:rPr>
          <w:rFonts w:ascii="Times New Roman" w:hAnsi="Times New Roman" w:cs="Times New Roman"/>
          <w:sz w:val="24"/>
          <w:szCs w:val="24"/>
        </w:rPr>
      </w:pPr>
      <w:r w:rsidRPr="008019C9">
        <w:rPr>
          <w:rFonts w:ascii="Times New Roman" w:hAnsi="Times New Roman" w:cs="Times New Roman"/>
          <w:sz w:val="24"/>
          <w:szCs w:val="24"/>
        </w:rPr>
        <w:t>RE: JoVE59967</w:t>
      </w:r>
      <w:r>
        <w:rPr>
          <w:rFonts w:ascii="Times New Roman" w:hAnsi="Times New Roman" w:cs="Times New Roman"/>
          <w:sz w:val="24"/>
          <w:szCs w:val="24"/>
        </w:rPr>
        <w:t>R1</w:t>
      </w:r>
    </w:p>
    <w:p w:rsidR="00512FDA" w:rsidRDefault="00512FDA" w:rsidP="00512FDA">
      <w:pPr>
        <w:rPr>
          <w:rFonts w:ascii="Times New Roman" w:hAnsi="Times New Roman" w:cs="Times New Roman"/>
          <w:sz w:val="24"/>
          <w:szCs w:val="24"/>
        </w:rPr>
      </w:pPr>
      <w:r w:rsidRPr="008019C9">
        <w:rPr>
          <w:rFonts w:ascii="Times New Roman" w:hAnsi="Times New Roman" w:cs="Times New Roman"/>
          <w:sz w:val="24"/>
          <w:szCs w:val="24"/>
        </w:rPr>
        <w:t>Dear Editor</w:t>
      </w:r>
      <w:r>
        <w:rPr>
          <w:rFonts w:ascii="Times New Roman" w:hAnsi="Times New Roman" w:cs="Times New Roman"/>
          <w:sz w:val="24"/>
          <w:szCs w:val="24"/>
        </w:rPr>
        <w:t>,</w:t>
      </w:r>
    </w:p>
    <w:p w:rsidR="00512FDA" w:rsidRDefault="00512FDA" w:rsidP="00512FDA">
      <w:pPr>
        <w:rPr>
          <w:rFonts w:ascii="Times New Roman" w:hAnsi="Times New Roman" w:cs="Times New Roman"/>
          <w:sz w:val="24"/>
          <w:szCs w:val="24"/>
        </w:rPr>
      </w:pPr>
      <w:r>
        <w:rPr>
          <w:rFonts w:ascii="Times New Roman" w:hAnsi="Times New Roman" w:cs="Times New Roman"/>
          <w:sz w:val="24"/>
          <w:szCs w:val="24"/>
        </w:rPr>
        <w:t xml:space="preserve">We are submitting a revised manuscript for your consideration. We have addressed the reviewer’s comments as requested. </w:t>
      </w:r>
    </w:p>
    <w:p w:rsidR="00B1378B" w:rsidRDefault="00B1378B" w:rsidP="00B1378B">
      <w:pPr>
        <w:pStyle w:val="NormalWeb"/>
      </w:pPr>
      <w:r>
        <w:rPr>
          <w:rStyle w:val="Strong"/>
        </w:rPr>
        <w:t>Reviewer #1:</w:t>
      </w:r>
    </w:p>
    <w:p w:rsidR="00184F47" w:rsidRDefault="00184F47" w:rsidP="00184F47">
      <w:pPr>
        <w:pStyle w:val="NormalWeb"/>
        <w:spacing w:after="0" w:afterAutospacing="0"/>
        <w:contextualSpacing/>
      </w:pPr>
      <w:r w:rsidRPr="00184F47">
        <w:t>1)</w:t>
      </w:r>
      <w:r>
        <w:t xml:space="preserve"> </w:t>
      </w:r>
      <w:r w:rsidR="00B1378B">
        <w:t xml:space="preserve">Although authors have addressed most of the issues raised in the initial review, the main limitation now relies in the way they have presented their findings. First, they lack important information regarding the number of cells tested for each condition, and the number of times they have repeated these experiments. </w:t>
      </w:r>
    </w:p>
    <w:p w:rsidR="00184F47" w:rsidRDefault="00184F47" w:rsidP="00184F47">
      <w:pPr>
        <w:pStyle w:val="NormalWeb"/>
        <w:spacing w:after="0" w:afterAutospacing="0"/>
        <w:contextualSpacing/>
      </w:pPr>
      <w:r w:rsidRPr="00184F47">
        <w:rPr>
          <w:u w:val="single"/>
        </w:rPr>
        <w:t>Response:</w:t>
      </w:r>
      <w:r>
        <w:t xml:space="preserve"> </w:t>
      </w:r>
      <w:r w:rsidR="00A9046F">
        <w:t>We have added deta</w:t>
      </w:r>
      <w:r w:rsidR="00A93B32">
        <w:t xml:space="preserve">ils on the cell number </w:t>
      </w:r>
      <w:r w:rsidR="004525F0">
        <w:t>in the figure legends and results section</w:t>
      </w:r>
      <w:r w:rsidR="00A9046F">
        <w:t xml:space="preserve">. </w:t>
      </w:r>
      <w:r>
        <w:t>Standard deviation and statistical analysis, when required, ha</w:t>
      </w:r>
      <w:r w:rsidR="00D9736C">
        <w:t>ve</w:t>
      </w:r>
      <w:r>
        <w:t xml:space="preserve"> been added to figure legends and main text.</w:t>
      </w:r>
    </w:p>
    <w:p w:rsidR="00184F47" w:rsidRDefault="00184F47" w:rsidP="00184F47">
      <w:pPr>
        <w:pStyle w:val="NormalWeb"/>
        <w:spacing w:after="0" w:afterAutospacing="0"/>
        <w:contextualSpacing/>
      </w:pPr>
      <w:r>
        <w:t xml:space="preserve">2) </w:t>
      </w:r>
      <w:r w:rsidR="00B1378B">
        <w:t xml:space="preserve">Moreover, they do not clearly show if the protocol can be used regardless of the HIV-1 status of the cells. </w:t>
      </w:r>
    </w:p>
    <w:p w:rsidR="00EE5C2A" w:rsidRDefault="00184F47" w:rsidP="00184F47">
      <w:pPr>
        <w:pStyle w:val="NormalWeb"/>
        <w:spacing w:after="0" w:afterAutospacing="0"/>
        <w:contextualSpacing/>
      </w:pPr>
      <w:r w:rsidRPr="00184F47">
        <w:rPr>
          <w:u w:val="single"/>
        </w:rPr>
        <w:t>Response:</w:t>
      </w:r>
      <w:r>
        <w:t xml:space="preserve"> HIV-derived cells used in this study derive from patients on </w:t>
      </w:r>
      <w:proofErr w:type="spellStart"/>
      <w:r>
        <w:t>cART</w:t>
      </w:r>
      <w:proofErr w:type="spellEnd"/>
      <w:r>
        <w:t xml:space="preserve"> with a low (&lt;20 particles/mL) or undetectable viral load and with normal CD4 T cell count. This information has been added to the main text.</w:t>
      </w:r>
      <w:r w:rsidR="00EE5C2A">
        <w:t xml:space="preserve"> </w:t>
      </w:r>
      <w:r w:rsidR="00A93B32">
        <w:t>As a result of a low or undetectable viral load, w</w:t>
      </w:r>
      <w:r w:rsidR="00EE5C2A">
        <w:t xml:space="preserve">e failed to detect viral genome in those monocytes by PCR (data not shown). Nevertheless, by showing data obtained from healthy control cells we provide evidence that the protocol works independently from the disease status. </w:t>
      </w:r>
    </w:p>
    <w:p w:rsidR="00EE5C2A" w:rsidRDefault="00EE5C2A" w:rsidP="00184F47">
      <w:pPr>
        <w:pStyle w:val="NormalWeb"/>
        <w:spacing w:after="0" w:afterAutospacing="0"/>
        <w:contextualSpacing/>
      </w:pPr>
      <w:r>
        <w:t>3) R</w:t>
      </w:r>
      <w:r w:rsidR="00B1378B">
        <w:t xml:space="preserve">ather than presenting Figure 3 as an average of cells derived from both patients and controls, I would strongly suggest to separate these data as done in Figure 4. </w:t>
      </w:r>
      <w:r w:rsidR="003C036C">
        <w:t>Moreover, Figure 2 should also compare patients and controls.</w:t>
      </w:r>
    </w:p>
    <w:p w:rsidR="003C036C" w:rsidRDefault="00EE5C2A" w:rsidP="00184F47">
      <w:pPr>
        <w:pStyle w:val="NormalWeb"/>
        <w:spacing w:after="0" w:afterAutospacing="0"/>
        <w:contextualSpacing/>
      </w:pPr>
      <w:r w:rsidRPr="00EE5C2A">
        <w:rPr>
          <w:u w:val="single"/>
        </w:rPr>
        <w:t>Response:</w:t>
      </w:r>
      <w:r>
        <w:t xml:space="preserve"> We apologize for the lack of clarity. Panels A and B of Fig. 3 were obtained from 2 HIV-derived </w:t>
      </w:r>
      <w:r w:rsidR="00A9046F">
        <w:t xml:space="preserve">cells for day 1 transfection (A) </w:t>
      </w:r>
      <w:r>
        <w:t>or 2 control-derived cells</w:t>
      </w:r>
      <w:r w:rsidR="00A9046F">
        <w:t xml:space="preserve"> for day 4 transfection (B)</w:t>
      </w:r>
      <w:r>
        <w:t>. Due to the high number of cells needed to perform the experiment (we usually collect RNA</w:t>
      </w:r>
      <w:r w:rsidR="00A9046F">
        <w:t xml:space="preserve"> and </w:t>
      </w:r>
      <w:r>
        <w:t xml:space="preserve">proteins at Time 0 and </w:t>
      </w:r>
      <w:r w:rsidR="00A9046F">
        <w:t xml:space="preserve">at </w:t>
      </w:r>
      <w:r>
        <w:t xml:space="preserve">all the other time points and conditions), we could not </w:t>
      </w:r>
      <w:r w:rsidR="00E6394F">
        <w:t xml:space="preserve">perform the experiment in full with </w:t>
      </w:r>
      <w:r w:rsidR="00A93B32">
        <w:t>any given</w:t>
      </w:r>
      <w:r w:rsidR="00E6394F">
        <w:t xml:space="preserve"> preparation of cells. On the other hand, we though</w:t>
      </w:r>
      <w:r w:rsidR="00A9046F">
        <w:t>t</w:t>
      </w:r>
      <w:r w:rsidR="00E6394F">
        <w:t xml:space="preserve"> that showing one time point with patient-derived and one with control-derived cells could give the idea that the protocol works for both types of samples. We have included our reasoning for separating A and B panels in the main text</w:t>
      </w:r>
      <w:r w:rsidR="00A9046F">
        <w:t xml:space="preserve"> and in the figure legend</w:t>
      </w:r>
      <w:r w:rsidR="00E6394F">
        <w:t>.</w:t>
      </w:r>
      <w:r w:rsidR="003C036C" w:rsidRPr="003C036C">
        <w:t xml:space="preserve"> </w:t>
      </w:r>
    </w:p>
    <w:p w:rsidR="00EE5C2A" w:rsidRPr="00EE5C2A" w:rsidRDefault="003C036C" w:rsidP="00184F47">
      <w:pPr>
        <w:pStyle w:val="NormalWeb"/>
        <w:spacing w:after="0" w:afterAutospacing="0"/>
        <w:contextualSpacing/>
      </w:pPr>
      <w:r>
        <w:t xml:space="preserve">Furthermore, we have added new Figures 1B and 1C, showing differences between control- and HIV-derived cells. </w:t>
      </w:r>
      <w:r w:rsidR="001251A1">
        <w:t xml:space="preserve">While we do not show specific flow data and confocal images of transfected HIV-derived cells, we believe data presented in Figs. 3 and 4 present quantitative data on how efficiently both cell populations, HIV- and control-derived cells, are transfected using this protocol. </w:t>
      </w:r>
    </w:p>
    <w:p w:rsidR="007859C3" w:rsidRDefault="003C036C" w:rsidP="003C036C">
      <w:pPr>
        <w:pStyle w:val="NormalWeb"/>
        <w:spacing w:after="0" w:afterAutospacing="0"/>
        <w:contextualSpacing/>
      </w:pPr>
      <w:r>
        <w:t>4</w:t>
      </w:r>
      <w:r w:rsidR="007859C3" w:rsidRPr="007859C3">
        <w:t xml:space="preserve">) </w:t>
      </w:r>
      <w:r w:rsidR="00B1378B" w:rsidRPr="007859C3">
        <w:t xml:space="preserve">Regarding </w:t>
      </w:r>
      <w:proofErr w:type="spellStart"/>
      <w:r w:rsidR="00B1378B" w:rsidRPr="007859C3">
        <w:t>pinocytic</w:t>
      </w:r>
      <w:proofErr w:type="spellEnd"/>
      <w:r w:rsidR="00B1378B" w:rsidRPr="007859C3">
        <w:t xml:space="preserve"> activity of the cells, the control performed in Figure 4 with </w:t>
      </w:r>
      <w:proofErr w:type="spellStart"/>
      <w:r w:rsidR="00B1378B" w:rsidRPr="007859C3">
        <w:t>siR</w:t>
      </w:r>
      <w:proofErr w:type="spellEnd"/>
      <w:r w:rsidR="00B1378B" w:rsidRPr="007859C3">
        <w:t xml:space="preserve">* is important but should also be performed in Figure 2 where fluorescent probes are used and unspecific staining may be observed in the absence of </w:t>
      </w:r>
      <w:proofErr w:type="spellStart"/>
      <w:r w:rsidR="00B1378B" w:rsidRPr="007859C3">
        <w:t>viromer</w:t>
      </w:r>
      <w:proofErr w:type="spellEnd"/>
      <w:r w:rsidR="00B1378B" w:rsidRPr="007859C3">
        <w:t>. This should be controlled.</w:t>
      </w:r>
    </w:p>
    <w:p w:rsidR="007859C3" w:rsidRDefault="007859C3" w:rsidP="00184F47">
      <w:pPr>
        <w:pStyle w:val="NormalWeb"/>
        <w:spacing w:after="0" w:afterAutospacing="0"/>
        <w:contextualSpacing/>
      </w:pPr>
      <w:r w:rsidRPr="00E6394F">
        <w:rPr>
          <w:u w:val="single"/>
        </w:rPr>
        <w:t>Response:</w:t>
      </w:r>
      <w:r>
        <w:t xml:space="preserve"> Although this would be a nice addition to validating that there is no </w:t>
      </w:r>
      <w:proofErr w:type="spellStart"/>
      <w:r>
        <w:t>pinocytic</w:t>
      </w:r>
      <w:proofErr w:type="spellEnd"/>
      <w:r>
        <w:t xml:space="preserve"> activity without the </w:t>
      </w:r>
      <w:proofErr w:type="spellStart"/>
      <w:r>
        <w:t>viromer</w:t>
      </w:r>
      <w:proofErr w:type="spellEnd"/>
      <w:r>
        <w:t xml:space="preserve">, we do not have this data. </w:t>
      </w:r>
      <w:r w:rsidR="00F16915">
        <w:t>On the other hand</w:t>
      </w:r>
      <w:r>
        <w:t>, we feel that data presented in Figure 4 address the lack of this spontaneous activity of the cells in a more quantitative and convincing manner</w:t>
      </w:r>
      <w:r w:rsidR="001B1EE9">
        <w:t xml:space="preserve"> than fluorescence imaging</w:t>
      </w:r>
      <w:r>
        <w:t>.</w:t>
      </w:r>
      <w:r w:rsidR="00A93B32">
        <w:t xml:space="preserve"> In addition, we have provided a new figure (Fig. </w:t>
      </w:r>
      <w:r w:rsidR="00A93B32">
        <w:lastRenderedPageBreak/>
        <w:t>2C) showing miR-146a-5p expression in control- and patient-derived cells after transfection with the miR-146a-5p mimic.</w:t>
      </w:r>
    </w:p>
    <w:p w:rsidR="007859C3" w:rsidRDefault="003C036C" w:rsidP="00184F47">
      <w:pPr>
        <w:pStyle w:val="NormalWeb"/>
        <w:spacing w:after="0" w:afterAutospacing="0"/>
        <w:contextualSpacing/>
      </w:pPr>
      <w:r>
        <w:t>5</w:t>
      </w:r>
      <w:r w:rsidR="007859C3">
        <w:t xml:space="preserve">) </w:t>
      </w:r>
      <w:r w:rsidR="00B1378B">
        <w:t>In Figure 3A, is the fourth bar miRNA or miR-146a? Please check</w:t>
      </w:r>
    </w:p>
    <w:p w:rsidR="007859C3" w:rsidRDefault="007859C3" w:rsidP="00184F47">
      <w:pPr>
        <w:pStyle w:val="NormalWeb"/>
        <w:spacing w:after="0" w:afterAutospacing="0"/>
        <w:contextualSpacing/>
      </w:pPr>
      <w:r w:rsidRPr="007859C3">
        <w:rPr>
          <w:u w:val="single"/>
        </w:rPr>
        <w:t>Response:</w:t>
      </w:r>
      <w:r>
        <w:t xml:space="preserve"> We have </w:t>
      </w:r>
      <w:r w:rsidR="001B1EE9">
        <w:t>addressed this point in</w:t>
      </w:r>
      <w:r w:rsidR="00F16915">
        <w:t xml:space="preserve"> the figure </w:t>
      </w:r>
      <w:r w:rsidR="00B1378B">
        <w:br/>
      </w:r>
      <w:r w:rsidR="003C036C">
        <w:t>6</w:t>
      </w:r>
      <w:r>
        <w:t xml:space="preserve">) </w:t>
      </w:r>
      <w:r w:rsidR="00B1378B">
        <w:t xml:space="preserve">In Figure 4, </w:t>
      </w:r>
      <w:proofErr w:type="spellStart"/>
      <w:r w:rsidR="00B1378B">
        <w:t>siR</w:t>
      </w:r>
      <w:proofErr w:type="spellEnd"/>
      <w:r w:rsidR="00B1378B">
        <w:t xml:space="preserve">* is only present in patient samples, so not all the experiments include the appropriate controls. </w:t>
      </w:r>
      <w:r w:rsidR="007C1ABE">
        <w:t>In addition, information provided for day 1 lacks important controls.</w:t>
      </w:r>
    </w:p>
    <w:p w:rsidR="007859C3" w:rsidRPr="007859C3" w:rsidRDefault="007859C3" w:rsidP="007C1ABE">
      <w:pPr>
        <w:pStyle w:val="NormalWeb"/>
        <w:spacing w:after="0" w:afterAutospacing="0"/>
        <w:contextualSpacing/>
      </w:pPr>
      <w:r w:rsidRPr="007859C3">
        <w:rPr>
          <w:u w:val="single"/>
        </w:rPr>
        <w:t>Response:</w:t>
      </w:r>
      <w:r>
        <w:t xml:space="preserve"> </w:t>
      </w:r>
      <w:r w:rsidR="00864641">
        <w:t xml:space="preserve">The number of cells we obtain from a single preparation limits the number of conditions in the experiment. However, we </w:t>
      </w:r>
      <w:r w:rsidR="00F16915">
        <w:t xml:space="preserve">have </w:t>
      </w:r>
      <w:r w:rsidR="00864641">
        <w:t>tried to compensate for this by incorporating different controls in both HIV-derived and healthy control-derived cells.</w:t>
      </w:r>
      <w:r w:rsidR="007C1ABE" w:rsidRPr="007C1ABE">
        <w:t xml:space="preserve"> </w:t>
      </w:r>
      <w:r w:rsidR="007C1ABE">
        <w:t xml:space="preserve">Please, </w:t>
      </w:r>
      <w:r w:rsidR="004525F0">
        <w:t>refer</w:t>
      </w:r>
      <w:r w:rsidR="007C1ABE">
        <w:t xml:space="preserve"> also </w:t>
      </w:r>
      <w:r w:rsidR="004525F0">
        <w:t xml:space="preserve">to the </w:t>
      </w:r>
      <w:r w:rsidR="007C1ABE">
        <w:t xml:space="preserve">response </w:t>
      </w:r>
      <w:r w:rsidR="004525F0">
        <w:t>in</w:t>
      </w:r>
      <w:r w:rsidR="007C1ABE">
        <w:t xml:space="preserve"> point #3.</w:t>
      </w:r>
    </w:p>
    <w:p w:rsidR="00F16915" w:rsidRDefault="003C036C" w:rsidP="00F16915">
      <w:pPr>
        <w:pStyle w:val="NormalWeb"/>
        <w:spacing w:after="0" w:afterAutospacing="0"/>
        <w:contextualSpacing/>
      </w:pPr>
      <w:r>
        <w:t>7</w:t>
      </w:r>
      <w:r w:rsidR="00864641">
        <w:t xml:space="preserve">) </w:t>
      </w:r>
      <w:r w:rsidR="00B1378B">
        <w:t xml:space="preserve">Moreover, Figure 4E does not compare patient and control cells, rendering difficult again to assess if this protocol is suitable to transfect miRNA on cells regardless of their HIV-1 infection status. </w:t>
      </w:r>
      <w:r w:rsidR="00F16915">
        <w:t>In addition, information provided for day 1 lacks important controls (mi-146a-5p* and scram).</w:t>
      </w:r>
    </w:p>
    <w:p w:rsidR="00F16915" w:rsidRPr="00F16915" w:rsidRDefault="00F16915" w:rsidP="00184F47">
      <w:pPr>
        <w:pStyle w:val="NormalWeb"/>
        <w:spacing w:after="0" w:afterAutospacing="0"/>
        <w:contextualSpacing/>
      </w:pPr>
      <w:r w:rsidRPr="00F16915">
        <w:rPr>
          <w:u w:val="single"/>
        </w:rPr>
        <w:t>Response:</w:t>
      </w:r>
      <w:r>
        <w:rPr>
          <w:u w:val="single"/>
        </w:rPr>
        <w:t xml:space="preserve"> </w:t>
      </w:r>
      <w:r>
        <w:t xml:space="preserve">We hope the addition of Figure 2C provided in the revised manuscript addresses this point. See also responses to points </w:t>
      </w:r>
      <w:r w:rsidR="008876E0">
        <w:t xml:space="preserve">2, </w:t>
      </w:r>
      <w:r>
        <w:t>3</w:t>
      </w:r>
      <w:r w:rsidR="008876E0">
        <w:t>,</w:t>
      </w:r>
      <w:r>
        <w:t xml:space="preserve"> and 7.</w:t>
      </w:r>
    </w:p>
    <w:p w:rsidR="00F16915" w:rsidRDefault="003C036C" w:rsidP="00184F47">
      <w:pPr>
        <w:pStyle w:val="NormalWeb"/>
        <w:spacing w:after="0" w:afterAutospacing="0"/>
        <w:contextualSpacing/>
      </w:pPr>
      <w:r>
        <w:t>8</w:t>
      </w:r>
      <w:r w:rsidR="00F16915">
        <w:t xml:space="preserve">) </w:t>
      </w:r>
      <w:r w:rsidR="00B1378B" w:rsidRPr="007859C3">
        <w:t xml:space="preserve">Figure 1 and 2 (histograms) lack Y-axis title, which I assume is "Counts". </w:t>
      </w:r>
      <w:proofErr w:type="spellStart"/>
      <w:r w:rsidR="00B1378B" w:rsidRPr="007859C3">
        <w:t>Fluorochrome</w:t>
      </w:r>
      <w:proofErr w:type="spellEnd"/>
      <w:r w:rsidR="00B1378B" w:rsidRPr="007859C3">
        <w:t xml:space="preserve"> measured in Figure 1 should also be stated (is it CD80 FITC, </w:t>
      </w:r>
      <w:proofErr w:type="gramStart"/>
      <w:r w:rsidR="00B1378B" w:rsidRPr="007859C3">
        <w:t>PE ?)</w:t>
      </w:r>
      <w:proofErr w:type="gramEnd"/>
      <w:r w:rsidR="00E6394F">
        <w:t xml:space="preserve"> </w:t>
      </w:r>
    </w:p>
    <w:p w:rsidR="00893189" w:rsidRDefault="00F16915" w:rsidP="00184F47">
      <w:pPr>
        <w:pStyle w:val="NormalWeb"/>
        <w:spacing w:after="0" w:afterAutospacing="0"/>
        <w:contextualSpacing/>
      </w:pPr>
      <w:r w:rsidRPr="00F16915">
        <w:rPr>
          <w:u w:val="single"/>
        </w:rPr>
        <w:t>Response:</w:t>
      </w:r>
      <w:r>
        <w:t xml:space="preserve"> We have addressed th</w:t>
      </w:r>
      <w:r w:rsidR="007C1ABE">
        <w:t>e</w:t>
      </w:r>
      <w:r>
        <w:t>se points in the new figure 1.</w:t>
      </w:r>
      <w:r w:rsidR="00B1378B">
        <w:br/>
      </w:r>
      <w:r w:rsidR="00B1378B">
        <w:br/>
      </w:r>
      <w:r w:rsidR="00B1378B">
        <w:br/>
      </w:r>
      <w:r w:rsidR="00B1378B">
        <w:rPr>
          <w:rStyle w:val="Strong"/>
        </w:rPr>
        <w:t>Reviewer #3:</w:t>
      </w:r>
      <w:r w:rsidR="00B1378B">
        <w:br/>
      </w:r>
      <w:r w:rsidR="00B1378B">
        <w:br/>
      </w:r>
      <w:r w:rsidR="00B1378B">
        <w:br/>
      </w:r>
      <w:r w:rsidR="00893189">
        <w:t xml:space="preserve">1) </w:t>
      </w:r>
      <w:proofErr w:type="gramStart"/>
      <w:r w:rsidR="00B1378B">
        <w:t>The</w:t>
      </w:r>
      <w:proofErr w:type="gramEnd"/>
      <w:r w:rsidR="00B1378B">
        <w:t xml:space="preserve"> protocol for differentiating M1 and M2 is quite debatable. In vivo, cells are exposed to </w:t>
      </w:r>
      <w:proofErr w:type="gramStart"/>
      <w:r w:rsidR="00B1378B">
        <w:t>both M- and GM-CSF, rather than one or</w:t>
      </w:r>
      <w:proofErr w:type="gramEnd"/>
      <w:r w:rsidR="00B1378B">
        <w:t xml:space="preserve"> the other. Not exposing them to anything results in M2-like cells (default phenotype). Actually, the M2 cells addressed by the authors are the M2 alternative inflammatory cells, rather than the anti-inflammatory, "healing" macrophages, which may be more interesting. The difference between differentiation and activation is hard to find/explain and the authors give a confusing explanation. </w:t>
      </w:r>
    </w:p>
    <w:p w:rsidR="002D7928" w:rsidRDefault="00276A5F" w:rsidP="00184F47">
      <w:pPr>
        <w:pStyle w:val="NormalWeb"/>
        <w:spacing w:after="0" w:afterAutospacing="0"/>
        <w:contextualSpacing/>
      </w:pPr>
      <w:r w:rsidRPr="00276A5F">
        <w:rPr>
          <w:u w:val="single"/>
        </w:rPr>
        <w:t>Response:</w:t>
      </w:r>
      <w:r>
        <w:t xml:space="preserve"> </w:t>
      </w:r>
      <w:r w:rsidR="007C1ABE">
        <w:t xml:space="preserve">The </w:t>
      </w:r>
      <w:r w:rsidR="002D7928">
        <w:t>fluid nature of</w:t>
      </w:r>
      <w:r w:rsidR="007C1ABE">
        <w:t xml:space="preserve"> the nomenclature relative to the phenotype</w:t>
      </w:r>
      <w:r w:rsidR="00177E09">
        <w:t xml:space="preserve"> </w:t>
      </w:r>
      <w:r w:rsidR="007C1ABE">
        <w:t xml:space="preserve">of macrophages was addressed in the introduction of the first revision. In this second revision we have </w:t>
      </w:r>
      <w:r w:rsidR="002D7928">
        <w:t xml:space="preserve">better cited the literature we </w:t>
      </w:r>
      <w:r w:rsidR="00177E09">
        <w:t>followed to set</w:t>
      </w:r>
      <w:r w:rsidR="0049423A">
        <w:t xml:space="preserve"> up our current protocol.  </w:t>
      </w:r>
      <w:r w:rsidR="00FC084A">
        <w:t>We will consider the reviewer’s suggestion to utilize both growth factors in future experiments.</w:t>
      </w:r>
    </w:p>
    <w:p w:rsidR="00893189" w:rsidRDefault="00893189" w:rsidP="00184F47">
      <w:pPr>
        <w:pStyle w:val="NormalWeb"/>
        <w:spacing w:after="0" w:afterAutospacing="0"/>
        <w:contextualSpacing/>
      </w:pPr>
      <w:r>
        <w:t xml:space="preserve">2) </w:t>
      </w:r>
      <w:r w:rsidR="00B1378B">
        <w:t xml:space="preserve">That Activated M1 macrophages are loosely adherent is not the case (at least in my hands), and macrophages need particular caution to be detached from plastic surfaces without damage and without selecting a subpopulation (those that are less adherent). The issue is ill-considered in this protocol. </w:t>
      </w:r>
    </w:p>
    <w:p w:rsidR="0049423A" w:rsidRPr="0049423A" w:rsidRDefault="0049423A" w:rsidP="00184F47">
      <w:pPr>
        <w:pStyle w:val="NormalWeb"/>
        <w:spacing w:after="0" w:afterAutospacing="0"/>
        <w:contextualSpacing/>
      </w:pPr>
      <w:r w:rsidRPr="0049423A">
        <w:rPr>
          <w:u w:val="single"/>
        </w:rPr>
        <w:t>Response:</w:t>
      </w:r>
      <w:r>
        <w:t xml:space="preserve"> To clarify, we have never stated </w:t>
      </w:r>
      <w:r w:rsidR="002D7928">
        <w:t xml:space="preserve">nor implied that </w:t>
      </w:r>
      <w:r>
        <w:t>the M1 macrophages are loosely adherent</w:t>
      </w:r>
      <w:r w:rsidR="002D7928">
        <w:t>,</w:t>
      </w:r>
      <w:r>
        <w:t xml:space="preserve"> and we highly recommended lysing the cells directly on the plate, section 4.3. </w:t>
      </w:r>
    </w:p>
    <w:p w:rsidR="003A2126" w:rsidRDefault="00893189" w:rsidP="00184F47">
      <w:pPr>
        <w:pStyle w:val="NormalWeb"/>
        <w:spacing w:after="0" w:afterAutospacing="0"/>
        <w:contextualSpacing/>
      </w:pPr>
      <w:r>
        <w:t xml:space="preserve">3) </w:t>
      </w:r>
      <w:r w:rsidR="00B1378B">
        <w:t>There is no explanation of why one should want to transfect the cells of HIV patients with miRNAs.</w:t>
      </w:r>
      <w:r w:rsidR="00B1378B">
        <w:br/>
      </w:r>
      <w:r w:rsidRPr="0049423A">
        <w:rPr>
          <w:u w:val="single"/>
        </w:rPr>
        <w:t>Response:</w:t>
      </w:r>
      <w:r w:rsidR="0049423A">
        <w:t xml:space="preserve"> This is our field of interest</w:t>
      </w:r>
      <w:r w:rsidR="002D7928">
        <w:t>,</w:t>
      </w:r>
      <w:r w:rsidR="0049423A">
        <w:t xml:space="preserve"> and it is reasoned in the introduction </w:t>
      </w:r>
      <w:r w:rsidR="00AB774D">
        <w:t xml:space="preserve">and discussion sections </w:t>
      </w:r>
      <w:r w:rsidR="0049423A">
        <w:t>of the original manuscript.</w:t>
      </w:r>
    </w:p>
    <w:p w:rsidR="001251A1" w:rsidRDefault="00B1378B" w:rsidP="00184F47">
      <w:pPr>
        <w:pStyle w:val="NormalWeb"/>
        <w:spacing w:after="0" w:afterAutospacing="0"/>
        <w:contextualSpacing/>
      </w:pPr>
      <w:r>
        <w:br/>
        <w:t>Minor Concerns</w:t>
      </w:r>
      <w:proofErr w:type="gramStart"/>
      <w:r>
        <w:t>:</w:t>
      </w:r>
      <w:proofErr w:type="gramEnd"/>
      <w:r>
        <w:br/>
      </w:r>
      <w:r w:rsidR="001251A1">
        <w:lastRenderedPageBreak/>
        <w:t xml:space="preserve">1) </w:t>
      </w:r>
      <w:r>
        <w:t xml:space="preserve">The method includes the use of </w:t>
      </w:r>
      <w:proofErr w:type="spellStart"/>
      <w:r>
        <w:t>foetal</w:t>
      </w:r>
      <w:proofErr w:type="spellEnd"/>
      <w:r>
        <w:t xml:space="preserve"> bovine serum (better methods use human AB serum or plasma), which increases the possibility of artifacts.</w:t>
      </w:r>
    </w:p>
    <w:p w:rsidR="00B1378B" w:rsidRDefault="001251A1" w:rsidP="00184F47">
      <w:pPr>
        <w:pStyle w:val="NormalWeb"/>
        <w:spacing w:after="0" w:afterAutospacing="0"/>
        <w:contextualSpacing/>
      </w:pPr>
      <w:r w:rsidRPr="001251A1">
        <w:rPr>
          <w:u w:val="single"/>
        </w:rPr>
        <w:t>Response:</w:t>
      </w:r>
      <w:r>
        <w:t xml:space="preserve"> While we could definitely use a different source of serum, we have chosen FBS over human AB because of the potential variability in different batches of human AB. </w:t>
      </w:r>
      <w:r w:rsidR="00B1378B">
        <w:br/>
      </w:r>
      <w:r>
        <w:t xml:space="preserve">2) </w:t>
      </w:r>
      <w:r w:rsidR="00B1378B">
        <w:t>Figure 1 compares M1 and M2 vs. T0, it would be important to see also the comparison between M1 and M2 for each marker (I see that the data should be available, as they were included in the Figure 2 of the previous version).</w:t>
      </w:r>
    </w:p>
    <w:p w:rsidR="001251A1" w:rsidRPr="001251A1" w:rsidRDefault="001251A1" w:rsidP="00184F47">
      <w:pPr>
        <w:pStyle w:val="NormalWeb"/>
        <w:spacing w:after="0" w:afterAutospacing="0"/>
        <w:contextualSpacing/>
        <w:rPr>
          <w:u w:val="single"/>
        </w:rPr>
      </w:pPr>
      <w:r w:rsidRPr="001251A1">
        <w:rPr>
          <w:u w:val="single"/>
        </w:rPr>
        <w:t>Response:</w:t>
      </w:r>
      <w:r>
        <w:rPr>
          <w:u w:val="single"/>
        </w:rPr>
        <w:t xml:space="preserve"> </w:t>
      </w:r>
      <w:r w:rsidRPr="001251A1">
        <w:t>Figure 1C addresses this point.</w:t>
      </w:r>
    </w:p>
    <w:p w:rsidR="00B1378B" w:rsidRDefault="00B1378B" w:rsidP="00512FDA">
      <w:pPr>
        <w:rPr>
          <w:rFonts w:ascii="Times New Roman" w:hAnsi="Times New Roman" w:cs="Times New Roman"/>
          <w:sz w:val="24"/>
          <w:szCs w:val="24"/>
        </w:rPr>
      </w:pPr>
    </w:p>
    <w:p w:rsidR="00DE073C" w:rsidRDefault="00DE073C">
      <w:bookmarkStart w:id="0" w:name="_GoBack"/>
      <w:bookmarkEnd w:id="0"/>
    </w:p>
    <w:sectPr w:rsidR="00DE07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B4E16"/>
    <w:multiLevelType w:val="hybridMultilevel"/>
    <w:tmpl w:val="BE30E8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063CDD"/>
    <w:multiLevelType w:val="hybridMultilevel"/>
    <w:tmpl w:val="7FEC27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FDA"/>
    <w:rsid w:val="001251A1"/>
    <w:rsid w:val="00177E09"/>
    <w:rsid w:val="00184F47"/>
    <w:rsid w:val="001B1EE9"/>
    <w:rsid w:val="00276A5F"/>
    <w:rsid w:val="002D7928"/>
    <w:rsid w:val="003A2126"/>
    <w:rsid w:val="003C036C"/>
    <w:rsid w:val="004525F0"/>
    <w:rsid w:val="0049423A"/>
    <w:rsid w:val="00512FDA"/>
    <w:rsid w:val="006266F5"/>
    <w:rsid w:val="007859C3"/>
    <w:rsid w:val="007C1ABE"/>
    <w:rsid w:val="00864641"/>
    <w:rsid w:val="008876E0"/>
    <w:rsid w:val="00893189"/>
    <w:rsid w:val="00A44690"/>
    <w:rsid w:val="00A9046F"/>
    <w:rsid w:val="00A93B32"/>
    <w:rsid w:val="00AB774D"/>
    <w:rsid w:val="00AD0975"/>
    <w:rsid w:val="00B1378B"/>
    <w:rsid w:val="00D9736C"/>
    <w:rsid w:val="00DE073C"/>
    <w:rsid w:val="00E6394F"/>
    <w:rsid w:val="00EE5C2A"/>
    <w:rsid w:val="00F16915"/>
    <w:rsid w:val="00FC0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5BA87"/>
  <w15:chartTrackingRefBased/>
  <w15:docId w15:val="{154F05AF-A63D-452E-B962-E05104ABC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1378B"/>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B137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994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1614</TotalTime>
  <Pages>3</Pages>
  <Words>1030</Words>
  <Characters>5872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Peruzzi, Francesca</dc:creator>
  <cp:keywords/>
  <dc:description/>
  <cp:lastModifiedBy>Peruzzi, Francesca</cp:lastModifiedBy>
  <cp:revision>11</cp:revision>
  <dcterms:created xsi:type="dcterms:W3CDTF">2019-08-29T18:54:00Z</dcterms:created>
  <dcterms:modified xsi:type="dcterms:W3CDTF">2019-09-03T19:21:00Z</dcterms:modified>
</cp:coreProperties>
</file>