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DFFFFE" w14:textId="77777777" w:rsidR="00876E5C" w:rsidRPr="000E4246" w:rsidRDefault="00876E5C" w:rsidP="00876E5C">
      <w:pPr>
        <w:rPr>
          <w:rFonts w:ascii="Calibri" w:hAnsi="Calibri" w:cs="Arial"/>
          <w:b/>
        </w:rPr>
      </w:pPr>
      <w:r w:rsidRPr="000E4246">
        <w:rPr>
          <w:rFonts w:ascii="Calibri" w:hAnsi="Calibri" w:cs="Arial"/>
          <w:b/>
        </w:rPr>
        <w:t>Responses to Editorial comments:</w:t>
      </w:r>
    </w:p>
    <w:p w14:paraId="7C6C6865" w14:textId="77777777" w:rsidR="00876E5C" w:rsidRPr="000E4246" w:rsidRDefault="00876E5C" w:rsidP="00876E5C">
      <w:pPr>
        <w:rPr>
          <w:rFonts w:ascii="Calibri" w:hAnsi="Calibri" w:cs="Arial"/>
        </w:rPr>
      </w:pPr>
    </w:p>
    <w:p w14:paraId="65EDE293" w14:textId="77777777" w:rsidR="00876E5C" w:rsidRPr="000E4246" w:rsidRDefault="00876E5C" w:rsidP="00876E5C">
      <w:pPr>
        <w:pStyle w:val="ListParagraph"/>
        <w:numPr>
          <w:ilvl w:val="0"/>
          <w:numId w:val="4"/>
        </w:numPr>
        <w:ind w:firstLineChars="0"/>
        <w:rPr>
          <w:rFonts w:cs="Arial"/>
          <w:i/>
        </w:rPr>
      </w:pPr>
      <w:r w:rsidRPr="000E4246">
        <w:rPr>
          <w:rFonts w:cs="Arial"/>
          <w:i/>
        </w:rPr>
        <w:t>Please take this opportunity to thoroughly proofread the manuscript to ensure that there are no spelling or grammar issues. The </w:t>
      </w:r>
      <w:proofErr w:type="spellStart"/>
      <w:r w:rsidRPr="000E4246">
        <w:rPr>
          <w:rFonts w:cs="Arial"/>
          <w:i/>
        </w:rPr>
        <w:t>JoVE</w:t>
      </w:r>
      <w:proofErr w:type="spellEnd"/>
      <w:r w:rsidRPr="000E4246">
        <w:rPr>
          <w:rFonts w:cs="Arial"/>
          <w:i/>
        </w:rPr>
        <w:t> editor will not copy-edit your manuscript and any errors in the submitted revision may be present in the published version.</w:t>
      </w:r>
    </w:p>
    <w:p w14:paraId="721A1337" w14:textId="77777777" w:rsidR="00876E5C" w:rsidRPr="000E4246" w:rsidRDefault="00876E5C" w:rsidP="00876E5C">
      <w:pPr>
        <w:pStyle w:val="ListParagraph"/>
        <w:ind w:left="420" w:firstLineChars="0" w:firstLine="0"/>
        <w:rPr>
          <w:rFonts w:cs="Arial"/>
          <w:b/>
        </w:rPr>
      </w:pPr>
    </w:p>
    <w:p w14:paraId="6D6021CF" w14:textId="77777777" w:rsidR="00876E5C" w:rsidRPr="000E4246" w:rsidRDefault="00876E5C" w:rsidP="00876E5C">
      <w:pPr>
        <w:pStyle w:val="ListParagraph"/>
        <w:ind w:left="420" w:firstLineChars="0" w:firstLine="0"/>
        <w:rPr>
          <w:rFonts w:cs="Arial"/>
        </w:rPr>
      </w:pPr>
      <w:r w:rsidRPr="000E4246">
        <w:rPr>
          <w:rFonts w:cs="Arial"/>
          <w:b/>
        </w:rPr>
        <w:t xml:space="preserve">Response: </w:t>
      </w:r>
      <w:r w:rsidRPr="000E4246">
        <w:rPr>
          <w:rFonts w:cs="Arial"/>
        </w:rPr>
        <w:t>Thank you for the suggestion, we have carefully read and corrected the manuscript.</w:t>
      </w:r>
    </w:p>
    <w:p w14:paraId="1BFDF3B8" w14:textId="77777777" w:rsidR="00876E5C" w:rsidRPr="000E4246" w:rsidRDefault="00876E5C" w:rsidP="00876E5C">
      <w:pPr>
        <w:pStyle w:val="ListParagraph"/>
        <w:ind w:left="420" w:firstLineChars="0" w:firstLine="0"/>
        <w:rPr>
          <w:rFonts w:cs="Arial"/>
        </w:rPr>
      </w:pPr>
    </w:p>
    <w:p w14:paraId="787B9482" w14:textId="77777777" w:rsidR="00876E5C" w:rsidRPr="000E4246" w:rsidRDefault="00876E5C" w:rsidP="00876E5C">
      <w:pPr>
        <w:pStyle w:val="ListParagraph"/>
        <w:numPr>
          <w:ilvl w:val="0"/>
          <w:numId w:val="4"/>
        </w:numPr>
        <w:ind w:firstLineChars="0"/>
        <w:rPr>
          <w:rFonts w:cs="Arial"/>
        </w:rPr>
      </w:pPr>
      <w:r w:rsidRPr="000E4246">
        <w:rPr>
          <w:rFonts w:cs="Arial"/>
          <w:i/>
        </w:rPr>
        <w:t>Please revise lines 232-238 and 251-258 to avoid previously published text.</w:t>
      </w:r>
    </w:p>
    <w:p w14:paraId="37FD480C" w14:textId="77777777" w:rsidR="00876E5C" w:rsidRPr="000E4246" w:rsidRDefault="00876E5C" w:rsidP="00876E5C">
      <w:pPr>
        <w:pStyle w:val="ListParagraph"/>
        <w:ind w:left="420" w:firstLineChars="0" w:firstLine="0"/>
        <w:rPr>
          <w:rFonts w:cs="Arial"/>
        </w:rPr>
      </w:pPr>
    </w:p>
    <w:p w14:paraId="0AC1C1EA" w14:textId="77777777" w:rsidR="00876E5C" w:rsidRPr="000E4246" w:rsidRDefault="00876E5C" w:rsidP="00876E5C">
      <w:pPr>
        <w:pStyle w:val="ListParagraph"/>
        <w:ind w:left="420" w:firstLineChars="0" w:firstLine="0"/>
        <w:rPr>
          <w:rFonts w:cs="Arial"/>
        </w:rPr>
      </w:pPr>
      <w:r w:rsidRPr="000E4246">
        <w:rPr>
          <w:rFonts w:cs="Arial"/>
          <w:b/>
        </w:rPr>
        <w:t xml:space="preserve">Response: </w:t>
      </w:r>
      <w:r w:rsidRPr="000E4246">
        <w:rPr>
          <w:rFonts w:cs="Arial"/>
        </w:rPr>
        <w:t xml:space="preserve">Thank you. We have revised the contents in these lines, please see in the revised manuscript. </w:t>
      </w:r>
    </w:p>
    <w:p w14:paraId="4638E169" w14:textId="77777777" w:rsidR="00876E5C" w:rsidRPr="000E4246" w:rsidRDefault="00876E5C" w:rsidP="00876E5C">
      <w:pPr>
        <w:pStyle w:val="ListParagraph"/>
        <w:ind w:firstLine="480"/>
        <w:rPr>
          <w:rFonts w:cs="Arial"/>
        </w:rPr>
      </w:pPr>
    </w:p>
    <w:p w14:paraId="0F2C43DA" w14:textId="77777777" w:rsidR="00876E5C" w:rsidRPr="000E4246" w:rsidRDefault="00876E5C" w:rsidP="00876E5C">
      <w:pPr>
        <w:pStyle w:val="ListParagraph"/>
        <w:numPr>
          <w:ilvl w:val="0"/>
          <w:numId w:val="4"/>
        </w:numPr>
        <w:ind w:firstLineChars="0"/>
        <w:rPr>
          <w:rFonts w:cs="Arial"/>
          <w:i/>
        </w:rPr>
      </w:pPr>
      <w:r w:rsidRPr="000E4246">
        <w:rPr>
          <w:rFonts w:cs="Arial"/>
          <w:i/>
        </w:rPr>
        <w:t xml:space="preserve">Please remove commercial language (e.g., </w:t>
      </w:r>
      <w:proofErr w:type="spellStart"/>
      <w:r w:rsidRPr="000E4246">
        <w:rPr>
          <w:rFonts w:cs="Arial"/>
          <w:i/>
        </w:rPr>
        <w:t>LabChip</w:t>
      </w:r>
      <w:proofErr w:type="spellEnd"/>
      <w:r w:rsidRPr="000E4246">
        <w:rPr>
          <w:rFonts w:cs="Arial"/>
          <w:i/>
        </w:rPr>
        <w:t>, Agilent) from the manuscript.</w:t>
      </w:r>
    </w:p>
    <w:p w14:paraId="3033B958" w14:textId="77777777" w:rsidR="00876E5C" w:rsidRPr="000E4246" w:rsidRDefault="00876E5C" w:rsidP="00876E5C">
      <w:pPr>
        <w:pStyle w:val="ListParagraph"/>
        <w:ind w:left="420" w:firstLineChars="0" w:firstLine="0"/>
        <w:rPr>
          <w:rFonts w:cs="Arial"/>
          <w:i/>
        </w:rPr>
      </w:pPr>
    </w:p>
    <w:p w14:paraId="4B5A32D2" w14:textId="77777777" w:rsidR="00876E5C" w:rsidRPr="000E4246" w:rsidRDefault="00876E5C" w:rsidP="00876E5C">
      <w:pPr>
        <w:pStyle w:val="ListParagraph"/>
        <w:ind w:left="420" w:firstLineChars="0" w:firstLine="0"/>
        <w:rPr>
          <w:rFonts w:cs="Arial"/>
          <w:i/>
        </w:rPr>
      </w:pPr>
      <w:r w:rsidRPr="000E4246">
        <w:rPr>
          <w:rFonts w:cs="Arial"/>
          <w:b/>
        </w:rPr>
        <w:t xml:space="preserve">Response: </w:t>
      </w:r>
      <w:r w:rsidRPr="000E4246">
        <w:rPr>
          <w:rFonts w:cs="Arial"/>
        </w:rPr>
        <w:t>Thank you for the comment. We have proofread the manuscript and avoid using commercial language in the revised manuscript.</w:t>
      </w:r>
    </w:p>
    <w:p w14:paraId="5E5C7190" w14:textId="77777777" w:rsidR="00876E5C" w:rsidRPr="000E4246" w:rsidRDefault="00876E5C" w:rsidP="00876E5C">
      <w:pPr>
        <w:pStyle w:val="ListParagraph"/>
        <w:ind w:firstLine="480"/>
        <w:rPr>
          <w:rFonts w:cs="Arial"/>
        </w:rPr>
      </w:pPr>
    </w:p>
    <w:p w14:paraId="1B7D81E6" w14:textId="77777777" w:rsidR="00876E5C" w:rsidRPr="000E4246" w:rsidRDefault="00876E5C" w:rsidP="00876E5C">
      <w:pPr>
        <w:pStyle w:val="ListParagraph"/>
        <w:numPr>
          <w:ilvl w:val="0"/>
          <w:numId w:val="4"/>
        </w:numPr>
        <w:ind w:firstLineChars="0"/>
        <w:rPr>
          <w:rFonts w:cs="Arial"/>
          <w:i/>
        </w:rPr>
      </w:pPr>
      <w:r w:rsidRPr="000E4246">
        <w:rPr>
          <w:rFonts w:cs="Arial"/>
          <w:i/>
        </w:rPr>
        <w:t>Table of Materials: Please combine different sheets and sort the items in alphabetical order according to the name of material/equipment.</w:t>
      </w:r>
    </w:p>
    <w:p w14:paraId="38ED0D34" w14:textId="77777777" w:rsidR="00876E5C" w:rsidRPr="000E4246" w:rsidRDefault="00876E5C" w:rsidP="00876E5C">
      <w:pPr>
        <w:pStyle w:val="ListParagraph"/>
        <w:ind w:left="420" w:firstLineChars="0" w:firstLine="0"/>
        <w:rPr>
          <w:rFonts w:cs="Arial"/>
          <w:i/>
        </w:rPr>
      </w:pPr>
    </w:p>
    <w:p w14:paraId="792043A7" w14:textId="77777777" w:rsidR="00876E5C" w:rsidRPr="000E4246" w:rsidRDefault="00876E5C" w:rsidP="00876E5C">
      <w:pPr>
        <w:pStyle w:val="ListParagraph"/>
        <w:ind w:left="420" w:firstLineChars="0" w:firstLine="0"/>
        <w:rPr>
          <w:rFonts w:cs="Arial"/>
          <w:i/>
        </w:rPr>
      </w:pPr>
      <w:r w:rsidRPr="000E4246">
        <w:rPr>
          <w:rFonts w:cs="Arial"/>
          <w:b/>
        </w:rPr>
        <w:t xml:space="preserve">Response: </w:t>
      </w:r>
      <w:r w:rsidRPr="000E4246">
        <w:rPr>
          <w:rFonts w:cs="Arial"/>
        </w:rPr>
        <w:t xml:space="preserve">Thank you. We have re-organized the table of material/equipment according to the suggestion. </w:t>
      </w:r>
    </w:p>
    <w:p w14:paraId="65D04D9C" w14:textId="77777777" w:rsidR="00876E5C" w:rsidRPr="000E4246" w:rsidRDefault="00876E5C" w:rsidP="00876E5C">
      <w:pPr>
        <w:rPr>
          <w:rFonts w:ascii="Calibri" w:hAnsi="Calibri" w:cs="Arial"/>
          <w:b/>
        </w:rPr>
      </w:pPr>
    </w:p>
    <w:p w14:paraId="033E41E7" w14:textId="77777777" w:rsidR="00876E5C" w:rsidRPr="000E4246" w:rsidRDefault="00876E5C" w:rsidP="00876E5C">
      <w:pPr>
        <w:rPr>
          <w:rFonts w:ascii="Calibri" w:hAnsi="Calibri" w:cs="Arial"/>
          <w:b/>
        </w:rPr>
      </w:pPr>
    </w:p>
    <w:p w14:paraId="0672E16F" w14:textId="77777777" w:rsidR="00876E5C" w:rsidRPr="000E4246" w:rsidRDefault="00876E5C" w:rsidP="00876E5C">
      <w:pPr>
        <w:rPr>
          <w:rFonts w:ascii="Calibri" w:hAnsi="Calibri" w:cs="Arial"/>
          <w:b/>
        </w:rPr>
      </w:pPr>
    </w:p>
    <w:p w14:paraId="003F20BE" w14:textId="77777777" w:rsidR="00876E5C" w:rsidRPr="000E4246" w:rsidRDefault="00876E5C" w:rsidP="00876E5C">
      <w:pPr>
        <w:rPr>
          <w:rFonts w:ascii="Calibri" w:hAnsi="Calibri" w:cs="Arial"/>
          <w:b/>
        </w:rPr>
      </w:pPr>
    </w:p>
    <w:p w14:paraId="10D7D316" w14:textId="77777777" w:rsidR="00876E5C" w:rsidRPr="000E4246" w:rsidRDefault="00876E5C" w:rsidP="00876E5C">
      <w:pPr>
        <w:rPr>
          <w:rFonts w:ascii="Calibri" w:hAnsi="Calibri" w:cs="Arial"/>
          <w:b/>
        </w:rPr>
      </w:pPr>
    </w:p>
    <w:p w14:paraId="42C9B4CF" w14:textId="77777777" w:rsidR="00876E5C" w:rsidRPr="000E4246" w:rsidRDefault="00876E5C" w:rsidP="00876E5C">
      <w:pPr>
        <w:rPr>
          <w:rFonts w:ascii="Calibri" w:hAnsi="Calibri" w:cs="Arial"/>
          <w:b/>
        </w:rPr>
      </w:pPr>
    </w:p>
    <w:p w14:paraId="4F2A44E4" w14:textId="77777777" w:rsidR="00876E5C" w:rsidRPr="000E4246" w:rsidRDefault="00876E5C" w:rsidP="00876E5C">
      <w:pPr>
        <w:rPr>
          <w:rFonts w:ascii="Calibri" w:hAnsi="Calibri" w:cs="Arial"/>
          <w:b/>
        </w:rPr>
      </w:pPr>
    </w:p>
    <w:p w14:paraId="23A1CD20" w14:textId="77777777" w:rsidR="00876E5C" w:rsidRPr="000E4246" w:rsidRDefault="00876E5C" w:rsidP="00876E5C">
      <w:pPr>
        <w:rPr>
          <w:rFonts w:ascii="Calibri" w:hAnsi="Calibri" w:cs="Arial"/>
          <w:b/>
        </w:rPr>
      </w:pPr>
    </w:p>
    <w:p w14:paraId="1147067D" w14:textId="77777777" w:rsidR="00876E5C" w:rsidRPr="000E4246" w:rsidRDefault="00876E5C" w:rsidP="00876E5C">
      <w:pPr>
        <w:rPr>
          <w:rFonts w:ascii="Calibri" w:hAnsi="Calibri" w:cs="Arial"/>
          <w:b/>
        </w:rPr>
      </w:pPr>
    </w:p>
    <w:p w14:paraId="6CD0B649" w14:textId="77777777" w:rsidR="00876E5C" w:rsidRPr="000E4246" w:rsidRDefault="00876E5C" w:rsidP="00876E5C">
      <w:pPr>
        <w:rPr>
          <w:rFonts w:ascii="Calibri" w:hAnsi="Calibri" w:cs="Arial"/>
          <w:b/>
        </w:rPr>
      </w:pPr>
    </w:p>
    <w:p w14:paraId="1DEDF64C" w14:textId="77777777" w:rsidR="00876E5C" w:rsidRPr="000E4246" w:rsidRDefault="00876E5C" w:rsidP="00876E5C">
      <w:pPr>
        <w:rPr>
          <w:rFonts w:ascii="Calibri" w:hAnsi="Calibri" w:cs="Arial"/>
          <w:b/>
        </w:rPr>
      </w:pPr>
    </w:p>
    <w:p w14:paraId="4D0E8B1D" w14:textId="77777777" w:rsidR="00876E5C" w:rsidRPr="000E4246" w:rsidRDefault="00876E5C" w:rsidP="00876E5C">
      <w:pPr>
        <w:rPr>
          <w:rFonts w:ascii="Calibri" w:hAnsi="Calibri" w:cs="Arial"/>
          <w:b/>
        </w:rPr>
      </w:pPr>
    </w:p>
    <w:p w14:paraId="41FBB8A4" w14:textId="77777777" w:rsidR="00876E5C" w:rsidRPr="000E4246" w:rsidRDefault="00876E5C" w:rsidP="00876E5C">
      <w:pPr>
        <w:rPr>
          <w:rFonts w:ascii="Calibri" w:hAnsi="Calibri" w:cs="Arial"/>
          <w:b/>
        </w:rPr>
      </w:pPr>
    </w:p>
    <w:p w14:paraId="70E75500" w14:textId="77777777" w:rsidR="00876E5C" w:rsidRPr="000E4246" w:rsidRDefault="00876E5C" w:rsidP="00876E5C">
      <w:pPr>
        <w:rPr>
          <w:rFonts w:ascii="Calibri" w:hAnsi="Calibri" w:cs="Arial"/>
          <w:b/>
        </w:rPr>
      </w:pPr>
    </w:p>
    <w:p w14:paraId="75B4D0A4" w14:textId="77777777" w:rsidR="00876E5C" w:rsidRPr="000E4246" w:rsidRDefault="00876E5C" w:rsidP="00876E5C">
      <w:pPr>
        <w:rPr>
          <w:rFonts w:ascii="Calibri" w:hAnsi="Calibri" w:cs="Arial"/>
          <w:b/>
        </w:rPr>
      </w:pPr>
    </w:p>
    <w:p w14:paraId="34B5164B" w14:textId="77777777" w:rsidR="00876E5C" w:rsidRPr="000E4246" w:rsidRDefault="00876E5C" w:rsidP="00876E5C">
      <w:pPr>
        <w:rPr>
          <w:rFonts w:ascii="Calibri" w:hAnsi="Calibri" w:cs="Arial"/>
          <w:b/>
        </w:rPr>
      </w:pPr>
    </w:p>
    <w:p w14:paraId="222518AF" w14:textId="77777777" w:rsidR="00876E5C" w:rsidRPr="000E4246" w:rsidRDefault="00876E5C" w:rsidP="00876E5C">
      <w:pPr>
        <w:rPr>
          <w:rFonts w:ascii="Calibri" w:hAnsi="Calibri" w:cs="Arial"/>
          <w:b/>
        </w:rPr>
      </w:pPr>
    </w:p>
    <w:p w14:paraId="0430B876" w14:textId="77777777" w:rsidR="00876E5C" w:rsidRPr="000E4246" w:rsidRDefault="00876E5C" w:rsidP="00876E5C">
      <w:pPr>
        <w:rPr>
          <w:rFonts w:ascii="Calibri" w:hAnsi="Calibri" w:cs="Arial"/>
          <w:b/>
        </w:rPr>
      </w:pPr>
    </w:p>
    <w:p w14:paraId="5C2133E6" w14:textId="77777777" w:rsidR="00876E5C" w:rsidRPr="000E4246" w:rsidRDefault="00876E5C" w:rsidP="00876E5C">
      <w:pPr>
        <w:rPr>
          <w:rFonts w:ascii="Calibri" w:hAnsi="Calibri" w:cs="Arial"/>
          <w:b/>
        </w:rPr>
      </w:pPr>
    </w:p>
    <w:p w14:paraId="00D0DEC4" w14:textId="77777777" w:rsidR="00876E5C" w:rsidRPr="000E4246" w:rsidRDefault="00876E5C" w:rsidP="00876E5C">
      <w:pPr>
        <w:rPr>
          <w:rFonts w:ascii="Calibri" w:hAnsi="Calibri" w:cs="Arial"/>
          <w:b/>
        </w:rPr>
      </w:pPr>
    </w:p>
    <w:p w14:paraId="67FEC15E" w14:textId="77777777" w:rsidR="00876E5C" w:rsidRPr="000E4246" w:rsidRDefault="00876E5C" w:rsidP="00876E5C">
      <w:pPr>
        <w:rPr>
          <w:rFonts w:ascii="Calibri" w:hAnsi="Calibri" w:cs="Arial"/>
          <w:b/>
        </w:rPr>
      </w:pPr>
    </w:p>
    <w:p w14:paraId="334D2DE2" w14:textId="77777777" w:rsidR="00876E5C" w:rsidRPr="000E4246" w:rsidRDefault="00876E5C" w:rsidP="00876E5C">
      <w:pPr>
        <w:rPr>
          <w:rFonts w:ascii="Calibri" w:hAnsi="Calibri" w:cs="Arial" w:hint="eastAsia"/>
          <w:b/>
        </w:rPr>
      </w:pPr>
    </w:p>
    <w:p w14:paraId="32E60A46" w14:textId="77777777" w:rsidR="00876E5C" w:rsidRPr="000E4246" w:rsidRDefault="00876E5C" w:rsidP="00876E5C">
      <w:pPr>
        <w:rPr>
          <w:rFonts w:ascii="Calibri" w:hAnsi="Calibri" w:cs="Arial"/>
          <w:b/>
        </w:rPr>
      </w:pPr>
      <w:r w:rsidRPr="000E4246">
        <w:rPr>
          <w:rFonts w:ascii="Calibri" w:hAnsi="Calibri" w:cs="Arial"/>
          <w:b/>
        </w:rPr>
        <w:lastRenderedPageBreak/>
        <w:t>Responses to Reviewers' comments:</w:t>
      </w:r>
    </w:p>
    <w:p w14:paraId="3E24EABC" w14:textId="77777777" w:rsidR="00876E5C" w:rsidRPr="000E4246" w:rsidRDefault="00876E5C" w:rsidP="00876E5C">
      <w:pPr>
        <w:rPr>
          <w:rFonts w:ascii="Calibri" w:hAnsi="Calibri" w:cs="Arial"/>
          <w:b/>
        </w:rPr>
      </w:pPr>
    </w:p>
    <w:p w14:paraId="294DF6D4" w14:textId="77777777" w:rsidR="00876E5C" w:rsidRPr="000E4246" w:rsidRDefault="00876E5C" w:rsidP="00876E5C">
      <w:pPr>
        <w:rPr>
          <w:rFonts w:ascii="Calibri" w:hAnsi="Calibri" w:cs="Arial"/>
          <w:b/>
        </w:rPr>
      </w:pPr>
      <w:r w:rsidRPr="000E4246">
        <w:rPr>
          <w:rFonts w:ascii="Calibri" w:hAnsi="Calibri" w:cs="Arial"/>
          <w:b/>
        </w:rPr>
        <w:t>Reviewer #1:</w:t>
      </w:r>
    </w:p>
    <w:p w14:paraId="2F02F643" w14:textId="77777777" w:rsidR="00876E5C" w:rsidRPr="000E4246" w:rsidRDefault="00876E5C" w:rsidP="00876E5C">
      <w:pPr>
        <w:rPr>
          <w:rFonts w:ascii="Calibri" w:hAnsi="Calibri" w:cs="Arial"/>
        </w:rPr>
      </w:pPr>
    </w:p>
    <w:p w14:paraId="1FAE3A9D" w14:textId="77777777" w:rsidR="00876E5C" w:rsidRPr="000E4246" w:rsidRDefault="00876E5C" w:rsidP="00876E5C">
      <w:pPr>
        <w:rPr>
          <w:rFonts w:ascii="Calibri" w:hAnsi="Calibri" w:cs="Arial"/>
        </w:rPr>
      </w:pPr>
      <w:r w:rsidRPr="000E4246">
        <w:rPr>
          <w:rFonts w:ascii="Calibri" w:hAnsi="Calibri" w:cs="Arial"/>
        </w:rPr>
        <w:t>The authors report on a PCR-based method for CGG repeat sizing of FMR1 alleles. The method is essentially a PCR using specific FMR1 primers lying outside the repeat and a "Fragile X PCR kit". The amplified products are then visualized by the Agilent 2100 Bioanalyzer. There are several conceptual issues that need to be addressed before the manuscript would be ready for publication.</w:t>
      </w:r>
    </w:p>
    <w:p w14:paraId="7A0B5D71" w14:textId="77777777" w:rsidR="00876E5C" w:rsidRPr="000E4246" w:rsidRDefault="00876E5C" w:rsidP="00876E5C">
      <w:pPr>
        <w:rPr>
          <w:rFonts w:ascii="Calibri" w:hAnsi="Calibri" w:cs="Arial"/>
        </w:rPr>
      </w:pPr>
    </w:p>
    <w:p w14:paraId="210CB209" w14:textId="77777777" w:rsidR="00876E5C" w:rsidRPr="000E4246" w:rsidRDefault="00876E5C" w:rsidP="00876E5C">
      <w:pPr>
        <w:pStyle w:val="ListParagraph"/>
        <w:numPr>
          <w:ilvl w:val="0"/>
          <w:numId w:val="1"/>
        </w:numPr>
        <w:ind w:firstLineChars="0"/>
        <w:rPr>
          <w:rFonts w:cs="Arial"/>
          <w:i/>
        </w:rPr>
      </w:pPr>
      <w:r w:rsidRPr="000E4246">
        <w:rPr>
          <w:rFonts w:cs="Arial"/>
          <w:i/>
        </w:rPr>
        <w:t>Please carefully edit the manuscript for English and spelling.</w:t>
      </w:r>
    </w:p>
    <w:p w14:paraId="7F16D204" w14:textId="77777777" w:rsidR="00876E5C" w:rsidRPr="000E4246" w:rsidRDefault="00876E5C" w:rsidP="00876E5C">
      <w:pPr>
        <w:pStyle w:val="ListParagraph"/>
        <w:ind w:left="420" w:firstLineChars="0" w:firstLine="0"/>
        <w:rPr>
          <w:rFonts w:cs="Arial"/>
          <w:b/>
        </w:rPr>
      </w:pPr>
    </w:p>
    <w:p w14:paraId="2983DFFC" w14:textId="77777777" w:rsidR="00876E5C" w:rsidRPr="000E4246" w:rsidRDefault="00876E5C" w:rsidP="00876E5C">
      <w:pPr>
        <w:pStyle w:val="ListParagraph"/>
        <w:ind w:left="420" w:firstLineChars="0" w:firstLine="0"/>
        <w:rPr>
          <w:rFonts w:cs="Arial"/>
        </w:rPr>
      </w:pPr>
      <w:r w:rsidRPr="000E4246">
        <w:rPr>
          <w:rFonts w:cs="Arial"/>
          <w:b/>
        </w:rPr>
        <w:t xml:space="preserve">Response: </w:t>
      </w:r>
      <w:r w:rsidRPr="000E4246">
        <w:rPr>
          <w:rFonts w:cs="Arial"/>
        </w:rPr>
        <w:t>Thank you for the suggestion, we have carefully read and corrected the manuscript.</w:t>
      </w:r>
    </w:p>
    <w:p w14:paraId="43349C31" w14:textId="77777777" w:rsidR="00876E5C" w:rsidRPr="000E4246" w:rsidRDefault="00876E5C" w:rsidP="00876E5C">
      <w:pPr>
        <w:pStyle w:val="ListParagraph"/>
        <w:ind w:left="420" w:firstLineChars="0" w:firstLine="0"/>
        <w:rPr>
          <w:rFonts w:cs="Arial"/>
        </w:rPr>
      </w:pPr>
    </w:p>
    <w:p w14:paraId="5458CEE1" w14:textId="77777777" w:rsidR="00876E5C" w:rsidRPr="000E4246" w:rsidRDefault="00876E5C" w:rsidP="00876E5C">
      <w:pPr>
        <w:pStyle w:val="ListParagraph"/>
        <w:numPr>
          <w:ilvl w:val="0"/>
          <w:numId w:val="1"/>
        </w:numPr>
        <w:ind w:firstLineChars="0"/>
        <w:rPr>
          <w:rFonts w:cs="Arial"/>
          <w:i/>
        </w:rPr>
      </w:pPr>
      <w:r w:rsidRPr="000E4246">
        <w:rPr>
          <w:rFonts w:cs="Arial"/>
          <w:i/>
        </w:rPr>
        <w:t>From the Table of materials looks like this is a commercial PCR kit from Perkin Elmer. What is the difference with those currently available?</w:t>
      </w:r>
    </w:p>
    <w:p w14:paraId="6E0567BA" w14:textId="77777777" w:rsidR="00876E5C" w:rsidRPr="000E4246" w:rsidRDefault="00876E5C" w:rsidP="00876E5C">
      <w:pPr>
        <w:pStyle w:val="ListParagraph"/>
        <w:ind w:left="420" w:firstLineChars="0" w:firstLine="0"/>
        <w:rPr>
          <w:rFonts w:cs="Arial"/>
        </w:rPr>
      </w:pPr>
    </w:p>
    <w:p w14:paraId="60692A2D" w14:textId="77777777" w:rsidR="00876E5C" w:rsidRPr="000E4246" w:rsidRDefault="00876E5C" w:rsidP="00876E5C">
      <w:pPr>
        <w:pStyle w:val="ListParagraph"/>
        <w:ind w:left="420" w:firstLineChars="0" w:firstLine="0"/>
        <w:rPr>
          <w:rFonts w:cs="Arial"/>
        </w:rPr>
      </w:pPr>
      <w:r w:rsidRPr="000E4246">
        <w:rPr>
          <w:rFonts w:cs="Arial"/>
          <w:b/>
        </w:rPr>
        <w:t xml:space="preserve">Response: </w:t>
      </w:r>
      <w:r w:rsidRPr="000E4246">
        <w:rPr>
          <w:rFonts w:cs="Arial"/>
        </w:rPr>
        <w:t xml:space="preserve">Thank you for the comment. Most of the commercial kits are triplet repeat primed PCR. This is a full length </w:t>
      </w:r>
      <w:r w:rsidRPr="000E4246">
        <w:rPr>
          <w:rFonts w:cs="Arial"/>
          <w:i/>
        </w:rPr>
        <w:t>FMR1</w:t>
      </w:r>
      <w:r w:rsidRPr="000E4246">
        <w:rPr>
          <w:rFonts w:cs="Arial"/>
        </w:rPr>
        <w:t xml:space="preserve"> gene PCR product under 2.5 </w:t>
      </w:r>
      <w:proofErr w:type="spellStart"/>
      <w:r w:rsidRPr="000E4246">
        <w:rPr>
          <w:rFonts w:cs="Arial"/>
        </w:rPr>
        <w:t>hrs</w:t>
      </w:r>
      <w:proofErr w:type="spellEnd"/>
      <w:r w:rsidRPr="000E4246">
        <w:rPr>
          <w:rFonts w:cs="Arial"/>
        </w:rPr>
        <w:t xml:space="preserve"> with FAM label allowing it to be analyzed automatically with capillary electrophoresis or microfluidic CE together with proprietary software. </w:t>
      </w:r>
    </w:p>
    <w:p w14:paraId="3D83F7DC" w14:textId="77777777" w:rsidR="00876E5C" w:rsidRPr="000E4246" w:rsidRDefault="00876E5C" w:rsidP="00876E5C">
      <w:pPr>
        <w:pStyle w:val="ListParagraph"/>
        <w:ind w:left="420" w:firstLineChars="0" w:firstLine="0"/>
        <w:rPr>
          <w:rFonts w:cs="Arial" w:hint="eastAsia"/>
        </w:rPr>
      </w:pPr>
    </w:p>
    <w:p w14:paraId="0AC881E6" w14:textId="77777777" w:rsidR="00876E5C" w:rsidRPr="000E4246" w:rsidRDefault="00876E5C" w:rsidP="00876E5C">
      <w:pPr>
        <w:pStyle w:val="ListParagraph"/>
        <w:numPr>
          <w:ilvl w:val="0"/>
          <w:numId w:val="1"/>
        </w:numPr>
        <w:ind w:firstLineChars="0"/>
        <w:rPr>
          <w:rFonts w:cs="Arial"/>
          <w:i/>
        </w:rPr>
      </w:pPr>
      <w:r w:rsidRPr="000E4246">
        <w:rPr>
          <w:rFonts w:cs="Arial"/>
          <w:i/>
        </w:rPr>
        <w:t>The authors mention that the PCR system includes reagents that facilitate the amplification of the highly GC-rich trinucleotide repeat region. Which are these reagents?</w:t>
      </w:r>
    </w:p>
    <w:p w14:paraId="492C1944" w14:textId="77777777" w:rsidR="00876E5C" w:rsidRPr="000E4246" w:rsidRDefault="00876E5C" w:rsidP="00876E5C">
      <w:pPr>
        <w:pStyle w:val="ListParagraph"/>
        <w:ind w:left="420" w:firstLineChars="0" w:firstLine="0"/>
        <w:rPr>
          <w:rFonts w:cs="Arial"/>
          <w:b/>
        </w:rPr>
      </w:pPr>
    </w:p>
    <w:p w14:paraId="3BD20ED5" w14:textId="77777777" w:rsidR="00876E5C" w:rsidRPr="000E4246" w:rsidRDefault="00876E5C" w:rsidP="00876E5C">
      <w:pPr>
        <w:pStyle w:val="ListParagraph"/>
        <w:ind w:left="420" w:firstLineChars="0" w:firstLine="0"/>
        <w:rPr>
          <w:rFonts w:cs="Arial"/>
        </w:rPr>
      </w:pPr>
      <w:r w:rsidRPr="000E4246">
        <w:rPr>
          <w:rFonts w:cs="Arial"/>
          <w:b/>
        </w:rPr>
        <w:t xml:space="preserve">Response: </w:t>
      </w:r>
      <w:r w:rsidRPr="000E4246">
        <w:rPr>
          <w:rFonts w:cs="Arial"/>
        </w:rPr>
        <w:t>Thank you for the comment.</w:t>
      </w:r>
      <w:r w:rsidRPr="000E4246">
        <w:t xml:space="preserve"> </w:t>
      </w:r>
      <w:r w:rsidRPr="000E4246">
        <w:rPr>
          <w:rFonts w:cs="Arial"/>
        </w:rPr>
        <w:t>DMSO is used with ammonium sulfate. This is listed in the MSDS of the PCR kit</w:t>
      </w:r>
      <w:r w:rsidRPr="000E4246">
        <w:rPr>
          <w:rFonts w:cs="Arial" w:hint="eastAsia"/>
        </w:rPr>
        <w:t>.</w:t>
      </w:r>
      <w:r w:rsidRPr="000E4246">
        <w:rPr>
          <w:rFonts w:cs="Arial"/>
        </w:rPr>
        <w:t xml:space="preserve"> The other components are added but they are proprietary information.</w:t>
      </w:r>
    </w:p>
    <w:p w14:paraId="048FE603" w14:textId="77777777" w:rsidR="00876E5C" w:rsidRPr="000E4246" w:rsidRDefault="00876E5C" w:rsidP="00876E5C">
      <w:pPr>
        <w:pStyle w:val="ListParagraph"/>
        <w:ind w:firstLine="480"/>
        <w:rPr>
          <w:rFonts w:cs="Arial"/>
        </w:rPr>
      </w:pPr>
    </w:p>
    <w:p w14:paraId="1F77B265" w14:textId="77777777" w:rsidR="00876E5C" w:rsidRPr="000E4246" w:rsidRDefault="00876E5C" w:rsidP="00876E5C">
      <w:pPr>
        <w:pStyle w:val="ListParagraph"/>
        <w:numPr>
          <w:ilvl w:val="0"/>
          <w:numId w:val="1"/>
        </w:numPr>
        <w:ind w:firstLineChars="0"/>
        <w:rPr>
          <w:rFonts w:cs="Arial"/>
          <w:i/>
        </w:rPr>
      </w:pPr>
      <w:r w:rsidRPr="000E4246">
        <w:rPr>
          <w:rFonts w:cs="Arial"/>
          <w:i/>
        </w:rPr>
        <w:t>The presented protocol includes an additional step represented by the "Purification of the PCR products", which is not necessary in the current PCR based approaches available.</w:t>
      </w:r>
      <w:r w:rsidRPr="000E4246">
        <w:rPr>
          <w:rFonts w:cs="Arial"/>
          <w:i/>
        </w:rPr>
        <w:br/>
      </w:r>
    </w:p>
    <w:p w14:paraId="4E039419" w14:textId="77777777" w:rsidR="00876E5C" w:rsidRPr="000E4246" w:rsidRDefault="00876E5C" w:rsidP="00876E5C">
      <w:pPr>
        <w:pStyle w:val="ListParagraph"/>
        <w:ind w:left="420" w:firstLineChars="0" w:firstLine="0"/>
        <w:rPr>
          <w:rFonts w:cs="Arial"/>
        </w:rPr>
      </w:pPr>
      <w:r w:rsidRPr="000E4246">
        <w:rPr>
          <w:rFonts w:cs="Arial"/>
          <w:b/>
        </w:rPr>
        <w:t xml:space="preserve">Response: </w:t>
      </w:r>
      <w:r w:rsidRPr="000E4246">
        <w:rPr>
          <w:rFonts w:cs="Arial"/>
        </w:rPr>
        <w:t>Thank you. The method we presented was FMR1 gene-specific PCR amplification and subsequent sizing by microfluidic Bioanalyzer. Since PCR products are not very specific, purification is needed to eliminate the excess incorporated dyes and to reduce the possibility of false positives. In addition, PCR product purification can also increase the performance of Bioanalyzer sizing.</w:t>
      </w:r>
    </w:p>
    <w:p w14:paraId="7A5560E4" w14:textId="77777777" w:rsidR="00876E5C" w:rsidRPr="000E4246" w:rsidRDefault="00876E5C" w:rsidP="00876E5C">
      <w:pPr>
        <w:pStyle w:val="ListParagraph"/>
        <w:ind w:firstLine="480"/>
        <w:rPr>
          <w:rFonts w:cs="Arial"/>
        </w:rPr>
      </w:pPr>
    </w:p>
    <w:p w14:paraId="3872F48E" w14:textId="77777777" w:rsidR="00876E5C" w:rsidRPr="000E4246" w:rsidRDefault="00876E5C" w:rsidP="00876E5C">
      <w:pPr>
        <w:pStyle w:val="ListParagraph"/>
        <w:numPr>
          <w:ilvl w:val="0"/>
          <w:numId w:val="1"/>
        </w:numPr>
        <w:ind w:firstLineChars="0"/>
        <w:rPr>
          <w:rFonts w:cs="Arial"/>
          <w:i/>
        </w:rPr>
      </w:pPr>
      <w:r w:rsidRPr="000E4246">
        <w:rPr>
          <w:rFonts w:cs="Arial"/>
          <w:i/>
        </w:rPr>
        <w:t xml:space="preserve">As the author propose this approach as robust and accurate, they really need to discuss the pro and cons compared to the methodologies that are currently available to date and used in many laboratories around the world. These included and are not limited to the usage of triple primer PCR, CGG repeat primed PCR, melting curve. Also see Hayward et al., 2017 and 2019. These methodologies, which appear to be very robust and </w:t>
      </w:r>
      <w:r w:rsidRPr="000E4246">
        <w:rPr>
          <w:rFonts w:cs="Arial"/>
          <w:i/>
        </w:rPr>
        <w:lastRenderedPageBreak/>
        <w:t xml:space="preserve">accurate as well, can also distinguish between a </w:t>
      </w:r>
      <w:proofErr w:type="gramStart"/>
      <w:r w:rsidRPr="000E4246">
        <w:rPr>
          <w:rFonts w:cs="Arial"/>
          <w:i/>
        </w:rPr>
        <w:t>homozygous females</w:t>
      </w:r>
      <w:proofErr w:type="gramEnd"/>
      <w:r w:rsidRPr="000E4246">
        <w:rPr>
          <w:rFonts w:cs="Arial"/>
          <w:i/>
        </w:rPr>
        <w:t xml:space="preserve"> and a full mutation female, one of the limitations of the presented approach.</w:t>
      </w:r>
    </w:p>
    <w:p w14:paraId="2D1CAA74" w14:textId="77777777" w:rsidR="00876E5C" w:rsidRPr="004C04ED" w:rsidRDefault="00876E5C" w:rsidP="00876E5C">
      <w:pPr>
        <w:pStyle w:val="ListParagraph"/>
        <w:ind w:firstLine="480"/>
        <w:rPr>
          <w:rFonts w:cs="Arial"/>
          <w:b/>
        </w:rPr>
      </w:pPr>
    </w:p>
    <w:p w14:paraId="3FC3E6D4" w14:textId="77777777" w:rsidR="00876E5C" w:rsidRPr="000E4246" w:rsidRDefault="00876E5C" w:rsidP="00876E5C">
      <w:pPr>
        <w:pStyle w:val="ListParagraph"/>
        <w:ind w:left="420" w:firstLineChars="0" w:firstLine="0"/>
        <w:rPr>
          <w:rFonts w:cs="Arial"/>
        </w:rPr>
      </w:pPr>
      <w:r w:rsidRPr="000E4246">
        <w:rPr>
          <w:rFonts w:cs="Arial"/>
          <w:b/>
        </w:rPr>
        <w:t>Response:</w:t>
      </w:r>
      <w:r w:rsidRPr="000E4246">
        <w:rPr>
          <w:rFonts w:cs="Arial"/>
        </w:rPr>
        <w:t xml:space="preserve"> Thank you for the comment. We have added this part of discussion in the revised manuscript. The review paper by Hayward et al in 2017 is very valuable for comprehensively understanding the methodologies used for diagnosis of FXS and related disorders. Furthermore, the recent publication by the same group reported the PCR assays in their lab </w:t>
      </w:r>
      <w:r w:rsidRPr="000E4246">
        <w:rPr>
          <w:rStyle w:val="fontstyle01"/>
          <w:rFonts w:cs="Calibri"/>
        </w:rPr>
        <w:t>to determine all the parameters necessary for a complete genetic workup or thorough laboratory study. More importantly, the authors described how to generate suitable standards for the accurate determination of both the repeat number and the AGG interruption status, which can be helpful for other laboratories.</w:t>
      </w:r>
      <w:r w:rsidRPr="000E4246">
        <w:rPr>
          <w:rFonts w:cs="Arial"/>
        </w:rPr>
        <w:t xml:space="preserve"> However, as stated in the review in 2017, neither method reported by Hayward</w:t>
      </w:r>
      <w:r>
        <w:rPr>
          <w:rFonts w:cs="Arial"/>
        </w:rPr>
        <w:t xml:space="preserve"> et al</w:t>
      </w:r>
      <w:r w:rsidRPr="000E4246">
        <w:rPr>
          <w:rFonts w:cs="Arial"/>
        </w:rPr>
        <w:t xml:space="preserve"> is capable of comprehensively determining all the genetic abnormalities of FMR1 including full spectrum of CGG repeat numbers, AGG disruptions and methylation status. </w:t>
      </w:r>
    </w:p>
    <w:p w14:paraId="597B1FD1" w14:textId="77777777" w:rsidR="00876E5C" w:rsidRPr="000E4246" w:rsidRDefault="00876E5C" w:rsidP="00876E5C">
      <w:pPr>
        <w:pStyle w:val="ListParagraph"/>
        <w:ind w:firstLineChars="0" w:firstLine="0"/>
        <w:rPr>
          <w:rFonts w:cs="Arial"/>
          <w:b/>
        </w:rPr>
      </w:pPr>
    </w:p>
    <w:p w14:paraId="638075BB" w14:textId="77777777" w:rsidR="00876E5C" w:rsidRPr="000E4246" w:rsidRDefault="00876E5C" w:rsidP="00876E5C">
      <w:pPr>
        <w:rPr>
          <w:rFonts w:ascii="Calibri" w:hAnsi="Calibri" w:cs="Arial"/>
        </w:rPr>
      </w:pPr>
      <w:r w:rsidRPr="000E4246">
        <w:rPr>
          <w:rFonts w:ascii="Calibri" w:hAnsi="Calibri" w:cs="Arial"/>
          <w:b/>
        </w:rPr>
        <w:t>Reviewer #2:</w:t>
      </w:r>
      <w:r w:rsidRPr="000E4246">
        <w:rPr>
          <w:rFonts w:ascii="Calibri" w:hAnsi="Calibri" w:cs="Arial"/>
          <w:b/>
        </w:rPr>
        <w:br/>
      </w:r>
      <w:r w:rsidRPr="000E4246">
        <w:rPr>
          <w:rFonts w:ascii="Calibri" w:hAnsi="Calibri" w:cs="Arial"/>
        </w:rPr>
        <w:t>Manuscript Summary:</w:t>
      </w:r>
      <w:r w:rsidRPr="000E4246">
        <w:rPr>
          <w:rFonts w:ascii="Calibri" w:hAnsi="Calibri" w:cs="Arial"/>
        </w:rPr>
        <w:br/>
        <w:t>The manuscript by Wang et al., addresses a need in the Fragile X research community to be able to accurately measure CGG repeats in the 5' untranslated region of the FMR-1 gene. The procedure includes PCR amplification of the CGG repeats in the FMR1 gene followed by capillary electrophoresis. The length of CGG repeats is calculated based on reference standards. The procedure is straightforward, using standard lab procedures and kits, and should be able to be carried out in most research labs. Thus, the method is valuable. The figures nicely show the ability to detect different size repeats.</w:t>
      </w:r>
      <w:r w:rsidRPr="000E4246">
        <w:rPr>
          <w:rFonts w:ascii="Calibri" w:hAnsi="Calibri" w:cs="Arial"/>
        </w:rPr>
        <w:br/>
      </w:r>
      <w:r w:rsidRPr="000E4246">
        <w:rPr>
          <w:rFonts w:ascii="Calibri" w:hAnsi="Calibri" w:cs="Arial"/>
        </w:rPr>
        <w:br/>
        <w:t>However, there are two concerns that limit applicability of these methods.</w:t>
      </w:r>
      <w:r w:rsidRPr="000E4246">
        <w:rPr>
          <w:rFonts w:ascii="Calibri" w:hAnsi="Calibri" w:cs="Arial"/>
        </w:rPr>
        <w:br/>
      </w:r>
      <w:r w:rsidRPr="000E4246">
        <w:rPr>
          <w:rFonts w:ascii="Calibri" w:hAnsi="Calibri" w:cs="Arial"/>
        </w:rPr>
        <w:br/>
      </w:r>
      <w:r w:rsidRPr="000E4246">
        <w:rPr>
          <w:rFonts w:ascii="Calibri" w:hAnsi="Calibri" w:cs="Arial"/>
          <w:b/>
        </w:rPr>
        <w:t>Major Concerns:</w:t>
      </w:r>
      <w:r w:rsidRPr="000E4246">
        <w:rPr>
          <w:rFonts w:ascii="Calibri" w:hAnsi="Calibri" w:cs="Arial"/>
          <w:b/>
        </w:rPr>
        <w:br/>
      </w:r>
    </w:p>
    <w:p w14:paraId="52317AD9" w14:textId="77777777" w:rsidR="00876E5C" w:rsidRPr="000E4246" w:rsidRDefault="00876E5C" w:rsidP="00876E5C">
      <w:pPr>
        <w:pStyle w:val="ListParagraph"/>
        <w:numPr>
          <w:ilvl w:val="0"/>
          <w:numId w:val="2"/>
        </w:numPr>
        <w:ind w:firstLineChars="0"/>
        <w:rPr>
          <w:rFonts w:cs="Arial"/>
          <w:i/>
        </w:rPr>
      </w:pPr>
      <w:r w:rsidRPr="000E4246">
        <w:rPr>
          <w:rFonts w:cs="Arial"/>
          <w:i/>
        </w:rPr>
        <w:t xml:space="preserve">The </w:t>
      </w:r>
      <w:proofErr w:type="spellStart"/>
      <w:r w:rsidRPr="000E4246">
        <w:rPr>
          <w:rFonts w:cs="Arial"/>
          <w:i/>
        </w:rPr>
        <w:t>FragilEase</w:t>
      </w:r>
      <w:proofErr w:type="spellEnd"/>
      <w:r w:rsidRPr="000E4246">
        <w:rPr>
          <w:rFonts w:cs="Arial"/>
          <w:i/>
        </w:rPr>
        <w:t xml:space="preserve"> Fragile X PCR kit is not available in the US or Canada. Thus, many readers will not be able to reproduce the methods. If the PCR primer sequences are provided, the method would be complete and enable others to carry it out.</w:t>
      </w:r>
    </w:p>
    <w:p w14:paraId="4F42B098" w14:textId="77777777" w:rsidR="00876E5C" w:rsidRPr="000E4246" w:rsidRDefault="00876E5C" w:rsidP="00876E5C">
      <w:pPr>
        <w:pStyle w:val="ListParagraph"/>
        <w:ind w:left="420" w:firstLineChars="0" w:firstLine="0"/>
        <w:rPr>
          <w:rFonts w:cs="Arial"/>
        </w:rPr>
      </w:pPr>
    </w:p>
    <w:p w14:paraId="4C7DA849" w14:textId="77777777" w:rsidR="00876E5C" w:rsidRPr="000E4246" w:rsidRDefault="00876E5C" w:rsidP="00876E5C">
      <w:pPr>
        <w:pStyle w:val="ListParagraph"/>
        <w:ind w:left="420" w:firstLineChars="0" w:firstLine="0"/>
        <w:rPr>
          <w:rFonts w:cs="Arial"/>
        </w:rPr>
      </w:pPr>
      <w:r w:rsidRPr="000E4246">
        <w:rPr>
          <w:rFonts w:cs="Arial"/>
          <w:b/>
        </w:rPr>
        <w:t>Response:</w:t>
      </w:r>
      <w:r w:rsidRPr="000E4246">
        <w:rPr>
          <w:rFonts w:cs="Arial"/>
        </w:rPr>
        <w:t xml:space="preserve"> Thank you for the comment. Yes, the </w:t>
      </w:r>
      <w:proofErr w:type="spellStart"/>
      <w:r w:rsidRPr="000E4246">
        <w:rPr>
          <w:rFonts w:cs="Arial"/>
        </w:rPr>
        <w:t>FragilEase</w:t>
      </w:r>
      <w:proofErr w:type="spellEnd"/>
      <w:r w:rsidRPr="000E4246">
        <w:rPr>
          <w:rFonts w:cs="Arial"/>
        </w:rPr>
        <w:t xml:space="preserve"> PCR kit is CE-IVD approved and currently not available in US or Canada. However, our group has published a validation study to verify the reproducibility of this </w:t>
      </w:r>
      <w:proofErr w:type="spellStart"/>
      <w:r w:rsidRPr="000E4246">
        <w:rPr>
          <w:rFonts w:cs="Arial"/>
        </w:rPr>
        <w:t>FragilEase</w:t>
      </w:r>
      <w:proofErr w:type="spellEnd"/>
      <w:r w:rsidRPr="000E4246">
        <w:rPr>
          <w:rFonts w:cs="Arial"/>
        </w:rPr>
        <w:t xml:space="preserve"> PCR kit in 2016 (see reference 29). As stated in that paper, sequences of the primers are from the literature</w:t>
      </w:r>
      <w:r w:rsidRPr="000E4246">
        <w:rPr>
          <w:rFonts w:cs="Arial" w:hint="eastAsia"/>
        </w:rPr>
        <w:t xml:space="preserve"> </w:t>
      </w:r>
      <w:r w:rsidRPr="000E4246">
        <w:rPr>
          <w:rFonts w:cs="Arial"/>
        </w:rPr>
        <w:t>(</w:t>
      </w:r>
      <w:proofErr w:type="spellStart"/>
      <w:r w:rsidRPr="000E4246">
        <w:rPr>
          <w:rFonts w:cs="Arial"/>
        </w:rPr>
        <w:t>Filipovic-Sadic</w:t>
      </w:r>
      <w:proofErr w:type="spellEnd"/>
      <w:r w:rsidRPr="000E4246">
        <w:rPr>
          <w:rFonts w:cs="Arial"/>
        </w:rPr>
        <w:t xml:space="preserve"> S, et al. 2009. </w:t>
      </w:r>
      <w:proofErr w:type="spellStart"/>
      <w:r w:rsidRPr="000E4246">
        <w:rPr>
          <w:rFonts w:cs="Arial"/>
        </w:rPr>
        <w:t>Clin</w:t>
      </w:r>
      <w:proofErr w:type="spellEnd"/>
      <w:r w:rsidRPr="000E4246">
        <w:rPr>
          <w:rFonts w:cs="Arial"/>
        </w:rPr>
        <w:t xml:space="preserve"> </w:t>
      </w:r>
      <w:proofErr w:type="spellStart"/>
      <w:r w:rsidRPr="000E4246">
        <w:rPr>
          <w:rFonts w:cs="Arial"/>
        </w:rPr>
        <w:t>Chem</w:t>
      </w:r>
      <w:proofErr w:type="spellEnd"/>
      <w:r w:rsidRPr="000E4246">
        <w:rPr>
          <w:rFonts w:cs="Arial"/>
        </w:rPr>
        <w:t>)</w:t>
      </w:r>
    </w:p>
    <w:p w14:paraId="0BADD609" w14:textId="77777777" w:rsidR="00876E5C" w:rsidRPr="000E4246" w:rsidRDefault="00876E5C" w:rsidP="00876E5C">
      <w:pPr>
        <w:pStyle w:val="ListParagraph"/>
        <w:ind w:left="420" w:firstLine="480"/>
        <w:rPr>
          <w:rFonts w:cs="Arial"/>
        </w:rPr>
      </w:pPr>
      <w:r w:rsidRPr="000E4246">
        <w:rPr>
          <w:rFonts w:cs="Arial"/>
        </w:rPr>
        <w:t>TCAGGCGCTCAGCTCCGTTTCGGTTTCA (forward)</w:t>
      </w:r>
    </w:p>
    <w:p w14:paraId="26F8BEC2" w14:textId="77777777" w:rsidR="00876E5C" w:rsidRPr="000E4246" w:rsidRDefault="00876E5C" w:rsidP="00876E5C">
      <w:pPr>
        <w:pStyle w:val="ListParagraph"/>
        <w:ind w:left="420" w:firstLine="480"/>
        <w:rPr>
          <w:rFonts w:cs="Arial"/>
        </w:rPr>
      </w:pPr>
      <w:r w:rsidRPr="000E4246">
        <w:rPr>
          <w:rFonts w:cs="Arial"/>
        </w:rPr>
        <w:t>FAM-AAGCGCCATTGGAGCCCCGCACTTCC (reverse)</w:t>
      </w:r>
    </w:p>
    <w:p w14:paraId="2FBAE7C1" w14:textId="77777777" w:rsidR="00876E5C" w:rsidRPr="000E4246" w:rsidRDefault="00876E5C" w:rsidP="00876E5C">
      <w:pPr>
        <w:pStyle w:val="ListParagraph"/>
        <w:ind w:left="420" w:firstLineChars="0" w:firstLine="0"/>
        <w:rPr>
          <w:rFonts w:cs="Arial"/>
        </w:rPr>
      </w:pPr>
      <w:r w:rsidRPr="000E4246">
        <w:rPr>
          <w:rFonts w:cs="Arial"/>
        </w:rPr>
        <w:t>In addition, RUO kit and software can be used in US/Canada after signing a RUO document provided by PerkinElmer. We hope our publication can share this method and enable others to carry it in countries that the kit is not available. Primer sequences were added</w:t>
      </w:r>
      <w:r>
        <w:rPr>
          <w:rFonts w:cs="Arial"/>
        </w:rPr>
        <w:t xml:space="preserve"> in the Table of Materials.</w:t>
      </w:r>
    </w:p>
    <w:p w14:paraId="30599155" w14:textId="77777777" w:rsidR="00876E5C" w:rsidRPr="000E4246" w:rsidRDefault="00876E5C" w:rsidP="00876E5C">
      <w:pPr>
        <w:pStyle w:val="ListParagraph"/>
        <w:ind w:left="420" w:firstLineChars="0" w:firstLine="0"/>
        <w:rPr>
          <w:rFonts w:cs="Arial"/>
        </w:rPr>
      </w:pPr>
    </w:p>
    <w:p w14:paraId="772948E3" w14:textId="77777777" w:rsidR="00876E5C" w:rsidRPr="000E4246" w:rsidRDefault="00876E5C" w:rsidP="00876E5C">
      <w:pPr>
        <w:pStyle w:val="ListParagraph"/>
        <w:numPr>
          <w:ilvl w:val="0"/>
          <w:numId w:val="2"/>
        </w:numPr>
        <w:ind w:firstLineChars="0"/>
        <w:rPr>
          <w:rFonts w:cs="Arial"/>
          <w:i/>
        </w:rPr>
      </w:pPr>
      <w:r w:rsidRPr="000E4246">
        <w:rPr>
          <w:rFonts w:cs="Arial"/>
          <w:i/>
        </w:rPr>
        <w:lastRenderedPageBreak/>
        <w:t>While a mosaic full mutation patient shows proof of principle in Figure 2, no non-mosaic Fragile X individual is shown to show generalization to most Fragile x patients.</w:t>
      </w:r>
    </w:p>
    <w:p w14:paraId="05DE1299" w14:textId="77777777" w:rsidR="00876E5C" w:rsidRPr="000E4246" w:rsidRDefault="00876E5C" w:rsidP="00876E5C">
      <w:pPr>
        <w:pStyle w:val="ListParagraph"/>
        <w:ind w:firstLine="480"/>
        <w:rPr>
          <w:rFonts w:cs="Arial"/>
        </w:rPr>
      </w:pPr>
    </w:p>
    <w:p w14:paraId="337C1AE0" w14:textId="77777777" w:rsidR="00876E5C" w:rsidRPr="000E4246" w:rsidRDefault="00876E5C" w:rsidP="00876E5C">
      <w:pPr>
        <w:pStyle w:val="ListParagraph"/>
        <w:ind w:left="420" w:firstLineChars="0" w:firstLine="0"/>
        <w:rPr>
          <w:rFonts w:cs="Arial"/>
          <w:b/>
        </w:rPr>
      </w:pPr>
      <w:r w:rsidRPr="000E4246">
        <w:rPr>
          <w:rFonts w:cs="Arial"/>
          <w:b/>
        </w:rPr>
        <w:t xml:space="preserve">Response: </w:t>
      </w:r>
      <w:r w:rsidRPr="000E4246">
        <w:rPr>
          <w:rFonts w:cs="Arial"/>
        </w:rPr>
        <w:t>Thank you for the comment. We have added a non-mosaic full mutation example in Figure 2 (panel D). Additionally, to make it consistent, we have modified the X-axis of part of panels by using “</w:t>
      </w:r>
      <w:proofErr w:type="spellStart"/>
      <w:r w:rsidRPr="000E4246">
        <w:rPr>
          <w:rFonts w:cs="Arial"/>
        </w:rPr>
        <w:t>bp</w:t>
      </w:r>
      <w:proofErr w:type="spellEnd"/>
      <w:r w:rsidRPr="000E4246">
        <w:rPr>
          <w:rFonts w:cs="Arial"/>
        </w:rPr>
        <w:t>” instead of “s”.</w:t>
      </w:r>
    </w:p>
    <w:p w14:paraId="3B1FCC0E" w14:textId="77777777" w:rsidR="00876E5C" w:rsidRPr="000E4246" w:rsidRDefault="00876E5C" w:rsidP="00876E5C">
      <w:pPr>
        <w:pStyle w:val="ListParagraph"/>
        <w:ind w:firstLine="480"/>
        <w:rPr>
          <w:rFonts w:cs="Arial"/>
          <w:b/>
        </w:rPr>
      </w:pPr>
    </w:p>
    <w:p w14:paraId="4DE41644" w14:textId="77777777" w:rsidR="00876E5C" w:rsidRPr="000E4246" w:rsidRDefault="00876E5C" w:rsidP="00876E5C">
      <w:pPr>
        <w:rPr>
          <w:rFonts w:ascii="Calibri" w:hAnsi="Calibri" w:cs="Arial"/>
        </w:rPr>
      </w:pPr>
      <w:r w:rsidRPr="000E4246">
        <w:rPr>
          <w:rFonts w:ascii="Calibri" w:hAnsi="Calibri" w:cs="Arial"/>
          <w:b/>
        </w:rPr>
        <w:t>Minor Concerns:</w:t>
      </w:r>
      <w:r w:rsidRPr="000E4246">
        <w:rPr>
          <w:rFonts w:ascii="Calibri" w:hAnsi="Calibri" w:cs="Arial"/>
          <w:b/>
        </w:rPr>
        <w:br/>
      </w:r>
    </w:p>
    <w:p w14:paraId="42371F19" w14:textId="77777777" w:rsidR="00876E5C" w:rsidRPr="000E4246" w:rsidRDefault="00876E5C" w:rsidP="00876E5C">
      <w:pPr>
        <w:pStyle w:val="ListParagraph"/>
        <w:numPr>
          <w:ilvl w:val="0"/>
          <w:numId w:val="3"/>
        </w:numPr>
        <w:ind w:firstLineChars="0"/>
        <w:rPr>
          <w:rFonts w:cs="Arial"/>
          <w:i/>
        </w:rPr>
      </w:pPr>
      <w:r w:rsidRPr="000E4246">
        <w:rPr>
          <w:rFonts w:cs="Arial"/>
          <w:i/>
        </w:rPr>
        <w:t xml:space="preserve">The publication by </w:t>
      </w:r>
      <w:proofErr w:type="spellStart"/>
      <w:r w:rsidRPr="000E4246">
        <w:rPr>
          <w:rFonts w:cs="Arial"/>
          <w:i/>
        </w:rPr>
        <w:t>Mailick</w:t>
      </w:r>
      <w:proofErr w:type="spellEnd"/>
      <w:r w:rsidRPr="000E4246">
        <w:rPr>
          <w:rFonts w:cs="Arial"/>
          <w:i/>
        </w:rPr>
        <w:t xml:space="preserve"> Seltzer et al (Am J Med Genet B </w:t>
      </w:r>
      <w:proofErr w:type="spellStart"/>
      <w:r w:rsidRPr="000E4246">
        <w:rPr>
          <w:rFonts w:cs="Arial"/>
          <w:i/>
        </w:rPr>
        <w:t>Neuropsych</w:t>
      </w:r>
      <w:proofErr w:type="spellEnd"/>
      <w:r w:rsidRPr="000E4246">
        <w:rPr>
          <w:rFonts w:cs="Arial"/>
          <w:i/>
        </w:rPr>
        <w:t xml:space="preserve"> Genet 2012) describes a similar protocol that is used to identify premutation repeats. The authors should discuss and reference this method.</w:t>
      </w:r>
    </w:p>
    <w:p w14:paraId="57B0C73D" w14:textId="77777777" w:rsidR="00876E5C" w:rsidRPr="000E4246" w:rsidRDefault="00876E5C" w:rsidP="00876E5C">
      <w:pPr>
        <w:pStyle w:val="ListParagraph"/>
        <w:ind w:left="420" w:firstLineChars="0" w:firstLine="0"/>
        <w:rPr>
          <w:rFonts w:cs="Arial"/>
        </w:rPr>
      </w:pPr>
    </w:p>
    <w:p w14:paraId="33D8621A" w14:textId="77777777" w:rsidR="00876E5C" w:rsidRPr="000E4246" w:rsidRDefault="00876E5C" w:rsidP="00876E5C">
      <w:pPr>
        <w:pStyle w:val="ListParagraph"/>
        <w:ind w:left="420" w:firstLineChars="0" w:firstLine="0"/>
        <w:rPr>
          <w:rFonts w:cs="Arial"/>
        </w:rPr>
      </w:pPr>
      <w:r w:rsidRPr="000E4246">
        <w:rPr>
          <w:rFonts w:cs="Arial"/>
          <w:b/>
        </w:rPr>
        <w:t>Response:</w:t>
      </w:r>
      <w:r w:rsidRPr="000E4246">
        <w:rPr>
          <w:rFonts w:cs="Arial"/>
        </w:rPr>
        <w:t xml:space="preserve"> Thanks for the suggestion. We have quoted this reference and discuss in the revised manuscript.  In the publication by </w:t>
      </w:r>
      <w:proofErr w:type="spellStart"/>
      <w:r w:rsidRPr="000E4246">
        <w:rPr>
          <w:rFonts w:cs="Arial"/>
        </w:rPr>
        <w:t>Mailick</w:t>
      </w:r>
      <w:proofErr w:type="spellEnd"/>
      <w:r w:rsidRPr="000E4246">
        <w:rPr>
          <w:rFonts w:cs="Arial"/>
        </w:rPr>
        <w:t xml:space="preserve"> Seltzer et al, t</w:t>
      </w:r>
      <w:r w:rsidRPr="000E4246">
        <w:rPr>
          <w:rFonts w:cs="Arial" w:hint="eastAsia"/>
        </w:rPr>
        <w:t>he number of FMR1 CGG repeats was determined using a PCR</w:t>
      </w:r>
      <w:r w:rsidRPr="000E4246">
        <w:rPr>
          <w:rFonts w:cs="Arial" w:hint="eastAsia"/>
        </w:rPr>
        <w:t>‐</w:t>
      </w:r>
      <w:r w:rsidRPr="000E4246">
        <w:rPr>
          <w:rFonts w:cs="Arial" w:hint="eastAsia"/>
        </w:rPr>
        <w:t xml:space="preserve">based protocol </w:t>
      </w:r>
      <w:r w:rsidRPr="000E4246">
        <w:rPr>
          <w:rFonts w:cs="Arial"/>
        </w:rPr>
        <w:t xml:space="preserve">similar to ours but </w:t>
      </w:r>
      <w:r w:rsidRPr="000E4246">
        <w:rPr>
          <w:rFonts w:cs="Arial" w:hint="eastAsia"/>
        </w:rPr>
        <w:t xml:space="preserve">manufactured by </w:t>
      </w:r>
      <w:r w:rsidRPr="000E4246">
        <w:rPr>
          <w:rFonts w:cs="Arial"/>
        </w:rPr>
        <w:t xml:space="preserve">another company. The CGG repeat number </w:t>
      </w:r>
      <w:r w:rsidRPr="000E4246">
        <w:rPr>
          <w:rFonts w:cs="Arial" w:hint="eastAsia"/>
        </w:rPr>
        <w:t>was</w:t>
      </w:r>
      <w:r w:rsidRPr="000E4246">
        <w:rPr>
          <w:rFonts w:cs="Arial"/>
        </w:rPr>
        <w:t xml:space="preserve"> assayed by ABI 3730xl instrument, ranging from 9 to 135, and no full mutation was identified. This could be due to the limitation that ABI capillary analyzer is not capable of detecting and sizing full mutation (&gt;200 repeats). We have compared the measurement accuracy between the Bioanalyzer and ABI 3130xl electrophoresis platform for </w:t>
      </w:r>
      <w:proofErr w:type="spellStart"/>
      <w:r w:rsidRPr="000E4246">
        <w:rPr>
          <w:rFonts w:cs="Arial"/>
        </w:rPr>
        <w:t>FragilEase</w:t>
      </w:r>
      <w:proofErr w:type="spellEnd"/>
      <w:r w:rsidRPr="000E4246">
        <w:rPr>
          <w:rFonts w:cs="Arial"/>
        </w:rPr>
        <w:t xml:space="preserve"> PCR kit amplification samples in previous study (see reference 29). Bioanalyzer can be confidently utilized to measure repeat sizes and detect the full spectrum of Fragile X repeat alleles.</w:t>
      </w:r>
    </w:p>
    <w:p w14:paraId="0F384B5A" w14:textId="77777777" w:rsidR="00876E5C" w:rsidRPr="000E4246" w:rsidRDefault="00876E5C" w:rsidP="00876E5C">
      <w:pPr>
        <w:pStyle w:val="ListParagraph"/>
        <w:ind w:left="420" w:firstLineChars="0" w:firstLine="0"/>
        <w:rPr>
          <w:rFonts w:cs="Arial"/>
        </w:rPr>
      </w:pPr>
    </w:p>
    <w:p w14:paraId="7DAF6F3E" w14:textId="77777777" w:rsidR="00876E5C" w:rsidRPr="000E4246" w:rsidRDefault="00876E5C" w:rsidP="00876E5C">
      <w:pPr>
        <w:pStyle w:val="ListParagraph"/>
        <w:numPr>
          <w:ilvl w:val="0"/>
          <w:numId w:val="3"/>
        </w:numPr>
        <w:ind w:firstLineChars="0"/>
        <w:rPr>
          <w:rFonts w:cs="Arial"/>
          <w:i/>
        </w:rPr>
      </w:pPr>
      <w:r w:rsidRPr="000E4246">
        <w:rPr>
          <w:rFonts w:cs="Arial"/>
          <w:i/>
        </w:rPr>
        <w:t>The authors should discuss the applicability of the method to identify AGGs dispersed in the CGG repeat.</w:t>
      </w:r>
    </w:p>
    <w:p w14:paraId="4E4B9C87" w14:textId="77777777" w:rsidR="00876E5C" w:rsidRPr="000E4246" w:rsidRDefault="00876E5C" w:rsidP="00876E5C">
      <w:pPr>
        <w:pStyle w:val="ListParagraph"/>
        <w:ind w:left="420" w:firstLineChars="0" w:firstLine="0"/>
        <w:rPr>
          <w:rFonts w:cs="Arial"/>
          <w:i/>
        </w:rPr>
      </w:pPr>
    </w:p>
    <w:p w14:paraId="45C0BC63" w14:textId="77777777" w:rsidR="00876E5C" w:rsidRPr="000E4246" w:rsidRDefault="00876E5C" w:rsidP="00876E5C">
      <w:pPr>
        <w:pStyle w:val="ListParagraph"/>
        <w:ind w:left="420" w:firstLineChars="0" w:firstLine="0"/>
        <w:rPr>
          <w:rFonts w:cs="Arial"/>
          <w:i/>
        </w:rPr>
      </w:pPr>
      <w:r w:rsidRPr="000E4246">
        <w:rPr>
          <w:rFonts w:cs="Arial"/>
          <w:b/>
        </w:rPr>
        <w:t xml:space="preserve">Response: </w:t>
      </w:r>
      <w:r w:rsidRPr="000E4246">
        <w:rPr>
          <w:rFonts w:cs="Arial"/>
        </w:rPr>
        <w:t xml:space="preserve">Thank you. The method we presented was FMR1 gene-specific PCR technology, it enables accurate amplification of the entire CGG repeat in the </w:t>
      </w:r>
      <w:r w:rsidRPr="000E4246">
        <w:rPr>
          <w:rFonts w:cs="Arial"/>
          <w:i/>
        </w:rPr>
        <w:t xml:space="preserve">FMR1 </w:t>
      </w:r>
      <w:r w:rsidRPr="000E4246">
        <w:rPr>
          <w:rFonts w:cs="Arial"/>
        </w:rPr>
        <w:t xml:space="preserve">gene promoter region. However, AGG interruptions cannot be identified by the presented method unless FMR1 gene sequencing after </w:t>
      </w:r>
      <w:r w:rsidRPr="000E4246">
        <w:rPr>
          <w:rFonts w:cs="Arial" w:hint="eastAsia"/>
        </w:rPr>
        <w:t>PCR</w:t>
      </w:r>
      <w:r w:rsidRPr="000E4246">
        <w:rPr>
          <w:rFonts w:cs="Arial"/>
        </w:rPr>
        <w:t xml:space="preserve"> amplification is performed. We have added this discussion in the manuscript.</w:t>
      </w:r>
    </w:p>
    <w:p w14:paraId="0E07F789" w14:textId="77777777" w:rsidR="00876E5C" w:rsidRPr="000E4246" w:rsidRDefault="00876E5C" w:rsidP="00876E5C">
      <w:pPr>
        <w:pStyle w:val="ListParagraph"/>
        <w:ind w:firstLine="480"/>
        <w:rPr>
          <w:rFonts w:cs="Arial"/>
        </w:rPr>
      </w:pPr>
    </w:p>
    <w:p w14:paraId="62B006E1" w14:textId="77777777" w:rsidR="00876E5C" w:rsidRPr="000E4246" w:rsidRDefault="00876E5C" w:rsidP="00876E5C">
      <w:pPr>
        <w:pStyle w:val="ListParagraph"/>
        <w:numPr>
          <w:ilvl w:val="0"/>
          <w:numId w:val="3"/>
        </w:numPr>
        <w:ind w:firstLineChars="0"/>
        <w:rPr>
          <w:rFonts w:cs="Arial"/>
          <w:i/>
        </w:rPr>
      </w:pPr>
      <w:r w:rsidRPr="000E4246">
        <w:rPr>
          <w:rFonts w:cs="Arial"/>
          <w:i/>
        </w:rPr>
        <w:t>The standard curve presented in Figure 1C assumes that the rest of the line is linear (above 200 repeats). However, since this is the area of interest of the method, some kind of reference in this range would be useful.</w:t>
      </w:r>
    </w:p>
    <w:p w14:paraId="1604C3DA" w14:textId="77777777" w:rsidR="00876E5C" w:rsidRPr="000E4246" w:rsidRDefault="00876E5C" w:rsidP="00876E5C">
      <w:pPr>
        <w:pStyle w:val="ListParagraph"/>
        <w:ind w:left="420" w:firstLineChars="0" w:firstLine="0"/>
        <w:rPr>
          <w:rFonts w:cs="Arial"/>
        </w:rPr>
      </w:pPr>
    </w:p>
    <w:p w14:paraId="4FDA3B11" w14:textId="77777777" w:rsidR="00876E5C" w:rsidRPr="008E5CF7" w:rsidRDefault="00876E5C" w:rsidP="00876E5C">
      <w:pPr>
        <w:pStyle w:val="ListParagraph"/>
        <w:ind w:left="420" w:firstLineChars="0" w:firstLine="0"/>
        <w:rPr>
          <w:rFonts w:cs="Arial" w:hint="eastAsia"/>
          <w:b/>
        </w:rPr>
      </w:pPr>
      <w:r w:rsidRPr="000E4246">
        <w:rPr>
          <w:rFonts w:cs="Arial"/>
          <w:b/>
        </w:rPr>
        <w:t xml:space="preserve">Response: </w:t>
      </w:r>
      <w:r w:rsidRPr="000E4246">
        <w:rPr>
          <w:rFonts w:cs="Arial"/>
        </w:rPr>
        <w:t xml:space="preserve">Thank you. It is true that reference in the range above 200 repeats would be useful for accurately sizing the CGG repeats. However, the standard curve in Figure 1C was established following the manufacture’s instruction. Although there is no reference in the range above 200 repeats, the validation study we published in 2016 (reference 29) has indicated the accuracy of referring the repeat sizes with more than 200 repeats by using the same kind of standard curve. In that paper, we included three full mutation reference samples that had only been sized previously by Southern blot and 25 clinical full mutation samples that have been detected by ABI I capillary electrophoresis system and evaluated by Southern blot. The CGG repeats of all the reference samples with only reference characterizations of 200 or &gt;200 repeats were sized with an exact repeat size </w:t>
      </w:r>
      <w:r w:rsidRPr="000E4246">
        <w:rPr>
          <w:rFonts w:cs="Arial"/>
        </w:rPr>
        <w:lastRenderedPageBreak/>
        <w:t>(200, 344 and 341 repeats, respectively), and fragment peak size of all clinical samples were precisely measured ranging from 242 to 1380 repeats. Thus, the current standard curve is reliable for calculating the repeat size even larger than 200.</w:t>
      </w:r>
    </w:p>
    <w:p w14:paraId="12DB58E4" w14:textId="77777777" w:rsidR="00265DDE" w:rsidRPr="00876E5C" w:rsidRDefault="00265DDE">
      <w:pPr>
        <w:rPr>
          <w:lang w:val="en-US"/>
        </w:rPr>
      </w:pPr>
      <w:bookmarkStart w:id="0" w:name="_GoBack"/>
      <w:bookmarkEnd w:id="0"/>
    </w:p>
    <w:sectPr w:rsidR="00265DDE" w:rsidRPr="00876E5C" w:rsidSect="00C868C7">
      <w:headerReference w:type="default" r:id="rId5"/>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ArialMT">
    <w:altName w:val="Arial"/>
    <w:panose1 w:val="020B0604020202020204"/>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18CFD9" w14:textId="77777777" w:rsidR="00F05A57" w:rsidRDefault="00876E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1B29A6"/>
    <w:multiLevelType w:val="hybridMultilevel"/>
    <w:tmpl w:val="1B12C3EA"/>
    <w:lvl w:ilvl="0" w:tplc="ED8EEBF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57DB3B01"/>
    <w:multiLevelType w:val="hybridMultilevel"/>
    <w:tmpl w:val="9628E206"/>
    <w:lvl w:ilvl="0" w:tplc="ED8EEBF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7EF429C2"/>
    <w:multiLevelType w:val="hybridMultilevel"/>
    <w:tmpl w:val="7AB85C26"/>
    <w:lvl w:ilvl="0" w:tplc="ED8EEBF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7FEA0D93"/>
    <w:multiLevelType w:val="hybridMultilevel"/>
    <w:tmpl w:val="DA767F38"/>
    <w:lvl w:ilvl="0" w:tplc="ED8EEBF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E5C"/>
    <w:rsid w:val="0004471C"/>
    <w:rsid w:val="00051B62"/>
    <w:rsid w:val="000533EE"/>
    <w:rsid w:val="00085C63"/>
    <w:rsid w:val="00086159"/>
    <w:rsid w:val="000A3113"/>
    <w:rsid w:val="000A572E"/>
    <w:rsid w:val="000B1CED"/>
    <w:rsid w:val="000C4306"/>
    <w:rsid w:val="000D502E"/>
    <w:rsid w:val="00110A05"/>
    <w:rsid w:val="001429FF"/>
    <w:rsid w:val="001664F6"/>
    <w:rsid w:val="001978DC"/>
    <w:rsid w:val="001A1F6C"/>
    <w:rsid w:val="001A475E"/>
    <w:rsid w:val="001A6283"/>
    <w:rsid w:val="001B1E14"/>
    <w:rsid w:val="001C3AAC"/>
    <w:rsid w:val="001C5089"/>
    <w:rsid w:val="001C7D45"/>
    <w:rsid w:val="001D2960"/>
    <w:rsid w:val="001D657D"/>
    <w:rsid w:val="001F18DE"/>
    <w:rsid w:val="001F3495"/>
    <w:rsid w:val="001F3931"/>
    <w:rsid w:val="00214B5A"/>
    <w:rsid w:val="00241FB0"/>
    <w:rsid w:val="00244390"/>
    <w:rsid w:val="00265DDE"/>
    <w:rsid w:val="00296969"/>
    <w:rsid w:val="002D3798"/>
    <w:rsid w:val="002E36D7"/>
    <w:rsid w:val="002E5B95"/>
    <w:rsid w:val="002F51F7"/>
    <w:rsid w:val="00311549"/>
    <w:rsid w:val="00325C59"/>
    <w:rsid w:val="00350214"/>
    <w:rsid w:val="003569B0"/>
    <w:rsid w:val="00384999"/>
    <w:rsid w:val="003C48E6"/>
    <w:rsid w:val="003E371A"/>
    <w:rsid w:val="003F5166"/>
    <w:rsid w:val="003F53C0"/>
    <w:rsid w:val="004000D9"/>
    <w:rsid w:val="00404970"/>
    <w:rsid w:val="00410C10"/>
    <w:rsid w:val="0041764F"/>
    <w:rsid w:val="004219A7"/>
    <w:rsid w:val="0042485E"/>
    <w:rsid w:val="004677E8"/>
    <w:rsid w:val="00481607"/>
    <w:rsid w:val="004833F6"/>
    <w:rsid w:val="00484A4C"/>
    <w:rsid w:val="00490492"/>
    <w:rsid w:val="004909B6"/>
    <w:rsid w:val="004937A9"/>
    <w:rsid w:val="004978CD"/>
    <w:rsid w:val="004B143B"/>
    <w:rsid w:val="004C6573"/>
    <w:rsid w:val="004D6B4D"/>
    <w:rsid w:val="004E2AB5"/>
    <w:rsid w:val="004E7EDE"/>
    <w:rsid w:val="004F3CCC"/>
    <w:rsid w:val="004F4778"/>
    <w:rsid w:val="005217A7"/>
    <w:rsid w:val="00536D4C"/>
    <w:rsid w:val="0055699C"/>
    <w:rsid w:val="00564883"/>
    <w:rsid w:val="0057005D"/>
    <w:rsid w:val="005A03B5"/>
    <w:rsid w:val="005A3E53"/>
    <w:rsid w:val="005A78A4"/>
    <w:rsid w:val="005B154F"/>
    <w:rsid w:val="005C3C29"/>
    <w:rsid w:val="005C54FA"/>
    <w:rsid w:val="00603234"/>
    <w:rsid w:val="006212FD"/>
    <w:rsid w:val="0062518E"/>
    <w:rsid w:val="00634EC6"/>
    <w:rsid w:val="006450E6"/>
    <w:rsid w:val="00647B98"/>
    <w:rsid w:val="006C27BF"/>
    <w:rsid w:val="006C27FE"/>
    <w:rsid w:val="006C3AAB"/>
    <w:rsid w:val="006C52EF"/>
    <w:rsid w:val="006E0615"/>
    <w:rsid w:val="006E60E8"/>
    <w:rsid w:val="006E7EE4"/>
    <w:rsid w:val="006F7587"/>
    <w:rsid w:val="007051DF"/>
    <w:rsid w:val="007062D0"/>
    <w:rsid w:val="007316AD"/>
    <w:rsid w:val="0074477D"/>
    <w:rsid w:val="007823AB"/>
    <w:rsid w:val="007849B4"/>
    <w:rsid w:val="007927B9"/>
    <w:rsid w:val="007A0F05"/>
    <w:rsid w:val="007B66C5"/>
    <w:rsid w:val="007D49B6"/>
    <w:rsid w:val="007F0925"/>
    <w:rsid w:val="008330BD"/>
    <w:rsid w:val="00866C29"/>
    <w:rsid w:val="00876E5C"/>
    <w:rsid w:val="00884A6E"/>
    <w:rsid w:val="00896925"/>
    <w:rsid w:val="008A2C39"/>
    <w:rsid w:val="008C7101"/>
    <w:rsid w:val="008C7376"/>
    <w:rsid w:val="008D7761"/>
    <w:rsid w:val="008F12D8"/>
    <w:rsid w:val="008F1E55"/>
    <w:rsid w:val="008F5676"/>
    <w:rsid w:val="009051D7"/>
    <w:rsid w:val="00912511"/>
    <w:rsid w:val="009167FD"/>
    <w:rsid w:val="00916CD1"/>
    <w:rsid w:val="0092035F"/>
    <w:rsid w:val="00934AD1"/>
    <w:rsid w:val="009604EC"/>
    <w:rsid w:val="0096401F"/>
    <w:rsid w:val="00966776"/>
    <w:rsid w:val="00984BDD"/>
    <w:rsid w:val="009961D6"/>
    <w:rsid w:val="009A437A"/>
    <w:rsid w:val="009B34D9"/>
    <w:rsid w:val="009B4759"/>
    <w:rsid w:val="009B6B7E"/>
    <w:rsid w:val="009C4C3A"/>
    <w:rsid w:val="009F2C4D"/>
    <w:rsid w:val="00A073BF"/>
    <w:rsid w:val="00A30EF2"/>
    <w:rsid w:val="00A32742"/>
    <w:rsid w:val="00A36362"/>
    <w:rsid w:val="00A53A81"/>
    <w:rsid w:val="00AA4F6B"/>
    <w:rsid w:val="00AB0B16"/>
    <w:rsid w:val="00AB549D"/>
    <w:rsid w:val="00AD2FAD"/>
    <w:rsid w:val="00B11B11"/>
    <w:rsid w:val="00B13245"/>
    <w:rsid w:val="00B14094"/>
    <w:rsid w:val="00B340E6"/>
    <w:rsid w:val="00B3682F"/>
    <w:rsid w:val="00B40468"/>
    <w:rsid w:val="00B447D9"/>
    <w:rsid w:val="00B44ED2"/>
    <w:rsid w:val="00B516E8"/>
    <w:rsid w:val="00B82F95"/>
    <w:rsid w:val="00B86812"/>
    <w:rsid w:val="00B954C5"/>
    <w:rsid w:val="00BC63C8"/>
    <w:rsid w:val="00BD7335"/>
    <w:rsid w:val="00BE766F"/>
    <w:rsid w:val="00BF41E3"/>
    <w:rsid w:val="00C21267"/>
    <w:rsid w:val="00C2355A"/>
    <w:rsid w:val="00C23E06"/>
    <w:rsid w:val="00C3282E"/>
    <w:rsid w:val="00C411F5"/>
    <w:rsid w:val="00C520E1"/>
    <w:rsid w:val="00C65A13"/>
    <w:rsid w:val="00C96342"/>
    <w:rsid w:val="00CE27AF"/>
    <w:rsid w:val="00D15BA2"/>
    <w:rsid w:val="00D23E31"/>
    <w:rsid w:val="00D24320"/>
    <w:rsid w:val="00D2448A"/>
    <w:rsid w:val="00D32898"/>
    <w:rsid w:val="00D47B6E"/>
    <w:rsid w:val="00D56DF1"/>
    <w:rsid w:val="00D62B44"/>
    <w:rsid w:val="00D860DD"/>
    <w:rsid w:val="00D93369"/>
    <w:rsid w:val="00DA14BC"/>
    <w:rsid w:val="00DB3E62"/>
    <w:rsid w:val="00DC4C7A"/>
    <w:rsid w:val="00DD3FB9"/>
    <w:rsid w:val="00DE13B2"/>
    <w:rsid w:val="00DF215D"/>
    <w:rsid w:val="00DF2FD4"/>
    <w:rsid w:val="00E03E51"/>
    <w:rsid w:val="00E108A1"/>
    <w:rsid w:val="00E149AF"/>
    <w:rsid w:val="00E22EF6"/>
    <w:rsid w:val="00E33A0D"/>
    <w:rsid w:val="00E51D31"/>
    <w:rsid w:val="00E80FC1"/>
    <w:rsid w:val="00E81724"/>
    <w:rsid w:val="00E919B9"/>
    <w:rsid w:val="00E94368"/>
    <w:rsid w:val="00EA1A63"/>
    <w:rsid w:val="00EB5175"/>
    <w:rsid w:val="00EB78F2"/>
    <w:rsid w:val="00EC5328"/>
    <w:rsid w:val="00ED760F"/>
    <w:rsid w:val="00EE1A14"/>
    <w:rsid w:val="00EE448A"/>
    <w:rsid w:val="00EE633C"/>
    <w:rsid w:val="00EE66BE"/>
    <w:rsid w:val="00EF06DF"/>
    <w:rsid w:val="00F046AA"/>
    <w:rsid w:val="00F06C9C"/>
    <w:rsid w:val="00F27B40"/>
    <w:rsid w:val="00F41F25"/>
    <w:rsid w:val="00F53296"/>
    <w:rsid w:val="00F73CA3"/>
    <w:rsid w:val="00F7609A"/>
    <w:rsid w:val="00F76509"/>
    <w:rsid w:val="00F77C7E"/>
    <w:rsid w:val="00F86161"/>
    <w:rsid w:val="00F90EB1"/>
    <w:rsid w:val="00F95C8C"/>
    <w:rsid w:val="00F95DE0"/>
    <w:rsid w:val="00FB5676"/>
    <w:rsid w:val="00FE6D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C307D"/>
  <w15:chartTrackingRefBased/>
  <w15:docId w15:val="{60D0063C-3201-7A49-A965-21C7AE5DB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6E5C"/>
    <w:rPr>
      <w:rFonts w:ascii="Times New Roman" w:eastAsia="SimSun" w:hAnsi="Times New Roman"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6E5C"/>
    <w:pPr>
      <w:tabs>
        <w:tab w:val="center" w:pos="4680"/>
        <w:tab w:val="right" w:pos="9360"/>
      </w:tabs>
    </w:pPr>
  </w:style>
  <w:style w:type="character" w:customStyle="1" w:styleId="HeaderChar">
    <w:name w:val="Header Char"/>
    <w:basedOn w:val="DefaultParagraphFont"/>
    <w:link w:val="Header"/>
    <w:uiPriority w:val="99"/>
    <w:rsid w:val="00876E5C"/>
    <w:rPr>
      <w:rFonts w:ascii="Times New Roman" w:eastAsia="SimSun" w:hAnsi="Times New Roman" w:cs="Times New Roman"/>
      <w:lang w:val="en-GB"/>
    </w:rPr>
  </w:style>
  <w:style w:type="character" w:customStyle="1" w:styleId="fontstyle01">
    <w:name w:val="fontstyle01"/>
    <w:rsid w:val="00876E5C"/>
    <w:rPr>
      <w:rFonts w:ascii="ArialMT" w:hAnsi="ArialMT" w:hint="default"/>
      <w:b w:val="0"/>
      <w:bCs w:val="0"/>
      <w:i w:val="0"/>
      <w:iCs w:val="0"/>
      <w:color w:val="000000"/>
      <w:sz w:val="24"/>
      <w:szCs w:val="24"/>
    </w:rPr>
  </w:style>
  <w:style w:type="paragraph" w:styleId="ListParagraph">
    <w:name w:val="List Paragraph"/>
    <w:basedOn w:val="Normal"/>
    <w:uiPriority w:val="34"/>
    <w:qFormat/>
    <w:rsid w:val="00876E5C"/>
    <w:pPr>
      <w:ind w:firstLineChars="200" w:firstLine="420"/>
    </w:pPr>
    <w:rPr>
      <w:rFonts w:ascii="Calibri" w:eastAsia="DengXian" w:hAnsi="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SimHei"/>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SimSun"/>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1416</Words>
  <Characters>8074</Characters>
  <Application>Microsoft Office Word</Application>
  <DocSecurity>0</DocSecurity>
  <Lines>67</Lines>
  <Paragraphs>18</Paragraphs>
  <ScaleCrop>false</ScaleCrop>
  <Company/>
  <LinksUpToDate>false</LinksUpToDate>
  <CharactersWithSpaces>9472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ZHU, Xiaofan</dc:creator>
  <cp:keywords/>
  <dc:description/>
  <cp:lastModifiedBy>ZHU, Xiaofan</cp:lastModifiedBy>
  <cp:revision>1</cp:revision>
  <dcterms:created xsi:type="dcterms:W3CDTF">2019-05-09T12:42:00Z</dcterms:created>
  <dcterms:modified xsi:type="dcterms:W3CDTF">2019-05-09T12:51:00Z</dcterms:modified>
</cp:coreProperties>
</file>