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7482D" w14:textId="72B946CD" w:rsidR="002778EB" w:rsidRPr="0096505F" w:rsidRDefault="002778EB" w:rsidP="00431D80">
      <w:pPr>
        <w:pStyle w:val="ListParagraph"/>
        <w:widowControl/>
        <w:numPr>
          <w:ilvl w:val="1"/>
          <w:numId w:val="27"/>
        </w:numPr>
        <w:autoSpaceDE/>
        <w:autoSpaceDN/>
        <w:adjustRightInd/>
        <w:ind w:left="0" w:firstLine="0"/>
        <w:rPr>
          <w:rFonts w:cstheme="minorHAnsi"/>
          <w:highlight w:val="yellow"/>
        </w:rPr>
      </w:pPr>
      <w:r w:rsidRPr="00611871">
        <w:rPr>
          <w:rFonts w:cstheme="minorHAnsi"/>
          <w:highlight w:val="yellow"/>
        </w:rPr>
        <w:t>Isolate fishes within the study reach to create a closed fish assemblage.</w:t>
      </w:r>
    </w:p>
    <w:p w14:paraId="0F450468" w14:textId="13FAC2DB" w:rsidR="002778EB"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Identify the upstream and downstream (direction is relative to a surveyor facing ‘upstream’ and </w:t>
      </w:r>
      <w:r w:rsidRPr="00611871">
        <w:rPr>
          <w:rFonts w:cstheme="minorHAnsi"/>
          <w:b/>
          <w:highlight w:val="yellow"/>
        </w:rPr>
        <w:t>against</w:t>
      </w:r>
      <w:r w:rsidRPr="00611871">
        <w:rPr>
          <w:rFonts w:cstheme="minorHAnsi"/>
          <w:highlight w:val="yellow"/>
        </w:rPr>
        <w:t xml:space="preserve"> the water current) ends of the study reach then mark the ends with removable flagging tape.</w:t>
      </w:r>
    </w:p>
    <w:p w14:paraId="14B35A83" w14:textId="4E0FDB38" w:rsidR="002778EB"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Measure the width of the wetted stream channel at 5—10 transects, distributed evenly along the length of the study reach. Estimate the total surface area of the study reach as the average wetted channel width multiplied by the total length of the reach.</w:t>
      </w:r>
    </w:p>
    <w:p w14:paraId="7B154B63" w14:textId="621C70CB" w:rsidR="002778EB" w:rsidRPr="00611871" w:rsidRDefault="002778EB" w:rsidP="00431D80">
      <w:pPr>
        <w:rPr>
          <w:rFonts w:cstheme="minorHAnsi"/>
          <w:highlight w:val="yellow"/>
        </w:rPr>
      </w:pPr>
      <w:r w:rsidRPr="00611871">
        <w:rPr>
          <w:rFonts w:cstheme="minorHAnsi"/>
          <w:highlight w:val="yellow"/>
        </w:rPr>
        <w:t>1.1.3</w:t>
      </w:r>
      <w:r w:rsidRPr="00611871">
        <w:rPr>
          <w:rFonts w:cstheme="minorHAnsi"/>
          <w:highlight w:val="yellow"/>
        </w:rPr>
        <w:tab/>
        <w:t xml:space="preserve">Secure block nets (i.e., knotless seines with floats on the top line and weights on the bottom line) across the stream channel at the upstream and downstream ends of the study reach. </w:t>
      </w:r>
    </w:p>
    <w:p w14:paraId="63E328C8" w14:textId="590D2FF5" w:rsidR="002778EB" w:rsidRPr="00611871" w:rsidRDefault="002778EB" w:rsidP="00431D80">
      <w:pPr>
        <w:rPr>
          <w:rFonts w:cstheme="minorHAnsi"/>
          <w:highlight w:val="yellow"/>
        </w:rPr>
      </w:pPr>
      <w:r w:rsidRPr="00611871">
        <w:rPr>
          <w:rFonts w:cstheme="minorHAnsi"/>
          <w:highlight w:val="yellow"/>
        </w:rPr>
        <w:t>1.1.3.1</w:t>
      </w:r>
      <w:r w:rsidRPr="00611871">
        <w:rPr>
          <w:rFonts w:cstheme="minorHAnsi"/>
          <w:highlight w:val="yellow"/>
        </w:rPr>
        <w:tab/>
        <w:t>At the UPSTREAM end of the study reach, locate a tree, root, large rock, or other solid object that can be used to anchor a net on each side of the stream. The availability of suitable anchor points on each side of the stream will likely affect the position of the upstream boundary.</w:t>
      </w:r>
    </w:p>
    <w:p w14:paraId="44F5B00B" w14:textId="485EA7E5" w:rsidR="002778EB" w:rsidRPr="0096505F" w:rsidRDefault="002778EB" w:rsidP="00431D80">
      <w:pPr>
        <w:rPr>
          <w:rFonts w:cstheme="minorHAnsi"/>
          <w:highlight w:val="yellow"/>
        </w:rPr>
      </w:pPr>
      <w:r w:rsidRPr="00611871">
        <w:rPr>
          <w:rFonts w:cstheme="minorHAnsi"/>
          <w:highlight w:val="yellow"/>
        </w:rPr>
        <w:t>1.1.3.2</w:t>
      </w:r>
      <w:r w:rsidRPr="00611871">
        <w:rPr>
          <w:rFonts w:cstheme="minorHAnsi"/>
          <w:highlight w:val="yellow"/>
        </w:rPr>
        <w:tab/>
        <w:t xml:space="preserve">Select one piece of polypropylene rope and create a loop at each end using a bowline knot. Use ONLY a bowline knot, as other knots may become permanently sealed when exposed to moisture and high tension. For instructions on tying a bowline knot, see </w:t>
      </w:r>
      <w:r w:rsidRPr="00611871">
        <w:rPr>
          <w:rFonts w:cstheme="minorHAnsi"/>
          <w:b/>
          <w:color w:val="auto"/>
          <w:highlight w:val="yellow"/>
        </w:rPr>
        <w:t>Figure 1</w:t>
      </w:r>
      <w:r w:rsidRPr="00611871">
        <w:rPr>
          <w:rFonts w:cstheme="minorHAnsi"/>
          <w:highlight w:val="yellow"/>
        </w:rPr>
        <w:t>.</w:t>
      </w:r>
    </w:p>
    <w:p w14:paraId="6FD722C1" w14:textId="288D74B7" w:rsidR="002778EB" w:rsidRPr="00611871" w:rsidRDefault="002778EB" w:rsidP="00431D80">
      <w:pPr>
        <w:rPr>
          <w:rFonts w:cstheme="minorHAnsi"/>
          <w:color w:val="auto"/>
          <w:highlight w:val="yellow"/>
        </w:rPr>
      </w:pPr>
      <w:r w:rsidRPr="00611871">
        <w:rPr>
          <w:rFonts w:cstheme="minorHAnsi"/>
          <w:color w:val="auto"/>
          <w:highlight w:val="yellow"/>
        </w:rPr>
        <w:t>1.1.3.3</w:t>
      </w:r>
      <w:r w:rsidRPr="00611871">
        <w:rPr>
          <w:rFonts w:cstheme="minorHAnsi"/>
          <w:color w:val="auto"/>
          <w:highlight w:val="yellow"/>
        </w:rPr>
        <w:tab/>
        <w:t>Wrap the rope around the tree/root/rock and feed the loop at one end through the loop at the other end to create an anchor point (</w:t>
      </w:r>
      <w:r w:rsidRPr="00611871">
        <w:rPr>
          <w:rFonts w:cstheme="minorHAnsi"/>
          <w:b/>
          <w:color w:val="auto"/>
          <w:highlight w:val="yellow"/>
        </w:rPr>
        <w:t>Figure 2</w:t>
      </w:r>
      <w:r w:rsidRPr="00611871">
        <w:rPr>
          <w:rFonts w:cstheme="minorHAnsi"/>
          <w:color w:val="auto"/>
          <w:highlight w:val="yellow"/>
        </w:rPr>
        <w:t>). Shorten or lengthen the rope anchor by adding or removing wraps around the tree/root/rock.</w:t>
      </w:r>
    </w:p>
    <w:p w14:paraId="7F19C9CA" w14:textId="6B4F81AB" w:rsidR="002778EB" w:rsidRPr="0096505F" w:rsidRDefault="002778EB" w:rsidP="00431D80">
      <w:pPr>
        <w:rPr>
          <w:rFonts w:cstheme="minorHAnsi"/>
          <w:color w:val="auto"/>
          <w:highlight w:val="yellow"/>
        </w:rPr>
      </w:pPr>
      <w:r w:rsidRPr="00611871">
        <w:rPr>
          <w:rFonts w:cstheme="minorHAnsi"/>
          <w:color w:val="auto"/>
          <w:highlight w:val="yellow"/>
        </w:rPr>
        <w:t>1.1.3.4</w:t>
      </w:r>
      <w:r w:rsidRPr="00611871">
        <w:rPr>
          <w:rFonts w:cstheme="minorHAnsi"/>
          <w:color w:val="auto"/>
          <w:highlight w:val="yellow"/>
        </w:rPr>
        <w:tab/>
        <w:t>Repeat steps 1.1.3.1—1.1.3.3 to establish a second anchor point on the opposite side of the stream.</w:t>
      </w:r>
    </w:p>
    <w:p w14:paraId="2F86E7CB" w14:textId="4E300F1E" w:rsidR="002778EB" w:rsidRPr="00611871" w:rsidRDefault="002778EB" w:rsidP="00431D80">
      <w:pPr>
        <w:rPr>
          <w:rFonts w:cstheme="minorHAnsi"/>
          <w:highlight w:val="yellow"/>
        </w:rPr>
      </w:pPr>
      <w:r w:rsidRPr="00611871">
        <w:rPr>
          <w:rFonts w:cstheme="minorHAnsi"/>
          <w:highlight w:val="yellow"/>
        </w:rPr>
        <w:t>1.1.3.5</w:t>
      </w:r>
      <w:r w:rsidRPr="00611871">
        <w:rPr>
          <w:rFonts w:cstheme="minorHAnsi"/>
          <w:highlight w:val="yellow"/>
        </w:rPr>
        <w:tab/>
        <w:t>Create a loop in the lines at each of the four corners of the block net using a bowline knot. Use ONLY a bowline knot (</w:t>
      </w:r>
      <w:r w:rsidRPr="00611871">
        <w:rPr>
          <w:rFonts w:cstheme="minorHAnsi"/>
          <w:b/>
          <w:color w:val="auto"/>
          <w:highlight w:val="yellow"/>
        </w:rPr>
        <w:t>Figure 1</w:t>
      </w:r>
      <w:r w:rsidRPr="00611871">
        <w:rPr>
          <w:rFonts w:cstheme="minorHAnsi"/>
          <w:highlight w:val="yellow"/>
        </w:rPr>
        <w:t>).</w:t>
      </w:r>
    </w:p>
    <w:p w14:paraId="25C3FC5E" w14:textId="03E98A99" w:rsidR="002778EB" w:rsidRPr="00611871" w:rsidRDefault="002778EB" w:rsidP="00431D80">
      <w:pPr>
        <w:rPr>
          <w:rFonts w:cstheme="minorHAnsi"/>
          <w:highlight w:val="yellow"/>
        </w:rPr>
      </w:pPr>
      <w:r w:rsidRPr="00611871">
        <w:rPr>
          <w:rFonts w:cstheme="minorHAnsi"/>
          <w:highlight w:val="yellow"/>
        </w:rPr>
        <w:t>1.1.3.6</w:t>
      </w:r>
      <w:r w:rsidRPr="00611871">
        <w:rPr>
          <w:rFonts w:cstheme="minorHAnsi"/>
          <w:highlight w:val="yellow"/>
        </w:rPr>
        <w:tab/>
        <w:t>Connect both sides of the TOP line of the block net (the line with floats) to the anchor points using cam-action tie-down straps. Insert the hooks at either end of the tie-down strap into the loops at the corners of the block net and the anchor points (</w:t>
      </w:r>
      <w:r w:rsidRPr="00611871">
        <w:rPr>
          <w:rFonts w:cstheme="minorHAnsi"/>
          <w:b/>
          <w:color w:val="auto"/>
          <w:highlight w:val="yellow"/>
        </w:rPr>
        <w:t>Figure 2</w:t>
      </w:r>
      <w:r w:rsidRPr="00611871">
        <w:rPr>
          <w:rFonts w:cstheme="minorHAnsi"/>
          <w:highlight w:val="yellow"/>
        </w:rPr>
        <w:t>). Pull the free tether of the tie-down strap through the cam buckle to tighten each point of contact.</w:t>
      </w:r>
    </w:p>
    <w:p w14:paraId="4DDE5C0A" w14:textId="46ACA462" w:rsidR="002778EB" w:rsidRPr="00611871" w:rsidRDefault="002778EB" w:rsidP="00431D80">
      <w:pPr>
        <w:rPr>
          <w:rFonts w:cstheme="minorHAnsi"/>
          <w:highlight w:val="yellow"/>
        </w:rPr>
      </w:pPr>
      <w:r w:rsidRPr="00611871">
        <w:rPr>
          <w:rFonts w:cstheme="minorHAnsi"/>
          <w:highlight w:val="yellow"/>
        </w:rPr>
        <w:t>1.1.3.7</w:t>
      </w:r>
      <w:r w:rsidRPr="00611871">
        <w:rPr>
          <w:rFonts w:cstheme="minorHAnsi"/>
          <w:highlight w:val="yellow"/>
        </w:rPr>
        <w:tab/>
        <w:t>Secure the BOTTOM line of the block net (the line with weights) by pinning them to the stream bank with tent stakes.</w:t>
      </w:r>
    </w:p>
    <w:p w14:paraId="04DF042C" w14:textId="4A0AE3DE" w:rsidR="002778EB" w:rsidRPr="00611871" w:rsidRDefault="002778EB" w:rsidP="00431D80">
      <w:pPr>
        <w:rPr>
          <w:rFonts w:cstheme="minorHAnsi"/>
          <w:highlight w:val="yellow"/>
        </w:rPr>
      </w:pPr>
      <w:r w:rsidRPr="00611871">
        <w:rPr>
          <w:rFonts w:cstheme="minorHAnsi"/>
          <w:highlight w:val="yellow"/>
        </w:rPr>
        <w:t>1.1.3.8</w:t>
      </w:r>
      <w:r w:rsidRPr="00611871">
        <w:rPr>
          <w:rFonts w:cstheme="minorHAnsi"/>
          <w:highlight w:val="yellow"/>
        </w:rPr>
        <w:tab/>
        <w:t>Establish a seal with the bottom of the stream using large rocks to pin the block net down. Place rocks on the side of the net facing UPSTREAM. Be sure that the top of the net remains above water level (</w:t>
      </w:r>
      <w:r w:rsidRPr="00611871">
        <w:rPr>
          <w:rFonts w:cstheme="minorHAnsi"/>
          <w:b/>
          <w:highlight w:val="yellow"/>
        </w:rPr>
        <w:t>Figure 2</w:t>
      </w:r>
      <w:r w:rsidRPr="00611871">
        <w:rPr>
          <w:rFonts w:cstheme="minorHAnsi"/>
          <w:highlight w:val="yellow"/>
        </w:rPr>
        <w:t>). Adjust the height(s) of the anchor point(s) as needed.</w:t>
      </w:r>
    </w:p>
    <w:p w14:paraId="437641DC" w14:textId="76CAC349" w:rsidR="002778EB" w:rsidRPr="00611871" w:rsidRDefault="002778EB" w:rsidP="00431D80">
      <w:pPr>
        <w:rPr>
          <w:rFonts w:cstheme="minorHAnsi"/>
          <w:highlight w:val="yellow"/>
        </w:rPr>
      </w:pPr>
      <w:r w:rsidRPr="00611871">
        <w:rPr>
          <w:rFonts w:cstheme="minorHAnsi"/>
          <w:highlight w:val="yellow"/>
        </w:rPr>
        <w:t>1.1.3.9</w:t>
      </w:r>
      <w:r w:rsidRPr="00611871">
        <w:rPr>
          <w:rFonts w:cstheme="minorHAnsi"/>
          <w:highlight w:val="yellow"/>
        </w:rPr>
        <w:tab/>
        <w:t>Set a second block net by repeating steps 1.1.3.1—1.1.3.8 at the DOWNSTREAM end of the study reach.</w:t>
      </w:r>
    </w:p>
    <w:p w14:paraId="7E0971B8" w14:textId="10EEB5E6" w:rsidR="002778EB" w:rsidRPr="0096505F" w:rsidRDefault="002778EB" w:rsidP="00431D80">
      <w:pPr>
        <w:pStyle w:val="ListParagraph"/>
        <w:widowControl/>
        <w:numPr>
          <w:ilvl w:val="1"/>
          <w:numId w:val="27"/>
        </w:numPr>
        <w:autoSpaceDE/>
        <w:autoSpaceDN/>
        <w:adjustRightInd/>
        <w:ind w:left="0" w:firstLine="0"/>
        <w:rPr>
          <w:rFonts w:cstheme="minorHAnsi"/>
          <w:color w:val="auto"/>
          <w:highlight w:val="yellow"/>
        </w:rPr>
      </w:pPr>
      <w:r w:rsidRPr="00611871">
        <w:rPr>
          <w:rFonts w:cstheme="minorHAnsi"/>
          <w:color w:val="auto"/>
          <w:highlight w:val="yellow"/>
        </w:rPr>
        <w:t xml:space="preserve">Perform the first of three fish sampling depletion passes within the enclosed study reach. </w:t>
      </w:r>
      <w:r w:rsidRPr="00611871">
        <w:rPr>
          <w:rFonts w:cstheme="minorHAnsi"/>
          <w:highlight w:val="yellow"/>
        </w:rPr>
        <w:t xml:space="preserve">Our protocol assumes that a backpack </w:t>
      </w:r>
      <w:proofErr w:type="spellStart"/>
      <w:r w:rsidRPr="00611871">
        <w:rPr>
          <w:rFonts w:cstheme="minorHAnsi"/>
          <w:highlight w:val="yellow"/>
        </w:rPr>
        <w:t>electrofisher</w:t>
      </w:r>
      <w:proofErr w:type="spellEnd"/>
      <w:r w:rsidRPr="00611871">
        <w:rPr>
          <w:rFonts w:cstheme="minorHAnsi"/>
          <w:highlight w:val="yellow"/>
        </w:rPr>
        <w:t xml:space="preserve"> is available and all surveying crew personnel are properly </w:t>
      </w:r>
      <w:r w:rsidRPr="00611871">
        <w:rPr>
          <w:rFonts w:cstheme="minorHAnsi"/>
          <w:color w:val="auto"/>
          <w:highlight w:val="yellow"/>
        </w:rPr>
        <w:t>trained to use it.</w:t>
      </w:r>
      <w:bookmarkStart w:id="0" w:name="_GoBack"/>
      <w:bookmarkEnd w:id="0"/>
    </w:p>
    <w:p w14:paraId="39893426" w14:textId="3487526A" w:rsidR="002778EB"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Beginning at the DOWNSTREAM end of the enclosed study reach, turn the backpack </w:t>
      </w:r>
      <w:proofErr w:type="spellStart"/>
      <w:r w:rsidRPr="00611871">
        <w:rPr>
          <w:rFonts w:cstheme="minorHAnsi"/>
          <w:highlight w:val="yellow"/>
        </w:rPr>
        <w:t>electrofisher</w:t>
      </w:r>
      <w:proofErr w:type="spellEnd"/>
      <w:r w:rsidRPr="00611871">
        <w:rPr>
          <w:rFonts w:cstheme="minorHAnsi"/>
          <w:highlight w:val="yellow"/>
        </w:rPr>
        <w:t xml:space="preserve"> on and move in the upstream direction. Progress slowly, moving side-to-side throughout the study reach to ensure all instream habitats are sampled. The first depletion pass is complete when the upstream net is reached.</w:t>
      </w:r>
    </w:p>
    <w:p w14:paraId="6952B191" w14:textId="177B93E6" w:rsidR="00117607"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Supporting crew members follow the leader (</w:t>
      </w:r>
      <w:r w:rsidR="00AE024A">
        <w:rPr>
          <w:rFonts w:cstheme="minorHAnsi"/>
          <w:highlight w:val="yellow"/>
        </w:rPr>
        <w:t xml:space="preserve">who is </w:t>
      </w:r>
      <w:r w:rsidRPr="00611871">
        <w:rPr>
          <w:rFonts w:cstheme="minorHAnsi"/>
          <w:highlight w:val="yellow"/>
        </w:rPr>
        <w:t xml:space="preserve">operating the </w:t>
      </w:r>
      <w:proofErr w:type="spellStart"/>
      <w:r w:rsidRPr="00611871">
        <w:rPr>
          <w:rFonts w:cstheme="minorHAnsi"/>
          <w:highlight w:val="yellow"/>
        </w:rPr>
        <w:t>electrofisher</w:t>
      </w:r>
      <w:proofErr w:type="spellEnd"/>
      <w:r w:rsidRPr="00611871">
        <w:rPr>
          <w:rFonts w:cstheme="minorHAnsi"/>
          <w:highlight w:val="yellow"/>
        </w:rPr>
        <w:t xml:space="preserve">), collecting stunned fishes with dip nets as they </w:t>
      </w:r>
      <w:r w:rsidR="00DC1C01">
        <w:rPr>
          <w:rFonts w:cstheme="minorHAnsi"/>
          <w:highlight w:val="yellow"/>
        </w:rPr>
        <w:t>are spotted</w:t>
      </w:r>
      <w:r w:rsidR="00DC1C01" w:rsidRPr="00611871">
        <w:rPr>
          <w:rFonts w:cstheme="minorHAnsi"/>
          <w:highlight w:val="yellow"/>
        </w:rPr>
        <w:t xml:space="preserve"> </w:t>
      </w:r>
      <w:r w:rsidRPr="00611871">
        <w:rPr>
          <w:rFonts w:cstheme="minorHAnsi"/>
          <w:highlight w:val="yellow"/>
        </w:rPr>
        <w:t xml:space="preserve">and transferring them to temporary buckets, then to aerated holding tubs. </w:t>
      </w:r>
      <w:r w:rsidR="00117607">
        <w:rPr>
          <w:rFonts w:cstheme="minorHAnsi"/>
          <w:highlight w:val="yellow"/>
        </w:rPr>
        <w:t>Use s</w:t>
      </w:r>
      <w:r w:rsidRPr="00611871">
        <w:rPr>
          <w:rFonts w:cstheme="minorHAnsi"/>
          <w:highlight w:val="yellow"/>
        </w:rPr>
        <w:t xml:space="preserve">mall battery powered ‘bait bucket’ pumps with aeration stones </w:t>
      </w:r>
      <w:r w:rsidR="00117607">
        <w:rPr>
          <w:rFonts w:cstheme="minorHAnsi"/>
          <w:highlight w:val="yellow"/>
        </w:rPr>
        <w:t>to</w:t>
      </w:r>
      <w:r w:rsidR="00117607" w:rsidRPr="00611871">
        <w:rPr>
          <w:rFonts w:cstheme="minorHAnsi"/>
          <w:highlight w:val="yellow"/>
        </w:rPr>
        <w:t xml:space="preserve"> </w:t>
      </w:r>
      <w:r w:rsidRPr="00611871">
        <w:rPr>
          <w:rFonts w:cstheme="minorHAnsi"/>
          <w:highlight w:val="yellow"/>
        </w:rPr>
        <w:t>ensure that captured fishes remain healthy.</w:t>
      </w:r>
    </w:p>
    <w:p w14:paraId="1F7E3F1D" w14:textId="3F2FEBA4" w:rsidR="002778EB" w:rsidRPr="0096505F" w:rsidRDefault="002778EB" w:rsidP="00431D80">
      <w:pPr>
        <w:pStyle w:val="ListParagraph"/>
        <w:widowControl/>
        <w:numPr>
          <w:ilvl w:val="1"/>
          <w:numId w:val="27"/>
        </w:numPr>
        <w:autoSpaceDE/>
        <w:autoSpaceDN/>
        <w:adjustRightInd/>
        <w:ind w:left="0" w:firstLine="0"/>
        <w:rPr>
          <w:rFonts w:cstheme="minorHAnsi"/>
          <w:highlight w:val="yellow"/>
        </w:rPr>
      </w:pPr>
      <w:r w:rsidRPr="00611871">
        <w:rPr>
          <w:rFonts w:cstheme="minorHAnsi"/>
          <w:highlight w:val="yellow"/>
        </w:rPr>
        <w:lastRenderedPageBreak/>
        <w:t>Process fishes collected in the first depletion pass.</w:t>
      </w:r>
    </w:p>
    <w:p w14:paraId="1866DB0E" w14:textId="01A4E45A" w:rsidR="00431D80"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Determine whether anesthesia will be needed. Live fishes are often difficult to </w:t>
      </w:r>
      <w:proofErr w:type="gramStart"/>
      <w:r w:rsidRPr="00611871">
        <w:rPr>
          <w:rFonts w:cstheme="minorHAnsi"/>
          <w:highlight w:val="yellow"/>
        </w:rPr>
        <w:t>handle</w:t>
      </w:r>
      <w:proofErr w:type="gramEnd"/>
      <w:r w:rsidRPr="00611871">
        <w:rPr>
          <w:rFonts w:cstheme="minorHAnsi"/>
          <w:highlight w:val="yellow"/>
        </w:rPr>
        <w:t xml:space="preserve"> and sedation may be necessary to minimize stress and injury to fish specimens. If anesthesia is used, </w:t>
      </w:r>
      <w:r w:rsidR="00657149">
        <w:rPr>
          <w:rFonts w:cstheme="minorHAnsi"/>
          <w:highlight w:val="yellow"/>
        </w:rPr>
        <w:t>two</w:t>
      </w:r>
      <w:r w:rsidR="00657149" w:rsidRPr="00611871">
        <w:rPr>
          <w:rFonts w:cstheme="minorHAnsi"/>
          <w:highlight w:val="yellow"/>
        </w:rPr>
        <w:t xml:space="preserve"> </w:t>
      </w:r>
      <w:r w:rsidRPr="00611871">
        <w:rPr>
          <w:rFonts w:cstheme="minorHAnsi"/>
          <w:highlight w:val="yellow"/>
        </w:rPr>
        <w:t xml:space="preserve">options are </w:t>
      </w:r>
      <w:r w:rsidR="00F1685A">
        <w:rPr>
          <w:rFonts w:cstheme="minorHAnsi"/>
          <w:highlight w:val="yellow"/>
        </w:rPr>
        <w:t>widely</w:t>
      </w:r>
      <w:r w:rsidR="00F1685A" w:rsidRPr="00611871">
        <w:rPr>
          <w:rFonts w:cstheme="minorHAnsi"/>
          <w:highlight w:val="yellow"/>
        </w:rPr>
        <w:t xml:space="preserve"> </w:t>
      </w:r>
      <w:r w:rsidRPr="00611871">
        <w:rPr>
          <w:rFonts w:cstheme="minorHAnsi"/>
          <w:highlight w:val="yellow"/>
        </w:rPr>
        <w:t xml:space="preserve">(as of February 2019) available: Tricaine-S (tricaine </w:t>
      </w:r>
      <w:proofErr w:type="spellStart"/>
      <w:r w:rsidRPr="00611871">
        <w:rPr>
          <w:rFonts w:cstheme="minorHAnsi"/>
          <w:highlight w:val="yellow"/>
        </w:rPr>
        <w:t>methanesulfonate</w:t>
      </w:r>
      <w:proofErr w:type="spellEnd"/>
      <w:r w:rsidRPr="00611871">
        <w:rPr>
          <w:rFonts w:cstheme="minorHAnsi"/>
          <w:highlight w:val="yellow"/>
        </w:rPr>
        <w:t>, MS-222)</w:t>
      </w:r>
      <w:r w:rsidR="00657149">
        <w:rPr>
          <w:rFonts w:cstheme="minorHAnsi"/>
          <w:highlight w:val="yellow"/>
        </w:rPr>
        <w:t xml:space="preserve"> and</w:t>
      </w:r>
      <w:r w:rsidRPr="00611871">
        <w:rPr>
          <w:rFonts w:cstheme="minorHAnsi"/>
          <w:highlight w:val="yellow"/>
        </w:rPr>
        <w:t xml:space="preserve"> </w:t>
      </w:r>
      <w:r w:rsidRPr="00611871">
        <w:rPr>
          <w:highlight w:val="yellow"/>
        </w:rPr>
        <w:t>carbon dioxide (baking soda).</w:t>
      </w:r>
    </w:p>
    <w:p w14:paraId="1B12053E" w14:textId="5A2D1F3C" w:rsidR="002778EB" w:rsidRPr="0096505F" w:rsidRDefault="002778EB" w:rsidP="00431D80">
      <w:pPr>
        <w:pStyle w:val="ListParagraph"/>
        <w:widowControl/>
        <w:numPr>
          <w:ilvl w:val="3"/>
          <w:numId w:val="27"/>
        </w:numPr>
        <w:autoSpaceDE/>
        <w:autoSpaceDN/>
        <w:adjustRightInd/>
        <w:ind w:left="0" w:firstLine="0"/>
        <w:rPr>
          <w:rFonts w:cstheme="minorHAnsi"/>
          <w:highlight w:val="yellow"/>
        </w:rPr>
      </w:pPr>
      <w:r w:rsidRPr="00611871">
        <w:rPr>
          <w:rFonts w:cstheme="minorHAnsi"/>
          <w:highlight w:val="yellow"/>
        </w:rPr>
        <w:t xml:space="preserve">When using sedatives, carefully follow all instructions provided with the anesthetic product. In all cases, the anesthetic compound will be mixed in an aerated water bath. Collected fishes will then be submerged in the </w:t>
      </w:r>
      <w:r w:rsidR="00BA41C7">
        <w:rPr>
          <w:rFonts w:cstheme="minorHAnsi"/>
          <w:highlight w:val="yellow"/>
        </w:rPr>
        <w:t>bath</w:t>
      </w:r>
      <w:r w:rsidRPr="00611871">
        <w:rPr>
          <w:rFonts w:cstheme="minorHAnsi"/>
          <w:highlight w:val="yellow"/>
        </w:rPr>
        <w:t xml:space="preserve"> until sedation is observed. Once sedated, fishes must be processed as quickly as possible, as prolonged exposure to sedatives may cause death.</w:t>
      </w:r>
    </w:p>
    <w:p w14:paraId="021607D6" w14:textId="04EF19A3" w:rsidR="002778EB"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Use small dip nets to retrieve sampled fishes from the holding tank</w:t>
      </w:r>
      <w:r w:rsidR="008545B0">
        <w:rPr>
          <w:rFonts w:cstheme="minorHAnsi"/>
          <w:highlight w:val="yellow"/>
        </w:rPr>
        <w:t xml:space="preserve"> (with or without sedation)</w:t>
      </w:r>
      <w:r w:rsidRPr="00611871">
        <w:rPr>
          <w:rFonts w:cstheme="minorHAnsi"/>
          <w:highlight w:val="yellow"/>
        </w:rPr>
        <w:t>, individually or in small batches, for identification. Place specimens in white plastic or enamel trays and use forceps and magnifying glasses for examination. Use local or regional identification keys (e.g., “The Fishes of Ohio”)</w:t>
      </w:r>
      <w:r w:rsidRPr="00611871">
        <w:rPr>
          <w:rFonts w:cstheme="minorHAnsi"/>
          <w:noProof/>
          <w:highlight w:val="yellow"/>
          <w:vertAlign w:val="superscript"/>
        </w:rPr>
        <w:t>2</w:t>
      </w:r>
      <w:r w:rsidR="00962AC1">
        <w:rPr>
          <w:rFonts w:cstheme="minorHAnsi"/>
          <w:noProof/>
          <w:highlight w:val="yellow"/>
          <w:vertAlign w:val="superscript"/>
        </w:rPr>
        <w:t>1</w:t>
      </w:r>
      <w:r w:rsidRPr="00611871">
        <w:rPr>
          <w:rFonts w:cstheme="minorHAnsi"/>
          <w:highlight w:val="yellow"/>
        </w:rPr>
        <w:t xml:space="preserve"> to aid in identification.</w:t>
      </w:r>
    </w:p>
    <w:p w14:paraId="736C9D7B" w14:textId="45901EA6" w:rsidR="00743705"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Measure total length (from </w:t>
      </w:r>
      <w:r w:rsidRPr="00611871">
        <w:rPr>
          <w:highlight w:val="yellow"/>
        </w:rPr>
        <w:t>tip of snout to end of caudal fin) for each specimen then weigh on a field balance. If using an electronic balance, select one with 0.1 or 0.01 g precision. Keep a transparent plastic box on hand to use, as necessary, as a wind and rain baffle (it must be large enough to cover the balance and specimens being weighed).</w:t>
      </w:r>
    </w:p>
    <w:p w14:paraId="3F3E23D2" w14:textId="5807D8BB" w:rsidR="002778EB"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highlight w:val="yellow"/>
        </w:rPr>
        <w:t xml:space="preserve">Record all information (species identity, total length, and weight) on waterproof data sheets. A printable example of a fish data sheet is provided in </w:t>
      </w:r>
      <w:r w:rsidRPr="00611871">
        <w:rPr>
          <w:b/>
          <w:color w:val="auto"/>
          <w:highlight w:val="yellow"/>
        </w:rPr>
        <w:t>Appendix 1</w:t>
      </w:r>
      <w:r w:rsidRPr="00611871">
        <w:rPr>
          <w:highlight w:val="yellow"/>
        </w:rPr>
        <w:t>.</w:t>
      </w:r>
    </w:p>
    <w:p w14:paraId="31995870" w14:textId="59DEBEFB" w:rsidR="002778EB" w:rsidRPr="0096505F" w:rsidRDefault="002778EB" w:rsidP="00431D80">
      <w:pPr>
        <w:pStyle w:val="ListParagraph"/>
        <w:widowControl/>
        <w:numPr>
          <w:ilvl w:val="2"/>
          <w:numId w:val="27"/>
        </w:numPr>
        <w:autoSpaceDE/>
        <w:autoSpaceDN/>
        <w:adjustRightInd/>
        <w:ind w:left="0" w:firstLine="0"/>
        <w:rPr>
          <w:rFonts w:cstheme="minorHAnsi"/>
          <w:highlight w:val="yellow"/>
        </w:rPr>
      </w:pPr>
      <w:r w:rsidRPr="00611871">
        <w:rPr>
          <w:rFonts w:cstheme="minorHAnsi"/>
          <w:highlight w:val="yellow"/>
        </w:rPr>
        <w:t xml:space="preserve">Once processed, return fishes to a separate aerated holding/recovery bin. When all fishes have been processed, release them </w:t>
      </w:r>
      <w:r w:rsidRPr="00611871">
        <w:rPr>
          <w:rFonts w:cstheme="minorHAnsi"/>
          <w:b/>
          <w:highlight w:val="yellow"/>
        </w:rPr>
        <w:t>downstream</w:t>
      </w:r>
      <w:r w:rsidRPr="00611871">
        <w:rPr>
          <w:rFonts w:cstheme="minorHAnsi"/>
          <w:highlight w:val="yellow"/>
        </w:rPr>
        <w:t xml:space="preserve"> of the downstream block net. (If you accidentally release them into your enclosed study reach, you will ruin your sample!) If anesthesia was used, wait to release until all fishes have recovered and regained equilibrium.</w:t>
      </w:r>
    </w:p>
    <w:p w14:paraId="7E552D90" w14:textId="28A86BC4" w:rsidR="00F81CAF" w:rsidRPr="0096505F" w:rsidRDefault="002778EB" w:rsidP="00431D80">
      <w:pPr>
        <w:pStyle w:val="ListParagraph"/>
        <w:widowControl/>
        <w:numPr>
          <w:ilvl w:val="1"/>
          <w:numId w:val="27"/>
        </w:numPr>
        <w:autoSpaceDE/>
        <w:autoSpaceDN/>
        <w:adjustRightInd/>
        <w:ind w:left="0" w:firstLine="0"/>
        <w:rPr>
          <w:rFonts w:cstheme="minorHAnsi"/>
          <w:highlight w:val="yellow"/>
        </w:rPr>
      </w:pPr>
      <w:r w:rsidRPr="00611871">
        <w:rPr>
          <w:rFonts w:cstheme="minorHAnsi"/>
          <w:highlight w:val="yellow"/>
        </w:rPr>
        <w:t>Perform the second and third depletion passes.</w:t>
      </w:r>
    </w:p>
    <w:p w14:paraId="07F8D1EC" w14:textId="73C2FEE3" w:rsidR="00C36FE2" w:rsidRPr="0096505F" w:rsidRDefault="00F81CAF" w:rsidP="00431D80">
      <w:pPr>
        <w:pStyle w:val="ListParagraph"/>
        <w:widowControl/>
        <w:numPr>
          <w:ilvl w:val="2"/>
          <w:numId w:val="27"/>
        </w:numPr>
        <w:autoSpaceDE/>
        <w:autoSpaceDN/>
        <w:adjustRightInd/>
        <w:ind w:left="0" w:firstLine="0"/>
        <w:rPr>
          <w:rFonts w:cstheme="minorHAnsi"/>
          <w:highlight w:val="yellow"/>
        </w:rPr>
      </w:pPr>
      <w:r>
        <w:rPr>
          <w:rFonts w:cstheme="minorHAnsi"/>
          <w:highlight w:val="yellow"/>
        </w:rPr>
        <w:t>C</w:t>
      </w:r>
      <w:r w:rsidR="002778EB" w:rsidRPr="00611871">
        <w:rPr>
          <w:rFonts w:cstheme="minorHAnsi"/>
          <w:highlight w:val="yellow"/>
        </w:rPr>
        <w:t xml:space="preserve">ollect the </w:t>
      </w:r>
      <w:r>
        <w:rPr>
          <w:rFonts w:cstheme="minorHAnsi"/>
          <w:highlight w:val="yellow"/>
        </w:rPr>
        <w:t>remaining</w:t>
      </w:r>
      <w:r w:rsidR="002778EB" w:rsidRPr="00611871">
        <w:rPr>
          <w:rFonts w:cstheme="minorHAnsi"/>
          <w:highlight w:val="yellow"/>
        </w:rPr>
        <w:t xml:space="preserve"> depletion pass samples by repeating steps 1.2–1.3. </w:t>
      </w:r>
      <w:r>
        <w:rPr>
          <w:rFonts w:cstheme="minorHAnsi"/>
          <w:highlight w:val="yellow"/>
        </w:rPr>
        <w:t>E</w:t>
      </w:r>
      <w:r w:rsidR="002778EB" w:rsidRPr="00611871">
        <w:rPr>
          <w:rFonts w:cstheme="minorHAnsi"/>
          <w:highlight w:val="yellow"/>
        </w:rPr>
        <w:t>nsure that SAMPLING EFFORT REMAINS CONSISTENT among all three passes. Use the same pace of movement (timing the process is recommended) and same crew members to resurvey the sampling reach.</w:t>
      </w:r>
    </w:p>
    <w:p w14:paraId="59A706CA" w14:textId="295694C6" w:rsidR="002778EB" w:rsidRPr="00611871" w:rsidRDefault="002778EB" w:rsidP="00431D80">
      <w:pPr>
        <w:rPr>
          <w:rFonts w:cstheme="minorHAnsi"/>
          <w:color w:val="auto"/>
          <w:highlight w:val="yellow"/>
        </w:rPr>
      </w:pPr>
      <w:r w:rsidRPr="00611871">
        <w:rPr>
          <w:rFonts w:cstheme="minorHAnsi"/>
          <w:highlight w:val="yellow"/>
        </w:rPr>
        <w:t>2.1</w:t>
      </w:r>
      <w:r w:rsidRPr="00611871">
        <w:rPr>
          <w:rFonts w:cstheme="minorHAnsi"/>
          <w:highlight w:val="yellow"/>
        </w:rPr>
        <w:tab/>
      </w:r>
      <w:r w:rsidRPr="00611871">
        <w:rPr>
          <w:rFonts w:cstheme="minorHAnsi"/>
          <w:color w:val="auto"/>
          <w:highlight w:val="yellow"/>
        </w:rPr>
        <w:t xml:space="preserve">Select benthic macroinvertebrate sample sites within the boundaries of the fish sampling reach that are representative of the major types of physical habitats (e.g., riffles or runs) observed in the study reach. </w:t>
      </w:r>
    </w:p>
    <w:p w14:paraId="0452F4CD" w14:textId="6DF717F3" w:rsidR="005F4611" w:rsidRDefault="002778EB" w:rsidP="00431D80">
      <w:pPr>
        <w:rPr>
          <w:rFonts w:cstheme="minorHAnsi"/>
          <w:highlight w:val="yellow"/>
        </w:rPr>
      </w:pPr>
      <w:r w:rsidRPr="00611871">
        <w:rPr>
          <w:rFonts w:cstheme="minorHAnsi"/>
          <w:highlight w:val="yellow"/>
        </w:rPr>
        <w:t>2.2</w:t>
      </w:r>
      <w:r w:rsidRPr="00611871">
        <w:rPr>
          <w:rFonts w:cstheme="minorHAnsi"/>
          <w:highlight w:val="yellow"/>
        </w:rPr>
        <w:tab/>
        <w:t>Using a fixed-area sampler, collect the first benthic macroinvertebrate sample.</w:t>
      </w:r>
      <w:r w:rsidR="00335FDB">
        <w:rPr>
          <w:rFonts w:cstheme="minorHAnsi"/>
          <w:highlight w:val="yellow"/>
        </w:rPr>
        <w:t xml:space="preserve"> </w:t>
      </w:r>
      <w:r w:rsidR="00335FDB" w:rsidRPr="008B5413">
        <w:rPr>
          <w:rFonts w:cstheme="minorHAnsi"/>
          <w:highlight w:val="yellow"/>
        </w:rPr>
        <w:t>In shallow streams with extensive gravel-to-pebble size material, the Surber sampler and Hess sampler are the most commonly used devices but any fixed-area sampler can be used.</w:t>
      </w:r>
      <w:r w:rsidR="00335FDB">
        <w:rPr>
          <w:rFonts w:cstheme="minorHAnsi"/>
        </w:rPr>
        <w:t xml:space="preserve"> </w:t>
      </w:r>
    </w:p>
    <w:p w14:paraId="2D8A6E0F" w14:textId="04AAB904" w:rsidR="00BF476A" w:rsidRDefault="00BF476A" w:rsidP="00431D80">
      <w:pPr>
        <w:rPr>
          <w:rFonts w:cstheme="minorHAnsi"/>
          <w:highlight w:val="yellow"/>
        </w:rPr>
      </w:pPr>
      <w:r>
        <w:rPr>
          <w:rFonts w:cstheme="minorHAnsi"/>
          <w:highlight w:val="yellow"/>
        </w:rPr>
        <w:t>2.2.1</w:t>
      </w:r>
      <w:r>
        <w:rPr>
          <w:rFonts w:cstheme="minorHAnsi"/>
          <w:highlight w:val="yellow"/>
        </w:rPr>
        <w:tab/>
      </w:r>
      <w:r w:rsidR="002778EB" w:rsidRPr="00611871">
        <w:rPr>
          <w:rFonts w:cstheme="minorHAnsi"/>
          <w:highlight w:val="yellow"/>
        </w:rPr>
        <w:t xml:space="preserve">Place the sampling device firmly against the stream bottom with the sample collection net oriented downstream; move large cobbles as necessary to establish a </w:t>
      </w:r>
      <w:r w:rsidR="000E79E5">
        <w:rPr>
          <w:rFonts w:cstheme="minorHAnsi"/>
          <w:highlight w:val="yellow"/>
        </w:rPr>
        <w:t>firm</w:t>
      </w:r>
      <w:r w:rsidR="000E79E5" w:rsidRPr="00611871">
        <w:rPr>
          <w:rFonts w:cstheme="minorHAnsi"/>
          <w:highlight w:val="yellow"/>
        </w:rPr>
        <w:t xml:space="preserve"> </w:t>
      </w:r>
      <w:r w:rsidR="002778EB" w:rsidRPr="00611871">
        <w:rPr>
          <w:rFonts w:cstheme="minorHAnsi"/>
          <w:highlight w:val="yellow"/>
        </w:rPr>
        <w:t>seal with the substrate.</w:t>
      </w:r>
    </w:p>
    <w:p w14:paraId="606BFB51" w14:textId="4A022A36" w:rsidR="00BF476A" w:rsidRDefault="00BF476A" w:rsidP="00431D80">
      <w:pPr>
        <w:rPr>
          <w:rFonts w:cstheme="minorHAnsi"/>
          <w:highlight w:val="yellow"/>
        </w:rPr>
      </w:pPr>
      <w:r>
        <w:rPr>
          <w:rFonts w:cstheme="minorHAnsi"/>
          <w:highlight w:val="yellow"/>
        </w:rPr>
        <w:t>2.2.2</w:t>
      </w:r>
      <w:r>
        <w:rPr>
          <w:rFonts w:cstheme="minorHAnsi"/>
          <w:highlight w:val="yellow"/>
        </w:rPr>
        <w:tab/>
      </w:r>
      <w:r w:rsidR="002778EB" w:rsidRPr="00611871">
        <w:rPr>
          <w:rFonts w:cstheme="minorHAnsi"/>
          <w:highlight w:val="yellow"/>
        </w:rPr>
        <w:t xml:space="preserve">Use a wire or plastic brush to vigorously scrub the substrate within the sampling area for a period of </w:t>
      </w:r>
      <w:r w:rsidR="00F620C0">
        <w:rPr>
          <w:rFonts w:cstheme="minorHAnsi"/>
          <w:highlight w:val="yellow"/>
        </w:rPr>
        <w:t>2 min</w:t>
      </w:r>
      <w:r w:rsidR="002778EB" w:rsidRPr="00611871">
        <w:rPr>
          <w:rFonts w:cstheme="minorHAnsi"/>
          <w:highlight w:val="yellow"/>
        </w:rPr>
        <w:t>, allowing dislodged benthic macroinvertebrates to drift into the sample net.</w:t>
      </w:r>
    </w:p>
    <w:p w14:paraId="138FAFD4" w14:textId="666B54DF" w:rsidR="002778EB" w:rsidRPr="00611871" w:rsidRDefault="00BF476A" w:rsidP="00431D80">
      <w:pPr>
        <w:rPr>
          <w:rFonts w:cstheme="minorHAnsi"/>
          <w:highlight w:val="yellow"/>
        </w:rPr>
      </w:pPr>
      <w:r>
        <w:rPr>
          <w:rFonts w:cstheme="minorHAnsi"/>
          <w:highlight w:val="yellow"/>
        </w:rPr>
        <w:t>2.2.3</w:t>
      </w:r>
      <w:r>
        <w:rPr>
          <w:rFonts w:cstheme="minorHAnsi"/>
          <w:highlight w:val="yellow"/>
        </w:rPr>
        <w:tab/>
      </w:r>
      <w:r w:rsidR="002778EB" w:rsidRPr="00611871">
        <w:rPr>
          <w:rFonts w:cstheme="minorHAnsi"/>
          <w:highlight w:val="yellow"/>
        </w:rPr>
        <w:t>Transfer the sample contents from the net to a plastic jar and cover with 70% isopropyl alcohol for preservation. Label the jar and store it in a safe location for transfer to the lab.</w:t>
      </w:r>
    </w:p>
    <w:p w14:paraId="37D2DF17" w14:textId="127DD969" w:rsidR="00510565" w:rsidRPr="0096505F" w:rsidRDefault="002778EB" w:rsidP="00431D80">
      <w:pPr>
        <w:rPr>
          <w:rFonts w:cstheme="minorHAnsi"/>
          <w:highlight w:val="yellow"/>
        </w:rPr>
      </w:pPr>
      <w:r w:rsidRPr="00611871">
        <w:rPr>
          <w:rFonts w:cstheme="minorHAnsi"/>
          <w:highlight w:val="yellow"/>
        </w:rPr>
        <w:t>2.3</w:t>
      </w:r>
      <w:r w:rsidRPr="00611871">
        <w:rPr>
          <w:rFonts w:cstheme="minorHAnsi"/>
          <w:highlight w:val="yellow"/>
        </w:rPr>
        <w:tab/>
        <w:t xml:space="preserve">Collect and preserve additional benthic macroinvertebrate samples, repeating step 2.2. </w:t>
      </w:r>
    </w:p>
    <w:p w14:paraId="726C4EE8" w14:textId="10522D2C" w:rsidR="004A1A48" w:rsidRPr="004222BD" w:rsidRDefault="00510565" w:rsidP="004222BD">
      <w:pPr>
        <w:rPr>
          <w:rFonts w:cstheme="minorHAnsi"/>
          <w:highlight w:val="yellow"/>
        </w:rPr>
      </w:pPr>
      <w:r>
        <w:rPr>
          <w:rFonts w:cstheme="minorHAnsi"/>
          <w:highlight w:val="yellow"/>
        </w:rPr>
        <w:t>2.4</w:t>
      </w:r>
      <w:r>
        <w:rPr>
          <w:rFonts w:cstheme="minorHAnsi"/>
          <w:highlight w:val="yellow"/>
        </w:rPr>
        <w:tab/>
      </w:r>
      <w:r w:rsidR="002778EB" w:rsidRPr="00611871">
        <w:rPr>
          <w:rFonts w:cstheme="minorHAnsi"/>
          <w:highlight w:val="yellow"/>
        </w:rPr>
        <w:t>Return all collected samples to the lab for processing.</w:t>
      </w:r>
    </w:p>
    <w:sectPr w:rsidR="004A1A48" w:rsidRPr="004222BD" w:rsidSect="00D917E0">
      <w:headerReference w:type="default" r:id="rId8"/>
      <w:headerReference w:type="first" r:id="rId9"/>
      <w:footerReference w:type="firs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77D7" w14:textId="77777777" w:rsidR="00E727A2" w:rsidRDefault="00E727A2">
      <w:r>
        <w:separator/>
      </w:r>
    </w:p>
  </w:endnote>
  <w:endnote w:type="continuationSeparator" w:id="0">
    <w:p w14:paraId="540C018D" w14:textId="77777777" w:rsidR="00E727A2" w:rsidRDefault="00E7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auto"/>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6F0D" w14:textId="77777777" w:rsidR="0032252A" w:rsidRDefault="0032252A" w:rsidP="0014349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AD242" w14:textId="77777777" w:rsidR="00E727A2" w:rsidRDefault="00E727A2">
      <w:r>
        <w:separator/>
      </w:r>
    </w:p>
  </w:footnote>
  <w:footnote w:type="continuationSeparator" w:id="0">
    <w:p w14:paraId="3CF3F925" w14:textId="77777777" w:rsidR="00E727A2" w:rsidRDefault="00E72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2338" w14:textId="77777777" w:rsidR="0032252A" w:rsidRPr="006F06E4" w:rsidRDefault="0032252A" w:rsidP="00143499">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7F8A" w14:textId="77777777" w:rsidR="0032252A" w:rsidRPr="006F06E4" w:rsidRDefault="0032252A" w:rsidP="00143499">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534E3421" wp14:editId="7A32B345">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242A"/>
    <w:multiLevelType w:val="multilevel"/>
    <w:tmpl w:val="329264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B2570"/>
    <w:multiLevelType w:val="hybridMultilevel"/>
    <w:tmpl w:val="0784C31A"/>
    <w:lvl w:ilvl="0" w:tplc="98BA84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0"/>
  </w:num>
  <w:num w:numId="8">
    <w:abstractNumId w:val="9"/>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6"/>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778EB"/>
    <w:rsid w:val="0000757A"/>
    <w:rsid w:val="00011362"/>
    <w:rsid w:val="00017D50"/>
    <w:rsid w:val="00026CA3"/>
    <w:rsid w:val="000331FB"/>
    <w:rsid w:val="00036F35"/>
    <w:rsid w:val="000558EE"/>
    <w:rsid w:val="00055B00"/>
    <w:rsid w:val="0005671D"/>
    <w:rsid w:val="000633F6"/>
    <w:rsid w:val="00064358"/>
    <w:rsid w:val="0006659C"/>
    <w:rsid w:val="0008190F"/>
    <w:rsid w:val="000A097A"/>
    <w:rsid w:val="000A1846"/>
    <w:rsid w:val="000A4992"/>
    <w:rsid w:val="000C0972"/>
    <w:rsid w:val="000D1A4E"/>
    <w:rsid w:val="000E79E5"/>
    <w:rsid w:val="000F0DE4"/>
    <w:rsid w:val="000F3DC7"/>
    <w:rsid w:val="001011C1"/>
    <w:rsid w:val="00115279"/>
    <w:rsid w:val="00117607"/>
    <w:rsid w:val="0013117E"/>
    <w:rsid w:val="00143499"/>
    <w:rsid w:val="001543FD"/>
    <w:rsid w:val="00164D21"/>
    <w:rsid w:val="00166B32"/>
    <w:rsid w:val="001821E8"/>
    <w:rsid w:val="00193F0C"/>
    <w:rsid w:val="00197D05"/>
    <w:rsid w:val="001A3059"/>
    <w:rsid w:val="001A7DA7"/>
    <w:rsid w:val="001B34DF"/>
    <w:rsid w:val="001B4CDB"/>
    <w:rsid w:val="001B6194"/>
    <w:rsid w:val="001C5FC3"/>
    <w:rsid w:val="001D2F71"/>
    <w:rsid w:val="001D6807"/>
    <w:rsid w:val="001D6B63"/>
    <w:rsid w:val="001E5652"/>
    <w:rsid w:val="00200B3F"/>
    <w:rsid w:val="0020515B"/>
    <w:rsid w:val="00207787"/>
    <w:rsid w:val="00215151"/>
    <w:rsid w:val="002224AA"/>
    <w:rsid w:val="00242EE7"/>
    <w:rsid w:val="00246F20"/>
    <w:rsid w:val="0025487C"/>
    <w:rsid w:val="00256D31"/>
    <w:rsid w:val="00261EE8"/>
    <w:rsid w:val="00272D4F"/>
    <w:rsid w:val="002774E5"/>
    <w:rsid w:val="002778EB"/>
    <w:rsid w:val="00281001"/>
    <w:rsid w:val="00282F7D"/>
    <w:rsid w:val="002901EB"/>
    <w:rsid w:val="00291847"/>
    <w:rsid w:val="0029209F"/>
    <w:rsid w:val="002933F9"/>
    <w:rsid w:val="002A61A5"/>
    <w:rsid w:val="002B00F9"/>
    <w:rsid w:val="002B6ED0"/>
    <w:rsid w:val="002F2382"/>
    <w:rsid w:val="002F6B9C"/>
    <w:rsid w:val="00300FBE"/>
    <w:rsid w:val="00304DA3"/>
    <w:rsid w:val="003103A7"/>
    <w:rsid w:val="0032047D"/>
    <w:rsid w:val="0032055C"/>
    <w:rsid w:val="0032252A"/>
    <w:rsid w:val="00334AFC"/>
    <w:rsid w:val="00335FDB"/>
    <w:rsid w:val="00343EB6"/>
    <w:rsid w:val="00345B90"/>
    <w:rsid w:val="00371E59"/>
    <w:rsid w:val="003744BB"/>
    <w:rsid w:val="00377742"/>
    <w:rsid w:val="00385CCE"/>
    <w:rsid w:val="003861BB"/>
    <w:rsid w:val="00391852"/>
    <w:rsid w:val="003A1B96"/>
    <w:rsid w:val="003D3736"/>
    <w:rsid w:val="003D453E"/>
    <w:rsid w:val="003D7ECA"/>
    <w:rsid w:val="003E28D4"/>
    <w:rsid w:val="003F312A"/>
    <w:rsid w:val="0040566F"/>
    <w:rsid w:val="0041189D"/>
    <w:rsid w:val="00416AE1"/>
    <w:rsid w:val="00416E8D"/>
    <w:rsid w:val="004222BD"/>
    <w:rsid w:val="0042530A"/>
    <w:rsid w:val="0042662B"/>
    <w:rsid w:val="00431D80"/>
    <w:rsid w:val="00435E47"/>
    <w:rsid w:val="00441E36"/>
    <w:rsid w:val="0044251D"/>
    <w:rsid w:val="0045260F"/>
    <w:rsid w:val="00452AF3"/>
    <w:rsid w:val="004609E4"/>
    <w:rsid w:val="0047502D"/>
    <w:rsid w:val="004922FF"/>
    <w:rsid w:val="00495C82"/>
    <w:rsid w:val="004A1A48"/>
    <w:rsid w:val="004A5A6E"/>
    <w:rsid w:val="004A683D"/>
    <w:rsid w:val="004A748F"/>
    <w:rsid w:val="004C3498"/>
    <w:rsid w:val="004C3B05"/>
    <w:rsid w:val="004C6F65"/>
    <w:rsid w:val="004D45CB"/>
    <w:rsid w:val="004D62F2"/>
    <w:rsid w:val="004D66C0"/>
    <w:rsid w:val="004D78B0"/>
    <w:rsid w:val="004F7A7A"/>
    <w:rsid w:val="005070D7"/>
    <w:rsid w:val="00510565"/>
    <w:rsid w:val="005116C9"/>
    <w:rsid w:val="005332A1"/>
    <w:rsid w:val="00534D5A"/>
    <w:rsid w:val="00537B31"/>
    <w:rsid w:val="00554B97"/>
    <w:rsid w:val="005752AD"/>
    <w:rsid w:val="00576434"/>
    <w:rsid w:val="005A312A"/>
    <w:rsid w:val="005A5016"/>
    <w:rsid w:val="005A76B5"/>
    <w:rsid w:val="005B3717"/>
    <w:rsid w:val="005B4A5D"/>
    <w:rsid w:val="005B59EC"/>
    <w:rsid w:val="005C1911"/>
    <w:rsid w:val="005D1CF9"/>
    <w:rsid w:val="005D7DA5"/>
    <w:rsid w:val="005F16D8"/>
    <w:rsid w:val="005F457A"/>
    <w:rsid w:val="005F4611"/>
    <w:rsid w:val="00604E2B"/>
    <w:rsid w:val="00611871"/>
    <w:rsid w:val="006142CB"/>
    <w:rsid w:val="00621F17"/>
    <w:rsid w:val="00622BC6"/>
    <w:rsid w:val="00625B56"/>
    <w:rsid w:val="006264C4"/>
    <w:rsid w:val="00626A2B"/>
    <w:rsid w:val="00626B0B"/>
    <w:rsid w:val="00631FC3"/>
    <w:rsid w:val="00641E25"/>
    <w:rsid w:val="006431DE"/>
    <w:rsid w:val="006436B6"/>
    <w:rsid w:val="0064647B"/>
    <w:rsid w:val="0064707C"/>
    <w:rsid w:val="00651C2C"/>
    <w:rsid w:val="00656969"/>
    <w:rsid w:val="00657149"/>
    <w:rsid w:val="0066032C"/>
    <w:rsid w:val="00660E84"/>
    <w:rsid w:val="006671FE"/>
    <w:rsid w:val="006748BA"/>
    <w:rsid w:val="00685588"/>
    <w:rsid w:val="006A65C8"/>
    <w:rsid w:val="006A68DA"/>
    <w:rsid w:val="006B587F"/>
    <w:rsid w:val="006C6F70"/>
    <w:rsid w:val="006D1DCD"/>
    <w:rsid w:val="006D2F9C"/>
    <w:rsid w:val="006E6DF1"/>
    <w:rsid w:val="006F270D"/>
    <w:rsid w:val="00710FB9"/>
    <w:rsid w:val="00726D5F"/>
    <w:rsid w:val="00736409"/>
    <w:rsid w:val="00736BE4"/>
    <w:rsid w:val="00743705"/>
    <w:rsid w:val="007452BA"/>
    <w:rsid w:val="0075029A"/>
    <w:rsid w:val="00760BD2"/>
    <w:rsid w:val="00767BC3"/>
    <w:rsid w:val="00775AD9"/>
    <w:rsid w:val="007775D6"/>
    <w:rsid w:val="00784F28"/>
    <w:rsid w:val="0078616A"/>
    <w:rsid w:val="00794C85"/>
    <w:rsid w:val="007A5633"/>
    <w:rsid w:val="007A7798"/>
    <w:rsid w:val="007B79B8"/>
    <w:rsid w:val="007B7E2E"/>
    <w:rsid w:val="007B7EB6"/>
    <w:rsid w:val="007C3EC9"/>
    <w:rsid w:val="007C4294"/>
    <w:rsid w:val="007D145D"/>
    <w:rsid w:val="007D1830"/>
    <w:rsid w:val="007E0D14"/>
    <w:rsid w:val="007E6B8A"/>
    <w:rsid w:val="007F10B0"/>
    <w:rsid w:val="007F1AEA"/>
    <w:rsid w:val="007F6235"/>
    <w:rsid w:val="00800AC1"/>
    <w:rsid w:val="008015B7"/>
    <w:rsid w:val="00817142"/>
    <w:rsid w:val="008171C6"/>
    <w:rsid w:val="008174F4"/>
    <w:rsid w:val="00831B42"/>
    <w:rsid w:val="00834C26"/>
    <w:rsid w:val="00842C1C"/>
    <w:rsid w:val="00844D75"/>
    <w:rsid w:val="00851FB3"/>
    <w:rsid w:val="008545B0"/>
    <w:rsid w:val="00872FF1"/>
    <w:rsid w:val="00881427"/>
    <w:rsid w:val="0088285F"/>
    <w:rsid w:val="00887699"/>
    <w:rsid w:val="00891BFF"/>
    <w:rsid w:val="0089679D"/>
    <w:rsid w:val="008A12C6"/>
    <w:rsid w:val="008B0234"/>
    <w:rsid w:val="008B3B57"/>
    <w:rsid w:val="008B5413"/>
    <w:rsid w:val="008C267E"/>
    <w:rsid w:val="008E465E"/>
    <w:rsid w:val="008E54B7"/>
    <w:rsid w:val="008E676D"/>
    <w:rsid w:val="008E698F"/>
    <w:rsid w:val="008F1DE7"/>
    <w:rsid w:val="008F20CA"/>
    <w:rsid w:val="008F2EC5"/>
    <w:rsid w:val="00914B02"/>
    <w:rsid w:val="00922444"/>
    <w:rsid w:val="0092293D"/>
    <w:rsid w:val="00934583"/>
    <w:rsid w:val="0093706C"/>
    <w:rsid w:val="0094528A"/>
    <w:rsid w:val="009464E7"/>
    <w:rsid w:val="00962AC1"/>
    <w:rsid w:val="00962C04"/>
    <w:rsid w:val="00962CE6"/>
    <w:rsid w:val="0096505F"/>
    <w:rsid w:val="00967C17"/>
    <w:rsid w:val="00981E94"/>
    <w:rsid w:val="009854CE"/>
    <w:rsid w:val="00990FE2"/>
    <w:rsid w:val="00992439"/>
    <w:rsid w:val="009A2CFA"/>
    <w:rsid w:val="009B498D"/>
    <w:rsid w:val="009B5C95"/>
    <w:rsid w:val="009D69DC"/>
    <w:rsid w:val="009D6EBC"/>
    <w:rsid w:val="009E61A5"/>
    <w:rsid w:val="00A06C27"/>
    <w:rsid w:val="00A10825"/>
    <w:rsid w:val="00A2039E"/>
    <w:rsid w:val="00A240F8"/>
    <w:rsid w:val="00A2735D"/>
    <w:rsid w:val="00A350B1"/>
    <w:rsid w:val="00A42A14"/>
    <w:rsid w:val="00A470D1"/>
    <w:rsid w:val="00A545EB"/>
    <w:rsid w:val="00A67666"/>
    <w:rsid w:val="00A76B56"/>
    <w:rsid w:val="00A871EF"/>
    <w:rsid w:val="00A91956"/>
    <w:rsid w:val="00A93A8A"/>
    <w:rsid w:val="00A97B0D"/>
    <w:rsid w:val="00AA0932"/>
    <w:rsid w:val="00AB65C2"/>
    <w:rsid w:val="00AC053F"/>
    <w:rsid w:val="00AC4329"/>
    <w:rsid w:val="00AC50B1"/>
    <w:rsid w:val="00AD7320"/>
    <w:rsid w:val="00AE024A"/>
    <w:rsid w:val="00AE40F1"/>
    <w:rsid w:val="00AE5D46"/>
    <w:rsid w:val="00B00934"/>
    <w:rsid w:val="00B00B40"/>
    <w:rsid w:val="00B07FDF"/>
    <w:rsid w:val="00B17FAF"/>
    <w:rsid w:val="00B20126"/>
    <w:rsid w:val="00B23F1C"/>
    <w:rsid w:val="00B305D1"/>
    <w:rsid w:val="00B36B1A"/>
    <w:rsid w:val="00B42FA8"/>
    <w:rsid w:val="00B4698A"/>
    <w:rsid w:val="00B51F16"/>
    <w:rsid w:val="00B55CAF"/>
    <w:rsid w:val="00B61BF7"/>
    <w:rsid w:val="00B677AD"/>
    <w:rsid w:val="00B74AA5"/>
    <w:rsid w:val="00B80523"/>
    <w:rsid w:val="00B92B9A"/>
    <w:rsid w:val="00B931AA"/>
    <w:rsid w:val="00BA41C7"/>
    <w:rsid w:val="00BB4ED2"/>
    <w:rsid w:val="00BC13DC"/>
    <w:rsid w:val="00BE2E8C"/>
    <w:rsid w:val="00BE6F93"/>
    <w:rsid w:val="00BF0414"/>
    <w:rsid w:val="00BF27CE"/>
    <w:rsid w:val="00BF476A"/>
    <w:rsid w:val="00BF5EEC"/>
    <w:rsid w:val="00C1773B"/>
    <w:rsid w:val="00C23B9E"/>
    <w:rsid w:val="00C36FE2"/>
    <w:rsid w:val="00C40DE1"/>
    <w:rsid w:val="00C52826"/>
    <w:rsid w:val="00C5373C"/>
    <w:rsid w:val="00C563FE"/>
    <w:rsid w:val="00C57754"/>
    <w:rsid w:val="00C57CE7"/>
    <w:rsid w:val="00C60303"/>
    <w:rsid w:val="00C63E01"/>
    <w:rsid w:val="00C64AB1"/>
    <w:rsid w:val="00C82A8A"/>
    <w:rsid w:val="00C85366"/>
    <w:rsid w:val="00C95D94"/>
    <w:rsid w:val="00CA3219"/>
    <w:rsid w:val="00CA34AF"/>
    <w:rsid w:val="00CA3ECF"/>
    <w:rsid w:val="00CA7734"/>
    <w:rsid w:val="00CB1285"/>
    <w:rsid w:val="00CC546C"/>
    <w:rsid w:val="00CD1ABD"/>
    <w:rsid w:val="00CE67EA"/>
    <w:rsid w:val="00CF1795"/>
    <w:rsid w:val="00CF2D60"/>
    <w:rsid w:val="00CF3256"/>
    <w:rsid w:val="00CF4BCA"/>
    <w:rsid w:val="00D01D2F"/>
    <w:rsid w:val="00D04B50"/>
    <w:rsid w:val="00D1343B"/>
    <w:rsid w:val="00D20342"/>
    <w:rsid w:val="00D22731"/>
    <w:rsid w:val="00D2545C"/>
    <w:rsid w:val="00D2708B"/>
    <w:rsid w:val="00D512A7"/>
    <w:rsid w:val="00D538B5"/>
    <w:rsid w:val="00D5529A"/>
    <w:rsid w:val="00D62EE5"/>
    <w:rsid w:val="00D66AE8"/>
    <w:rsid w:val="00D76D33"/>
    <w:rsid w:val="00D802D7"/>
    <w:rsid w:val="00D91108"/>
    <w:rsid w:val="00D917E0"/>
    <w:rsid w:val="00D94022"/>
    <w:rsid w:val="00DA61E9"/>
    <w:rsid w:val="00DB55A7"/>
    <w:rsid w:val="00DB799B"/>
    <w:rsid w:val="00DC1C01"/>
    <w:rsid w:val="00DC4044"/>
    <w:rsid w:val="00DD0F3F"/>
    <w:rsid w:val="00DD2503"/>
    <w:rsid w:val="00DD461B"/>
    <w:rsid w:val="00DD683F"/>
    <w:rsid w:val="00DE45F9"/>
    <w:rsid w:val="00DE5446"/>
    <w:rsid w:val="00DF0DDD"/>
    <w:rsid w:val="00DF0E08"/>
    <w:rsid w:val="00DF4149"/>
    <w:rsid w:val="00DF53AB"/>
    <w:rsid w:val="00E241E5"/>
    <w:rsid w:val="00E35EE6"/>
    <w:rsid w:val="00E50B99"/>
    <w:rsid w:val="00E54B73"/>
    <w:rsid w:val="00E727A2"/>
    <w:rsid w:val="00E80054"/>
    <w:rsid w:val="00E92020"/>
    <w:rsid w:val="00EA5989"/>
    <w:rsid w:val="00EB25E4"/>
    <w:rsid w:val="00EB6CAA"/>
    <w:rsid w:val="00EC5E13"/>
    <w:rsid w:val="00EC6ADA"/>
    <w:rsid w:val="00EC6ECE"/>
    <w:rsid w:val="00ED111B"/>
    <w:rsid w:val="00ED7EC0"/>
    <w:rsid w:val="00EE1C80"/>
    <w:rsid w:val="00EE679D"/>
    <w:rsid w:val="00EF041A"/>
    <w:rsid w:val="00EF1A04"/>
    <w:rsid w:val="00F0537E"/>
    <w:rsid w:val="00F1251D"/>
    <w:rsid w:val="00F12EE1"/>
    <w:rsid w:val="00F1522F"/>
    <w:rsid w:val="00F1685A"/>
    <w:rsid w:val="00F36A0A"/>
    <w:rsid w:val="00F37385"/>
    <w:rsid w:val="00F45FE9"/>
    <w:rsid w:val="00F620C0"/>
    <w:rsid w:val="00F64A05"/>
    <w:rsid w:val="00F67B10"/>
    <w:rsid w:val="00F72FE8"/>
    <w:rsid w:val="00F81CAF"/>
    <w:rsid w:val="00FA41E4"/>
    <w:rsid w:val="00FB7F82"/>
    <w:rsid w:val="00FC7AA8"/>
    <w:rsid w:val="00FD1918"/>
    <w:rsid w:val="00FD764E"/>
    <w:rsid w:val="00FF2994"/>
    <w:rsid w:val="00FF349E"/>
    <w:rsid w:val="00FF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32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E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2778E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778E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778E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78EB"/>
    <w:rPr>
      <w:rFonts w:ascii="Calibri" w:eastAsia="Times New Roman" w:hAnsi="Calibri" w:cs="Times New Roman"/>
      <w:b/>
      <w:bCs/>
      <w:color w:val="000000"/>
      <w:kern w:val="32"/>
      <w:sz w:val="28"/>
      <w:szCs w:val="32"/>
    </w:rPr>
  </w:style>
  <w:style w:type="character" w:customStyle="1" w:styleId="Heading2Char">
    <w:name w:val="Heading 2 Char"/>
    <w:link w:val="Heading2"/>
    <w:rsid w:val="002778EB"/>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2778EB"/>
    <w:rPr>
      <w:rFonts w:asciiTheme="majorHAnsi" w:eastAsiaTheme="majorEastAsia" w:hAnsiTheme="majorHAnsi" w:cstheme="majorBidi"/>
      <w:b/>
      <w:bCs/>
      <w:color w:val="4472C4" w:themeColor="accent1"/>
      <w:sz w:val="24"/>
      <w:szCs w:val="24"/>
    </w:rPr>
  </w:style>
  <w:style w:type="paragraph" w:styleId="NormalWeb">
    <w:name w:val="Normal (Web)"/>
    <w:basedOn w:val="Normal"/>
    <w:rsid w:val="002778EB"/>
    <w:pPr>
      <w:spacing w:before="100" w:beforeAutospacing="1" w:after="100" w:afterAutospacing="1"/>
    </w:pPr>
  </w:style>
  <w:style w:type="character" w:styleId="Hyperlink">
    <w:name w:val="Hyperlink"/>
    <w:uiPriority w:val="99"/>
    <w:rsid w:val="002778EB"/>
    <w:rPr>
      <w:color w:val="0000FF"/>
      <w:u w:val="single"/>
    </w:rPr>
  </w:style>
  <w:style w:type="paragraph" w:styleId="Header">
    <w:name w:val="header"/>
    <w:basedOn w:val="Normal"/>
    <w:link w:val="HeaderChar"/>
    <w:rsid w:val="002778EB"/>
    <w:pPr>
      <w:tabs>
        <w:tab w:val="center" w:pos="4680"/>
        <w:tab w:val="right" w:pos="9360"/>
      </w:tabs>
    </w:pPr>
  </w:style>
  <w:style w:type="character" w:customStyle="1" w:styleId="HeaderChar">
    <w:name w:val="Header Char"/>
    <w:link w:val="Header"/>
    <w:rsid w:val="002778EB"/>
    <w:rPr>
      <w:rFonts w:ascii="Calibri" w:eastAsia="Times New Roman" w:hAnsi="Calibri" w:cs="Calibri"/>
      <w:color w:val="000000"/>
      <w:sz w:val="24"/>
      <w:szCs w:val="24"/>
    </w:rPr>
  </w:style>
  <w:style w:type="paragraph" w:styleId="Footer">
    <w:name w:val="footer"/>
    <w:basedOn w:val="Normal"/>
    <w:link w:val="FooterChar"/>
    <w:uiPriority w:val="99"/>
    <w:rsid w:val="002778EB"/>
    <w:pPr>
      <w:tabs>
        <w:tab w:val="center" w:pos="4680"/>
        <w:tab w:val="right" w:pos="9360"/>
      </w:tabs>
    </w:pPr>
  </w:style>
  <w:style w:type="character" w:customStyle="1" w:styleId="FooterChar">
    <w:name w:val="Footer Char"/>
    <w:link w:val="Footer"/>
    <w:uiPriority w:val="99"/>
    <w:rsid w:val="002778EB"/>
    <w:rPr>
      <w:rFonts w:ascii="Calibri" w:eastAsia="Times New Roman" w:hAnsi="Calibri" w:cs="Calibri"/>
      <w:color w:val="000000"/>
      <w:sz w:val="24"/>
      <w:szCs w:val="24"/>
    </w:rPr>
  </w:style>
  <w:style w:type="character" w:styleId="CommentReference">
    <w:name w:val="annotation reference"/>
    <w:uiPriority w:val="99"/>
    <w:rsid w:val="002778EB"/>
    <w:rPr>
      <w:sz w:val="18"/>
      <w:szCs w:val="18"/>
    </w:rPr>
  </w:style>
  <w:style w:type="paragraph" w:styleId="CommentText">
    <w:name w:val="annotation text"/>
    <w:basedOn w:val="Normal"/>
    <w:link w:val="CommentTextChar"/>
    <w:uiPriority w:val="99"/>
    <w:rsid w:val="002778EB"/>
  </w:style>
  <w:style w:type="character" w:customStyle="1" w:styleId="CommentTextChar">
    <w:name w:val="Comment Text Char"/>
    <w:link w:val="CommentText"/>
    <w:uiPriority w:val="99"/>
    <w:rsid w:val="002778EB"/>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2778EB"/>
    <w:rPr>
      <w:b/>
      <w:bCs/>
      <w:sz w:val="20"/>
      <w:szCs w:val="20"/>
    </w:rPr>
  </w:style>
  <w:style w:type="character" w:customStyle="1" w:styleId="CommentSubjectChar">
    <w:name w:val="Comment Subject Char"/>
    <w:link w:val="CommentSubject"/>
    <w:rsid w:val="002778EB"/>
    <w:rPr>
      <w:rFonts w:ascii="Calibri" w:eastAsia="Times New Roman" w:hAnsi="Calibri" w:cs="Calibri"/>
      <w:b/>
      <w:bCs/>
      <w:color w:val="000000"/>
      <w:sz w:val="20"/>
      <w:szCs w:val="20"/>
    </w:rPr>
  </w:style>
  <w:style w:type="paragraph" w:styleId="BalloonText">
    <w:name w:val="Balloon Text"/>
    <w:basedOn w:val="Normal"/>
    <w:link w:val="BalloonTextChar"/>
    <w:rsid w:val="002778EB"/>
    <w:rPr>
      <w:rFonts w:ascii="Lucida Grande" w:hAnsi="Lucida Grande"/>
      <w:sz w:val="18"/>
      <w:szCs w:val="18"/>
    </w:rPr>
  </w:style>
  <w:style w:type="character" w:customStyle="1" w:styleId="BalloonTextChar">
    <w:name w:val="Balloon Text Char"/>
    <w:link w:val="BalloonText"/>
    <w:rsid w:val="002778EB"/>
    <w:rPr>
      <w:rFonts w:ascii="Lucida Grande" w:eastAsia="Times New Roman" w:hAnsi="Lucida Grande" w:cs="Calibri"/>
      <w:color w:val="000000"/>
      <w:sz w:val="18"/>
      <w:szCs w:val="18"/>
    </w:rPr>
  </w:style>
  <w:style w:type="character" w:styleId="PageNumber">
    <w:name w:val="page number"/>
    <w:basedOn w:val="DefaultParagraphFont"/>
    <w:rsid w:val="002778EB"/>
  </w:style>
  <w:style w:type="character" w:styleId="FollowedHyperlink">
    <w:name w:val="FollowedHyperlink"/>
    <w:rsid w:val="002778EB"/>
    <w:rPr>
      <w:color w:val="800080"/>
      <w:u w:val="single"/>
    </w:rPr>
  </w:style>
  <w:style w:type="character" w:customStyle="1" w:styleId="apple-converted-space">
    <w:name w:val="apple-converted-space"/>
    <w:basedOn w:val="DefaultParagraphFont"/>
    <w:rsid w:val="002778EB"/>
  </w:style>
  <w:style w:type="character" w:styleId="IntenseEmphasis">
    <w:name w:val="Intense Emphasis"/>
    <w:qFormat/>
    <w:rsid w:val="002778EB"/>
    <w:rPr>
      <w:b/>
      <w:bCs/>
      <w:i/>
      <w:iCs/>
      <w:color w:val="4F81BD"/>
    </w:rPr>
  </w:style>
  <w:style w:type="paragraph" w:customStyle="1" w:styleId="Exampletext">
    <w:name w:val="Example text"/>
    <w:basedOn w:val="Normal"/>
    <w:link w:val="ExampletextChar"/>
    <w:qFormat/>
    <w:rsid w:val="002778EB"/>
    <w:pPr>
      <w:spacing w:after="240"/>
    </w:pPr>
    <w:rPr>
      <w:color w:val="7F7F7F"/>
    </w:rPr>
  </w:style>
  <w:style w:type="character" w:customStyle="1" w:styleId="ExampletextChar">
    <w:name w:val="Example text Char"/>
    <w:link w:val="Exampletext"/>
    <w:rsid w:val="002778EB"/>
    <w:rPr>
      <w:rFonts w:ascii="Calibri" w:eastAsia="Times New Roman" w:hAnsi="Calibri" w:cs="Calibri"/>
      <w:color w:val="7F7F7F"/>
      <w:sz w:val="24"/>
      <w:szCs w:val="24"/>
    </w:rPr>
  </w:style>
  <w:style w:type="paragraph" w:styleId="ListParagraph">
    <w:name w:val="List Paragraph"/>
    <w:basedOn w:val="Normal"/>
    <w:uiPriority w:val="34"/>
    <w:qFormat/>
    <w:rsid w:val="002778EB"/>
    <w:pPr>
      <w:ind w:left="720"/>
      <w:contextualSpacing/>
    </w:pPr>
  </w:style>
  <w:style w:type="paragraph" w:styleId="Revision">
    <w:name w:val="Revision"/>
    <w:hidden/>
    <w:uiPriority w:val="99"/>
    <w:semiHidden/>
    <w:rsid w:val="002778EB"/>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2778E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778EB"/>
    <w:rPr>
      <w:rFonts w:ascii="Calibri" w:eastAsia="Calibri" w:hAnsi="Calibri" w:cs="Calibri"/>
      <w:sz w:val="24"/>
      <w:szCs w:val="24"/>
    </w:rPr>
  </w:style>
  <w:style w:type="character" w:styleId="Strong">
    <w:name w:val="Strong"/>
    <w:basedOn w:val="DefaultParagraphFont"/>
    <w:uiPriority w:val="22"/>
    <w:qFormat/>
    <w:rsid w:val="002778EB"/>
    <w:rPr>
      <w:b/>
      <w:bCs/>
    </w:rPr>
  </w:style>
  <w:style w:type="character" w:styleId="Emphasis">
    <w:name w:val="Emphasis"/>
    <w:basedOn w:val="DefaultParagraphFont"/>
    <w:uiPriority w:val="20"/>
    <w:qFormat/>
    <w:rsid w:val="002778EB"/>
    <w:rPr>
      <w:i/>
      <w:iCs/>
    </w:rPr>
  </w:style>
  <w:style w:type="character" w:styleId="LineNumber">
    <w:name w:val="line number"/>
    <w:basedOn w:val="DefaultParagraphFont"/>
    <w:uiPriority w:val="99"/>
    <w:semiHidden/>
    <w:unhideWhenUsed/>
    <w:rsid w:val="002778EB"/>
  </w:style>
  <w:style w:type="character" w:customStyle="1" w:styleId="UnresolvedMention1">
    <w:name w:val="Unresolved Mention1"/>
    <w:basedOn w:val="DefaultParagraphFont"/>
    <w:uiPriority w:val="99"/>
    <w:semiHidden/>
    <w:unhideWhenUsed/>
    <w:rsid w:val="002778EB"/>
    <w:rPr>
      <w:color w:val="808080"/>
      <w:shd w:val="clear" w:color="auto" w:fill="E6E6E6"/>
    </w:rPr>
  </w:style>
  <w:style w:type="paragraph" w:customStyle="1" w:styleId="EndNoteBibliographyTitle">
    <w:name w:val="EndNote Bibliography Title"/>
    <w:basedOn w:val="Normal"/>
    <w:link w:val="EndNoteBibliographyTitleChar"/>
    <w:rsid w:val="002778EB"/>
    <w:pPr>
      <w:jc w:val="center"/>
    </w:pPr>
    <w:rPr>
      <w:noProof/>
    </w:rPr>
  </w:style>
  <w:style w:type="character" w:customStyle="1" w:styleId="EndNoteBibliographyTitleChar">
    <w:name w:val="EndNote Bibliography Title Char"/>
    <w:basedOn w:val="DefaultParagraphFont"/>
    <w:link w:val="EndNoteBibliographyTitle"/>
    <w:rsid w:val="002778EB"/>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2778EB"/>
    <w:rPr>
      <w:noProof/>
    </w:rPr>
  </w:style>
  <w:style w:type="character" w:customStyle="1" w:styleId="EndNoteBibliographyChar">
    <w:name w:val="EndNote Bibliography Char"/>
    <w:basedOn w:val="DefaultParagraphFont"/>
    <w:link w:val="EndNoteBibliography"/>
    <w:rsid w:val="002778EB"/>
    <w:rPr>
      <w:rFonts w:ascii="Calibri" w:eastAsia="Times New Roma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29E0-382E-476A-9FF2-600DF6B3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2019-04-24T13:03:00Z</dcterms:created>
  <dcterms:modified xsi:type="dcterms:W3CDTF">2019-04-24T13:17:00Z</dcterms:modified>
</cp:coreProperties>
</file>