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CC" w:rsidRPr="00BE02EB" w:rsidRDefault="00B416CC" w:rsidP="00BE02EB">
      <w:pPr>
        <w:pStyle w:val="NormalWeb"/>
        <w:spacing w:before="0" w:beforeAutospacing="0" w:after="0" w:afterAutospacing="0"/>
      </w:pPr>
      <w:r w:rsidRPr="00BE02EB">
        <w:rPr>
          <w:b/>
          <w:bCs/>
        </w:rPr>
        <w:t>TITLE:</w:t>
      </w:r>
      <w:r w:rsidRPr="00BE02EB">
        <w:t xml:space="preserve"> </w:t>
      </w:r>
    </w:p>
    <w:p w:rsidR="00B416CC" w:rsidRPr="00BE02EB" w:rsidRDefault="00B416CC" w:rsidP="00BE02EB">
      <w:pPr>
        <w:pStyle w:val="NormalWeb"/>
        <w:spacing w:before="0" w:beforeAutospacing="0" w:after="0" w:afterAutospacing="0"/>
        <w:rPr>
          <w:color w:val="auto"/>
        </w:rPr>
      </w:pPr>
      <w:r w:rsidRPr="00BE02EB">
        <w:rPr>
          <w:color w:val="auto"/>
        </w:rPr>
        <w:t xml:space="preserve">Measuring </w:t>
      </w:r>
      <w:r w:rsidR="008E62FE" w:rsidRPr="00BE02EB">
        <w:rPr>
          <w:color w:val="auto"/>
        </w:rPr>
        <w:t xml:space="preserve">Relative Insulin Secretion </w:t>
      </w:r>
      <w:r w:rsidR="008E62FE">
        <w:rPr>
          <w:color w:val="auto"/>
        </w:rPr>
        <w:t>u</w:t>
      </w:r>
      <w:r w:rsidR="008E62FE" w:rsidRPr="00BE02EB">
        <w:rPr>
          <w:color w:val="auto"/>
        </w:rPr>
        <w:t xml:space="preserve">sing </w:t>
      </w:r>
      <w:r w:rsidR="008E62FE">
        <w:rPr>
          <w:color w:val="auto"/>
        </w:rPr>
        <w:t>a</w:t>
      </w:r>
      <w:r w:rsidR="008E62FE" w:rsidRPr="00BE02EB">
        <w:rPr>
          <w:color w:val="auto"/>
        </w:rPr>
        <w:t xml:space="preserve"> Co-Secreted Luciferase Surrogate</w:t>
      </w:r>
    </w:p>
    <w:p w:rsidR="00B416CC" w:rsidRPr="00BE02EB" w:rsidRDefault="00B416CC" w:rsidP="00BE02EB">
      <w:pPr>
        <w:rPr>
          <w:b/>
          <w:bCs/>
        </w:rPr>
      </w:pPr>
    </w:p>
    <w:p w:rsidR="00B416CC" w:rsidRPr="00BE02EB" w:rsidRDefault="00B416CC" w:rsidP="00BE02EB">
      <w:pPr>
        <w:rPr>
          <w:color w:val="808080" w:themeColor="background1" w:themeShade="80"/>
        </w:rPr>
      </w:pPr>
      <w:r w:rsidRPr="00BE02EB">
        <w:rPr>
          <w:b/>
          <w:bCs/>
        </w:rPr>
        <w:t>AUTHORS AND AFFILIATIONS:</w:t>
      </w:r>
    </w:p>
    <w:p w:rsidR="00B416CC" w:rsidRDefault="00B416CC" w:rsidP="00BE02EB">
      <w:pPr>
        <w:rPr>
          <w:bCs/>
          <w:color w:val="auto"/>
        </w:rPr>
      </w:pPr>
      <w:r w:rsidRPr="00BE02EB">
        <w:rPr>
          <w:bCs/>
          <w:color w:val="auto"/>
        </w:rPr>
        <w:t>Michael A. Kalwat</w:t>
      </w:r>
      <w:r w:rsidRPr="00BE02EB">
        <w:rPr>
          <w:bCs/>
          <w:color w:val="auto"/>
          <w:vertAlign w:val="superscript"/>
        </w:rPr>
        <w:t>1</w:t>
      </w:r>
      <w:r w:rsidRPr="00BE02EB">
        <w:rPr>
          <w:bCs/>
          <w:color w:val="auto"/>
        </w:rPr>
        <w:t xml:space="preserve"> and Melanie H. Cobb</w:t>
      </w:r>
      <w:r w:rsidRPr="00BE02EB">
        <w:rPr>
          <w:bCs/>
          <w:color w:val="auto"/>
          <w:vertAlign w:val="superscript"/>
        </w:rPr>
        <w:t>1</w:t>
      </w:r>
    </w:p>
    <w:p w:rsidR="008E62FE" w:rsidRPr="00BE02EB" w:rsidRDefault="008E62FE" w:rsidP="00BE02EB">
      <w:pPr>
        <w:rPr>
          <w:bCs/>
          <w:color w:val="auto"/>
        </w:rPr>
      </w:pPr>
    </w:p>
    <w:p w:rsidR="00B416CC" w:rsidRPr="00BE02EB" w:rsidRDefault="00B416CC" w:rsidP="00BE02EB">
      <w:pPr>
        <w:rPr>
          <w:bCs/>
          <w:color w:val="auto"/>
        </w:rPr>
      </w:pPr>
      <w:r w:rsidRPr="00BE02EB">
        <w:rPr>
          <w:bCs/>
          <w:color w:val="auto"/>
          <w:vertAlign w:val="superscript"/>
        </w:rPr>
        <w:t>1</w:t>
      </w:r>
      <w:r w:rsidRPr="00BE02EB">
        <w:rPr>
          <w:bCs/>
          <w:color w:val="auto"/>
        </w:rPr>
        <w:t>Department of Pharmacology, University of Texas Southwestern Medical Center, Dallas, TX, USA</w:t>
      </w:r>
    </w:p>
    <w:p w:rsidR="00B416CC" w:rsidRPr="00BE02EB" w:rsidRDefault="00B416CC" w:rsidP="00BE02EB">
      <w:pPr>
        <w:pStyle w:val="NormalWeb"/>
        <w:spacing w:before="0" w:beforeAutospacing="0" w:after="0" w:afterAutospacing="0"/>
        <w:rPr>
          <w:b/>
          <w:bCs/>
          <w:color w:val="auto"/>
        </w:rPr>
      </w:pPr>
    </w:p>
    <w:p w:rsidR="00B416CC" w:rsidRPr="00BE02EB" w:rsidRDefault="008E62FE" w:rsidP="00BE02EB">
      <w:pPr>
        <w:pStyle w:val="NormalWeb"/>
        <w:spacing w:before="0" w:beforeAutospacing="0" w:after="0" w:afterAutospacing="0"/>
        <w:rPr>
          <w:color w:val="auto"/>
        </w:rPr>
      </w:pPr>
      <w:r w:rsidRPr="00BE02EB">
        <w:rPr>
          <w:b/>
          <w:bCs/>
          <w:color w:val="auto"/>
        </w:rPr>
        <w:t>Corresponding author:</w:t>
      </w:r>
      <w:r w:rsidR="00B416CC" w:rsidRPr="00BE02EB">
        <w:rPr>
          <w:color w:val="auto"/>
        </w:rPr>
        <w:t xml:space="preserve"> </w:t>
      </w:r>
    </w:p>
    <w:p w:rsidR="00B416CC" w:rsidRPr="008E62FE" w:rsidRDefault="00B416CC" w:rsidP="008E62FE">
      <w:pPr>
        <w:pStyle w:val="NormalWeb"/>
        <w:spacing w:before="0" w:beforeAutospacing="0" w:after="0" w:afterAutospacing="0"/>
        <w:rPr>
          <w:color w:val="auto"/>
        </w:rPr>
      </w:pPr>
      <w:r w:rsidRPr="00BE02EB">
        <w:rPr>
          <w:color w:val="auto"/>
        </w:rPr>
        <w:t xml:space="preserve">Michael A. </w:t>
      </w:r>
      <w:proofErr w:type="spellStart"/>
      <w:r w:rsidRPr="00BE02EB">
        <w:rPr>
          <w:color w:val="auto"/>
        </w:rPr>
        <w:t>Kalwat</w:t>
      </w:r>
      <w:proofErr w:type="spellEnd"/>
      <w:r w:rsidR="008E62FE">
        <w:rPr>
          <w:color w:val="auto"/>
        </w:rPr>
        <w:tab/>
        <w:t>(</w:t>
      </w:r>
      <w:r w:rsidRPr="00BE02EB">
        <w:rPr>
          <w:bCs/>
          <w:color w:val="auto"/>
        </w:rPr>
        <w:t>Michael.kalwat@utsouthwestern.edu</w:t>
      </w:r>
      <w:r w:rsidR="008E62FE">
        <w:rPr>
          <w:bCs/>
          <w:color w:val="auto"/>
        </w:rPr>
        <w:t>)</w:t>
      </w:r>
    </w:p>
    <w:p w:rsidR="00B416CC" w:rsidRPr="00BE02EB" w:rsidRDefault="00B416CC" w:rsidP="00BE02EB">
      <w:pPr>
        <w:pStyle w:val="NormalWeb"/>
        <w:spacing w:before="0" w:beforeAutospacing="0" w:after="0" w:afterAutospacing="0"/>
        <w:rPr>
          <w:color w:val="auto"/>
        </w:rPr>
      </w:pPr>
    </w:p>
    <w:p w:rsidR="00B416CC" w:rsidRPr="008E62FE" w:rsidRDefault="00B416CC" w:rsidP="00BE02EB">
      <w:pPr>
        <w:pStyle w:val="NormalWeb"/>
        <w:spacing w:before="0" w:beforeAutospacing="0" w:after="0" w:afterAutospacing="0"/>
        <w:rPr>
          <w:b/>
          <w:color w:val="auto"/>
        </w:rPr>
      </w:pPr>
      <w:r w:rsidRPr="008E62FE">
        <w:rPr>
          <w:b/>
          <w:color w:val="auto"/>
        </w:rPr>
        <w:t xml:space="preserve">Email addresses of the co-authors: </w:t>
      </w:r>
    </w:p>
    <w:p w:rsidR="00B416CC" w:rsidRPr="00BE02EB" w:rsidRDefault="00B416CC" w:rsidP="00BE02EB">
      <w:pPr>
        <w:pStyle w:val="NormalWeb"/>
        <w:spacing w:before="0" w:beforeAutospacing="0" w:after="0" w:afterAutospacing="0"/>
        <w:rPr>
          <w:color w:val="auto"/>
        </w:rPr>
      </w:pPr>
      <w:r w:rsidRPr="00BE02EB">
        <w:rPr>
          <w:color w:val="auto"/>
        </w:rPr>
        <w:t xml:space="preserve">Melanie Cobb </w:t>
      </w:r>
      <w:r w:rsidR="008E62FE">
        <w:rPr>
          <w:color w:val="auto"/>
        </w:rPr>
        <w:tab/>
      </w:r>
      <w:r w:rsidR="008E62FE">
        <w:rPr>
          <w:color w:val="auto"/>
        </w:rPr>
        <w:tab/>
      </w:r>
      <w:r w:rsidRPr="00BE02EB">
        <w:rPr>
          <w:color w:val="auto"/>
        </w:rPr>
        <w:t>(</w:t>
      </w:r>
      <w:hyperlink r:id="rId7" w:history="1">
        <w:r w:rsidRPr="00BE02EB">
          <w:rPr>
            <w:rStyle w:val="Hyperlink"/>
          </w:rPr>
          <w:t>Melanie.Cobb@utsouthwestern.edu</w:t>
        </w:r>
      </w:hyperlink>
      <w:r w:rsidRPr="00BE02EB">
        <w:rPr>
          <w:color w:val="auto"/>
        </w:rPr>
        <w:t>)</w:t>
      </w:r>
    </w:p>
    <w:p w:rsidR="00B416CC" w:rsidRPr="00BE02EB" w:rsidRDefault="00B416CC" w:rsidP="00BE02EB">
      <w:pPr>
        <w:rPr>
          <w:bCs/>
          <w:color w:val="808080" w:themeColor="background1" w:themeShade="80"/>
        </w:rPr>
      </w:pPr>
    </w:p>
    <w:p w:rsidR="00B416CC" w:rsidRPr="00BE02EB" w:rsidRDefault="00B416CC" w:rsidP="00BE02EB">
      <w:pPr>
        <w:pStyle w:val="NormalWeb"/>
        <w:spacing w:before="0" w:beforeAutospacing="0" w:after="0" w:afterAutospacing="0"/>
      </w:pPr>
      <w:r w:rsidRPr="00BE02EB">
        <w:rPr>
          <w:b/>
          <w:bCs/>
        </w:rPr>
        <w:t>KEYWORDS:</w:t>
      </w:r>
    </w:p>
    <w:p w:rsidR="00B416CC" w:rsidRPr="00BE02EB" w:rsidRDefault="008E62FE" w:rsidP="00BE02EB">
      <w:pPr>
        <w:pStyle w:val="NormalWeb"/>
        <w:spacing w:before="0" w:beforeAutospacing="0" w:after="0" w:afterAutospacing="0"/>
      </w:pPr>
      <w:r w:rsidRPr="00BE02EB">
        <w:rPr>
          <w:color w:val="auto"/>
        </w:rPr>
        <w:t>I</w:t>
      </w:r>
      <w:r w:rsidR="00B416CC" w:rsidRPr="00BE02EB">
        <w:rPr>
          <w:color w:val="auto"/>
        </w:rPr>
        <w:t>nsulin</w:t>
      </w:r>
      <w:r>
        <w:rPr>
          <w:color w:val="auto"/>
        </w:rPr>
        <w:t>,</w:t>
      </w:r>
      <w:r w:rsidR="00B416CC" w:rsidRPr="00BE02EB">
        <w:rPr>
          <w:color w:val="auto"/>
        </w:rPr>
        <w:t xml:space="preserve"> secreted luciferase</w:t>
      </w:r>
      <w:r>
        <w:rPr>
          <w:color w:val="auto"/>
        </w:rPr>
        <w:t>,</w:t>
      </w:r>
      <w:r w:rsidR="00B416CC" w:rsidRPr="00BE02EB">
        <w:rPr>
          <w:color w:val="auto"/>
        </w:rPr>
        <w:t xml:space="preserve"> pancreatic beta cell</w:t>
      </w:r>
      <w:r>
        <w:rPr>
          <w:color w:val="auto"/>
        </w:rPr>
        <w:t>,</w:t>
      </w:r>
      <w:r w:rsidR="00B416CC" w:rsidRPr="00BE02EB">
        <w:rPr>
          <w:color w:val="auto"/>
        </w:rPr>
        <w:t xml:space="preserve"> diazoxide paradigm</w:t>
      </w:r>
      <w:r>
        <w:rPr>
          <w:color w:val="auto"/>
        </w:rPr>
        <w:t>,</w:t>
      </w:r>
      <w:r w:rsidR="00B416CC" w:rsidRPr="00BE02EB">
        <w:rPr>
          <w:color w:val="auto"/>
        </w:rPr>
        <w:t xml:space="preserve"> secretion assay</w:t>
      </w:r>
      <w:r>
        <w:rPr>
          <w:color w:val="auto"/>
        </w:rPr>
        <w:t>,</w:t>
      </w:r>
      <w:r w:rsidR="00B416CC" w:rsidRPr="00BE02EB">
        <w:rPr>
          <w:color w:val="auto"/>
        </w:rPr>
        <w:t xml:space="preserve"> </w:t>
      </w:r>
      <w:proofErr w:type="spellStart"/>
      <w:r>
        <w:rPr>
          <w:color w:val="auto"/>
        </w:rPr>
        <w:t>G</w:t>
      </w:r>
      <w:r w:rsidR="00B416CC" w:rsidRPr="00BE02EB">
        <w:rPr>
          <w:color w:val="auto"/>
        </w:rPr>
        <w:t>aussia</w:t>
      </w:r>
      <w:proofErr w:type="spellEnd"/>
    </w:p>
    <w:p w:rsidR="00B416CC" w:rsidRPr="00BE02EB" w:rsidRDefault="00B416CC" w:rsidP="00BE02EB">
      <w:pPr>
        <w:pStyle w:val="NormalWeb"/>
        <w:spacing w:before="0" w:beforeAutospacing="0" w:after="0" w:afterAutospacing="0"/>
      </w:pPr>
    </w:p>
    <w:p w:rsidR="00B416CC" w:rsidRPr="00BE02EB" w:rsidRDefault="00B416CC" w:rsidP="00BE02EB">
      <w:r w:rsidRPr="00BE02EB">
        <w:rPr>
          <w:b/>
          <w:bCs/>
        </w:rPr>
        <w:t>SUMMARY:</w:t>
      </w:r>
    </w:p>
    <w:p w:rsidR="00B416CC" w:rsidRPr="00BE02EB" w:rsidRDefault="00B416CC" w:rsidP="00BE02EB">
      <w:pPr>
        <w:tabs>
          <w:tab w:val="left" w:pos="0"/>
        </w:tabs>
        <w:rPr>
          <w:color w:val="auto"/>
        </w:rPr>
      </w:pPr>
      <w:r w:rsidRPr="00BE02EB">
        <w:rPr>
          <w:color w:val="auto"/>
        </w:rPr>
        <w:t xml:space="preserve">This protocol describes how to perform rapid low-cost luciferase assays </w:t>
      </w:r>
      <w:r w:rsidR="008E62FE">
        <w:rPr>
          <w:color w:val="auto"/>
        </w:rPr>
        <w:t>at</w:t>
      </w:r>
      <w:r w:rsidRPr="00BE02EB">
        <w:rPr>
          <w:color w:val="auto"/>
        </w:rPr>
        <w:t xml:space="preserve"> medium-throughput using an insulin-linked Gaussia luciferase as a proxy for insulin secretion from beta cells. The assay can be performed with most luminescence plate readers and multichannel pipettes.</w:t>
      </w:r>
    </w:p>
    <w:p w:rsidR="00B416CC" w:rsidRPr="00BE02EB" w:rsidRDefault="00B416CC" w:rsidP="00BE02EB"/>
    <w:p w:rsidR="00B416CC" w:rsidRPr="00BE02EB" w:rsidRDefault="00B416CC" w:rsidP="00BE02EB">
      <w:pPr>
        <w:rPr>
          <w:color w:val="808080"/>
        </w:rPr>
      </w:pPr>
      <w:r w:rsidRPr="00BE02EB">
        <w:rPr>
          <w:b/>
          <w:bCs/>
        </w:rPr>
        <w:t>ABSTRACT:</w:t>
      </w:r>
    </w:p>
    <w:p w:rsidR="00B416CC" w:rsidRPr="00BE02EB" w:rsidRDefault="00B416CC" w:rsidP="00BE02EB">
      <w:r w:rsidRPr="00BE02EB">
        <w:t>Performing antibody-based assays for secreted insulin post-sample collection usually requires a few hours to a day of assay time and can be expensive, depending on the specific assay. Secreted luciferase assays expedite results and lower the assay cost per sample substantially. Here we present a relatively underused approach to gauge insulin secretory activity from pancreatic β cells by using Gaussia luciferase genetically inserted within the C-peptide. During proteolytic processing of proinsulin</w:t>
      </w:r>
      <w:r w:rsidR="008E62FE">
        <w:t>,</w:t>
      </w:r>
      <w:r w:rsidRPr="00BE02EB">
        <w:t xml:space="preserve"> the C-peptide is excised releasing the luciferase within the insulin secretory vesicle where it is co-secreted with insulin. Results can be obtained within minutes after sample collection because of the speed of luciferase assays. A limitation of the assay is that it is a relative measurement of insulin secretion and not an absolute quantitation. However, this protocol is economical, scalable, and can be performed using most standard luminescence plate readers. Analog and digital multichannel pipettes facilitate multiple steps of the assay. Many different experimental variations can be tested simultaneously. Once a focused set of conditions are decided upon, insulin concentrations should be measured directly using antibody-based assays with standard curves to confirm the luciferase assay results.</w:t>
      </w:r>
    </w:p>
    <w:p w:rsidR="00B416CC" w:rsidRPr="00BE02EB" w:rsidRDefault="00B416CC" w:rsidP="00BE02EB"/>
    <w:p w:rsidR="00B416CC" w:rsidRPr="00BE02EB" w:rsidRDefault="00B416CC" w:rsidP="00BE02EB">
      <w:pPr>
        <w:rPr>
          <w:color w:val="808080"/>
        </w:rPr>
      </w:pPr>
      <w:r w:rsidRPr="00BE02EB">
        <w:rPr>
          <w:b/>
        </w:rPr>
        <w:t>INTRODUCTION</w:t>
      </w:r>
      <w:r w:rsidRPr="00BE02EB">
        <w:rPr>
          <w:b/>
          <w:bCs/>
        </w:rPr>
        <w:t>:</w:t>
      </w:r>
      <w:r w:rsidRPr="00BE02EB">
        <w:rPr>
          <w:color w:val="808080"/>
        </w:rPr>
        <w:t xml:space="preserve"> </w:t>
      </w:r>
    </w:p>
    <w:p w:rsidR="00B416CC" w:rsidRPr="00BE02EB" w:rsidRDefault="00B416CC" w:rsidP="00BE02EB">
      <w:r w:rsidRPr="00BE02EB">
        <w:t>The method presented here allows insulin secretion from a genetically-modified beta cell line to be assayed rapidly and affordably in 96-well</w:t>
      </w:r>
      <w:r w:rsidR="008E62FE">
        <w:t>-</w:t>
      </w:r>
      <w:r w:rsidRPr="00BE02EB">
        <w:t xml:space="preserve">plate format. The key to this protocol is a modified version of insulin with the naturally-secreted </w:t>
      </w:r>
      <w:proofErr w:type="spellStart"/>
      <w:r w:rsidRPr="00BE02EB">
        <w:t>Gaussia</w:t>
      </w:r>
      <w:proofErr w:type="spellEnd"/>
      <w:r w:rsidRPr="00BE02EB">
        <w:t xml:space="preserve"> luciferase (</w:t>
      </w:r>
      <w:proofErr w:type="spellStart"/>
      <w:r w:rsidRPr="00BE02EB">
        <w:t>GLuc</w:t>
      </w:r>
      <w:proofErr w:type="spellEnd"/>
      <w:r w:rsidRPr="00BE02EB">
        <w:t xml:space="preserve">, ~18 </w:t>
      </w:r>
      <w:proofErr w:type="spellStart"/>
      <w:r w:rsidRPr="00BE02EB">
        <w:t>kDa</w:t>
      </w:r>
      <w:proofErr w:type="spellEnd"/>
      <w:r w:rsidRPr="00BE02EB">
        <w:t xml:space="preserve">) inserted </w:t>
      </w:r>
      <w:r w:rsidR="008E7E2F">
        <w:t>(see</w:t>
      </w:r>
      <w:r w:rsidR="008E7E2F" w:rsidRPr="008E7E2F">
        <w:rPr>
          <w:b/>
        </w:rPr>
        <w:t xml:space="preserve"> Figure 1</w:t>
      </w:r>
      <w:r w:rsidR="008E7E2F">
        <w:t xml:space="preserve">) </w:t>
      </w:r>
      <w:r w:rsidRPr="00BE02EB">
        <w:t>into the C-peptide to generate insulin-Gaussia (InsGLuc)</w:t>
      </w:r>
      <w:r w:rsidRPr="00BE02EB">
        <w:rPr>
          <w:noProof/>
          <w:vertAlign w:val="superscript"/>
        </w:rPr>
        <w:t>1,2</w:t>
      </w:r>
      <w:r w:rsidRPr="00BE02EB">
        <w:t xml:space="preserve">. Other larger proteins, such as GFP (~25 </w:t>
      </w:r>
      <w:proofErr w:type="spellStart"/>
      <w:r w:rsidRPr="00BE02EB">
        <w:t>kDa</w:t>
      </w:r>
      <w:proofErr w:type="spellEnd"/>
      <w:r w:rsidRPr="00BE02EB">
        <w:t xml:space="preserve">), have been successfully inserted into the C-peptide of insulin and exhibited the </w:t>
      </w:r>
      <w:r w:rsidRPr="00BE02EB">
        <w:lastRenderedPageBreak/>
        <w:t>expected post-translational processing from proinsulin-GFP to insulin and GFP-C-peptide</w:t>
      </w:r>
      <w:r w:rsidRPr="00BE02EB">
        <w:rPr>
          <w:noProof/>
          <w:vertAlign w:val="superscript"/>
        </w:rPr>
        <w:t>3,4</w:t>
      </w:r>
      <w:r w:rsidRPr="00BE02EB">
        <w:t xml:space="preserve">. For the assay in this protocol, </w:t>
      </w:r>
      <w:proofErr w:type="spellStart"/>
      <w:r w:rsidRPr="00BE02EB">
        <w:t>GLuc</w:t>
      </w:r>
      <w:proofErr w:type="spellEnd"/>
      <w:r w:rsidRPr="00BE02EB">
        <w:t xml:space="preserve"> has been codon-optimized for mammalian expression and two mutations have been introduced to enhance glow-like kinetics</w:t>
      </w:r>
      <w:r w:rsidRPr="00BE02EB">
        <w:rPr>
          <w:noProof/>
          <w:vertAlign w:val="superscript"/>
        </w:rPr>
        <w:t>5,6</w:t>
      </w:r>
      <w:r w:rsidRPr="00BE02EB">
        <w:t>. Multiple combinations and replicates of treatment conditions can be easily tested in 96-well</w:t>
      </w:r>
      <w:r w:rsidR="008E62FE">
        <w:t>-</w:t>
      </w:r>
      <w:r w:rsidRPr="00BE02EB">
        <w:t xml:space="preserve">plate format and the secretion results can be obtained immediately following the experiment. </w:t>
      </w:r>
    </w:p>
    <w:p w:rsidR="00B416CC" w:rsidRPr="00BE02EB" w:rsidRDefault="00B416CC" w:rsidP="00BE02EB"/>
    <w:p w:rsidR="00B416CC" w:rsidRPr="00BE02EB" w:rsidRDefault="00B416CC" w:rsidP="00BE02EB">
      <w:r w:rsidRPr="00BE02EB">
        <w:t>A major advantage, as previously noted</w:t>
      </w:r>
      <w:r w:rsidRPr="00BE02EB">
        <w:rPr>
          <w:noProof/>
          <w:vertAlign w:val="superscript"/>
        </w:rPr>
        <w:t>2</w:t>
      </w:r>
      <w:r w:rsidRPr="00BE02EB">
        <w:t>, is the low cost of this luciferase-based secretion measurement (&lt;</w:t>
      </w:r>
      <w:r w:rsidR="008E62FE">
        <w:t xml:space="preserve"> </w:t>
      </w:r>
      <w:r w:rsidRPr="00BE02EB">
        <w:t xml:space="preserve">$0.01/well) which differentiates it from the relatively higher costs and technical aspects of </w:t>
      </w:r>
      <w:r w:rsidR="008E62FE" w:rsidRPr="008E62FE">
        <w:t>enzyme-linked immunosorbent assay</w:t>
      </w:r>
      <w:r w:rsidR="008E62FE">
        <w:t>s (</w:t>
      </w:r>
      <w:r w:rsidRPr="00BE02EB">
        <w:t>ELISAs</w:t>
      </w:r>
      <w:r w:rsidR="008E62FE">
        <w:t>)</w:t>
      </w:r>
      <w:r w:rsidRPr="00BE02EB">
        <w:t xml:space="preserve"> (&gt;</w:t>
      </w:r>
      <w:r w:rsidR="008E62FE">
        <w:t xml:space="preserve"> </w:t>
      </w:r>
      <w:r w:rsidRPr="00BE02EB">
        <w:t xml:space="preserve">$2/well) and homogenous time-resolved fluorescence (HTRF) or other </w:t>
      </w:r>
      <w:proofErr w:type="spellStart"/>
      <w:r w:rsidR="008E62FE" w:rsidRPr="008E62FE">
        <w:t>Förster</w:t>
      </w:r>
      <w:proofErr w:type="spellEnd"/>
      <w:r w:rsidR="008E62FE" w:rsidRPr="008E62FE">
        <w:t xml:space="preserve"> resonance energy transfer</w:t>
      </w:r>
      <w:r w:rsidR="008E62FE" w:rsidRPr="008E62FE">
        <w:t xml:space="preserve"> </w:t>
      </w:r>
      <w:r w:rsidR="008E62FE">
        <w:t>(</w:t>
      </w:r>
      <w:r w:rsidRPr="00BE02EB">
        <w:t>FRET</w:t>
      </w:r>
      <w:r w:rsidR="008E62FE">
        <w:t>)</w:t>
      </w:r>
      <w:r w:rsidRPr="00BE02EB">
        <w:t>-based antibody (&gt;</w:t>
      </w:r>
      <w:r w:rsidR="008E62FE">
        <w:t xml:space="preserve"> </w:t>
      </w:r>
      <w:r w:rsidRPr="00BE02EB">
        <w:t>$1/well) assays. In comparison to these antibody-based assays, which measure the concentration of insulin by referencing a standard curve, the InsGLuc assay measures secretory activity as a relative comparison to control wells on the plate. For that reason, every experiment requires the inclusion of proper controls. This distinction is a trade-off to allow rapid and inexpensive measurements. However, InsGLuc secretion has been demonstrated to be highly correlated with insulin secretion as measured by ELISA</w:t>
      </w:r>
      <w:r w:rsidRPr="00BE02EB">
        <w:rPr>
          <w:noProof/>
          <w:vertAlign w:val="superscript"/>
        </w:rPr>
        <w:t>1,2</w:t>
      </w:r>
      <w:r w:rsidRPr="00BE02EB">
        <w:t>. This technology has been scaled up for high-throughput screening</w:t>
      </w:r>
      <w:r w:rsidRPr="00BE02EB">
        <w:rPr>
          <w:noProof/>
          <w:vertAlign w:val="superscript"/>
        </w:rPr>
        <w:t>1,2,7</w:t>
      </w:r>
      <w:r w:rsidRPr="00BE02EB">
        <w:t xml:space="preserve"> and has led to the identification of novel modulators of insulin secretion including a voltage-gated potassium channel inhibitor</w:t>
      </w:r>
      <w:r w:rsidRPr="00BE02EB">
        <w:rPr>
          <w:noProof/>
          <w:vertAlign w:val="superscript"/>
        </w:rPr>
        <w:t>7</w:t>
      </w:r>
      <w:r w:rsidRPr="00BE02EB">
        <w:t xml:space="preserve"> as well as a natural product inhibitor of β cell function, </w:t>
      </w:r>
      <w:proofErr w:type="spellStart"/>
      <w:r w:rsidRPr="00BE02EB">
        <w:t>chromomycin</w:t>
      </w:r>
      <w:proofErr w:type="spellEnd"/>
      <w:r w:rsidRPr="00BE02EB">
        <w:t xml:space="preserve"> A</w:t>
      </w:r>
      <w:r w:rsidRPr="00BE02EB">
        <w:rPr>
          <w:vertAlign w:val="subscript"/>
        </w:rPr>
        <w:t>2</w:t>
      </w:r>
      <w:r w:rsidRPr="00BE02EB">
        <w:rPr>
          <w:noProof/>
          <w:vertAlign w:val="superscript"/>
        </w:rPr>
        <w:t>8</w:t>
      </w:r>
      <w:r w:rsidRPr="00BE02EB">
        <w:t>. The use of InsGLuc is most appropriate for researchers who plan to continually test many different treatment conditions for their impact on insulin secretion. In follow-up experiments it is necessary to repeat key findings in a parental β cell line, and optimally in murine or human islets, and measure insulin secretion using an antibody-based assay.</w:t>
      </w:r>
    </w:p>
    <w:p w:rsidR="00B416CC" w:rsidRPr="00BE02EB" w:rsidRDefault="00B416CC" w:rsidP="00BE02EB">
      <w:r w:rsidRPr="00BE02EB">
        <w:t xml:space="preserve"> </w:t>
      </w:r>
    </w:p>
    <w:p w:rsidR="00B416CC" w:rsidRPr="00BE02EB" w:rsidRDefault="00B416CC" w:rsidP="00BE02EB">
      <w:pPr>
        <w:rPr>
          <w:b/>
        </w:rPr>
      </w:pPr>
      <w:r w:rsidRPr="00BE02EB">
        <w:rPr>
          <w:b/>
        </w:rPr>
        <w:t>PROTOCOL:</w:t>
      </w:r>
    </w:p>
    <w:p w:rsidR="00B416CC" w:rsidRPr="00BE02EB" w:rsidRDefault="00B416CC" w:rsidP="00BE02EB">
      <w:pPr>
        <w:rPr>
          <w:b/>
        </w:rPr>
      </w:pPr>
    </w:p>
    <w:p w:rsidR="00B416CC" w:rsidRDefault="00B416CC" w:rsidP="00BE02EB">
      <w:pPr>
        <w:pStyle w:val="ListParagraph"/>
        <w:numPr>
          <w:ilvl w:val="0"/>
          <w:numId w:val="27"/>
        </w:numPr>
        <w:rPr>
          <w:b/>
          <w:color w:val="auto"/>
        </w:rPr>
      </w:pPr>
      <w:r w:rsidRPr="00BE02EB">
        <w:rPr>
          <w:b/>
          <w:color w:val="auto"/>
        </w:rPr>
        <w:t>Preparation of reagents, media and buffers</w:t>
      </w:r>
      <w:r w:rsidR="008E7E2F">
        <w:rPr>
          <w:b/>
          <w:color w:val="auto"/>
        </w:rPr>
        <w:t xml:space="preserve"> (Table 1)</w:t>
      </w:r>
    </w:p>
    <w:p w:rsidR="008E62FE" w:rsidRPr="00BE02EB" w:rsidRDefault="008E62FE" w:rsidP="008E62FE">
      <w:pPr>
        <w:pStyle w:val="ListParagraph"/>
        <w:ind w:left="0"/>
        <w:rPr>
          <w:b/>
          <w:color w:val="auto"/>
        </w:rPr>
      </w:pPr>
    </w:p>
    <w:p w:rsidR="00835870" w:rsidRPr="00835870" w:rsidRDefault="00835870" w:rsidP="00BE02EB">
      <w:pPr>
        <w:pStyle w:val="ListParagraph"/>
        <w:numPr>
          <w:ilvl w:val="1"/>
          <w:numId w:val="27"/>
        </w:numPr>
        <w:rPr>
          <w:color w:val="auto"/>
        </w:rPr>
      </w:pPr>
      <w:r w:rsidRPr="00835870">
        <w:rPr>
          <w:color w:val="auto"/>
        </w:rPr>
        <w:t xml:space="preserve">Prepare </w:t>
      </w:r>
      <w:r w:rsidR="00B416CC" w:rsidRPr="00835870">
        <w:rPr>
          <w:color w:val="auto"/>
        </w:rPr>
        <w:t xml:space="preserve">MIN6 </w:t>
      </w:r>
      <w:r w:rsidRPr="00835870">
        <w:rPr>
          <w:color w:val="auto"/>
        </w:rPr>
        <w:t xml:space="preserve">complete </w:t>
      </w:r>
      <w:r w:rsidR="00B416CC" w:rsidRPr="00835870">
        <w:rPr>
          <w:color w:val="auto"/>
        </w:rPr>
        <w:t xml:space="preserve">media in 500 mL of high-glucose (4.5 g/L) </w:t>
      </w:r>
      <w:r w:rsidRPr="00835870">
        <w:rPr>
          <w:color w:val="auto"/>
        </w:rPr>
        <w:t xml:space="preserve">Dulbecco's </w:t>
      </w:r>
      <w:r w:rsidRPr="00835870">
        <w:rPr>
          <w:color w:val="auto"/>
        </w:rPr>
        <w:t>m</w:t>
      </w:r>
      <w:r w:rsidRPr="00835870">
        <w:rPr>
          <w:color w:val="auto"/>
        </w:rPr>
        <w:t xml:space="preserve">odified Eagle </w:t>
      </w:r>
      <w:r w:rsidRPr="00835870">
        <w:rPr>
          <w:color w:val="auto"/>
        </w:rPr>
        <w:t>m</w:t>
      </w:r>
      <w:r w:rsidRPr="00835870">
        <w:rPr>
          <w:color w:val="auto"/>
        </w:rPr>
        <w:t>edium</w:t>
      </w:r>
      <w:r w:rsidRPr="00835870">
        <w:rPr>
          <w:color w:val="auto"/>
        </w:rPr>
        <w:t xml:space="preserve"> (</w:t>
      </w:r>
      <w:r w:rsidR="00B416CC" w:rsidRPr="00835870">
        <w:rPr>
          <w:color w:val="auto"/>
        </w:rPr>
        <w:t>DMEM</w:t>
      </w:r>
      <w:r w:rsidRPr="00835870">
        <w:rPr>
          <w:color w:val="auto"/>
        </w:rPr>
        <w:t>)</w:t>
      </w:r>
      <w:r w:rsidR="00B416CC" w:rsidRPr="00835870">
        <w:rPr>
          <w:color w:val="auto"/>
        </w:rPr>
        <w:t xml:space="preserve"> with the following additives: 15% fetal bovine serum</w:t>
      </w:r>
      <w:r w:rsidRPr="00835870">
        <w:rPr>
          <w:color w:val="auto"/>
        </w:rPr>
        <w:t xml:space="preserve"> (FBS)</w:t>
      </w:r>
      <w:r w:rsidR="00B416CC" w:rsidRPr="00835870">
        <w:rPr>
          <w:color w:val="auto"/>
        </w:rPr>
        <w:t xml:space="preserve">, 100 units/mL penicillin, 100 </w:t>
      </w:r>
      <w:proofErr w:type="spellStart"/>
      <w:r w:rsidR="00B416CC" w:rsidRPr="00835870">
        <w:rPr>
          <w:color w:val="auto"/>
        </w:rPr>
        <w:t>μg</w:t>
      </w:r>
      <w:proofErr w:type="spellEnd"/>
      <w:r w:rsidR="00B416CC" w:rsidRPr="00835870">
        <w:rPr>
          <w:color w:val="auto"/>
        </w:rPr>
        <w:t xml:space="preserve">/mL streptomycin, 292 </w:t>
      </w:r>
      <w:proofErr w:type="spellStart"/>
      <w:r w:rsidR="00B416CC" w:rsidRPr="00835870">
        <w:rPr>
          <w:color w:val="auto"/>
        </w:rPr>
        <w:t>μg</w:t>
      </w:r>
      <w:proofErr w:type="spellEnd"/>
      <w:r w:rsidR="00B416CC" w:rsidRPr="00835870">
        <w:rPr>
          <w:color w:val="auto"/>
        </w:rPr>
        <w:t xml:space="preserve">/mL L-glutamine, and 50 </w:t>
      </w:r>
      <w:proofErr w:type="spellStart"/>
      <w:r w:rsidR="00B416CC" w:rsidRPr="00835870">
        <w:rPr>
          <w:color w:val="auto"/>
        </w:rPr>
        <w:t>μM</w:t>
      </w:r>
      <w:proofErr w:type="spellEnd"/>
      <w:r w:rsidR="00B416CC" w:rsidRPr="00835870">
        <w:rPr>
          <w:color w:val="auto"/>
        </w:rPr>
        <w:t xml:space="preserve"> β-</w:t>
      </w:r>
      <w:proofErr w:type="spellStart"/>
      <w:r w:rsidR="00B416CC" w:rsidRPr="00835870">
        <w:rPr>
          <w:color w:val="auto"/>
        </w:rPr>
        <w:t>mercaptoethanol</w:t>
      </w:r>
      <w:proofErr w:type="spellEnd"/>
      <w:r w:rsidR="00B416CC" w:rsidRPr="00835870">
        <w:rPr>
          <w:color w:val="auto"/>
        </w:rPr>
        <w:t xml:space="preserve">. </w:t>
      </w:r>
    </w:p>
    <w:p w:rsidR="00835870" w:rsidRPr="00835870" w:rsidRDefault="00835870" w:rsidP="00835870">
      <w:pPr>
        <w:pStyle w:val="ListParagraph"/>
        <w:ind w:left="0"/>
        <w:rPr>
          <w:color w:val="auto"/>
        </w:rPr>
      </w:pPr>
    </w:p>
    <w:p w:rsidR="00B416CC" w:rsidRPr="00835870" w:rsidRDefault="00835870" w:rsidP="00835870">
      <w:pPr>
        <w:pStyle w:val="ListParagraph"/>
        <w:ind w:left="0"/>
        <w:rPr>
          <w:color w:val="auto"/>
        </w:rPr>
      </w:pPr>
      <w:r w:rsidRPr="00835870">
        <w:rPr>
          <w:color w:val="auto"/>
        </w:rPr>
        <w:t xml:space="preserve">NOTE: </w:t>
      </w:r>
      <w:r w:rsidR="00B416CC" w:rsidRPr="00835870">
        <w:rPr>
          <w:color w:val="auto"/>
        </w:rPr>
        <w:t xml:space="preserve">The stable </w:t>
      </w:r>
      <w:r w:rsidRPr="00835870">
        <w:rPr>
          <w:color w:val="auto"/>
        </w:rPr>
        <w:t xml:space="preserve">cell </w:t>
      </w:r>
      <w:r w:rsidR="00B416CC" w:rsidRPr="00835870">
        <w:rPr>
          <w:color w:val="auto"/>
        </w:rPr>
        <w:t>line in this case is maintained in 250 µg/mL of G418</w:t>
      </w:r>
      <w:r w:rsidRPr="00835870">
        <w:rPr>
          <w:color w:val="auto"/>
        </w:rPr>
        <w:t xml:space="preserve"> antibiotic</w:t>
      </w:r>
      <w:r w:rsidR="00B416CC" w:rsidRPr="00835870">
        <w:rPr>
          <w:color w:val="auto"/>
        </w:rPr>
        <w:t>.</w:t>
      </w:r>
    </w:p>
    <w:p w:rsidR="00B416CC" w:rsidRPr="00835870" w:rsidRDefault="00B416CC" w:rsidP="00BE02EB">
      <w:pPr>
        <w:pStyle w:val="ListParagraph"/>
        <w:ind w:left="0"/>
        <w:rPr>
          <w:color w:val="auto"/>
        </w:rPr>
      </w:pPr>
    </w:p>
    <w:p w:rsidR="00B416CC" w:rsidRPr="00835870" w:rsidRDefault="00835870" w:rsidP="00BE02EB">
      <w:pPr>
        <w:pStyle w:val="ListParagraph"/>
        <w:numPr>
          <w:ilvl w:val="1"/>
          <w:numId w:val="27"/>
        </w:numPr>
        <w:rPr>
          <w:color w:val="auto"/>
          <w:highlight w:val="yellow"/>
        </w:rPr>
      </w:pPr>
      <w:r w:rsidRPr="00835870">
        <w:rPr>
          <w:color w:val="auto"/>
          <w:highlight w:val="yellow"/>
        </w:rPr>
        <w:t xml:space="preserve">Prepare </w:t>
      </w:r>
      <w:r w:rsidR="00B416CC" w:rsidRPr="00835870">
        <w:rPr>
          <w:color w:val="auto"/>
          <w:highlight w:val="yellow"/>
        </w:rPr>
        <w:t xml:space="preserve">Krebs-Ringer </w:t>
      </w:r>
      <w:r w:rsidRPr="00835870">
        <w:rPr>
          <w:color w:val="auto"/>
          <w:highlight w:val="yellow"/>
        </w:rPr>
        <w:t>b</w:t>
      </w:r>
      <w:r w:rsidR="00B416CC" w:rsidRPr="00835870">
        <w:rPr>
          <w:color w:val="auto"/>
          <w:highlight w:val="yellow"/>
        </w:rPr>
        <w:t xml:space="preserve">icarbonate </w:t>
      </w:r>
      <w:r w:rsidRPr="00835870">
        <w:rPr>
          <w:color w:val="auto"/>
          <w:highlight w:val="yellow"/>
        </w:rPr>
        <w:t>b</w:t>
      </w:r>
      <w:r w:rsidR="00B416CC" w:rsidRPr="00835870">
        <w:rPr>
          <w:color w:val="auto"/>
          <w:highlight w:val="yellow"/>
        </w:rPr>
        <w:t xml:space="preserve">uffer (KRBH) </w:t>
      </w:r>
      <w:r w:rsidRPr="00835870">
        <w:rPr>
          <w:color w:val="auto"/>
          <w:highlight w:val="yellow"/>
        </w:rPr>
        <w:t xml:space="preserve">by </w:t>
      </w:r>
      <w:r w:rsidR="00B416CC" w:rsidRPr="00835870">
        <w:rPr>
          <w:color w:val="auto"/>
          <w:highlight w:val="yellow"/>
        </w:rPr>
        <w:t>mak</w:t>
      </w:r>
      <w:r w:rsidRPr="00835870">
        <w:rPr>
          <w:color w:val="auto"/>
          <w:highlight w:val="yellow"/>
        </w:rPr>
        <w:t>ing</w:t>
      </w:r>
      <w:r w:rsidR="00B416CC" w:rsidRPr="00835870">
        <w:rPr>
          <w:color w:val="auto"/>
          <w:highlight w:val="yellow"/>
        </w:rPr>
        <w:t xml:space="preserve"> a solution containing 5 mM </w:t>
      </w:r>
      <w:proofErr w:type="spellStart"/>
      <w:r w:rsidR="00B416CC" w:rsidRPr="00835870">
        <w:rPr>
          <w:color w:val="auto"/>
          <w:highlight w:val="yellow"/>
        </w:rPr>
        <w:t>KCl</w:t>
      </w:r>
      <w:proofErr w:type="spellEnd"/>
      <w:r w:rsidR="00B416CC" w:rsidRPr="00835870">
        <w:rPr>
          <w:color w:val="auto"/>
          <w:highlight w:val="yellow"/>
        </w:rPr>
        <w:t xml:space="preserve">, 120 mM NaCl, 15 mM HEPES </w:t>
      </w:r>
      <w:r w:rsidRPr="00835870">
        <w:rPr>
          <w:color w:val="auto"/>
          <w:highlight w:val="yellow"/>
        </w:rPr>
        <w:t>(</w:t>
      </w:r>
      <w:r w:rsidR="00B416CC" w:rsidRPr="00835870">
        <w:rPr>
          <w:color w:val="auto"/>
          <w:highlight w:val="yellow"/>
        </w:rPr>
        <w:t>pH 7.4</w:t>
      </w:r>
      <w:r w:rsidRPr="00835870">
        <w:rPr>
          <w:color w:val="auto"/>
          <w:highlight w:val="yellow"/>
        </w:rPr>
        <w:t>)</w:t>
      </w:r>
      <w:r w:rsidR="00B416CC" w:rsidRPr="00835870">
        <w:rPr>
          <w:color w:val="auto"/>
          <w:highlight w:val="yellow"/>
        </w:rPr>
        <w:t>, 24 mM NaHCO</w:t>
      </w:r>
      <w:r w:rsidR="00B416CC" w:rsidRPr="00835870">
        <w:rPr>
          <w:color w:val="auto"/>
          <w:highlight w:val="yellow"/>
          <w:vertAlign w:val="subscript"/>
        </w:rPr>
        <w:t>3</w:t>
      </w:r>
      <w:r w:rsidR="00B416CC" w:rsidRPr="00835870">
        <w:rPr>
          <w:color w:val="auto"/>
          <w:highlight w:val="yellow"/>
        </w:rPr>
        <w:t>, 1 mM MgCl</w:t>
      </w:r>
      <w:r w:rsidR="00B416CC" w:rsidRPr="00835870">
        <w:rPr>
          <w:color w:val="auto"/>
          <w:highlight w:val="yellow"/>
          <w:vertAlign w:val="subscript"/>
        </w:rPr>
        <w:t>2</w:t>
      </w:r>
      <w:r w:rsidR="00B416CC" w:rsidRPr="00835870">
        <w:rPr>
          <w:color w:val="auto"/>
          <w:highlight w:val="yellow"/>
        </w:rPr>
        <w:t>, 2 mM CaCl</w:t>
      </w:r>
      <w:r w:rsidR="00B416CC" w:rsidRPr="00835870">
        <w:rPr>
          <w:color w:val="auto"/>
          <w:highlight w:val="yellow"/>
          <w:vertAlign w:val="subscript"/>
        </w:rPr>
        <w:t>2</w:t>
      </w:r>
      <w:r w:rsidR="00B416CC" w:rsidRPr="00835870">
        <w:rPr>
          <w:color w:val="auto"/>
          <w:highlight w:val="yellow"/>
        </w:rPr>
        <w:t xml:space="preserve">, and 1 mg/mL radioimmunoassay-grade </w:t>
      </w:r>
      <w:r w:rsidRPr="00835870">
        <w:rPr>
          <w:color w:val="auto"/>
          <w:highlight w:val="yellow"/>
        </w:rPr>
        <w:t>bovine serum albumin (</w:t>
      </w:r>
      <w:r w:rsidR="00B416CC" w:rsidRPr="00835870">
        <w:rPr>
          <w:color w:val="auto"/>
          <w:highlight w:val="yellow"/>
        </w:rPr>
        <w:t>BSA</w:t>
      </w:r>
      <w:r w:rsidRPr="00835870">
        <w:rPr>
          <w:color w:val="auto"/>
          <w:highlight w:val="yellow"/>
        </w:rPr>
        <w:t>)</w:t>
      </w:r>
      <w:r w:rsidR="00B416CC" w:rsidRPr="00835870">
        <w:rPr>
          <w:color w:val="auto"/>
          <w:highlight w:val="yellow"/>
        </w:rPr>
        <w:t xml:space="preserve">. Glucose is </w:t>
      </w:r>
      <w:r w:rsidRPr="00835870">
        <w:rPr>
          <w:color w:val="auto"/>
          <w:highlight w:val="yellow"/>
        </w:rPr>
        <w:t xml:space="preserve">to be </w:t>
      </w:r>
      <w:r w:rsidR="00B416CC" w:rsidRPr="00835870">
        <w:rPr>
          <w:color w:val="auto"/>
          <w:highlight w:val="yellow"/>
        </w:rPr>
        <w:t xml:space="preserve">added where specified from a 2 M stock. </w:t>
      </w:r>
    </w:p>
    <w:p w:rsidR="00835870" w:rsidRPr="00835870" w:rsidRDefault="00835870" w:rsidP="00BE02EB">
      <w:pPr>
        <w:pStyle w:val="ListParagraph"/>
        <w:ind w:left="0"/>
        <w:rPr>
          <w:color w:val="auto"/>
        </w:rPr>
      </w:pPr>
    </w:p>
    <w:p w:rsidR="00B416CC" w:rsidRPr="00835870" w:rsidRDefault="00835870" w:rsidP="00BE02EB">
      <w:pPr>
        <w:pStyle w:val="ListParagraph"/>
        <w:ind w:left="0"/>
        <w:rPr>
          <w:color w:val="auto"/>
        </w:rPr>
      </w:pPr>
      <w:r w:rsidRPr="00835870">
        <w:rPr>
          <w:color w:val="auto"/>
        </w:rPr>
        <w:t xml:space="preserve">NOTE: </w:t>
      </w:r>
      <w:r w:rsidRPr="00835870">
        <w:rPr>
          <w:color w:val="auto"/>
        </w:rPr>
        <w:t xml:space="preserve">KRBH is used to incubate the cells with and without stimulation in order to assess insulin and/or </w:t>
      </w:r>
      <w:proofErr w:type="spellStart"/>
      <w:r w:rsidRPr="00835870">
        <w:rPr>
          <w:color w:val="auto"/>
        </w:rPr>
        <w:t>Gaussia</w:t>
      </w:r>
      <w:proofErr w:type="spellEnd"/>
      <w:r w:rsidRPr="00835870">
        <w:rPr>
          <w:color w:val="auto"/>
        </w:rPr>
        <w:t xml:space="preserve"> luciferase secretion.</w:t>
      </w:r>
    </w:p>
    <w:p w:rsidR="00835870" w:rsidRPr="00835870" w:rsidRDefault="00835870" w:rsidP="00BE02EB">
      <w:pPr>
        <w:pStyle w:val="ListParagraph"/>
        <w:ind w:left="0"/>
        <w:rPr>
          <w:color w:val="auto"/>
        </w:rPr>
      </w:pPr>
    </w:p>
    <w:p w:rsidR="00835870" w:rsidRDefault="00835870" w:rsidP="00BE02EB">
      <w:pPr>
        <w:pStyle w:val="ListParagraph"/>
        <w:numPr>
          <w:ilvl w:val="1"/>
          <w:numId w:val="27"/>
        </w:numPr>
        <w:rPr>
          <w:color w:val="auto"/>
        </w:rPr>
      </w:pPr>
      <w:r w:rsidRPr="00835870">
        <w:rPr>
          <w:color w:val="auto"/>
        </w:rPr>
        <w:t>Prepare c</w:t>
      </w:r>
      <w:r w:rsidR="00B416CC" w:rsidRPr="00835870">
        <w:rPr>
          <w:color w:val="auto"/>
        </w:rPr>
        <w:t>oelenterazine (CTZ) stock solution</w:t>
      </w:r>
      <w:r w:rsidRPr="00835870">
        <w:rPr>
          <w:color w:val="auto"/>
        </w:rPr>
        <w:t xml:space="preserve"> as follows.</w:t>
      </w:r>
      <w:r w:rsidR="00B416CC" w:rsidRPr="00BE02EB">
        <w:rPr>
          <w:color w:val="auto"/>
        </w:rPr>
        <w:t xml:space="preserve"> Prepare acidified methanol by adding 106 µ</w:t>
      </w:r>
      <w:r>
        <w:rPr>
          <w:color w:val="auto"/>
        </w:rPr>
        <w:t>L</w:t>
      </w:r>
      <w:r w:rsidR="00B416CC" w:rsidRPr="00BE02EB">
        <w:rPr>
          <w:color w:val="auto"/>
        </w:rPr>
        <w:t xml:space="preserve"> of concentrated HCl to 10 mL of methanol. Next, dissolve lyophilized CTZ in acidified </w:t>
      </w:r>
      <w:r w:rsidR="00B416CC" w:rsidRPr="00BE02EB">
        <w:rPr>
          <w:color w:val="auto"/>
        </w:rPr>
        <w:lastRenderedPageBreak/>
        <w:t>methanol at 1 mg/mL and store at -80</w:t>
      </w:r>
      <w:r>
        <w:rPr>
          <w:color w:val="auto"/>
        </w:rPr>
        <w:t xml:space="preserve"> </w:t>
      </w:r>
      <w:r w:rsidR="00B416CC" w:rsidRPr="00BE02EB">
        <w:rPr>
          <w:color w:val="auto"/>
        </w:rPr>
        <w:t>°C in screw</w:t>
      </w:r>
      <w:r>
        <w:rPr>
          <w:color w:val="auto"/>
        </w:rPr>
        <w:t>-</w:t>
      </w:r>
      <w:r w:rsidR="00B416CC" w:rsidRPr="00BE02EB">
        <w:rPr>
          <w:color w:val="auto"/>
        </w:rPr>
        <w:t xml:space="preserve">cap tubes. </w:t>
      </w:r>
    </w:p>
    <w:p w:rsidR="00835870" w:rsidRDefault="00835870" w:rsidP="00835870">
      <w:pPr>
        <w:pStyle w:val="ListParagraph"/>
        <w:ind w:left="0"/>
        <w:rPr>
          <w:color w:val="auto"/>
        </w:rPr>
      </w:pPr>
    </w:p>
    <w:p w:rsidR="00B416CC" w:rsidRPr="00BE02EB" w:rsidRDefault="00835870" w:rsidP="00835870">
      <w:pPr>
        <w:pStyle w:val="ListParagraph"/>
        <w:ind w:left="0"/>
        <w:rPr>
          <w:color w:val="auto"/>
        </w:rPr>
      </w:pPr>
      <w:r>
        <w:rPr>
          <w:color w:val="auto"/>
        </w:rPr>
        <w:t xml:space="preserve">NOTE: </w:t>
      </w:r>
      <w:r w:rsidR="00B416CC" w:rsidRPr="00BE02EB">
        <w:rPr>
          <w:color w:val="auto"/>
        </w:rPr>
        <w:t xml:space="preserve">These stocks retain </w:t>
      </w:r>
      <w:proofErr w:type="gramStart"/>
      <w:r w:rsidR="00B416CC" w:rsidRPr="00BE02EB">
        <w:rPr>
          <w:color w:val="auto"/>
        </w:rPr>
        <w:t>sufficient</w:t>
      </w:r>
      <w:proofErr w:type="gramEnd"/>
      <w:r w:rsidR="00B416CC" w:rsidRPr="00BE02EB">
        <w:rPr>
          <w:color w:val="auto"/>
        </w:rPr>
        <w:t xml:space="preserve"> activity in routine luciferase assays, even after 1 year of proper storage.</w:t>
      </w:r>
    </w:p>
    <w:p w:rsidR="00B416CC" w:rsidRPr="00BE02EB" w:rsidRDefault="00B416CC" w:rsidP="00BE02EB">
      <w:pPr>
        <w:pStyle w:val="ListParagraph"/>
        <w:ind w:left="0"/>
        <w:rPr>
          <w:color w:val="auto"/>
        </w:rPr>
      </w:pPr>
    </w:p>
    <w:p w:rsidR="00B416CC" w:rsidRPr="00BE02EB" w:rsidRDefault="00835870" w:rsidP="00BE02EB">
      <w:pPr>
        <w:pStyle w:val="ListParagraph"/>
        <w:numPr>
          <w:ilvl w:val="1"/>
          <w:numId w:val="27"/>
        </w:numPr>
        <w:rPr>
          <w:color w:val="auto"/>
        </w:rPr>
      </w:pPr>
      <w:r>
        <w:rPr>
          <w:color w:val="auto"/>
        </w:rPr>
        <w:t xml:space="preserve">Prepare </w:t>
      </w:r>
      <w:proofErr w:type="spellStart"/>
      <w:r w:rsidR="00B416CC" w:rsidRPr="00835870">
        <w:rPr>
          <w:color w:val="auto"/>
        </w:rPr>
        <w:t>Gaussia</w:t>
      </w:r>
      <w:proofErr w:type="spellEnd"/>
      <w:r w:rsidR="00B416CC" w:rsidRPr="00835870">
        <w:rPr>
          <w:color w:val="auto"/>
        </w:rPr>
        <w:t xml:space="preserve"> luciferase</w:t>
      </w:r>
      <w:r w:rsidR="00B416CC" w:rsidRPr="00BE02EB">
        <w:rPr>
          <w:color w:val="auto"/>
        </w:rPr>
        <w:t xml:space="preserve"> </w:t>
      </w:r>
      <w:r>
        <w:rPr>
          <w:color w:val="auto"/>
        </w:rPr>
        <w:t>(</w:t>
      </w:r>
      <w:proofErr w:type="spellStart"/>
      <w:r>
        <w:rPr>
          <w:color w:val="auto"/>
        </w:rPr>
        <w:t>GLuc</w:t>
      </w:r>
      <w:proofErr w:type="spellEnd"/>
      <w:r>
        <w:rPr>
          <w:color w:val="auto"/>
        </w:rPr>
        <w:t xml:space="preserve">) </w:t>
      </w:r>
      <w:r w:rsidR="00B416CC" w:rsidRPr="00BE02EB">
        <w:rPr>
          <w:color w:val="auto"/>
        </w:rPr>
        <w:t>assay buffer based upon the literature</w:t>
      </w:r>
      <w:r w:rsidR="00B416CC" w:rsidRPr="00BE02EB">
        <w:rPr>
          <w:noProof/>
          <w:color w:val="auto"/>
          <w:vertAlign w:val="superscript"/>
        </w:rPr>
        <w:t>9</w:t>
      </w:r>
      <w:r w:rsidR="00B416CC" w:rsidRPr="00BE02EB">
        <w:rPr>
          <w:color w:val="auto"/>
        </w:rPr>
        <w:t xml:space="preserve"> as well as patent information</w:t>
      </w:r>
      <w:r w:rsidR="00B416CC" w:rsidRPr="00BE02EB">
        <w:rPr>
          <w:noProof/>
          <w:color w:val="auto"/>
          <w:vertAlign w:val="superscript"/>
        </w:rPr>
        <w:t>10</w:t>
      </w:r>
      <w:r w:rsidR="00B416CC" w:rsidRPr="00BE02EB">
        <w:rPr>
          <w:color w:val="auto"/>
        </w:rPr>
        <w:t xml:space="preserve"> to aid in half-life of the Gaussia luciferase assay in 96 well plate format. </w:t>
      </w:r>
      <w:r>
        <w:rPr>
          <w:color w:val="auto"/>
        </w:rPr>
        <w:t>Use t</w:t>
      </w:r>
      <w:r w:rsidR="00B416CC" w:rsidRPr="00BE02EB">
        <w:rPr>
          <w:color w:val="auto"/>
        </w:rPr>
        <w:t>he formula</w:t>
      </w:r>
      <w:r>
        <w:rPr>
          <w:color w:val="auto"/>
        </w:rPr>
        <w:t xml:space="preserve">: </w:t>
      </w:r>
      <w:r w:rsidR="00B416CC" w:rsidRPr="00BE02EB">
        <w:rPr>
          <w:color w:val="auto"/>
        </w:rPr>
        <w:t>25 mM Tris pH 8, 1 mM EDTA, 5% glycerol, 1</w:t>
      </w:r>
      <w:r>
        <w:rPr>
          <w:color w:val="auto"/>
        </w:rPr>
        <w:t xml:space="preserve"> </w:t>
      </w:r>
      <w:r w:rsidR="00B416CC" w:rsidRPr="00BE02EB">
        <w:rPr>
          <w:color w:val="auto"/>
        </w:rPr>
        <w:t>mg/mL Na</w:t>
      </w:r>
      <w:r w:rsidR="00B416CC" w:rsidRPr="00BE02EB">
        <w:rPr>
          <w:color w:val="auto"/>
          <w:vertAlign w:val="subscript"/>
        </w:rPr>
        <w:t>2</w:t>
      </w:r>
      <w:r w:rsidR="00B416CC" w:rsidRPr="00BE02EB">
        <w:rPr>
          <w:color w:val="auto"/>
        </w:rPr>
        <w:t>PO</w:t>
      </w:r>
      <w:r w:rsidR="00B416CC" w:rsidRPr="00BE02EB">
        <w:rPr>
          <w:color w:val="auto"/>
          <w:vertAlign w:val="subscript"/>
        </w:rPr>
        <w:t>4</w:t>
      </w:r>
      <w:r w:rsidR="00B416CC" w:rsidRPr="00BE02EB">
        <w:rPr>
          <w:color w:val="auto"/>
        </w:rPr>
        <w:t>, 300 mM sodium ascorbate, 200 mM Na</w:t>
      </w:r>
      <w:r w:rsidR="00B416CC" w:rsidRPr="00BE02EB">
        <w:rPr>
          <w:color w:val="auto"/>
          <w:vertAlign w:val="subscript"/>
        </w:rPr>
        <w:t>2</w:t>
      </w:r>
      <w:r w:rsidR="00B416CC" w:rsidRPr="00BE02EB">
        <w:rPr>
          <w:color w:val="auto"/>
        </w:rPr>
        <w:t>SO</w:t>
      </w:r>
      <w:r w:rsidR="00B416CC" w:rsidRPr="00BE02EB">
        <w:rPr>
          <w:color w:val="auto"/>
          <w:vertAlign w:val="subscript"/>
        </w:rPr>
        <w:t>3</w:t>
      </w:r>
      <w:r w:rsidR="00B416CC" w:rsidRPr="00BE02EB">
        <w:rPr>
          <w:color w:val="auto"/>
        </w:rPr>
        <w:t xml:space="preserve"> in water</w:t>
      </w:r>
      <w:r>
        <w:rPr>
          <w:color w:val="auto"/>
        </w:rPr>
        <w:t xml:space="preserve">. Freeze </w:t>
      </w:r>
      <w:r w:rsidR="00B416CC" w:rsidRPr="00BE02EB">
        <w:rPr>
          <w:color w:val="auto"/>
        </w:rPr>
        <w:t>stocks at -20</w:t>
      </w:r>
      <w:r>
        <w:rPr>
          <w:color w:val="auto"/>
        </w:rPr>
        <w:t xml:space="preserve"> </w:t>
      </w:r>
      <w:r w:rsidR="00B416CC" w:rsidRPr="00BE02EB">
        <w:rPr>
          <w:color w:val="auto"/>
        </w:rPr>
        <w:t xml:space="preserve">°C. After thawing, </w:t>
      </w:r>
      <w:r>
        <w:rPr>
          <w:color w:val="auto"/>
        </w:rPr>
        <w:t xml:space="preserve">store the </w:t>
      </w:r>
      <w:r w:rsidR="00B416CC" w:rsidRPr="00BE02EB">
        <w:rPr>
          <w:color w:val="auto"/>
        </w:rPr>
        <w:t>buffer at 4</w:t>
      </w:r>
      <w:r>
        <w:rPr>
          <w:color w:val="auto"/>
        </w:rPr>
        <w:t xml:space="preserve"> </w:t>
      </w:r>
      <w:r w:rsidR="00B416CC" w:rsidRPr="00BE02EB">
        <w:rPr>
          <w:color w:val="auto"/>
        </w:rPr>
        <w:t xml:space="preserve">°C. </w:t>
      </w:r>
    </w:p>
    <w:p w:rsidR="00B416CC" w:rsidRPr="00BE02EB" w:rsidRDefault="00B416CC" w:rsidP="00BE02EB">
      <w:pPr>
        <w:pStyle w:val="ListParagraph"/>
        <w:ind w:left="0"/>
        <w:rPr>
          <w:color w:val="auto"/>
        </w:rPr>
      </w:pPr>
    </w:p>
    <w:p w:rsidR="00B416CC" w:rsidRPr="008E7E2F" w:rsidRDefault="00B416CC" w:rsidP="00BE02EB">
      <w:pPr>
        <w:pStyle w:val="ListParagraph"/>
        <w:numPr>
          <w:ilvl w:val="1"/>
          <w:numId w:val="27"/>
        </w:numPr>
        <w:rPr>
          <w:color w:val="auto"/>
          <w:highlight w:val="yellow"/>
        </w:rPr>
      </w:pPr>
      <w:r w:rsidRPr="008E7E2F">
        <w:rPr>
          <w:color w:val="auto"/>
          <w:highlight w:val="yellow"/>
        </w:rPr>
        <w:t xml:space="preserve">To prepare </w:t>
      </w:r>
      <w:proofErr w:type="spellStart"/>
      <w:r w:rsidR="00835870" w:rsidRPr="008E7E2F">
        <w:rPr>
          <w:color w:val="auto"/>
          <w:highlight w:val="yellow"/>
        </w:rPr>
        <w:t>Gaussia</w:t>
      </w:r>
      <w:proofErr w:type="spellEnd"/>
      <w:r w:rsidR="00835870" w:rsidRPr="008E7E2F">
        <w:rPr>
          <w:color w:val="auto"/>
          <w:highlight w:val="yellow"/>
        </w:rPr>
        <w:t xml:space="preserve"> luciferase working </w:t>
      </w:r>
      <w:r w:rsidRPr="008E7E2F">
        <w:rPr>
          <w:color w:val="auto"/>
          <w:highlight w:val="yellow"/>
        </w:rPr>
        <w:t>solution</w:t>
      </w:r>
      <w:r w:rsidR="00835870" w:rsidRPr="008E7E2F">
        <w:rPr>
          <w:color w:val="auto"/>
          <w:highlight w:val="yellow"/>
        </w:rPr>
        <w:t>,</w:t>
      </w:r>
      <w:r w:rsidRPr="008E7E2F">
        <w:rPr>
          <w:color w:val="auto"/>
          <w:highlight w:val="yellow"/>
        </w:rPr>
        <w:t xml:space="preserve"> add 4.2 µL/mL of the 1 mg/mL (2.36 mM) CTZ stock solution to </w:t>
      </w:r>
      <w:proofErr w:type="spellStart"/>
      <w:r w:rsidRPr="008E7E2F">
        <w:rPr>
          <w:color w:val="auto"/>
          <w:highlight w:val="yellow"/>
        </w:rPr>
        <w:t>GLuc</w:t>
      </w:r>
      <w:proofErr w:type="spellEnd"/>
      <w:r w:rsidRPr="008E7E2F">
        <w:rPr>
          <w:color w:val="auto"/>
          <w:highlight w:val="yellow"/>
        </w:rPr>
        <w:t xml:space="preserve"> assay buffer. This results in a 2</w:t>
      </w:r>
      <w:r w:rsidR="00835870" w:rsidRPr="008E7E2F">
        <w:rPr>
          <w:color w:val="auto"/>
          <w:highlight w:val="yellow"/>
        </w:rPr>
        <w:t>x</w:t>
      </w:r>
      <w:r w:rsidRPr="008E7E2F">
        <w:rPr>
          <w:color w:val="auto"/>
          <w:highlight w:val="yellow"/>
        </w:rPr>
        <w:t xml:space="preserve"> working solution of 10 µM CTZ which will have a 5 µM final concentration in the assay.</w:t>
      </w:r>
    </w:p>
    <w:p w:rsidR="00B416CC" w:rsidRPr="00BE02EB" w:rsidRDefault="00B416CC" w:rsidP="00BE02EB">
      <w:pPr>
        <w:pStyle w:val="ListParagraph"/>
        <w:ind w:left="0"/>
        <w:rPr>
          <w:color w:val="auto"/>
        </w:rPr>
      </w:pPr>
    </w:p>
    <w:p w:rsidR="00B416CC" w:rsidRDefault="00835870" w:rsidP="00BE02EB">
      <w:pPr>
        <w:pStyle w:val="ListParagraph"/>
        <w:numPr>
          <w:ilvl w:val="1"/>
          <w:numId w:val="27"/>
        </w:numPr>
        <w:rPr>
          <w:color w:val="auto"/>
        </w:rPr>
      </w:pPr>
      <w:r w:rsidRPr="00835870">
        <w:rPr>
          <w:color w:val="auto"/>
        </w:rPr>
        <w:t>Prepare the v</w:t>
      </w:r>
      <w:r w:rsidR="00B416CC" w:rsidRPr="00835870">
        <w:rPr>
          <w:color w:val="auto"/>
        </w:rPr>
        <w:t>iability assay buffer (relative [ATP</w:t>
      </w:r>
      <w:r>
        <w:rPr>
          <w:color w:val="auto"/>
        </w:rPr>
        <w:t>])</w:t>
      </w:r>
      <w:r w:rsidR="00B416CC" w:rsidRPr="00BE02EB">
        <w:rPr>
          <w:color w:val="auto"/>
        </w:rPr>
        <w:t xml:space="preserve"> according the manufacturer’s instructions with some modifications.</w:t>
      </w:r>
    </w:p>
    <w:p w:rsidR="00835870" w:rsidRPr="00BE02EB" w:rsidRDefault="00835870" w:rsidP="00835870">
      <w:pPr>
        <w:pStyle w:val="ListParagraph"/>
        <w:ind w:left="0"/>
        <w:rPr>
          <w:color w:val="auto"/>
        </w:rPr>
      </w:pPr>
    </w:p>
    <w:p w:rsidR="00B416CC" w:rsidRDefault="00B416CC" w:rsidP="00BE02EB">
      <w:pPr>
        <w:pStyle w:val="ListParagraph"/>
        <w:numPr>
          <w:ilvl w:val="2"/>
          <w:numId w:val="27"/>
        </w:numPr>
        <w:rPr>
          <w:color w:val="auto"/>
        </w:rPr>
      </w:pPr>
      <w:r w:rsidRPr="00BE02EB">
        <w:rPr>
          <w:color w:val="auto"/>
        </w:rPr>
        <w:t>Add 100 mL of manufacturer-provided buffer (</w:t>
      </w:r>
      <w:r w:rsidR="00835870">
        <w:rPr>
          <w:color w:val="auto"/>
        </w:rPr>
        <w:t>see</w:t>
      </w:r>
      <w:r w:rsidRPr="00BE02EB">
        <w:rPr>
          <w:color w:val="auto"/>
        </w:rPr>
        <w:t xml:space="preserve"> the </w:t>
      </w:r>
      <w:r w:rsidRPr="00835870">
        <w:rPr>
          <w:b/>
          <w:color w:val="auto"/>
        </w:rPr>
        <w:t>Table of Materials</w:t>
      </w:r>
      <w:r w:rsidRPr="00BE02EB">
        <w:rPr>
          <w:color w:val="auto"/>
        </w:rPr>
        <w:t xml:space="preserve">) to the substrate and mix. </w:t>
      </w:r>
    </w:p>
    <w:p w:rsidR="00835870" w:rsidRPr="00BE02EB" w:rsidRDefault="00835870" w:rsidP="00835870">
      <w:pPr>
        <w:pStyle w:val="ListParagraph"/>
        <w:ind w:left="0"/>
        <w:rPr>
          <w:color w:val="auto"/>
        </w:rPr>
      </w:pPr>
    </w:p>
    <w:p w:rsidR="00B416CC" w:rsidRDefault="00B416CC" w:rsidP="00BE02EB">
      <w:pPr>
        <w:pStyle w:val="ListParagraph"/>
        <w:numPr>
          <w:ilvl w:val="2"/>
          <w:numId w:val="27"/>
        </w:numPr>
        <w:rPr>
          <w:color w:val="auto"/>
        </w:rPr>
      </w:pPr>
      <w:r w:rsidRPr="00BE02EB">
        <w:rPr>
          <w:color w:val="auto"/>
        </w:rPr>
        <w:t xml:space="preserve">Dilute the 100 mL </w:t>
      </w:r>
      <w:r w:rsidR="00835870">
        <w:rPr>
          <w:color w:val="auto"/>
        </w:rPr>
        <w:t xml:space="preserve">of the </w:t>
      </w:r>
      <w:r w:rsidRPr="00BE02EB">
        <w:rPr>
          <w:color w:val="auto"/>
        </w:rPr>
        <w:t xml:space="preserve">mixture by adding 300 mL of PBS containing 1% Triton X-100 and mix well. </w:t>
      </w:r>
    </w:p>
    <w:p w:rsidR="00835870" w:rsidRPr="00BE02EB" w:rsidRDefault="00835870" w:rsidP="00835870">
      <w:pPr>
        <w:pStyle w:val="ListParagraph"/>
        <w:ind w:left="0"/>
        <w:rPr>
          <w:color w:val="auto"/>
        </w:rPr>
      </w:pPr>
    </w:p>
    <w:p w:rsidR="00B416CC" w:rsidRPr="00BE02EB" w:rsidRDefault="00B416CC" w:rsidP="00BE02EB">
      <w:pPr>
        <w:pStyle w:val="ListParagraph"/>
        <w:numPr>
          <w:ilvl w:val="2"/>
          <w:numId w:val="27"/>
        </w:numPr>
        <w:rPr>
          <w:color w:val="auto"/>
        </w:rPr>
      </w:pPr>
      <w:r w:rsidRPr="00BE02EB">
        <w:rPr>
          <w:color w:val="auto"/>
        </w:rPr>
        <w:t>Dispense into 40 mL aliquots and store at -20</w:t>
      </w:r>
      <w:r w:rsidR="00835870">
        <w:rPr>
          <w:color w:val="auto"/>
        </w:rPr>
        <w:t xml:space="preserve"> </w:t>
      </w:r>
      <w:r w:rsidRPr="00BE02EB">
        <w:rPr>
          <w:color w:val="auto"/>
        </w:rPr>
        <w:t>°C. After thawing, the unused solution can be refrozen.</w:t>
      </w:r>
    </w:p>
    <w:p w:rsidR="00B416CC" w:rsidRPr="00BE02EB" w:rsidRDefault="00B416CC" w:rsidP="00BE02EB">
      <w:pPr>
        <w:pStyle w:val="ListParagraph"/>
        <w:ind w:left="0"/>
        <w:rPr>
          <w:color w:val="auto"/>
        </w:rPr>
      </w:pPr>
    </w:p>
    <w:p w:rsidR="00B416CC" w:rsidRPr="00835870" w:rsidRDefault="00B416CC" w:rsidP="00BE02EB">
      <w:pPr>
        <w:pStyle w:val="ListParagraph"/>
        <w:numPr>
          <w:ilvl w:val="0"/>
          <w:numId w:val="27"/>
        </w:numPr>
        <w:rPr>
          <w:b/>
          <w:color w:val="auto"/>
          <w:highlight w:val="yellow"/>
        </w:rPr>
      </w:pPr>
      <w:r w:rsidRPr="00835870">
        <w:rPr>
          <w:b/>
          <w:color w:val="auto"/>
          <w:highlight w:val="yellow"/>
        </w:rPr>
        <w:t>Culture of InsGLuc MIN6 cells and seeding for secretion assays</w:t>
      </w:r>
    </w:p>
    <w:p w:rsidR="00835870" w:rsidRPr="00835870" w:rsidRDefault="00835870" w:rsidP="00835870">
      <w:pPr>
        <w:pStyle w:val="ListParagraph"/>
        <w:ind w:left="0"/>
        <w:rPr>
          <w:b/>
          <w:color w:val="auto"/>
          <w:highlight w:val="yellow"/>
        </w:rPr>
      </w:pPr>
    </w:p>
    <w:p w:rsidR="00B416CC" w:rsidRPr="008E7E2F" w:rsidRDefault="00B416CC" w:rsidP="00BE02EB">
      <w:pPr>
        <w:pStyle w:val="ListParagraph"/>
        <w:numPr>
          <w:ilvl w:val="1"/>
          <w:numId w:val="27"/>
        </w:numPr>
        <w:rPr>
          <w:color w:val="auto"/>
        </w:rPr>
      </w:pPr>
      <w:r w:rsidRPr="008E7E2F">
        <w:rPr>
          <w:color w:val="auto"/>
        </w:rPr>
        <w:t>To culture MIN6 cells, trypsinize and seed the cells once per week</w:t>
      </w:r>
      <w:r w:rsidR="00835870" w:rsidRPr="008E7E2F">
        <w:rPr>
          <w:color w:val="auto"/>
        </w:rPr>
        <w:t xml:space="preserve"> using standard cell culture techniques</w:t>
      </w:r>
      <w:r w:rsidRPr="008E7E2F">
        <w:rPr>
          <w:color w:val="auto"/>
        </w:rPr>
        <w:t xml:space="preserve">. Change media on the cells every two to three days. </w:t>
      </w:r>
      <w:r w:rsidR="00835870" w:rsidRPr="008E7E2F">
        <w:rPr>
          <w:color w:val="auto"/>
        </w:rPr>
        <w:t xml:space="preserve">Include </w:t>
      </w:r>
      <w:r w:rsidR="00835870" w:rsidRPr="008E7E2F">
        <w:rPr>
          <w:color w:val="auto"/>
        </w:rPr>
        <w:t>appropriate selection antibiotic, such as 250 µg/mL of G418</w:t>
      </w:r>
      <w:r w:rsidR="00835870" w:rsidRPr="008E7E2F">
        <w:rPr>
          <w:color w:val="auto"/>
        </w:rPr>
        <w:t xml:space="preserve"> in the m</w:t>
      </w:r>
      <w:r w:rsidRPr="008E7E2F">
        <w:rPr>
          <w:color w:val="auto"/>
        </w:rPr>
        <w:t>edia</w:t>
      </w:r>
      <w:r w:rsidR="00835870" w:rsidRPr="008E7E2F">
        <w:rPr>
          <w:color w:val="auto"/>
        </w:rPr>
        <w:t>.</w:t>
      </w:r>
    </w:p>
    <w:p w:rsidR="00835870" w:rsidRPr="00835870" w:rsidRDefault="00835870" w:rsidP="00835870">
      <w:pPr>
        <w:pStyle w:val="ListParagraph"/>
        <w:ind w:left="0"/>
        <w:rPr>
          <w:color w:val="auto"/>
          <w:highlight w:val="yellow"/>
        </w:rPr>
      </w:pPr>
    </w:p>
    <w:p w:rsidR="00B416CC" w:rsidRPr="00835870" w:rsidRDefault="00B416CC" w:rsidP="00BE02EB">
      <w:pPr>
        <w:pStyle w:val="ListParagraph"/>
        <w:numPr>
          <w:ilvl w:val="2"/>
          <w:numId w:val="27"/>
        </w:numPr>
        <w:tabs>
          <w:tab w:val="left" w:pos="630"/>
        </w:tabs>
        <w:rPr>
          <w:color w:val="auto"/>
          <w:highlight w:val="yellow"/>
        </w:rPr>
      </w:pPr>
      <w:r w:rsidRPr="00835870">
        <w:rPr>
          <w:color w:val="auto"/>
          <w:highlight w:val="yellow"/>
        </w:rPr>
        <w:t xml:space="preserve">To provide a </w:t>
      </w:r>
      <w:proofErr w:type="gramStart"/>
      <w:r w:rsidRPr="00835870">
        <w:rPr>
          <w:color w:val="auto"/>
          <w:highlight w:val="yellow"/>
        </w:rPr>
        <w:t>sufficient number of</w:t>
      </w:r>
      <w:proofErr w:type="gramEnd"/>
      <w:r w:rsidRPr="00835870">
        <w:rPr>
          <w:color w:val="auto"/>
          <w:highlight w:val="yellow"/>
        </w:rPr>
        <w:t xml:space="preserve"> cells weekly for experiments, maintain the cells in T75 flasks. Seeding 6 x 10</w:t>
      </w:r>
      <w:r w:rsidRPr="00835870">
        <w:rPr>
          <w:color w:val="auto"/>
          <w:highlight w:val="yellow"/>
          <w:vertAlign w:val="superscript"/>
        </w:rPr>
        <w:t>6</w:t>
      </w:r>
      <w:r w:rsidRPr="00835870">
        <w:rPr>
          <w:color w:val="auto"/>
          <w:highlight w:val="yellow"/>
        </w:rPr>
        <w:t xml:space="preserve"> cells per T75 in 10 mL of media will typically yield 30 </w:t>
      </w:r>
      <w:r w:rsidR="00835870" w:rsidRPr="00835870">
        <w:rPr>
          <w:color w:val="auto"/>
          <w:highlight w:val="yellow"/>
        </w:rPr>
        <w:t>x 10</w:t>
      </w:r>
      <w:r w:rsidR="00835870" w:rsidRPr="00835870">
        <w:rPr>
          <w:color w:val="auto"/>
          <w:highlight w:val="yellow"/>
          <w:vertAlign w:val="superscript"/>
        </w:rPr>
        <w:t>6</w:t>
      </w:r>
      <w:r w:rsidR="00835870" w:rsidRPr="00835870">
        <w:rPr>
          <w:color w:val="auto"/>
          <w:highlight w:val="yellow"/>
        </w:rPr>
        <w:t xml:space="preserve"> </w:t>
      </w:r>
      <w:r w:rsidRPr="00835870">
        <w:rPr>
          <w:color w:val="auto"/>
          <w:highlight w:val="yellow"/>
        </w:rPr>
        <w:t>to 40 x 10</w:t>
      </w:r>
      <w:r w:rsidRPr="00835870">
        <w:rPr>
          <w:color w:val="auto"/>
          <w:highlight w:val="yellow"/>
          <w:vertAlign w:val="superscript"/>
        </w:rPr>
        <w:t>6</w:t>
      </w:r>
      <w:r w:rsidRPr="00835870">
        <w:rPr>
          <w:color w:val="auto"/>
          <w:highlight w:val="yellow"/>
        </w:rPr>
        <w:t xml:space="preserve"> cells total per T75 after 7 days of culture. </w:t>
      </w:r>
    </w:p>
    <w:p w:rsidR="00B416CC" w:rsidRPr="00835870" w:rsidRDefault="00B416CC" w:rsidP="00BE02EB">
      <w:pPr>
        <w:pStyle w:val="ListParagraph"/>
        <w:ind w:left="0"/>
        <w:rPr>
          <w:color w:val="auto"/>
          <w:highlight w:val="yellow"/>
        </w:rPr>
      </w:pPr>
    </w:p>
    <w:p w:rsidR="00B416CC" w:rsidRPr="00835870" w:rsidRDefault="00B416CC" w:rsidP="00BE02EB">
      <w:pPr>
        <w:pStyle w:val="ListParagraph"/>
        <w:numPr>
          <w:ilvl w:val="1"/>
          <w:numId w:val="27"/>
        </w:numPr>
        <w:rPr>
          <w:color w:val="auto"/>
          <w:highlight w:val="yellow"/>
        </w:rPr>
      </w:pPr>
      <w:r w:rsidRPr="00835870">
        <w:rPr>
          <w:color w:val="auto"/>
          <w:highlight w:val="yellow"/>
        </w:rPr>
        <w:t>To prepare cells for plating into 96</w:t>
      </w:r>
      <w:r w:rsidR="00835870" w:rsidRPr="00835870">
        <w:rPr>
          <w:color w:val="auto"/>
          <w:highlight w:val="yellow"/>
        </w:rPr>
        <w:t>-</w:t>
      </w:r>
      <w:r w:rsidRPr="00835870">
        <w:rPr>
          <w:color w:val="auto"/>
          <w:highlight w:val="yellow"/>
        </w:rPr>
        <w:t xml:space="preserve">well </w:t>
      </w:r>
      <w:r w:rsidR="00835870" w:rsidRPr="00835870">
        <w:rPr>
          <w:color w:val="auto"/>
          <w:highlight w:val="yellow"/>
        </w:rPr>
        <w:t>plates</w:t>
      </w:r>
      <w:r w:rsidRPr="00835870">
        <w:rPr>
          <w:color w:val="auto"/>
          <w:highlight w:val="yellow"/>
        </w:rPr>
        <w:t>, wash a confluent T75 of InsGLuc MIN6 cells twice with PBS and add 2 mL of trypsin. Incubate at 37</w:t>
      </w:r>
      <w:r w:rsidR="00835870" w:rsidRPr="00835870">
        <w:rPr>
          <w:color w:val="auto"/>
          <w:highlight w:val="yellow"/>
        </w:rPr>
        <w:t xml:space="preserve"> </w:t>
      </w:r>
      <w:r w:rsidRPr="00835870">
        <w:rPr>
          <w:color w:val="auto"/>
          <w:highlight w:val="yellow"/>
        </w:rPr>
        <w:t>°C for ~5 min or until the cells dissociate from the flask. Determine the cell concentration per m</w:t>
      </w:r>
      <w:r w:rsidR="00835870" w:rsidRPr="00835870">
        <w:rPr>
          <w:color w:val="auto"/>
          <w:highlight w:val="yellow"/>
        </w:rPr>
        <w:t>illiliter</w:t>
      </w:r>
      <w:r w:rsidRPr="00835870">
        <w:rPr>
          <w:color w:val="auto"/>
          <w:highlight w:val="yellow"/>
        </w:rPr>
        <w:t xml:space="preserve">. </w:t>
      </w:r>
    </w:p>
    <w:p w:rsidR="00835870" w:rsidRPr="00BE02EB" w:rsidRDefault="00835870" w:rsidP="00835870">
      <w:pPr>
        <w:pStyle w:val="ListParagraph"/>
        <w:ind w:left="0"/>
        <w:rPr>
          <w:color w:val="auto"/>
        </w:rPr>
      </w:pPr>
    </w:p>
    <w:p w:rsidR="00835870" w:rsidRPr="00835870" w:rsidRDefault="00B416CC" w:rsidP="00BE02EB">
      <w:pPr>
        <w:pStyle w:val="ListParagraph"/>
        <w:numPr>
          <w:ilvl w:val="2"/>
          <w:numId w:val="27"/>
        </w:numPr>
        <w:rPr>
          <w:color w:val="auto"/>
          <w:highlight w:val="yellow"/>
        </w:rPr>
      </w:pPr>
      <w:r w:rsidRPr="00835870">
        <w:rPr>
          <w:color w:val="auto"/>
          <w:highlight w:val="yellow"/>
        </w:rPr>
        <w:t>Dilute the cells in complete media to 1 x 10</w:t>
      </w:r>
      <w:r w:rsidRPr="00835870">
        <w:rPr>
          <w:color w:val="auto"/>
          <w:highlight w:val="yellow"/>
          <w:vertAlign w:val="superscript"/>
        </w:rPr>
        <w:t>6</w:t>
      </w:r>
      <w:r w:rsidRPr="00835870">
        <w:rPr>
          <w:color w:val="auto"/>
          <w:highlight w:val="yellow"/>
        </w:rPr>
        <w:t xml:space="preserve"> cells/mL to result in 1 x 10</w:t>
      </w:r>
      <w:r w:rsidRPr="00835870">
        <w:rPr>
          <w:color w:val="auto"/>
          <w:highlight w:val="yellow"/>
          <w:vertAlign w:val="superscript"/>
        </w:rPr>
        <w:t>5</w:t>
      </w:r>
      <w:r w:rsidRPr="00835870">
        <w:rPr>
          <w:color w:val="auto"/>
          <w:highlight w:val="yellow"/>
        </w:rPr>
        <w:t xml:space="preserve"> cells </w:t>
      </w:r>
      <w:r w:rsidR="006F27CE" w:rsidRPr="00835870">
        <w:rPr>
          <w:color w:val="auto"/>
          <w:highlight w:val="yellow"/>
        </w:rPr>
        <w:t>in 10</w:t>
      </w:r>
      <w:r w:rsidRPr="00835870">
        <w:rPr>
          <w:color w:val="auto"/>
          <w:highlight w:val="yellow"/>
        </w:rPr>
        <w:t>0 µL per well in a 96</w:t>
      </w:r>
      <w:r w:rsidR="00835870" w:rsidRPr="00835870">
        <w:rPr>
          <w:color w:val="auto"/>
          <w:highlight w:val="yellow"/>
        </w:rPr>
        <w:t>-</w:t>
      </w:r>
      <w:r w:rsidRPr="00835870">
        <w:rPr>
          <w:color w:val="auto"/>
          <w:highlight w:val="yellow"/>
        </w:rPr>
        <w:t>well</w:t>
      </w:r>
      <w:r w:rsidR="00835870" w:rsidRPr="00835870">
        <w:rPr>
          <w:color w:val="auto"/>
          <w:highlight w:val="yellow"/>
        </w:rPr>
        <w:t xml:space="preserve"> </w:t>
      </w:r>
      <w:r w:rsidRPr="00835870">
        <w:rPr>
          <w:color w:val="auto"/>
          <w:highlight w:val="yellow"/>
        </w:rPr>
        <w:t>plate. The cells should be sufficiently confluent for the assay after 3</w:t>
      </w:r>
      <w:r w:rsidR="00835870" w:rsidRPr="00835870">
        <w:rPr>
          <w:color w:val="auto"/>
          <w:highlight w:val="yellow"/>
        </w:rPr>
        <w:t>–</w:t>
      </w:r>
      <w:r w:rsidRPr="00835870">
        <w:rPr>
          <w:color w:val="auto"/>
          <w:highlight w:val="yellow"/>
        </w:rPr>
        <w:t xml:space="preserve">4 days. </w:t>
      </w:r>
    </w:p>
    <w:p w:rsidR="00835870" w:rsidRDefault="00835870" w:rsidP="00835870">
      <w:pPr>
        <w:pStyle w:val="ListParagraph"/>
        <w:ind w:left="0"/>
        <w:rPr>
          <w:color w:val="auto"/>
        </w:rPr>
      </w:pPr>
    </w:p>
    <w:p w:rsidR="00B416CC" w:rsidRPr="00BE02EB" w:rsidRDefault="00835870" w:rsidP="00835870">
      <w:pPr>
        <w:pStyle w:val="ListParagraph"/>
        <w:ind w:left="0"/>
        <w:rPr>
          <w:color w:val="auto"/>
        </w:rPr>
      </w:pPr>
      <w:r>
        <w:rPr>
          <w:color w:val="auto"/>
        </w:rPr>
        <w:t xml:space="preserve">NOTE: </w:t>
      </w:r>
      <w:r w:rsidR="00B416CC" w:rsidRPr="00BE02EB">
        <w:rPr>
          <w:color w:val="auto"/>
        </w:rPr>
        <w:t>To extend the culture period, hal</w:t>
      </w:r>
      <w:r>
        <w:rPr>
          <w:color w:val="auto"/>
        </w:rPr>
        <w:t>f</w:t>
      </w:r>
      <w:r w:rsidR="00B416CC" w:rsidRPr="00BE02EB">
        <w:rPr>
          <w:color w:val="auto"/>
        </w:rPr>
        <w:t xml:space="preserve"> the cell concentration can be plated. Media changes are </w:t>
      </w:r>
      <w:r w:rsidR="00B416CC" w:rsidRPr="00BE02EB">
        <w:rPr>
          <w:color w:val="auto"/>
        </w:rPr>
        <w:lastRenderedPageBreak/>
        <w:t>not required prior to the day of the assay unless the cells are to be subjected to experimental treatments.</w:t>
      </w:r>
    </w:p>
    <w:p w:rsidR="00B416CC" w:rsidRPr="00BE02EB" w:rsidRDefault="00B416CC" w:rsidP="00BE02EB">
      <w:pPr>
        <w:pStyle w:val="ListParagraph"/>
        <w:ind w:left="0"/>
        <w:rPr>
          <w:b/>
          <w:color w:val="auto"/>
        </w:rPr>
      </w:pPr>
    </w:p>
    <w:p w:rsidR="00B416CC" w:rsidRPr="00835870" w:rsidRDefault="00B416CC" w:rsidP="00BE02EB">
      <w:pPr>
        <w:pStyle w:val="ListParagraph"/>
        <w:numPr>
          <w:ilvl w:val="0"/>
          <w:numId w:val="27"/>
        </w:numPr>
        <w:rPr>
          <w:b/>
          <w:color w:val="auto"/>
          <w:highlight w:val="yellow"/>
        </w:rPr>
      </w:pPr>
      <w:r w:rsidRPr="00835870">
        <w:rPr>
          <w:b/>
          <w:color w:val="auto"/>
          <w:highlight w:val="yellow"/>
        </w:rPr>
        <w:t xml:space="preserve">Glucose-stimulated </w:t>
      </w:r>
      <w:proofErr w:type="spellStart"/>
      <w:r w:rsidRPr="00835870">
        <w:rPr>
          <w:b/>
          <w:color w:val="auto"/>
          <w:highlight w:val="yellow"/>
        </w:rPr>
        <w:t>Gaussia</w:t>
      </w:r>
      <w:proofErr w:type="spellEnd"/>
      <w:r w:rsidRPr="00835870">
        <w:rPr>
          <w:b/>
          <w:color w:val="auto"/>
          <w:highlight w:val="yellow"/>
        </w:rPr>
        <w:t xml:space="preserve"> luciferase secretion assay</w:t>
      </w:r>
    </w:p>
    <w:p w:rsidR="00835870" w:rsidRPr="00835870" w:rsidRDefault="00835870" w:rsidP="00835870">
      <w:pPr>
        <w:pStyle w:val="ListParagraph"/>
        <w:ind w:left="0"/>
        <w:rPr>
          <w:b/>
          <w:color w:val="auto"/>
          <w:highlight w:val="yellow"/>
        </w:rPr>
      </w:pPr>
    </w:p>
    <w:p w:rsidR="00B416CC" w:rsidRPr="00835870" w:rsidRDefault="00B416CC" w:rsidP="00BE02EB">
      <w:pPr>
        <w:pStyle w:val="ListParagraph"/>
        <w:numPr>
          <w:ilvl w:val="1"/>
          <w:numId w:val="27"/>
        </w:numPr>
        <w:rPr>
          <w:color w:val="auto"/>
          <w:highlight w:val="yellow"/>
        </w:rPr>
      </w:pPr>
      <w:r w:rsidRPr="00835870">
        <w:rPr>
          <w:color w:val="auto"/>
          <w:highlight w:val="yellow"/>
        </w:rPr>
        <w:t>On the day of the assay prepare enough KRBH for the experiment</w:t>
      </w:r>
      <w:r w:rsidR="00835870">
        <w:rPr>
          <w:color w:val="auto"/>
          <w:highlight w:val="yellow"/>
        </w:rPr>
        <w:t xml:space="preserve"> (step 1.2)</w:t>
      </w:r>
      <w:r w:rsidRPr="00835870">
        <w:rPr>
          <w:color w:val="auto"/>
          <w:highlight w:val="yellow"/>
        </w:rPr>
        <w:t>. Typically, 50 mL of KRBH per 96</w:t>
      </w:r>
      <w:r w:rsidR="00835870">
        <w:rPr>
          <w:color w:val="auto"/>
          <w:highlight w:val="yellow"/>
        </w:rPr>
        <w:t>-</w:t>
      </w:r>
      <w:r w:rsidRPr="00835870">
        <w:rPr>
          <w:color w:val="auto"/>
          <w:highlight w:val="yellow"/>
        </w:rPr>
        <w:t xml:space="preserve">well plate is </w:t>
      </w:r>
      <w:proofErr w:type="gramStart"/>
      <w:r w:rsidRPr="00835870">
        <w:rPr>
          <w:color w:val="auto"/>
          <w:highlight w:val="yellow"/>
        </w:rPr>
        <w:t>sufficient</w:t>
      </w:r>
      <w:proofErr w:type="gramEnd"/>
      <w:r w:rsidRPr="00835870">
        <w:rPr>
          <w:color w:val="auto"/>
          <w:highlight w:val="yellow"/>
        </w:rPr>
        <w:t>. Prepare extra buffer if different combinations of drug treatment conditions will require KRBH for dilution.</w:t>
      </w:r>
    </w:p>
    <w:p w:rsidR="00B416CC" w:rsidRPr="00BE02EB" w:rsidRDefault="00B416CC" w:rsidP="00BE02EB">
      <w:pPr>
        <w:pStyle w:val="ListParagraph"/>
        <w:ind w:left="0"/>
        <w:rPr>
          <w:color w:val="auto"/>
        </w:rPr>
      </w:pPr>
    </w:p>
    <w:p w:rsidR="00B416CC" w:rsidRPr="00835870" w:rsidRDefault="00B416CC" w:rsidP="00BE02EB">
      <w:pPr>
        <w:pStyle w:val="ListParagraph"/>
        <w:numPr>
          <w:ilvl w:val="1"/>
          <w:numId w:val="27"/>
        </w:numPr>
        <w:rPr>
          <w:color w:val="auto"/>
          <w:highlight w:val="yellow"/>
        </w:rPr>
      </w:pPr>
      <w:r w:rsidRPr="00835870">
        <w:rPr>
          <w:color w:val="auto"/>
          <w:highlight w:val="yellow"/>
        </w:rPr>
        <w:t>Prepare a reservoir with glucose-free KRBH. Decant the medium from 96</w:t>
      </w:r>
      <w:r w:rsidR="00835870" w:rsidRPr="00835870">
        <w:rPr>
          <w:color w:val="auto"/>
          <w:highlight w:val="yellow"/>
        </w:rPr>
        <w:t>-</w:t>
      </w:r>
      <w:r w:rsidRPr="00835870">
        <w:rPr>
          <w:color w:val="auto"/>
          <w:highlight w:val="yellow"/>
        </w:rPr>
        <w:t>well plate(s) by quickly inverting the plate over a laboratory sink and then blot firmly on a stack of paper towels to remove excess medium.</w:t>
      </w:r>
    </w:p>
    <w:p w:rsidR="00B416CC" w:rsidRPr="00BE02EB" w:rsidRDefault="00B416CC" w:rsidP="00BE02EB">
      <w:pPr>
        <w:pStyle w:val="ListParagraph"/>
        <w:ind w:left="0"/>
        <w:rPr>
          <w:color w:val="auto"/>
        </w:rPr>
      </w:pPr>
    </w:p>
    <w:p w:rsidR="00B416CC" w:rsidRPr="00835870" w:rsidRDefault="00B416CC" w:rsidP="00BE02EB">
      <w:pPr>
        <w:pStyle w:val="ListParagraph"/>
        <w:numPr>
          <w:ilvl w:val="1"/>
          <w:numId w:val="27"/>
        </w:numPr>
        <w:rPr>
          <w:color w:val="auto"/>
          <w:highlight w:val="yellow"/>
        </w:rPr>
      </w:pPr>
      <w:r w:rsidRPr="00835870">
        <w:rPr>
          <w:color w:val="auto"/>
          <w:highlight w:val="yellow"/>
        </w:rPr>
        <w:t xml:space="preserve">Using either an electronic or manual 8-channel pipette, pipette </w:t>
      </w:r>
      <w:r w:rsidR="00835870" w:rsidRPr="00835870">
        <w:rPr>
          <w:color w:val="auto"/>
          <w:highlight w:val="yellow"/>
        </w:rPr>
        <w:t xml:space="preserve">100 µL </w:t>
      </w:r>
      <w:r w:rsidR="00835870" w:rsidRPr="00835870">
        <w:rPr>
          <w:color w:val="auto"/>
          <w:highlight w:val="yellow"/>
        </w:rPr>
        <w:t>/</w:t>
      </w:r>
      <w:r w:rsidR="00835870" w:rsidRPr="00835870">
        <w:rPr>
          <w:color w:val="auto"/>
          <w:highlight w:val="yellow"/>
        </w:rPr>
        <w:t>well</w:t>
      </w:r>
      <w:r w:rsidR="00835870" w:rsidRPr="00835870">
        <w:rPr>
          <w:color w:val="auto"/>
          <w:highlight w:val="yellow"/>
        </w:rPr>
        <w:t xml:space="preserve"> </w:t>
      </w:r>
      <w:r w:rsidRPr="00835870">
        <w:rPr>
          <w:color w:val="auto"/>
          <w:highlight w:val="yellow"/>
        </w:rPr>
        <w:t>KRBH from the reservoir across the 96</w:t>
      </w:r>
      <w:r w:rsidR="00835870" w:rsidRPr="00835870">
        <w:rPr>
          <w:color w:val="auto"/>
          <w:highlight w:val="yellow"/>
        </w:rPr>
        <w:t>-</w:t>
      </w:r>
      <w:r w:rsidRPr="00835870">
        <w:rPr>
          <w:color w:val="auto"/>
          <w:highlight w:val="yellow"/>
        </w:rPr>
        <w:t>well plate(s). Repeat for a total of two washes.</w:t>
      </w:r>
    </w:p>
    <w:p w:rsidR="00B416CC" w:rsidRPr="00BE02EB" w:rsidRDefault="00B416CC" w:rsidP="00BE02EB">
      <w:pPr>
        <w:rPr>
          <w:color w:val="auto"/>
        </w:rPr>
      </w:pPr>
    </w:p>
    <w:p w:rsidR="00B416CC" w:rsidRPr="00835870" w:rsidRDefault="00835870" w:rsidP="00BE02EB">
      <w:pPr>
        <w:pStyle w:val="ListParagraph"/>
        <w:numPr>
          <w:ilvl w:val="1"/>
          <w:numId w:val="27"/>
        </w:numPr>
        <w:rPr>
          <w:color w:val="auto"/>
          <w:highlight w:val="yellow"/>
        </w:rPr>
      </w:pPr>
      <w:r w:rsidRPr="00835870">
        <w:rPr>
          <w:color w:val="auto"/>
          <w:highlight w:val="yellow"/>
        </w:rPr>
        <w:t>(</w:t>
      </w:r>
      <w:r w:rsidR="00B416CC" w:rsidRPr="00835870">
        <w:rPr>
          <w:color w:val="auto"/>
          <w:highlight w:val="yellow"/>
        </w:rPr>
        <w:t xml:space="preserve">Optional step </w:t>
      </w:r>
      <w:r w:rsidRPr="00835870">
        <w:rPr>
          <w:color w:val="auto"/>
          <w:highlight w:val="yellow"/>
        </w:rPr>
        <w:t xml:space="preserve">of </w:t>
      </w:r>
      <w:r w:rsidR="00B416CC" w:rsidRPr="00835870">
        <w:rPr>
          <w:color w:val="auto"/>
          <w:highlight w:val="yellow"/>
        </w:rPr>
        <w:t>acute compound treatments</w:t>
      </w:r>
      <w:r w:rsidRPr="00835870">
        <w:rPr>
          <w:color w:val="auto"/>
          <w:highlight w:val="yellow"/>
        </w:rPr>
        <w:t>)</w:t>
      </w:r>
      <w:r w:rsidR="00B416CC" w:rsidRPr="00835870">
        <w:rPr>
          <w:b/>
          <w:color w:val="auto"/>
          <w:highlight w:val="yellow"/>
        </w:rPr>
        <w:t xml:space="preserve"> </w:t>
      </w:r>
      <w:r w:rsidR="00B416CC" w:rsidRPr="00835870">
        <w:rPr>
          <w:color w:val="auto"/>
          <w:highlight w:val="yellow"/>
        </w:rPr>
        <w:t xml:space="preserve">If not performing drug treatments, proceed with steps 3.5 and 3.6 without modification. To test the effects of small molecules on insulin secretion, compounds can be added to the cells during the preincubation period, stimulation period, or both. </w:t>
      </w:r>
    </w:p>
    <w:p w:rsidR="00835870" w:rsidRPr="00BE02EB" w:rsidRDefault="00835870" w:rsidP="00835870">
      <w:pPr>
        <w:pStyle w:val="ListParagraph"/>
        <w:ind w:left="0"/>
        <w:rPr>
          <w:color w:val="auto"/>
        </w:rPr>
      </w:pPr>
    </w:p>
    <w:p w:rsidR="00835870" w:rsidRPr="00835870" w:rsidRDefault="00B416CC" w:rsidP="00BE02EB">
      <w:pPr>
        <w:pStyle w:val="ListParagraph"/>
        <w:numPr>
          <w:ilvl w:val="2"/>
          <w:numId w:val="27"/>
        </w:numPr>
        <w:rPr>
          <w:color w:val="auto"/>
          <w:highlight w:val="yellow"/>
        </w:rPr>
      </w:pPr>
      <w:r w:rsidRPr="00835870">
        <w:rPr>
          <w:color w:val="auto"/>
          <w:highlight w:val="yellow"/>
        </w:rPr>
        <w:t>One technique is to add compounds in batch to the KRBH in 1.5 mL tubes and use an adjustable 8-channel digital pipette to transfer the drug-KRBH from the tubes to cells in 96</w:t>
      </w:r>
      <w:r w:rsidR="00835870" w:rsidRPr="00835870">
        <w:rPr>
          <w:color w:val="auto"/>
          <w:highlight w:val="yellow"/>
        </w:rPr>
        <w:t>-</w:t>
      </w:r>
      <w:r w:rsidRPr="00835870">
        <w:rPr>
          <w:color w:val="auto"/>
          <w:highlight w:val="yellow"/>
        </w:rPr>
        <w:t>well plates.</w:t>
      </w:r>
    </w:p>
    <w:p w:rsidR="00835870" w:rsidRDefault="00835870" w:rsidP="00835870">
      <w:pPr>
        <w:pStyle w:val="ListParagraph"/>
        <w:ind w:left="0"/>
        <w:rPr>
          <w:color w:val="auto"/>
        </w:rPr>
      </w:pPr>
    </w:p>
    <w:p w:rsidR="00B416CC" w:rsidRPr="00BE02EB" w:rsidRDefault="00835870" w:rsidP="00835870">
      <w:pPr>
        <w:pStyle w:val="ListParagraph"/>
        <w:ind w:left="0"/>
        <w:rPr>
          <w:color w:val="auto"/>
        </w:rPr>
      </w:pPr>
      <w:r>
        <w:rPr>
          <w:color w:val="auto"/>
        </w:rPr>
        <w:t>NOTE:</w:t>
      </w:r>
      <w:r w:rsidR="00B416CC" w:rsidRPr="00BE02EB">
        <w:rPr>
          <w:color w:val="auto"/>
        </w:rPr>
        <w:t xml:space="preserve"> If an adjustable pipette is not available, a replica 96</w:t>
      </w:r>
      <w:r>
        <w:rPr>
          <w:color w:val="auto"/>
        </w:rPr>
        <w:t>-</w:t>
      </w:r>
      <w:r w:rsidR="00B416CC" w:rsidRPr="00BE02EB">
        <w:rPr>
          <w:color w:val="auto"/>
        </w:rPr>
        <w:t>well plate of drug-KRBH can be made and a standard 8-channel pipette can be used to transfer buffer. Further modifications to the treatment paradigm can be made to treat cells for 24 h in media prior to the assay, as previously described</w:t>
      </w:r>
      <w:r w:rsidR="00B416CC" w:rsidRPr="00BE02EB">
        <w:rPr>
          <w:noProof/>
          <w:color w:val="auto"/>
          <w:vertAlign w:val="superscript"/>
        </w:rPr>
        <w:t>1,8</w:t>
      </w:r>
      <w:r w:rsidR="00B416CC" w:rsidRPr="00BE02EB">
        <w:rPr>
          <w:color w:val="auto"/>
        </w:rPr>
        <w:t>.</w:t>
      </w:r>
    </w:p>
    <w:p w:rsidR="00B416CC" w:rsidRPr="00BE02EB" w:rsidRDefault="00B416CC" w:rsidP="00BE02EB">
      <w:pPr>
        <w:pStyle w:val="ListParagraph"/>
        <w:ind w:left="0"/>
        <w:rPr>
          <w:color w:val="auto"/>
        </w:rPr>
      </w:pPr>
    </w:p>
    <w:p w:rsidR="00CA5463" w:rsidRDefault="00B416CC" w:rsidP="00BE02EB">
      <w:pPr>
        <w:pStyle w:val="ListParagraph"/>
        <w:numPr>
          <w:ilvl w:val="1"/>
          <w:numId w:val="27"/>
        </w:numPr>
        <w:rPr>
          <w:color w:val="auto"/>
        </w:rPr>
      </w:pPr>
      <w:r w:rsidRPr="00CA5463">
        <w:rPr>
          <w:color w:val="auto"/>
          <w:highlight w:val="yellow"/>
        </w:rPr>
        <w:t>Add 100 µL of KRBH containing the desired concentration of glucose or compounds and place the dish in the 37</w:t>
      </w:r>
      <w:r w:rsidR="00CA5463" w:rsidRPr="00CA5463">
        <w:rPr>
          <w:color w:val="auto"/>
          <w:highlight w:val="yellow"/>
        </w:rPr>
        <w:t xml:space="preserve"> </w:t>
      </w:r>
      <w:r w:rsidRPr="00CA5463">
        <w:rPr>
          <w:color w:val="auto"/>
          <w:highlight w:val="yellow"/>
        </w:rPr>
        <w:t>°C incubator for 1 h.</w:t>
      </w:r>
    </w:p>
    <w:p w:rsidR="00CA5463" w:rsidRDefault="00CA5463" w:rsidP="00CA5463">
      <w:pPr>
        <w:pStyle w:val="ListParagraph"/>
        <w:ind w:left="0"/>
        <w:rPr>
          <w:color w:val="auto"/>
        </w:rPr>
      </w:pPr>
    </w:p>
    <w:p w:rsidR="00B416CC" w:rsidRPr="00BE02EB" w:rsidRDefault="00CA5463" w:rsidP="00CA5463">
      <w:pPr>
        <w:pStyle w:val="ListParagraph"/>
        <w:ind w:left="0"/>
        <w:rPr>
          <w:color w:val="auto"/>
        </w:rPr>
      </w:pPr>
      <w:r>
        <w:rPr>
          <w:color w:val="auto"/>
        </w:rPr>
        <w:t>NOTE:</w:t>
      </w:r>
      <w:r w:rsidR="00B416CC" w:rsidRPr="00BE02EB">
        <w:rPr>
          <w:color w:val="auto"/>
        </w:rPr>
        <w:t xml:space="preserve"> Depending on the experimental layout, it is extremely helpful to have an electronic multichannel pipette that allows transitioning the channel distances from a column of eight 1.5-mL tubes to the 8 rows of a 96</w:t>
      </w:r>
      <w:r>
        <w:rPr>
          <w:color w:val="auto"/>
        </w:rPr>
        <w:t>-</w:t>
      </w:r>
      <w:r w:rsidR="00B416CC" w:rsidRPr="00BE02EB">
        <w:rPr>
          <w:color w:val="auto"/>
        </w:rPr>
        <w:t xml:space="preserve">well plate. </w:t>
      </w:r>
    </w:p>
    <w:p w:rsidR="00B416CC" w:rsidRPr="00BE02EB" w:rsidRDefault="00B416CC" w:rsidP="00BE02EB">
      <w:pPr>
        <w:rPr>
          <w:color w:val="auto"/>
        </w:rPr>
      </w:pPr>
    </w:p>
    <w:p w:rsidR="00B416CC" w:rsidRPr="00BE02EB" w:rsidRDefault="00B416CC" w:rsidP="00BE02EB">
      <w:pPr>
        <w:pStyle w:val="ListParagraph"/>
        <w:numPr>
          <w:ilvl w:val="1"/>
          <w:numId w:val="27"/>
        </w:numPr>
        <w:rPr>
          <w:color w:val="auto"/>
        </w:rPr>
      </w:pPr>
      <w:r w:rsidRPr="00CA5463">
        <w:rPr>
          <w:color w:val="auto"/>
          <w:highlight w:val="yellow"/>
        </w:rPr>
        <w:t xml:space="preserve">After the 1 h </w:t>
      </w:r>
      <w:r w:rsidR="00CA5463" w:rsidRPr="00CA5463">
        <w:rPr>
          <w:color w:val="auto"/>
          <w:highlight w:val="yellow"/>
        </w:rPr>
        <w:t xml:space="preserve">of </w:t>
      </w:r>
      <w:r w:rsidRPr="00CA5463">
        <w:rPr>
          <w:color w:val="auto"/>
          <w:highlight w:val="yellow"/>
        </w:rPr>
        <w:t>preincubation, decant the buffer into the sink and blot firmly on paper towel.</w:t>
      </w:r>
      <w:r w:rsidRPr="00BE02EB">
        <w:rPr>
          <w:color w:val="auto"/>
        </w:rPr>
        <w:t xml:space="preserve"> </w:t>
      </w:r>
      <w:r w:rsidRPr="00CA5463">
        <w:rPr>
          <w:color w:val="auto"/>
          <w:highlight w:val="yellow"/>
        </w:rPr>
        <w:t xml:space="preserve">Add 100 µL </w:t>
      </w:r>
      <w:r w:rsidR="00CA5463" w:rsidRPr="00CA5463">
        <w:rPr>
          <w:color w:val="auto"/>
          <w:highlight w:val="yellow"/>
        </w:rPr>
        <w:t xml:space="preserve">of glucose-free KRBH </w:t>
      </w:r>
      <w:r w:rsidRPr="00CA5463">
        <w:rPr>
          <w:color w:val="auto"/>
          <w:highlight w:val="yellow"/>
        </w:rPr>
        <w:t>per well to wash away accumulated background of Gaussia luciferase. Decant the plate again and add control and stimulatory conditions to the plate</w:t>
      </w:r>
      <w:r w:rsidR="00CA5463" w:rsidRPr="00CA5463">
        <w:rPr>
          <w:color w:val="auto"/>
          <w:highlight w:val="yellow"/>
        </w:rPr>
        <w:t xml:space="preserve"> at </w:t>
      </w:r>
      <w:r w:rsidRPr="00CA5463">
        <w:rPr>
          <w:color w:val="auto"/>
          <w:highlight w:val="yellow"/>
        </w:rPr>
        <w:t>100 µL per well. Place the dish in the 37°C incubator for 1 h.</w:t>
      </w:r>
    </w:p>
    <w:p w:rsidR="00B416CC" w:rsidRPr="00BE02EB" w:rsidRDefault="00B416CC" w:rsidP="00BE02EB">
      <w:pPr>
        <w:pStyle w:val="ListParagraph"/>
        <w:ind w:left="0"/>
        <w:rPr>
          <w:color w:val="auto"/>
        </w:rPr>
      </w:pPr>
    </w:p>
    <w:p w:rsidR="00CA5463" w:rsidRPr="00CA5463" w:rsidRDefault="00B416CC" w:rsidP="00BE02EB">
      <w:pPr>
        <w:pStyle w:val="ListParagraph"/>
        <w:numPr>
          <w:ilvl w:val="1"/>
          <w:numId w:val="27"/>
        </w:numPr>
        <w:rPr>
          <w:color w:val="auto"/>
          <w:highlight w:val="yellow"/>
        </w:rPr>
      </w:pPr>
      <w:r w:rsidRPr="00CA5463">
        <w:rPr>
          <w:color w:val="auto"/>
          <w:highlight w:val="yellow"/>
        </w:rPr>
        <w:t>Carefully collect 50 µL of supernatant using a multichannel pipette, changing tips between treatment conditions as necessary, and transfer the supernatant to a clean opaque white 96</w:t>
      </w:r>
      <w:r w:rsidR="00CA5463" w:rsidRPr="00CA5463">
        <w:rPr>
          <w:color w:val="auto"/>
          <w:highlight w:val="yellow"/>
        </w:rPr>
        <w:t>-</w:t>
      </w:r>
      <w:r w:rsidRPr="00CA5463">
        <w:rPr>
          <w:color w:val="auto"/>
          <w:highlight w:val="yellow"/>
        </w:rPr>
        <w:t xml:space="preserve">well </w:t>
      </w:r>
      <w:r w:rsidRPr="00CA5463">
        <w:rPr>
          <w:color w:val="auto"/>
          <w:highlight w:val="yellow"/>
        </w:rPr>
        <w:lastRenderedPageBreak/>
        <w:t xml:space="preserve">assay plate. </w:t>
      </w:r>
    </w:p>
    <w:p w:rsidR="00CA5463" w:rsidRDefault="00CA5463" w:rsidP="00CA5463">
      <w:pPr>
        <w:pStyle w:val="ListParagraph"/>
        <w:ind w:left="0"/>
        <w:rPr>
          <w:color w:val="auto"/>
        </w:rPr>
      </w:pPr>
    </w:p>
    <w:p w:rsidR="00B416CC" w:rsidRPr="00BE02EB" w:rsidRDefault="00CA5463" w:rsidP="00CA5463">
      <w:pPr>
        <w:pStyle w:val="ListParagraph"/>
        <w:ind w:left="0"/>
        <w:rPr>
          <w:color w:val="auto"/>
        </w:rPr>
      </w:pPr>
      <w:r>
        <w:rPr>
          <w:color w:val="auto"/>
        </w:rPr>
        <w:t xml:space="preserve">NOTE: </w:t>
      </w:r>
      <w:r w:rsidR="00B416CC" w:rsidRPr="00BE02EB">
        <w:rPr>
          <w:color w:val="auto"/>
        </w:rPr>
        <w:t xml:space="preserve">White-walled clear-bottom plates can be used if necessary, although a significant amount of luciferase signal will be lost. </w:t>
      </w:r>
    </w:p>
    <w:p w:rsidR="00B416CC" w:rsidRPr="00BE02EB" w:rsidRDefault="00B416CC" w:rsidP="00BE02EB">
      <w:pPr>
        <w:rPr>
          <w:color w:val="auto"/>
        </w:rPr>
      </w:pPr>
    </w:p>
    <w:p w:rsidR="00B416CC" w:rsidRPr="00BE02EB" w:rsidRDefault="00B416CC" w:rsidP="00BE02EB">
      <w:pPr>
        <w:pStyle w:val="ListParagraph"/>
        <w:numPr>
          <w:ilvl w:val="1"/>
          <w:numId w:val="27"/>
        </w:numPr>
        <w:rPr>
          <w:color w:val="auto"/>
        </w:rPr>
      </w:pPr>
      <w:r w:rsidRPr="00CA5463">
        <w:rPr>
          <w:color w:val="auto"/>
          <w:highlight w:val="yellow"/>
        </w:rPr>
        <w:t>After collection of 50 µL of KRBH supernatant, the sample can be assayed immediately.</w:t>
      </w:r>
      <w:r w:rsidRPr="00BE02EB">
        <w:rPr>
          <w:color w:val="auto"/>
        </w:rPr>
        <w:t xml:space="preserve"> If necessary, </w:t>
      </w:r>
      <w:r w:rsidR="00CA5463">
        <w:rPr>
          <w:color w:val="auto"/>
        </w:rPr>
        <w:t xml:space="preserve">seal and store </w:t>
      </w:r>
      <w:r w:rsidRPr="00BE02EB">
        <w:rPr>
          <w:color w:val="auto"/>
        </w:rPr>
        <w:t>samples at 4</w:t>
      </w:r>
      <w:r w:rsidR="00CA5463">
        <w:rPr>
          <w:color w:val="auto"/>
        </w:rPr>
        <w:t xml:space="preserve"> </w:t>
      </w:r>
      <w:r w:rsidRPr="00BE02EB">
        <w:rPr>
          <w:color w:val="auto"/>
        </w:rPr>
        <w:t>°C for a few days (</w:t>
      </w:r>
      <w:proofErr w:type="spellStart"/>
      <w:r w:rsidRPr="00BE02EB">
        <w:rPr>
          <w:color w:val="auto"/>
        </w:rPr>
        <w:t>GLuc</w:t>
      </w:r>
      <w:proofErr w:type="spellEnd"/>
      <w:r w:rsidRPr="00BE02EB">
        <w:rPr>
          <w:color w:val="auto"/>
        </w:rPr>
        <w:t xml:space="preserve"> activity half-life ~6 days) or -20</w:t>
      </w:r>
      <w:r w:rsidR="00CA5463">
        <w:rPr>
          <w:color w:val="auto"/>
        </w:rPr>
        <w:t xml:space="preserve"> </w:t>
      </w:r>
      <w:r w:rsidRPr="00BE02EB">
        <w:rPr>
          <w:color w:val="auto"/>
        </w:rPr>
        <w:t>°C for up to one month</w:t>
      </w:r>
      <w:r w:rsidRPr="00BE02EB">
        <w:rPr>
          <w:noProof/>
          <w:color w:val="auto"/>
          <w:vertAlign w:val="superscript"/>
        </w:rPr>
        <w:t>11,12</w:t>
      </w:r>
      <w:r w:rsidRPr="00BE02EB">
        <w:rPr>
          <w:color w:val="auto"/>
        </w:rPr>
        <w:t>.</w:t>
      </w:r>
    </w:p>
    <w:p w:rsidR="00B416CC" w:rsidRPr="00BE02EB" w:rsidRDefault="00B416CC" w:rsidP="00BE02EB">
      <w:pPr>
        <w:pStyle w:val="ListParagraph"/>
        <w:ind w:left="0"/>
        <w:rPr>
          <w:color w:val="auto"/>
        </w:rPr>
      </w:pPr>
    </w:p>
    <w:p w:rsidR="00B416CC" w:rsidRPr="008E7E2F" w:rsidRDefault="00B416CC" w:rsidP="00BE02EB">
      <w:pPr>
        <w:pStyle w:val="ListParagraph"/>
        <w:numPr>
          <w:ilvl w:val="0"/>
          <w:numId w:val="27"/>
        </w:numPr>
        <w:rPr>
          <w:b/>
          <w:color w:val="auto"/>
          <w:highlight w:val="yellow"/>
        </w:rPr>
      </w:pPr>
      <w:r w:rsidRPr="008E7E2F">
        <w:rPr>
          <w:b/>
          <w:color w:val="auto"/>
          <w:highlight w:val="yellow"/>
        </w:rPr>
        <w:t xml:space="preserve">Secreted </w:t>
      </w:r>
      <w:proofErr w:type="spellStart"/>
      <w:r w:rsidRPr="008E7E2F">
        <w:rPr>
          <w:b/>
          <w:color w:val="auto"/>
          <w:highlight w:val="yellow"/>
        </w:rPr>
        <w:t>Gaussia</w:t>
      </w:r>
      <w:proofErr w:type="spellEnd"/>
      <w:r w:rsidRPr="008E7E2F">
        <w:rPr>
          <w:b/>
          <w:color w:val="auto"/>
          <w:highlight w:val="yellow"/>
        </w:rPr>
        <w:t xml:space="preserve"> luciferase assay</w:t>
      </w:r>
    </w:p>
    <w:p w:rsidR="008E7E2F" w:rsidRPr="00BE02EB" w:rsidRDefault="008E7E2F" w:rsidP="008E7E2F">
      <w:pPr>
        <w:pStyle w:val="ListParagraph"/>
        <w:ind w:left="0"/>
        <w:rPr>
          <w:b/>
          <w:color w:val="auto"/>
        </w:rPr>
      </w:pPr>
    </w:p>
    <w:p w:rsidR="00B416CC" w:rsidRPr="008E7E2F" w:rsidRDefault="00B416CC" w:rsidP="00BE02EB">
      <w:pPr>
        <w:pStyle w:val="ListParagraph"/>
        <w:numPr>
          <w:ilvl w:val="1"/>
          <w:numId w:val="27"/>
        </w:numPr>
        <w:rPr>
          <w:color w:val="auto"/>
          <w:highlight w:val="yellow"/>
        </w:rPr>
      </w:pPr>
      <w:r w:rsidRPr="008E7E2F">
        <w:rPr>
          <w:color w:val="auto"/>
          <w:highlight w:val="yellow"/>
        </w:rPr>
        <w:t xml:space="preserve">To prepare the </w:t>
      </w:r>
      <w:proofErr w:type="spellStart"/>
      <w:r w:rsidRPr="008E7E2F">
        <w:rPr>
          <w:color w:val="auto"/>
          <w:highlight w:val="yellow"/>
        </w:rPr>
        <w:t>GLuc</w:t>
      </w:r>
      <w:proofErr w:type="spellEnd"/>
      <w:r w:rsidRPr="008E7E2F">
        <w:rPr>
          <w:color w:val="auto"/>
          <w:highlight w:val="yellow"/>
        </w:rPr>
        <w:t xml:space="preserve"> assay working solution, pipette the required amount of CTZ stock solution (4.2 µL/mL) into </w:t>
      </w:r>
      <w:proofErr w:type="spellStart"/>
      <w:r w:rsidRPr="008E7E2F">
        <w:rPr>
          <w:color w:val="auto"/>
          <w:highlight w:val="yellow"/>
        </w:rPr>
        <w:t>GLuc</w:t>
      </w:r>
      <w:proofErr w:type="spellEnd"/>
      <w:r w:rsidRPr="008E7E2F">
        <w:rPr>
          <w:color w:val="auto"/>
          <w:highlight w:val="yellow"/>
        </w:rPr>
        <w:t xml:space="preserve"> assay buffer. To prevent warming the CTZ, pipette the CTZ quickly at the -80</w:t>
      </w:r>
      <w:r w:rsidR="008E7E2F" w:rsidRPr="008E7E2F">
        <w:rPr>
          <w:color w:val="auto"/>
          <w:highlight w:val="yellow"/>
        </w:rPr>
        <w:t xml:space="preserve"> </w:t>
      </w:r>
      <w:r w:rsidRPr="008E7E2F">
        <w:rPr>
          <w:color w:val="auto"/>
          <w:highlight w:val="yellow"/>
        </w:rPr>
        <w:t>°C freezer or keep the tube on dry ice.</w:t>
      </w:r>
    </w:p>
    <w:p w:rsidR="00B416CC" w:rsidRPr="00BE02EB" w:rsidRDefault="00B416CC" w:rsidP="00BE02EB">
      <w:pPr>
        <w:pStyle w:val="ListParagraph"/>
        <w:ind w:left="0"/>
        <w:rPr>
          <w:color w:val="auto"/>
        </w:rPr>
      </w:pPr>
    </w:p>
    <w:p w:rsidR="00B416CC" w:rsidRPr="008E7E2F" w:rsidRDefault="00B416CC" w:rsidP="00BE02EB">
      <w:pPr>
        <w:pStyle w:val="ListParagraph"/>
        <w:numPr>
          <w:ilvl w:val="1"/>
          <w:numId w:val="27"/>
        </w:numPr>
        <w:rPr>
          <w:color w:val="auto"/>
          <w:highlight w:val="yellow"/>
        </w:rPr>
      </w:pPr>
      <w:r w:rsidRPr="008E7E2F">
        <w:rPr>
          <w:color w:val="auto"/>
          <w:highlight w:val="yellow"/>
        </w:rPr>
        <w:t xml:space="preserve">Using an electronic multichannel pipette, quickly add 50 µL of the </w:t>
      </w:r>
      <w:proofErr w:type="spellStart"/>
      <w:r w:rsidRPr="008E7E2F">
        <w:rPr>
          <w:color w:val="auto"/>
          <w:highlight w:val="yellow"/>
        </w:rPr>
        <w:t>GLuc</w:t>
      </w:r>
      <w:proofErr w:type="spellEnd"/>
      <w:r w:rsidRPr="008E7E2F">
        <w:rPr>
          <w:color w:val="auto"/>
          <w:highlight w:val="yellow"/>
        </w:rPr>
        <w:t xml:space="preserve"> assay working solution per well across the 96</w:t>
      </w:r>
      <w:r w:rsidR="008E7E2F" w:rsidRPr="008E7E2F">
        <w:rPr>
          <w:color w:val="auto"/>
          <w:highlight w:val="yellow"/>
        </w:rPr>
        <w:t>-</w:t>
      </w:r>
      <w:r w:rsidRPr="008E7E2F">
        <w:rPr>
          <w:color w:val="auto"/>
          <w:highlight w:val="yellow"/>
        </w:rPr>
        <w:t xml:space="preserve">well dish containing the collected KRBH supernatants. If there are any droplets on the sides of any wells, briefly spin the plate in a table-top swing-bucket centrifuge. </w:t>
      </w:r>
    </w:p>
    <w:p w:rsidR="00B416CC" w:rsidRPr="00BE02EB" w:rsidRDefault="00B416CC" w:rsidP="00BE02EB">
      <w:pPr>
        <w:pStyle w:val="ListParagraph"/>
        <w:ind w:left="0"/>
        <w:rPr>
          <w:color w:val="auto"/>
        </w:rPr>
      </w:pPr>
    </w:p>
    <w:p w:rsidR="00B416CC" w:rsidRPr="008E7E2F" w:rsidRDefault="00B416CC" w:rsidP="00BE02EB">
      <w:pPr>
        <w:pStyle w:val="ListParagraph"/>
        <w:numPr>
          <w:ilvl w:val="1"/>
          <w:numId w:val="27"/>
        </w:numPr>
        <w:rPr>
          <w:color w:val="auto"/>
          <w:highlight w:val="yellow"/>
        </w:rPr>
      </w:pPr>
      <w:r w:rsidRPr="008E7E2F">
        <w:rPr>
          <w:color w:val="auto"/>
          <w:highlight w:val="yellow"/>
        </w:rPr>
        <w:t xml:space="preserve">Read the luminescence in a suitable plate reader within a few minutes and read each well with a 0.1 s integration time. </w:t>
      </w:r>
    </w:p>
    <w:p w:rsidR="00B416CC" w:rsidRPr="00BE02EB" w:rsidRDefault="00B416CC" w:rsidP="00BE02EB">
      <w:pPr>
        <w:pStyle w:val="NormalWeb"/>
        <w:spacing w:before="0" w:beforeAutospacing="0" w:after="0" w:afterAutospacing="0"/>
        <w:rPr>
          <w:b/>
        </w:rPr>
      </w:pPr>
    </w:p>
    <w:p w:rsidR="00B416CC" w:rsidRPr="00BE02EB" w:rsidRDefault="00B416CC" w:rsidP="00BE02EB">
      <w:pPr>
        <w:pStyle w:val="NormalWeb"/>
        <w:spacing w:before="0" w:beforeAutospacing="0" w:after="0" w:afterAutospacing="0"/>
        <w:rPr>
          <w:color w:val="808080"/>
        </w:rPr>
      </w:pPr>
      <w:r w:rsidRPr="00BE02EB">
        <w:rPr>
          <w:b/>
        </w:rPr>
        <w:t>REPRESENTATIVE RESULTS:</w:t>
      </w:r>
      <w:r w:rsidRPr="00BE02EB">
        <w:rPr>
          <w:b/>
          <w:bCs/>
        </w:rPr>
        <w:t xml:space="preserve"> </w:t>
      </w:r>
    </w:p>
    <w:p w:rsidR="00B416CC" w:rsidRPr="00BE02EB" w:rsidRDefault="00B416CC" w:rsidP="00BE02EB">
      <w:pPr>
        <w:rPr>
          <w:color w:val="auto"/>
        </w:rPr>
      </w:pPr>
      <w:r w:rsidRPr="00BE02EB">
        <w:rPr>
          <w:color w:val="auto"/>
        </w:rPr>
        <w:t>To gauge the performance of the assay under control conditions, a simple glucose dose-response curve or a stimulation using the diazoxide paradigm can be completed. In the case of the former, pre-incubating the cells for 1 h in glucose-free conditions followed by treating for 1 h with increasing glucose concentrations should result in very little secretory activity at and below 5 mM, while increased secretion is observed above 8 mM glucose (</w:t>
      </w:r>
      <w:r w:rsidRPr="00BE02EB">
        <w:rPr>
          <w:b/>
          <w:color w:val="auto"/>
        </w:rPr>
        <w:t>Fig</w:t>
      </w:r>
      <w:r w:rsidR="008E7E2F">
        <w:rPr>
          <w:b/>
          <w:color w:val="auto"/>
        </w:rPr>
        <w:t>ure</w:t>
      </w:r>
      <w:r w:rsidRPr="00BE02EB">
        <w:rPr>
          <w:b/>
          <w:color w:val="auto"/>
        </w:rPr>
        <w:t xml:space="preserve"> 2</w:t>
      </w:r>
      <w:r w:rsidRPr="00BE02EB">
        <w:rPr>
          <w:color w:val="auto"/>
        </w:rPr>
        <w:t xml:space="preserve">). Stimulation with 35 mM </w:t>
      </w:r>
      <w:proofErr w:type="spellStart"/>
      <w:r w:rsidRPr="00BE02EB">
        <w:rPr>
          <w:color w:val="auto"/>
        </w:rPr>
        <w:t>KCl</w:t>
      </w:r>
      <w:proofErr w:type="spellEnd"/>
      <w:r w:rsidRPr="00BE02EB">
        <w:rPr>
          <w:color w:val="auto"/>
        </w:rPr>
        <w:t xml:space="preserve"> also serves as a positive control for stimulated secretion. Inclusion of secretion-modulating drugs during the stimulation period should give the expected inhibition or potentiation of secreted </w:t>
      </w:r>
      <w:proofErr w:type="spellStart"/>
      <w:r w:rsidRPr="00BE02EB">
        <w:rPr>
          <w:color w:val="auto"/>
        </w:rPr>
        <w:t>GLuc</w:t>
      </w:r>
      <w:proofErr w:type="spellEnd"/>
      <w:r w:rsidRPr="00BE02EB">
        <w:rPr>
          <w:color w:val="auto"/>
        </w:rPr>
        <w:t xml:space="preserve"> activity (</w:t>
      </w:r>
      <w:r w:rsidRPr="00BE02EB">
        <w:rPr>
          <w:b/>
          <w:color w:val="auto"/>
        </w:rPr>
        <w:t>Fig</w:t>
      </w:r>
      <w:r w:rsidR="008E7E2F">
        <w:rPr>
          <w:b/>
          <w:color w:val="auto"/>
        </w:rPr>
        <w:t>ure</w:t>
      </w:r>
      <w:r w:rsidRPr="00BE02EB">
        <w:rPr>
          <w:b/>
          <w:color w:val="auto"/>
        </w:rPr>
        <w:t xml:space="preserve"> 3</w:t>
      </w:r>
      <w:r w:rsidRPr="00BE02EB">
        <w:rPr>
          <w:color w:val="auto"/>
        </w:rPr>
        <w:t>). For example, diazoxide binds the K</w:t>
      </w:r>
      <w:r w:rsidRPr="00BE02EB">
        <w:rPr>
          <w:color w:val="auto"/>
          <w:vertAlign w:val="subscript"/>
        </w:rPr>
        <w:t>ATP</w:t>
      </w:r>
      <w:r w:rsidRPr="00BE02EB">
        <w:rPr>
          <w:color w:val="auto"/>
        </w:rPr>
        <w:t xml:space="preserve"> channel and prevents it from closing upon increased [ATP/ADP] ratio, blocking membrane depolarization and preventing secretion</w:t>
      </w:r>
      <w:r w:rsidRPr="00BE02EB">
        <w:rPr>
          <w:noProof/>
          <w:color w:val="auto"/>
          <w:vertAlign w:val="superscript"/>
        </w:rPr>
        <w:t>13</w:t>
      </w:r>
      <w:r w:rsidRPr="00BE02EB">
        <w:rPr>
          <w:color w:val="auto"/>
        </w:rPr>
        <w:t xml:space="preserve">. Phorbol esters like </w:t>
      </w:r>
      <w:r w:rsidR="008E7E2F" w:rsidRPr="008E7E2F">
        <w:rPr>
          <w:color w:val="auto"/>
        </w:rPr>
        <w:t>para-</w:t>
      </w:r>
      <w:r w:rsidR="008E7E2F">
        <w:rPr>
          <w:color w:val="auto"/>
        </w:rPr>
        <w:t>m</w:t>
      </w:r>
      <w:r w:rsidR="008E7E2F" w:rsidRPr="008E7E2F">
        <w:rPr>
          <w:color w:val="auto"/>
        </w:rPr>
        <w:t>ethoxyamphetamine</w:t>
      </w:r>
      <w:r w:rsidR="008E7E2F" w:rsidRPr="008E7E2F">
        <w:rPr>
          <w:color w:val="auto"/>
        </w:rPr>
        <w:t xml:space="preserve"> </w:t>
      </w:r>
      <w:r w:rsidR="008E7E2F">
        <w:rPr>
          <w:color w:val="auto"/>
        </w:rPr>
        <w:t>(</w:t>
      </w:r>
      <w:r w:rsidRPr="00BE02EB">
        <w:rPr>
          <w:color w:val="auto"/>
        </w:rPr>
        <w:t>PMA</w:t>
      </w:r>
      <w:r w:rsidR="008E7E2F">
        <w:rPr>
          <w:color w:val="auto"/>
        </w:rPr>
        <w:t>)</w:t>
      </w:r>
      <w:r w:rsidRPr="00BE02EB">
        <w:rPr>
          <w:color w:val="auto"/>
        </w:rPr>
        <w:t xml:space="preserve"> activate </w:t>
      </w:r>
      <w:r w:rsidR="008E7E2F">
        <w:rPr>
          <w:color w:val="auto"/>
        </w:rPr>
        <w:t>p</w:t>
      </w:r>
      <w:r w:rsidR="008E7E2F" w:rsidRPr="008E7E2F">
        <w:rPr>
          <w:color w:val="auto"/>
        </w:rPr>
        <w:t>rotein kinase C</w:t>
      </w:r>
      <w:r w:rsidR="008E7E2F">
        <w:rPr>
          <w:color w:val="auto"/>
        </w:rPr>
        <w:t xml:space="preserve"> (</w:t>
      </w:r>
      <w:r w:rsidRPr="00BE02EB">
        <w:rPr>
          <w:color w:val="auto"/>
        </w:rPr>
        <w:t>PKC</w:t>
      </w:r>
      <w:r w:rsidR="008E7E2F">
        <w:rPr>
          <w:color w:val="auto"/>
        </w:rPr>
        <w:t>)</w:t>
      </w:r>
      <w:r w:rsidRPr="00BE02EB">
        <w:rPr>
          <w:color w:val="auto"/>
        </w:rPr>
        <w:t xml:space="preserve"> and are known amplifiers of insulin secretion</w:t>
      </w:r>
      <w:r w:rsidRPr="00BE02EB">
        <w:rPr>
          <w:noProof/>
          <w:color w:val="auto"/>
          <w:vertAlign w:val="superscript"/>
        </w:rPr>
        <w:t>14</w:t>
      </w:r>
      <w:r w:rsidRPr="00BE02EB">
        <w:rPr>
          <w:color w:val="auto"/>
        </w:rPr>
        <w:t>. Finally, stimulation with 1 µM epinephrine activates α</w:t>
      </w:r>
      <w:r w:rsidRPr="00BE02EB">
        <w:rPr>
          <w:color w:val="auto"/>
          <w:vertAlign w:val="subscript"/>
        </w:rPr>
        <w:t>2A</w:t>
      </w:r>
      <w:r w:rsidRPr="00BE02EB">
        <w:rPr>
          <w:color w:val="auto"/>
        </w:rPr>
        <w:t>-adrenergic receptors which in turn activate the heterotrimeric G-protein complex Gi, inhibiting membrane depolarization and insulin secretion</w:t>
      </w:r>
      <w:r w:rsidRPr="00BE02EB">
        <w:rPr>
          <w:noProof/>
          <w:color w:val="auto"/>
          <w:vertAlign w:val="superscript"/>
        </w:rPr>
        <w:t>15</w:t>
      </w:r>
      <w:r w:rsidRPr="00BE02EB">
        <w:rPr>
          <w:color w:val="auto"/>
        </w:rPr>
        <w:t>. It is important to recognize that while MIN6 cells are an immortal cell line, they start to lose proper glucose-induced insulin secretion responses (such as left-shifting of the response curve) after extended passaging</w:t>
      </w:r>
      <w:r w:rsidRPr="00BE02EB">
        <w:rPr>
          <w:noProof/>
          <w:color w:val="auto"/>
          <w:vertAlign w:val="superscript"/>
        </w:rPr>
        <w:t>16</w:t>
      </w:r>
      <w:r w:rsidRPr="00BE02EB">
        <w:rPr>
          <w:color w:val="auto"/>
        </w:rPr>
        <w:t xml:space="preserve">. For this reason, it is good practice to routinely culture all MIN6 cell lines for up to eight weeks (splitting once per week) before starting over from liquid nitrogen stocks. </w:t>
      </w:r>
    </w:p>
    <w:p w:rsidR="00B416CC" w:rsidRPr="00BE02EB" w:rsidRDefault="00B416CC" w:rsidP="00BE02EB">
      <w:pPr>
        <w:rPr>
          <w:color w:val="808080" w:themeColor="background1" w:themeShade="80"/>
        </w:rPr>
      </w:pPr>
    </w:p>
    <w:p w:rsidR="00B416CC" w:rsidRPr="00BE02EB" w:rsidRDefault="00B416CC" w:rsidP="00BE02EB">
      <w:pPr>
        <w:rPr>
          <w:b/>
        </w:rPr>
      </w:pPr>
      <w:r w:rsidRPr="00BE02EB">
        <w:rPr>
          <w:b/>
        </w:rPr>
        <w:t>FIGURE AND TABLE LEGENDS:</w:t>
      </w:r>
    </w:p>
    <w:p w:rsidR="00B416CC" w:rsidRPr="00BE02EB" w:rsidRDefault="00B416CC" w:rsidP="00BE02EB">
      <w:pPr>
        <w:widowControl/>
        <w:rPr>
          <w:bCs/>
          <w:color w:val="808080"/>
        </w:rPr>
      </w:pPr>
    </w:p>
    <w:p w:rsidR="00B416CC" w:rsidRPr="00BE02EB" w:rsidRDefault="00B416CC" w:rsidP="00BE02EB">
      <w:pPr>
        <w:widowControl/>
        <w:rPr>
          <w:bCs/>
          <w:color w:val="auto"/>
          <w:szCs w:val="18"/>
        </w:rPr>
      </w:pPr>
      <w:r w:rsidRPr="00BE02EB">
        <w:rPr>
          <w:b/>
          <w:bCs/>
          <w:color w:val="auto"/>
          <w:szCs w:val="18"/>
        </w:rPr>
        <w:lastRenderedPageBreak/>
        <w:t>Figure 1</w:t>
      </w:r>
      <w:r w:rsidR="008E7E2F">
        <w:rPr>
          <w:b/>
          <w:bCs/>
          <w:color w:val="auto"/>
          <w:szCs w:val="18"/>
        </w:rPr>
        <w:t>:</w:t>
      </w:r>
      <w:r w:rsidRPr="00BE02EB">
        <w:rPr>
          <w:b/>
          <w:bCs/>
          <w:color w:val="auto"/>
          <w:szCs w:val="18"/>
        </w:rPr>
        <w:t xml:space="preserve"> Description of the InsGLuc reporter.</w:t>
      </w:r>
      <w:r w:rsidRPr="00BE02EB">
        <w:rPr>
          <w:bCs/>
          <w:color w:val="auto"/>
          <w:szCs w:val="18"/>
        </w:rPr>
        <w:t xml:space="preserve"> </w:t>
      </w:r>
      <w:r w:rsidR="008E7E2F">
        <w:rPr>
          <w:bCs/>
          <w:color w:val="auto"/>
          <w:szCs w:val="18"/>
        </w:rPr>
        <w:t>(</w:t>
      </w:r>
      <w:r w:rsidRPr="00BE02EB">
        <w:rPr>
          <w:b/>
          <w:bCs/>
          <w:color w:val="auto"/>
          <w:szCs w:val="18"/>
        </w:rPr>
        <w:t>A</w:t>
      </w:r>
      <w:r w:rsidRPr="008E7E2F">
        <w:rPr>
          <w:bCs/>
          <w:color w:val="auto"/>
          <w:szCs w:val="18"/>
        </w:rPr>
        <w:t>)</w:t>
      </w:r>
      <w:r w:rsidRPr="00BE02EB">
        <w:rPr>
          <w:bCs/>
          <w:color w:val="auto"/>
          <w:szCs w:val="18"/>
        </w:rPr>
        <w:t xml:space="preserve"> First, a stable β cell line (in this case MIN6 cells) was generated expressing the </w:t>
      </w:r>
      <w:r w:rsidR="008E7E2F">
        <w:rPr>
          <w:bCs/>
          <w:color w:val="auto"/>
          <w:szCs w:val="18"/>
        </w:rPr>
        <w:t>i</w:t>
      </w:r>
      <w:r w:rsidRPr="00BE02EB">
        <w:rPr>
          <w:bCs/>
          <w:color w:val="auto"/>
          <w:szCs w:val="18"/>
        </w:rPr>
        <w:t>nsulin-</w:t>
      </w:r>
      <w:proofErr w:type="spellStart"/>
      <w:r w:rsidRPr="00BE02EB">
        <w:rPr>
          <w:bCs/>
          <w:color w:val="auto"/>
          <w:szCs w:val="18"/>
        </w:rPr>
        <w:t>Gaussia</w:t>
      </w:r>
      <w:proofErr w:type="spellEnd"/>
      <w:r w:rsidRPr="00BE02EB">
        <w:rPr>
          <w:bCs/>
          <w:color w:val="auto"/>
          <w:szCs w:val="18"/>
        </w:rPr>
        <w:t xml:space="preserve"> transgene from the rat insulin promoter. </w:t>
      </w:r>
      <w:r w:rsidR="008E7E2F">
        <w:rPr>
          <w:bCs/>
          <w:color w:val="auto"/>
          <w:szCs w:val="18"/>
        </w:rPr>
        <w:t>(</w:t>
      </w:r>
      <w:r w:rsidRPr="00BE02EB">
        <w:rPr>
          <w:b/>
          <w:bCs/>
          <w:color w:val="auto"/>
          <w:szCs w:val="18"/>
        </w:rPr>
        <w:t>B</w:t>
      </w:r>
      <w:r w:rsidRPr="008E7E2F">
        <w:rPr>
          <w:bCs/>
          <w:color w:val="auto"/>
          <w:szCs w:val="18"/>
        </w:rPr>
        <w:t>)</w:t>
      </w:r>
      <w:r w:rsidRPr="00BE02EB">
        <w:rPr>
          <w:bCs/>
          <w:color w:val="auto"/>
          <w:szCs w:val="18"/>
        </w:rPr>
        <w:t xml:space="preserve"> The full protein is synthesized and packaged in insulin granules along with endogenous insulin. Prohormone convertases cleave the peptide, indicated by asterisks. </w:t>
      </w:r>
      <w:r w:rsidR="008E7E2F">
        <w:rPr>
          <w:bCs/>
          <w:color w:val="auto"/>
          <w:szCs w:val="18"/>
        </w:rPr>
        <w:t>(</w:t>
      </w:r>
      <w:r w:rsidRPr="00BE02EB">
        <w:rPr>
          <w:b/>
          <w:bCs/>
          <w:color w:val="auto"/>
          <w:szCs w:val="18"/>
        </w:rPr>
        <w:t>C</w:t>
      </w:r>
      <w:r w:rsidRPr="008E7E2F">
        <w:rPr>
          <w:bCs/>
          <w:color w:val="auto"/>
          <w:szCs w:val="18"/>
        </w:rPr>
        <w:t>)</w:t>
      </w:r>
      <w:r w:rsidRPr="00BE02EB">
        <w:rPr>
          <w:bCs/>
          <w:color w:val="auto"/>
          <w:szCs w:val="18"/>
        </w:rPr>
        <w:t xml:space="preserve"> The processed insulin and Gaussia are co-secreted and the luciferase activity </w:t>
      </w:r>
      <w:proofErr w:type="gramStart"/>
      <w:r w:rsidRPr="00BE02EB">
        <w:rPr>
          <w:bCs/>
          <w:color w:val="auto"/>
          <w:szCs w:val="18"/>
        </w:rPr>
        <w:t>is</w:t>
      </w:r>
      <w:proofErr w:type="gramEnd"/>
      <w:r w:rsidRPr="00BE02EB">
        <w:rPr>
          <w:bCs/>
          <w:color w:val="auto"/>
          <w:szCs w:val="18"/>
        </w:rPr>
        <w:t xml:space="preserve"> detected by the addition of CTZ in an ATP-independent, oxygen-dependent reaction.  </w:t>
      </w:r>
    </w:p>
    <w:p w:rsidR="00B416CC" w:rsidRPr="00BE02EB" w:rsidRDefault="00B416CC" w:rsidP="00BE02EB">
      <w:pPr>
        <w:widowControl/>
        <w:rPr>
          <w:bCs/>
          <w:color w:val="808080"/>
        </w:rPr>
      </w:pPr>
    </w:p>
    <w:p w:rsidR="00B416CC" w:rsidRPr="00BE02EB" w:rsidRDefault="00B416CC" w:rsidP="00BE02EB">
      <w:pPr>
        <w:widowControl/>
        <w:rPr>
          <w:bCs/>
          <w:color w:val="auto"/>
          <w:szCs w:val="18"/>
        </w:rPr>
      </w:pPr>
      <w:r w:rsidRPr="00BE02EB">
        <w:rPr>
          <w:b/>
          <w:bCs/>
          <w:color w:val="auto"/>
          <w:szCs w:val="18"/>
        </w:rPr>
        <w:t>Figure 2</w:t>
      </w:r>
      <w:r w:rsidR="008E7E2F">
        <w:rPr>
          <w:b/>
          <w:bCs/>
          <w:color w:val="auto"/>
          <w:szCs w:val="18"/>
        </w:rPr>
        <w:t>:</w:t>
      </w:r>
      <w:r w:rsidRPr="00BE02EB">
        <w:rPr>
          <w:b/>
          <w:bCs/>
          <w:color w:val="auto"/>
          <w:szCs w:val="18"/>
        </w:rPr>
        <w:t xml:space="preserve"> The InsGLuc reporter is a faithful proxy of insulin secretion from MIN6 beta cells. </w:t>
      </w:r>
      <w:r w:rsidR="008E7E2F" w:rsidRPr="008E7E2F">
        <w:rPr>
          <w:bCs/>
          <w:color w:val="auto"/>
          <w:szCs w:val="18"/>
        </w:rPr>
        <w:t>(</w:t>
      </w:r>
      <w:r w:rsidRPr="00BE02EB">
        <w:rPr>
          <w:b/>
          <w:bCs/>
          <w:color w:val="auto"/>
          <w:szCs w:val="18"/>
        </w:rPr>
        <w:t>A</w:t>
      </w:r>
      <w:r w:rsidRPr="008E7E2F">
        <w:rPr>
          <w:bCs/>
          <w:color w:val="auto"/>
          <w:szCs w:val="18"/>
        </w:rPr>
        <w:t>)</w:t>
      </w:r>
      <w:r w:rsidRPr="00BE02EB">
        <w:rPr>
          <w:bCs/>
          <w:color w:val="auto"/>
          <w:szCs w:val="18"/>
        </w:rPr>
        <w:t xml:space="preserve"> Response of MIN6 InsGLuc cells to increasing glucose concentrations and </w:t>
      </w:r>
      <w:proofErr w:type="spellStart"/>
      <w:r w:rsidRPr="00BE02EB">
        <w:rPr>
          <w:bCs/>
          <w:color w:val="auto"/>
          <w:szCs w:val="18"/>
        </w:rPr>
        <w:t>KCl</w:t>
      </w:r>
      <w:proofErr w:type="spellEnd"/>
      <w:r w:rsidRPr="00BE02EB">
        <w:rPr>
          <w:bCs/>
          <w:color w:val="auto"/>
          <w:szCs w:val="18"/>
        </w:rPr>
        <w:t xml:space="preserve"> (35 mM) with Gaussia luciferase secretion. Data are the mean fold luciferase activity ± SE compared to 0 mM glucose conditions for three independent experiments. *, P</w:t>
      </w:r>
      <w:r w:rsidR="008E7E2F">
        <w:rPr>
          <w:bCs/>
          <w:color w:val="auto"/>
          <w:szCs w:val="18"/>
        </w:rPr>
        <w:t xml:space="preserve"> </w:t>
      </w:r>
      <w:r w:rsidRPr="00BE02EB">
        <w:rPr>
          <w:bCs/>
          <w:color w:val="auto"/>
          <w:szCs w:val="18"/>
        </w:rPr>
        <w:t>&lt;</w:t>
      </w:r>
      <w:r w:rsidR="008E7E2F">
        <w:rPr>
          <w:bCs/>
          <w:color w:val="auto"/>
          <w:szCs w:val="18"/>
        </w:rPr>
        <w:t xml:space="preserve"> </w:t>
      </w:r>
      <w:r w:rsidRPr="00BE02EB">
        <w:rPr>
          <w:bCs/>
          <w:color w:val="auto"/>
          <w:szCs w:val="18"/>
        </w:rPr>
        <w:t xml:space="preserve">0.05. </w:t>
      </w:r>
      <w:r w:rsidR="008E7E2F">
        <w:rPr>
          <w:bCs/>
          <w:color w:val="auto"/>
          <w:szCs w:val="18"/>
        </w:rPr>
        <w:t>The figure has been m</w:t>
      </w:r>
      <w:r w:rsidRPr="00BE02EB">
        <w:rPr>
          <w:bCs/>
          <w:color w:val="auto"/>
          <w:szCs w:val="18"/>
        </w:rPr>
        <w:t xml:space="preserve">odified with permission from </w:t>
      </w:r>
      <w:proofErr w:type="spellStart"/>
      <w:r w:rsidRPr="00BE02EB">
        <w:rPr>
          <w:bCs/>
          <w:color w:val="auto"/>
          <w:szCs w:val="18"/>
        </w:rPr>
        <w:t>Kalwat</w:t>
      </w:r>
      <w:proofErr w:type="spellEnd"/>
      <w:r w:rsidRPr="00BE02EB">
        <w:rPr>
          <w:bCs/>
          <w:color w:val="auto"/>
          <w:szCs w:val="18"/>
        </w:rPr>
        <w:t xml:space="preserve"> </w:t>
      </w:r>
      <w:r w:rsidR="00F83D46" w:rsidRPr="00F83D46">
        <w:rPr>
          <w:bCs/>
          <w:color w:val="auto"/>
          <w:szCs w:val="18"/>
        </w:rPr>
        <w:t>et al.</w:t>
      </w:r>
      <w:r w:rsidRPr="00BE02EB">
        <w:rPr>
          <w:bCs/>
          <w:color w:val="auto"/>
          <w:szCs w:val="18"/>
        </w:rPr>
        <w:t xml:space="preserve"> ACS Sensors 2016</w:t>
      </w:r>
      <w:r w:rsidRPr="00BE02EB">
        <w:rPr>
          <w:bCs/>
          <w:noProof/>
          <w:color w:val="auto"/>
          <w:szCs w:val="18"/>
          <w:vertAlign w:val="superscript"/>
        </w:rPr>
        <w:t>1</w:t>
      </w:r>
      <w:r w:rsidRPr="00BE02EB">
        <w:rPr>
          <w:bCs/>
          <w:color w:val="auto"/>
          <w:szCs w:val="18"/>
        </w:rPr>
        <w:t xml:space="preserve">. © 2016 American Chemical Society. </w:t>
      </w:r>
      <w:r w:rsidR="008E7E2F">
        <w:rPr>
          <w:bCs/>
          <w:color w:val="auto"/>
          <w:szCs w:val="18"/>
        </w:rPr>
        <w:t>(</w:t>
      </w:r>
      <w:r w:rsidRPr="00BE02EB">
        <w:rPr>
          <w:b/>
          <w:bCs/>
          <w:color w:val="auto"/>
          <w:szCs w:val="18"/>
        </w:rPr>
        <w:t>B</w:t>
      </w:r>
      <w:r w:rsidRPr="008E7E2F">
        <w:rPr>
          <w:bCs/>
          <w:color w:val="auto"/>
          <w:szCs w:val="18"/>
        </w:rPr>
        <w:t>)</w:t>
      </w:r>
      <w:r w:rsidRPr="00BE02EB">
        <w:rPr>
          <w:bCs/>
          <w:color w:val="auto"/>
          <w:szCs w:val="18"/>
        </w:rPr>
        <w:t xml:space="preserve"> The </w:t>
      </w:r>
      <w:proofErr w:type="spellStart"/>
      <w:r w:rsidRPr="00BE02EB">
        <w:rPr>
          <w:bCs/>
          <w:color w:val="auto"/>
          <w:szCs w:val="18"/>
        </w:rPr>
        <w:t>InsGLuc</w:t>
      </w:r>
      <w:proofErr w:type="spellEnd"/>
      <w:r w:rsidRPr="00BE02EB">
        <w:rPr>
          <w:bCs/>
          <w:color w:val="auto"/>
          <w:szCs w:val="18"/>
        </w:rPr>
        <w:t xml:space="preserve"> reporter in MIN6 cells exhibits the expected secretory response to the diazoxide (</w:t>
      </w:r>
      <w:proofErr w:type="spellStart"/>
      <w:r w:rsidRPr="00BE02EB">
        <w:rPr>
          <w:bCs/>
          <w:color w:val="auto"/>
          <w:szCs w:val="18"/>
        </w:rPr>
        <w:t>Dz</w:t>
      </w:r>
      <w:proofErr w:type="spellEnd"/>
      <w:r w:rsidRPr="00BE02EB">
        <w:rPr>
          <w:bCs/>
          <w:color w:val="auto"/>
          <w:szCs w:val="18"/>
        </w:rPr>
        <w:t xml:space="preserve">) paradigm where </w:t>
      </w:r>
      <w:r w:rsidR="0030478D" w:rsidRPr="00BE02EB">
        <w:rPr>
          <w:bCs/>
          <w:color w:val="auto"/>
          <w:szCs w:val="18"/>
        </w:rPr>
        <w:t xml:space="preserve">250 µM </w:t>
      </w:r>
      <w:proofErr w:type="spellStart"/>
      <w:r w:rsidR="0030478D" w:rsidRPr="00BE02EB">
        <w:rPr>
          <w:bCs/>
          <w:color w:val="auto"/>
          <w:szCs w:val="18"/>
        </w:rPr>
        <w:t>Dz</w:t>
      </w:r>
      <w:proofErr w:type="spellEnd"/>
      <w:r w:rsidR="0030478D" w:rsidRPr="00BE02EB">
        <w:rPr>
          <w:bCs/>
          <w:color w:val="auto"/>
          <w:szCs w:val="18"/>
        </w:rPr>
        <w:t xml:space="preserve"> treatment holds the K</w:t>
      </w:r>
      <w:r w:rsidRPr="00BE02EB">
        <w:rPr>
          <w:bCs/>
          <w:color w:val="auto"/>
          <w:szCs w:val="18"/>
          <w:vertAlign w:val="subscript"/>
        </w:rPr>
        <w:t>ATP</w:t>
      </w:r>
      <w:r w:rsidRPr="00BE02EB">
        <w:rPr>
          <w:bCs/>
          <w:color w:val="auto"/>
          <w:szCs w:val="18"/>
        </w:rPr>
        <w:t xml:space="preserve"> channel open, blocking membrane depolarization unless extracellular </w:t>
      </w:r>
      <w:proofErr w:type="spellStart"/>
      <w:r w:rsidRPr="00BE02EB">
        <w:rPr>
          <w:bCs/>
          <w:color w:val="auto"/>
          <w:szCs w:val="18"/>
        </w:rPr>
        <w:t>KCl</w:t>
      </w:r>
      <w:proofErr w:type="spellEnd"/>
      <w:r w:rsidRPr="00BE02EB">
        <w:rPr>
          <w:bCs/>
          <w:color w:val="auto"/>
          <w:szCs w:val="18"/>
        </w:rPr>
        <w:t xml:space="preserve"> (35 mM) is provided to elicit the ‘triggering’ calcium influx. Further addition of glucose (20 mM) under the </w:t>
      </w:r>
      <w:proofErr w:type="spellStart"/>
      <w:r w:rsidRPr="00BE02EB">
        <w:rPr>
          <w:bCs/>
          <w:color w:val="auto"/>
          <w:szCs w:val="18"/>
        </w:rPr>
        <w:t>Dz</w:t>
      </w:r>
      <w:proofErr w:type="spellEnd"/>
      <w:r w:rsidR="008E7E2F">
        <w:rPr>
          <w:bCs/>
          <w:color w:val="auto"/>
          <w:szCs w:val="18"/>
        </w:rPr>
        <w:t xml:space="preserve"> </w:t>
      </w:r>
      <w:r w:rsidRPr="00BE02EB">
        <w:rPr>
          <w:bCs/>
          <w:color w:val="auto"/>
          <w:szCs w:val="18"/>
        </w:rPr>
        <w:t>+</w:t>
      </w:r>
      <w:r w:rsidR="008E7E2F">
        <w:rPr>
          <w:bCs/>
          <w:color w:val="auto"/>
          <w:szCs w:val="18"/>
        </w:rPr>
        <w:t xml:space="preserve"> </w:t>
      </w:r>
      <w:proofErr w:type="spellStart"/>
      <w:r w:rsidRPr="00BE02EB">
        <w:rPr>
          <w:bCs/>
          <w:color w:val="auto"/>
          <w:szCs w:val="18"/>
        </w:rPr>
        <w:t>KCl</w:t>
      </w:r>
      <w:proofErr w:type="spellEnd"/>
      <w:r w:rsidRPr="00BE02EB">
        <w:rPr>
          <w:bCs/>
          <w:color w:val="auto"/>
          <w:szCs w:val="18"/>
        </w:rPr>
        <w:t xml:space="preserve"> condition reveals the metabolic amplification of secretion that occurs without further increases in calcium influx. </w:t>
      </w:r>
    </w:p>
    <w:p w:rsidR="00B416CC" w:rsidRPr="00BE02EB" w:rsidRDefault="00B416CC" w:rsidP="00BE02EB">
      <w:pPr>
        <w:widowControl/>
        <w:rPr>
          <w:bCs/>
          <w:color w:val="auto"/>
          <w:szCs w:val="18"/>
        </w:rPr>
      </w:pPr>
    </w:p>
    <w:p w:rsidR="00B416CC" w:rsidRPr="00BE02EB" w:rsidRDefault="00B416CC" w:rsidP="00BE02EB">
      <w:pPr>
        <w:widowControl/>
        <w:rPr>
          <w:bCs/>
          <w:color w:val="auto"/>
          <w:szCs w:val="18"/>
        </w:rPr>
      </w:pPr>
      <w:r w:rsidRPr="00BE02EB">
        <w:rPr>
          <w:b/>
          <w:bCs/>
          <w:color w:val="auto"/>
          <w:szCs w:val="18"/>
        </w:rPr>
        <w:t xml:space="preserve">Figure </w:t>
      </w:r>
      <w:r w:rsidR="008E7E2F">
        <w:rPr>
          <w:b/>
          <w:bCs/>
          <w:color w:val="auto"/>
          <w:szCs w:val="18"/>
        </w:rPr>
        <w:t>3:</w:t>
      </w:r>
      <w:r w:rsidRPr="00BE02EB">
        <w:rPr>
          <w:b/>
          <w:bCs/>
          <w:color w:val="auto"/>
          <w:szCs w:val="18"/>
        </w:rPr>
        <w:t xml:space="preserve"> Inclusion of secretion</w:t>
      </w:r>
      <w:r w:rsidR="008E7E2F">
        <w:rPr>
          <w:b/>
          <w:bCs/>
          <w:color w:val="auto"/>
          <w:szCs w:val="18"/>
        </w:rPr>
        <w:t>-</w:t>
      </w:r>
      <w:r w:rsidRPr="00BE02EB">
        <w:rPr>
          <w:b/>
          <w:bCs/>
          <w:color w:val="auto"/>
          <w:szCs w:val="18"/>
        </w:rPr>
        <w:t>modulating compounds during glucose-stimulates InsGLuc secretion.</w:t>
      </w:r>
      <w:r w:rsidRPr="00BE02EB">
        <w:rPr>
          <w:bCs/>
          <w:color w:val="auto"/>
          <w:szCs w:val="18"/>
        </w:rPr>
        <w:t xml:space="preserve"> InsGLuc MIN6 cells plated in 96</w:t>
      </w:r>
      <w:r w:rsidR="008E7E2F">
        <w:rPr>
          <w:bCs/>
          <w:color w:val="auto"/>
          <w:szCs w:val="18"/>
        </w:rPr>
        <w:t>-</w:t>
      </w:r>
      <w:r w:rsidRPr="00BE02EB">
        <w:rPr>
          <w:bCs/>
          <w:color w:val="auto"/>
          <w:szCs w:val="18"/>
        </w:rPr>
        <w:t xml:space="preserve">well format as described were preincubated in glucose-free KRBH for 1 h. Cells were then treated with or without 20 mM glucose in the presence of </w:t>
      </w:r>
      <w:r w:rsidR="008E7E2F">
        <w:rPr>
          <w:bCs/>
          <w:color w:val="auto"/>
          <w:szCs w:val="18"/>
        </w:rPr>
        <w:t>dimethyl sulfoxide (</w:t>
      </w:r>
      <w:r w:rsidRPr="00BE02EB">
        <w:rPr>
          <w:bCs/>
          <w:color w:val="auto"/>
          <w:szCs w:val="18"/>
        </w:rPr>
        <w:t>DMSO</w:t>
      </w:r>
      <w:r w:rsidR="008E7E2F">
        <w:rPr>
          <w:bCs/>
          <w:color w:val="auto"/>
          <w:szCs w:val="18"/>
        </w:rPr>
        <w:t>)</w:t>
      </w:r>
      <w:r w:rsidRPr="00BE02EB">
        <w:rPr>
          <w:bCs/>
          <w:color w:val="auto"/>
          <w:szCs w:val="18"/>
        </w:rPr>
        <w:t xml:space="preserve"> (0.1%), </w:t>
      </w:r>
      <w:proofErr w:type="spellStart"/>
      <w:r w:rsidRPr="00BE02EB">
        <w:rPr>
          <w:bCs/>
          <w:color w:val="auto"/>
          <w:szCs w:val="18"/>
        </w:rPr>
        <w:t>KCl</w:t>
      </w:r>
      <w:proofErr w:type="spellEnd"/>
      <w:r w:rsidRPr="00BE02EB">
        <w:rPr>
          <w:bCs/>
          <w:color w:val="auto"/>
          <w:szCs w:val="18"/>
        </w:rPr>
        <w:t xml:space="preserve"> (35 mM), diazoxide (250 µM), PMA (100 </w:t>
      </w:r>
      <w:proofErr w:type="spellStart"/>
      <w:r w:rsidRPr="00BE02EB">
        <w:rPr>
          <w:bCs/>
          <w:color w:val="auto"/>
          <w:szCs w:val="18"/>
        </w:rPr>
        <w:t>nM</w:t>
      </w:r>
      <w:proofErr w:type="spellEnd"/>
      <w:r w:rsidRPr="00BE02EB">
        <w:rPr>
          <w:bCs/>
          <w:color w:val="auto"/>
          <w:szCs w:val="18"/>
        </w:rPr>
        <w:t xml:space="preserve">), or epinephrine (1 µM) for 1 h. Bar graph </w:t>
      </w:r>
      <w:r w:rsidR="008E7E2F">
        <w:rPr>
          <w:bCs/>
          <w:color w:val="auto"/>
          <w:szCs w:val="18"/>
        </w:rPr>
        <w:t>represent</w:t>
      </w:r>
      <w:r w:rsidRPr="00BE02EB">
        <w:rPr>
          <w:bCs/>
          <w:color w:val="auto"/>
          <w:szCs w:val="18"/>
        </w:rPr>
        <w:t xml:space="preserve"> the mean ± SE of at least 3 independent experiments.</w:t>
      </w:r>
    </w:p>
    <w:p w:rsidR="00B416CC" w:rsidRPr="00BE02EB" w:rsidRDefault="00B416CC" w:rsidP="00BE02EB">
      <w:pPr>
        <w:rPr>
          <w:color w:val="808080" w:themeColor="background1" w:themeShade="80"/>
        </w:rPr>
      </w:pPr>
    </w:p>
    <w:p w:rsidR="00B416CC" w:rsidRPr="008E7E2F" w:rsidRDefault="00B416CC" w:rsidP="00BE02EB">
      <w:pPr>
        <w:rPr>
          <w:b/>
          <w:color w:val="auto"/>
        </w:rPr>
      </w:pPr>
      <w:r w:rsidRPr="008E7E2F">
        <w:rPr>
          <w:b/>
          <w:color w:val="auto"/>
        </w:rPr>
        <w:t>Table 1</w:t>
      </w:r>
      <w:r w:rsidR="008E7E2F" w:rsidRPr="008E7E2F">
        <w:rPr>
          <w:b/>
          <w:color w:val="auto"/>
        </w:rPr>
        <w:t>:</w:t>
      </w:r>
      <w:r w:rsidRPr="008E7E2F">
        <w:rPr>
          <w:b/>
          <w:color w:val="auto"/>
        </w:rPr>
        <w:t xml:space="preserve"> Buffer and stock solution recipes used to perform the presented assays. </w:t>
      </w:r>
    </w:p>
    <w:p w:rsidR="00B416CC" w:rsidRPr="00BE02EB" w:rsidRDefault="00B416CC" w:rsidP="00BE02EB">
      <w:pPr>
        <w:rPr>
          <w:color w:val="808080" w:themeColor="background1" w:themeShade="80"/>
        </w:rPr>
      </w:pPr>
    </w:p>
    <w:p w:rsidR="00B416CC" w:rsidRPr="00BE02EB" w:rsidRDefault="00B416CC" w:rsidP="00BE02EB">
      <w:pPr>
        <w:rPr>
          <w:b/>
        </w:rPr>
      </w:pPr>
      <w:r w:rsidRPr="00BE02EB">
        <w:rPr>
          <w:b/>
        </w:rPr>
        <w:t>DISCUSSION</w:t>
      </w:r>
      <w:r w:rsidRPr="00BE02EB">
        <w:rPr>
          <w:b/>
          <w:bCs/>
        </w:rPr>
        <w:t>:</w:t>
      </w:r>
    </w:p>
    <w:p w:rsidR="00B416CC" w:rsidRPr="00BE02EB" w:rsidRDefault="00B416CC" w:rsidP="00BE02EB">
      <w:pPr>
        <w:rPr>
          <w:color w:val="auto"/>
        </w:rPr>
      </w:pPr>
      <w:r w:rsidRPr="00BE02EB">
        <w:rPr>
          <w:color w:val="auto"/>
        </w:rPr>
        <w:t>Herein we present a method to rapidly assess glucose-stimulated insulin secretion responses from MIN6 β cells. For the best responses in the assay it is important to seed the MIN6 cells at the proper density and allow them to become 85</w:t>
      </w:r>
      <w:r w:rsidR="00C116D1">
        <w:rPr>
          <w:color w:val="auto"/>
        </w:rPr>
        <w:t>–</w:t>
      </w:r>
      <w:r w:rsidRPr="00BE02EB">
        <w:rPr>
          <w:color w:val="auto"/>
        </w:rPr>
        <w:t>95% confluent. This improves β cell responses to glucose because of improved cell-cell contacts and synchronization and occurs both in primary islets</w:t>
      </w:r>
      <w:r w:rsidRPr="00BE02EB">
        <w:rPr>
          <w:noProof/>
          <w:color w:val="auto"/>
          <w:vertAlign w:val="superscript"/>
        </w:rPr>
        <w:t>17-21</w:t>
      </w:r>
      <w:r w:rsidRPr="00BE02EB">
        <w:rPr>
          <w:color w:val="auto"/>
        </w:rPr>
        <w:t xml:space="preserve"> as well as MIN6 cells</w:t>
      </w:r>
      <w:r w:rsidRPr="00BE02EB">
        <w:rPr>
          <w:noProof/>
          <w:color w:val="auto"/>
          <w:vertAlign w:val="superscript"/>
        </w:rPr>
        <w:t>16,18</w:t>
      </w:r>
      <w:r w:rsidRPr="00BE02EB">
        <w:rPr>
          <w:color w:val="auto"/>
        </w:rPr>
        <w:t>. To prevent losses in secretory response to glucose stimulation, it is important to maintain the cells at as low of a passage as possible and culture the cells for only 6</w:t>
      </w:r>
      <w:r w:rsidR="00C116D1">
        <w:rPr>
          <w:color w:val="auto"/>
        </w:rPr>
        <w:t>–</w:t>
      </w:r>
      <w:r w:rsidRPr="00BE02EB">
        <w:rPr>
          <w:color w:val="auto"/>
        </w:rPr>
        <w:t xml:space="preserve">8 weeks prior to thawing a new vial from liquid nitrogen stocks. Modifications can be made to the plating strategy in </w:t>
      </w:r>
      <w:r w:rsidR="00C116D1">
        <w:rPr>
          <w:color w:val="auto"/>
        </w:rPr>
        <w:t>p</w:t>
      </w:r>
      <w:r w:rsidRPr="00BE02EB">
        <w:rPr>
          <w:color w:val="auto"/>
        </w:rPr>
        <w:t xml:space="preserve">rotocol section 2 to adapt to the available </w:t>
      </w:r>
      <w:r w:rsidR="0030478D" w:rsidRPr="00BE02EB">
        <w:rPr>
          <w:color w:val="auto"/>
        </w:rPr>
        <w:t>equipment</w:t>
      </w:r>
      <w:r w:rsidRPr="00BE02EB">
        <w:rPr>
          <w:color w:val="auto"/>
        </w:rPr>
        <w:t xml:space="preserve"> as necessary. Plating InsGLuc MIN6 cells into 96-well plates for secretion assays affords </w:t>
      </w:r>
      <w:proofErr w:type="gramStart"/>
      <w:r w:rsidRPr="00BE02EB">
        <w:rPr>
          <w:color w:val="auto"/>
        </w:rPr>
        <w:t>a large number of</w:t>
      </w:r>
      <w:proofErr w:type="gramEnd"/>
      <w:r w:rsidRPr="00BE02EB">
        <w:rPr>
          <w:color w:val="auto"/>
        </w:rPr>
        <w:t xml:space="preserve"> wells for experimental manipulations (including replicates) as well as maintaining accuracy of plating in a normal lab setting, as plating into dishes with higher well numbers often requires special equipment usually available in high-throughput screening cores.</w:t>
      </w:r>
    </w:p>
    <w:p w:rsidR="00B416CC" w:rsidRPr="00BE02EB" w:rsidRDefault="00B416CC" w:rsidP="00BE02EB">
      <w:pPr>
        <w:rPr>
          <w:color w:val="auto"/>
        </w:rPr>
      </w:pPr>
    </w:p>
    <w:p w:rsidR="00B416CC" w:rsidRPr="00BE02EB" w:rsidRDefault="00B416CC" w:rsidP="00BE02EB">
      <w:pPr>
        <w:rPr>
          <w:color w:val="auto"/>
        </w:rPr>
      </w:pPr>
      <w:r w:rsidRPr="00BE02EB">
        <w:rPr>
          <w:color w:val="auto"/>
        </w:rPr>
        <w:t>Current assays for insulin secretion, other than the indirect luciferase assay described here, include: ELISAs that use colorimetric readouts (direct assay), radioimmunoassays (competition assay) which use radioactive readouts, FRET-based antibody competition assay</w:t>
      </w:r>
      <w:r w:rsidRPr="00BE02EB">
        <w:rPr>
          <w:noProof/>
          <w:color w:val="auto"/>
          <w:vertAlign w:val="superscript"/>
        </w:rPr>
        <w:t>22</w:t>
      </w:r>
      <w:r w:rsidRPr="00BE02EB">
        <w:rPr>
          <w:color w:val="auto"/>
        </w:rPr>
        <w:t xml:space="preserve">  and HTRF</w:t>
      </w:r>
      <w:r w:rsidRPr="00BE02EB">
        <w:rPr>
          <w:noProof/>
          <w:color w:val="auto"/>
          <w:vertAlign w:val="superscript"/>
        </w:rPr>
        <w:t>23</w:t>
      </w:r>
      <w:r w:rsidRPr="00BE02EB">
        <w:rPr>
          <w:color w:val="auto"/>
        </w:rPr>
        <w:t xml:space="preserve"> </w:t>
      </w:r>
      <w:r w:rsidRPr="00BE02EB">
        <w:rPr>
          <w:color w:val="auto"/>
        </w:rPr>
        <w:lastRenderedPageBreak/>
        <w:t>which uses FRET between dye-linked antibodies to measure insulin directly, and DNA aptamers</w:t>
      </w:r>
      <w:r w:rsidRPr="00BE02EB">
        <w:rPr>
          <w:noProof/>
          <w:color w:val="auto"/>
          <w:vertAlign w:val="superscript"/>
        </w:rPr>
        <w:t>24</w:t>
      </w:r>
      <w:r w:rsidRPr="00BE02EB">
        <w:rPr>
          <w:color w:val="auto"/>
        </w:rPr>
        <w:t>. Each of these methods has its own advantages, but in general they are more expensive and/or time</w:t>
      </w:r>
      <w:r w:rsidR="00C116D1">
        <w:rPr>
          <w:color w:val="auto"/>
        </w:rPr>
        <w:t>-</w:t>
      </w:r>
      <w:r w:rsidRPr="00BE02EB">
        <w:rPr>
          <w:color w:val="auto"/>
        </w:rPr>
        <w:t>consuming than a luciferase assay. One key limitation of the InsGLuc assay is the fact that luminescent activity of the co-secreted luciferase is only a proxy for actual insulin secretion. Additionally, theoretically there is no expected difference in luciferase activity between Gaussia with fragments of C-peptide on its N- and C-termini or Gaussia within the proinsulin protein, as Gaussia luciferase has been successfully used as a tag to measure the secretion of other proteins</w:t>
      </w:r>
      <w:r w:rsidRPr="00BE02EB">
        <w:rPr>
          <w:noProof/>
          <w:color w:val="auto"/>
          <w:vertAlign w:val="superscript"/>
        </w:rPr>
        <w:t>25</w:t>
      </w:r>
      <w:r w:rsidRPr="00BE02EB">
        <w:rPr>
          <w:color w:val="auto"/>
        </w:rPr>
        <w:t>. This highlights the requirement of confirmation studies using assays that measure processed insulin specifically. Alternatives to direct and indirect measurements of insulin secretion can also be used to assess β cell function. A variety of optical reporters exist for readouts including ATP:ADP ratio, calcium influx, NAD</w:t>
      </w:r>
      <w:r w:rsidRPr="00BE02EB">
        <w:rPr>
          <w:color w:val="auto"/>
          <w:vertAlign w:val="superscript"/>
        </w:rPr>
        <w:t>+</w:t>
      </w:r>
      <w:r w:rsidRPr="00BE02EB">
        <w:rPr>
          <w:color w:val="auto"/>
        </w:rPr>
        <w:t xml:space="preserve">/NADH ratio, </w:t>
      </w:r>
      <w:r w:rsidR="00F83D46" w:rsidRPr="00F83D46">
        <w:rPr>
          <w:color w:val="auto"/>
        </w:rPr>
        <w:t>extracellular signal–regulated kinases</w:t>
      </w:r>
      <w:r w:rsidR="00F83D46" w:rsidRPr="00F83D46">
        <w:rPr>
          <w:color w:val="auto"/>
        </w:rPr>
        <w:t xml:space="preserve"> </w:t>
      </w:r>
      <w:r w:rsidR="00F83D46">
        <w:rPr>
          <w:color w:val="auto"/>
        </w:rPr>
        <w:t>(</w:t>
      </w:r>
      <w:r w:rsidRPr="00BE02EB">
        <w:rPr>
          <w:color w:val="auto"/>
        </w:rPr>
        <w:t>ERK</w:t>
      </w:r>
      <w:r w:rsidR="00F83D46">
        <w:rPr>
          <w:color w:val="auto"/>
        </w:rPr>
        <w:t>)</w:t>
      </w:r>
      <w:r w:rsidRPr="00BE02EB">
        <w:rPr>
          <w:color w:val="auto"/>
        </w:rPr>
        <w:t xml:space="preserve"> activation, or </w:t>
      </w:r>
      <w:r w:rsidR="00F83D46">
        <w:rPr>
          <w:color w:val="auto"/>
        </w:rPr>
        <w:t>c</w:t>
      </w:r>
      <w:r w:rsidR="00F83D46" w:rsidRPr="00F83D46">
        <w:rPr>
          <w:color w:val="auto"/>
        </w:rPr>
        <w:t>yclic adenosine monophosphate</w:t>
      </w:r>
      <w:r w:rsidR="00F83D46" w:rsidRPr="00F83D46">
        <w:rPr>
          <w:color w:val="auto"/>
        </w:rPr>
        <w:t xml:space="preserve"> </w:t>
      </w:r>
      <w:r w:rsidR="00F83D46">
        <w:rPr>
          <w:color w:val="auto"/>
        </w:rPr>
        <w:t>(</w:t>
      </w:r>
      <w:r w:rsidRPr="00BE02EB">
        <w:rPr>
          <w:color w:val="auto"/>
        </w:rPr>
        <w:t>cAMP</w:t>
      </w:r>
      <w:r w:rsidR="00F83D46">
        <w:rPr>
          <w:color w:val="auto"/>
        </w:rPr>
        <w:t>)</w:t>
      </w:r>
      <w:r w:rsidRPr="00BE02EB">
        <w:rPr>
          <w:color w:val="auto"/>
        </w:rPr>
        <w:t xml:space="preserve"> levels</w:t>
      </w:r>
      <w:r w:rsidRPr="00BE02EB">
        <w:rPr>
          <w:noProof/>
          <w:color w:val="auto"/>
          <w:vertAlign w:val="superscript"/>
        </w:rPr>
        <w:t>26</w:t>
      </w:r>
      <w:r w:rsidRPr="00BE02EB">
        <w:rPr>
          <w:color w:val="auto"/>
        </w:rPr>
        <w:t xml:space="preserve">. </w:t>
      </w:r>
    </w:p>
    <w:p w:rsidR="00B416CC" w:rsidRPr="00BE02EB" w:rsidRDefault="00B416CC" w:rsidP="00BE02EB">
      <w:pPr>
        <w:rPr>
          <w:color w:val="auto"/>
        </w:rPr>
      </w:pPr>
    </w:p>
    <w:p w:rsidR="00B416CC" w:rsidRPr="00BE02EB" w:rsidRDefault="00B416CC" w:rsidP="00BE02EB">
      <w:pPr>
        <w:rPr>
          <w:color w:val="auto"/>
        </w:rPr>
      </w:pPr>
      <w:r w:rsidRPr="00BE02EB">
        <w:rPr>
          <w:color w:val="auto"/>
        </w:rPr>
        <w:t xml:space="preserve">The future applications of InsGLuc </w:t>
      </w:r>
      <w:proofErr w:type="gramStart"/>
      <w:r w:rsidRPr="00BE02EB">
        <w:rPr>
          <w:color w:val="auto"/>
        </w:rPr>
        <w:t>in particular appear</w:t>
      </w:r>
      <w:proofErr w:type="gramEnd"/>
      <w:r w:rsidRPr="00BE02EB">
        <w:rPr>
          <w:color w:val="auto"/>
        </w:rPr>
        <w:t xml:space="preserve"> to be in high-throughput screening. This assay has already been used in a handful of published small screens</w:t>
      </w:r>
      <w:r w:rsidRPr="00BE02EB">
        <w:rPr>
          <w:noProof/>
          <w:color w:val="auto"/>
          <w:vertAlign w:val="superscript"/>
        </w:rPr>
        <w:t>1,2</w:t>
      </w:r>
      <w:r w:rsidRPr="00BE02EB">
        <w:rPr>
          <w:color w:val="auto"/>
        </w:rPr>
        <w:t xml:space="preserve"> and unpublished larger screens are either completed</w:t>
      </w:r>
      <w:r w:rsidRPr="00BE02EB">
        <w:rPr>
          <w:noProof/>
          <w:color w:val="auto"/>
          <w:vertAlign w:val="superscript"/>
        </w:rPr>
        <w:t>7</w:t>
      </w:r>
      <w:r w:rsidRPr="00BE02EB">
        <w:rPr>
          <w:color w:val="auto"/>
        </w:rPr>
        <w:t xml:space="preserve"> or underway. Development of other iterations of this technology may involve tagging of other secreted islet hormones with luciferases to facilitate rapid measurements, such as for glucagon or somatostatin. Modifications could be made in any case where the cell line is regenerated using alternate approaches including CRISPR/Cas9, lentivirus, or transposase-mediated insertion in any suitable beta cell line. Additional possible modifications to the original reporter may include substituting alternate secreted luciferases for Gaussia or combining multiple different secreted luciferases linked to different hormones for a multiplexed assay. Beyond cell culture, CRISPR/Cas9 technology presents the possibility of generating a mouse model where a suitable luciferase is knocked in to the C-peptide coding region of Ins2 in the genome. Such a mouse would be feasible given that transgenic mice have been created with GFP knocked in to the same C-peptide site</w:t>
      </w:r>
      <w:r w:rsidRPr="00BE02EB">
        <w:rPr>
          <w:noProof/>
          <w:color w:val="auto"/>
          <w:vertAlign w:val="superscript"/>
        </w:rPr>
        <w:t>27</w:t>
      </w:r>
      <w:r w:rsidRPr="00BE02EB">
        <w:rPr>
          <w:color w:val="auto"/>
        </w:rPr>
        <w:t xml:space="preserve"> and would allow measurement of endogenous β cell function with a luciferase assay in vivo or ex vivo. </w:t>
      </w:r>
    </w:p>
    <w:p w:rsidR="00B416CC" w:rsidRPr="00BE02EB" w:rsidRDefault="00B416CC" w:rsidP="00BE02EB">
      <w:pPr>
        <w:rPr>
          <w:color w:val="auto"/>
        </w:rPr>
      </w:pPr>
    </w:p>
    <w:p w:rsidR="00B416CC" w:rsidRPr="00BE02EB" w:rsidRDefault="00B416CC" w:rsidP="00BE02EB">
      <w:pPr>
        <w:pStyle w:val="NormalWeb"/>
        <w:spacing w:before="0" w:beforeAutospacing="0" w:after="0" w:afterAutospacing="0"/>
        <w:rPr>
          <w:color w:val="808080"/>
        </w:rPr>
      </w:pPr>
      <w:r w:rsidRPr="00BE02EB">
        <w:rPr>
          <w:b/>
          <w:bCs/>
        </w:rPr>
        <w:t xml:space="preserve">ACKNOWLEDGMENTS: </w:t>
      </w:r>
    </w:p>
    <w:p w:rsidR="00B416CC" w:rsidRPr="00BE02EB" w:rsidRDefault="00B416CC" w:rsidP="00BE02EB">
      <w:pPr>
        <w:rPr>
          <w:color w:val="auto"/>
        </w:rPr>
      </w:pPr>
      <w:r w:rsidRPr="00BE02EB">
        <w:rPr>
          <w:color w:val="auto"/>
        </w:rPr>
        <w:t>The authors thank all current and former members of the Cobb laboratory for valuable work and discussions, and Dionne Ware for administrative assistance. Michael Kalwat is supported by a Juvenile Diabetes Research Foundation SRA-2019-702-Q-R. This work was made possible through NIH R37 DK34128 and Welch Foundation Grant I1243 to Melanie Cobb. Early parts of this work were also supported by an NIH F32 DK100113 to Michael Kalwat.</w:t>
      </w:r>
    </w:p>
    <w:p w:rsidR="00B416CC" w:rsidRPr="00BE02EB" w:rsidRDefault="00B416CC" w:rsidP="00BE02EB">
      <w:pPr>
        <w:rPr>
          <w:b/>
          <w:bCs/>
        </w:rPr>
      </w:pPr>
    </w:p>
    <w:p w:rsidR="00B416CC" w:rsidRPr="00BE02EB" w:rsidRDefault="00B416CC" w:rsidP="00BE02EB">
      <w:pPr>
        <w:pStyle w:val="NormalWeb"/>
        <w:spacing w:before="0" w:beforeAutospacing="0" w:after="0" w:afterAutospacing="0"/>
        <w:rPr>
          <w:color w:val="808080"/>
        </w:rPr>
      </w:pPr>
      <w:r w:rsidRPr="00BE02EB">
        <w:rPr>
          <w:b/>
        </w:rPr>
        <w:t>DISCLOSURES</w:t>
      </w:r>
      <w:r w:rsidRPr="00BE02EB">
        <w:rPr>
          <w:b/>
          <w:bCs/>
        </w:rPr>
        <w:t xml:space="preserve">:  </w:t>
      </w:r>
    </w:p>
    <w:p w:rsidR="00B416CC" w:rsidRPr="00BE02EB" w:rsidRDefault="00B416CC" w:rsidP="00BE02EB">
      <w:pPr>
        <w:rPr>
          <w:color w:val="auto"/>
        </w:rPr>
      </w:pPr>
      <w:r w:rsidRPr="00BE02EB">
        <w:rPr>
          <w:color w:val="auto"/>
        </w:rPr>
        <w:t>The authors have nothing to disclose.</w:t>
      </w:r>
    </w:p>
    <w:p w:rsidR="00B416CC" w:rsidRPr="00BE02EB" w:rsidRDefault="00B416CC" w:rsidP="00BE02EB">
      <w:pPr>
        <w:rPr>
          <w:b/>
          <w:color w:val="000000" w:themeColor="text1"/>
        </w:rPr>
      </w:pPr>
      <w:bookmarkStart w:id="0" w:name="References"/>
    </w:p>
    <w:p w:rsidR="00B416CC" w:rsidRPr="00BE02EB" w:rsidRDefault="00B416CC" w:rsidP="00BE02EB">
      <w:pPr>
        <w:autoSpaceDE/>
        <w:autoSpaceDN/>
        <w:adjustRightInd/>
        <w:rPr>
          <w:rFonts w:eastAsia="Calibri"/>
          <w:b/>
          <w:color w:val="auto"/>
        </w:rPr>
      </w:pPr>
      <w:r w:rsidRPr="00BE02EB">
        <w:rPr>
          <w:b/>
          <w:bCs/>
        </w:rPr>
        <w:t>REFERENCES</w:t>
      </w:r>
      <w:bookmarkEnd w:id="0"/>
      <w:r w:rsidR="00F83D46">
        <w:t>:</w:t>
      </w:r>
      <w:bookmarkStart w:id="1" w:name="_GoBack"/>
      <w:bookmarkEnd w:id="1"/>
    </w:p>
    <w:p w:rsidR="00B416CC" w:rsidRPr="00BE02EB" w:rsidRDefault="00B416CC" w:rsidP="00BE02EB">
      <w:pPr>
        <w:pStyle w:val="EndNoteBibliography"/>
      </w:pPr>
      <w:r w:rsidRPr="00BE02EB">
        <w:t>1</w:t>
      </w:r>
      <w:r w:rsidRPr="00BE02EB">
        <w:tab/>
        <w:t>Kalwat, M. A.</w:t>
      </w:r>
      <w:r w:rsidRPr="00BE02EB">
        <w:rPr>
          <w:i/>
        </w:rPr>
        <w:t xml:space="preserve"> </w:t>
      </w:r>
      <w:r w:rsidR="00F83D46" w:rsidRPr="00F83D46">
        <w:t>et al.</w:t>
      </w:r>
      <w:r w:rsidRPr="00BE02EB">
        <w:t xml:space="preserve"> Insulin promoter-driven Gaussia luciferase-based insulin secretion biosensor assay for discovery of beta-cell glucose-sensing pathways. </w:t>
      </w:r>
      <w:r w:rsidRPr="00BE02EB">
        <w:rPr>
          <w:i/>
        </w:rPr>
        <w:t>ACS Sens</w:t>
      </w:r>
      <w:r w:rsidR="00BE6111" w:rsidRPr="00BE02EB">
        <w:rPr>
          <w:i/>
        </w:rPr>
        <w:t>ors</w:t>
      </w:r>
      <w:r w:rsidRPr="00BE02EB">
        <w:rPr>
          <w:i/>
        </w:rPr>
        <w:t>.</w:t>
      </w:r>
      <w:r w:rsidRPr="00BE02EB">
        <w:t xml:space="preserve"> </w:t>
      </w:r>
      <w:r w:rsidRPr="00BE02EB">
        <w:rPr>
          <w:b/>
        </w:rPr>
        <w:t>1</w:t>
      </w:r>
      <w:r w:rsidRPr="00BE02EB">
        <w:t xml:space="preserve"> (10), 1208-1212, (2016).</w:t>
      </w:r>
    </w:p>
    <w:p w:rsidR="00B416CC" w:rsidRPr="00BE02EB" w:rsidRDefault="00B416CC" w:rsidP="00BE02EB">
      <w:pPr>
        <w:pStyle w:val="EndNoteBibliography"/>
      </w:pPr>
      <w:r w:rsidRPr="00BE02EB">
        <w:t>2</w:t>
      </w:r>
      <w:r w:rsidRPr="00BE02EB">
        <w:tab/>
        <w:t>Burns, S. M.</w:t>
      </w:r>
      <w:r w:rsidRPr="00BE02EB">
        <w:rPr>
          <w:i/>
        </w:rPr>
        <w:t xml:space="preserve"> </w:t>
      </w:r>
      <w:r w:rsidR="00F83D46" w:rsidRPr="00F83D46">
        <w:t>et al.</w:t>
      </w:r>
      <w:r w:rsidRPr="00BE02EB">
        <w:t xml:space="preserve"> High-throughput luminescent reporter of insulin secretion for discovering regulators of pancreatic Beta-cell function. </w:t>
      </w:r>
      <w:r w:rsidRPr="00BE02EB">
        <w:rPr>
          <w:i/>
        </w:rPr>
        <w:t>Cell Metab</w:t>
      </w:r>
      <w:r w:rsidR="00BE6111" w:rsidRPr="00BE02EB">
        <w:rPr>
          <w:i/>
        </w:rPr>
        <w:t>olism</w:t>
      </w:r>
      <w:r w:rsidRPr="00BE02EB">
        <w:rPr>
          <w:i/>
        </w:rPr>
        <w:t>.</w:t>
      </w:r>
      <w:r w:rsidRPr="00BE02EB">
        <w:t xml:space="preserve"> </w:t>
      </w:r>
      <w:r w:rsidRPr="00BE02EB">
        <w:rPr>
          <w:b/>
        </w:rPr>
        <w:t>21</w:t>
      </w:r>
      <w:r w:rsidRPr="00BE02EB">
        <w:t xml:space="preserve"> (1), 126-137, (2015).</w:t>
      </w:r>
    </w:p>
    <w:p w:rsidR="00B416CC" w:rsidRPr="00BE02EB" w:rsidRDefault="00B416CC" w:rsidP="00BE02EB">
      <w:pPr>
        <w:pStyle w:val="EndNoteBibliography"/>
      </w:pPr>
      <w:r w:rsidRPr="00BE02EB">
        <w:lastRenderedPageBreak/>
        <w:t>3</w:t>
      </w:r>
      <w:r w:rsidRPr="00BE02EB">
        <w:tab/>
        <w:t>Rajan, S.</w:t>
      </w:r>
      <w:r w:rsidRPr="00BE02EB">
        <w:rPr>
          <w:i/>
        </w:rPr>
        <w:t xml:space="preserve"> </w:t>
      </w:r>
      <w:r w:rsidR="00F83D46" w:rsidRPr="00F83D46">
        <w:t>et al.</w:t>
      </w:r>
      <w:r w:rsidRPr="00BE02EB">
        <w:t xml:space="preserve"> In vitro processing and secretion of mutant insulin proteins that cause permanent neonatal diabetes. </w:t>
      </w:r>
      <w:r w:rsidRPr="00BE02EB">
        <w:rPr>
          <w:i/>
        </w:rPr>
        <w:t>Am</w:t>
      </w:r>
      <w:r w:rsidR="00BE6111" w:rsidRPr="00BE02EB">
        <w:rPr>
          <w:i/>
        </w:rPr>
        <w:t>erican</w:t>
      </w:r>
      <w:r w:rsidRPr="00BE02EB">
        <w:rPr>
          <w:i/>
        </w:rPr>
        <w:t xml:space="preserve"> J</w:t>
      </w:r>
      <w:r w:rsidR="00BE6111" w:rsidRPr="00BE02EB">
        <w:rPr>
          <w:i/>
        </w:rPr>
        <w:t>ournal of</w:t>
      </w:r>
      <w:r w:rsidRPr="00BE02EB">
        <w:rPr>
          <w:i/>
        </w:rPr>
        <w:t xml:space="preserve"> Physiol</w:t>
      </w:r>
      <w:r w:rsidR="00BE6111" w:rsidRPr="00BE02EB">
        <w:rPr>
          <w:i/>
        </w:rPr>
        <w:t>ogy -</w:t>
      </w:r>
      <w:r w:rsidRPr="00BE02EB">
        <w:rPr>
          <w:i/>
        </w:rPr>
        <w:t xml:space="preserve"> Endocrinol</w:t>
      </w:r>
      <w:r w:rsidR="00BE6111" w:rsidRPr="00BE02EB">
        <w:rPr>
          <w:i/>
        </w:rPr>
        <w:t>ogy and</w:t>
      </w:r>
      <w:r w:rsidRPr="00BE02EB">
        <w:rPr>
          <w:i/>
        </w:rPr>
        <w:t xml:space="preserve"> Metab</w:t>
      </w:r>
      <w:r w:rsidR="00BE6111" w:rsidRPr="00BE02EB">
        <w:rPr>
          <w:i/>
        </w:rPr>
        <w:t>olism</w:t>
      </w:r>
      <w:r w:rsidRPr="00BE02EB">
        <w:rPr>
          <w:i/>
        </w:rPr>
        <w:t>.</w:t>
      </w:r>
      <w:r w:rsidRPr="00BE02EB">
        <w:t xml:space="preserve"> </w:t>
      </w:r>
      <w:r w:rsidRPr="00BE02EB">
        <w:rPr>
          <w:b/>
        </w:rPr>
        <w:t>298</w:t>
      </w:r>
      <w:r w:rsidRPr="00BE02EB">
        <w:t xml:space="preserve"> (3), E403-410, (2010).</w:t>
      </w:r>
    </w:p>
    <w:p w:rsidR="00B416CC" w:rsidRPr="00BE02EB" w:rsidRDefault="00B416CC" w:rsidP="00BE02EB">
      <w:pPr>
        <w:pStyle w:val="EndNoteBibliography"/>
      </w:pPr>
      <w:r w:rsidRPr="00BE02EB">
        <w:t>4</w:t>
      </w:r>
      <w:r w:rsidRPr="00BE02EB">
        <w:tab/>
        <w:t>Watkins, S.</w:t>
      </w:r>
      <w:r w:rsidRPr="00BE02EB">
        <w:rPr>
          <w:i/>
        </w:rPr>
        <w:t xml:space="preserve"> </w:t>
      </w:r>
      <w:r w:rsidR="00F83D46" w:rsidRPr="00F83D46">
        <w:t>et al.</w:t>
      </w:r>
      <w:r w:rsidRPr="00BE02EB">
        <w:t xml:space="preserve"> Imaging Secretory Vesicles by Fluorescent Protein Insertion in Propeptide Rather Than Mature Secreted Peptide. </w:t>
      </w:r>
      <w:r w:rsidRPr="00BE02EB">
        <w:rPr>
          <w:i/>
        </w:rPr>
        <w:t>Traffic.</w:t>
      </w:r>
      <w:r w:rsidRPr="00BE02EB">
        <w:t xml:space="preserve"> </w:t>
      </w:r>
      <w:r w:rsidRPr="00BE02EB">
        <w:rPr>
          <w:b/>
        </w:rPr>
        <w:t>3</w:t>
      </w:r>
      <w:r w:rsidRPr="00BE02EB">
        <w:t xml:space="preserve"> (7), 461-471, (2002).</w:t>
      </w:r>
    </w:p>
    <w:p w:rsidR="00B416CC" w:rsidRPr="00BE02EB" w:rsidRDefault="00B416CC" w:rsidP="00BE02EB">
      <w:pPr>
        <w:pStyle w:val="EndNoteBibliography"/>
      </w:pPr>
      <w:r w:rsidRPr="00BE02EB">
        <w:t>5</w:t>
      </w:r>
      <w:r w:rsidRPr="00BE02EB">
        <w:tab/>
        <w:t>Welsh, J. P., Patel, K. G., Manthiram, K.</w:t>
      </w:r>
      <w:r w:rsidR="00F83D46">
        <w:t>,</w:t>
      </w:r>
      <w:r w:rsidRPr="00BE02EB">
        <w:t xml:space="preserve"> Swartz, J. R. Multiply mutated Gaussia luciferases provide prolonged and intense bioluminescence. </w:t>
      </w:r>
      <w:r w:rsidRPr="00BE02EB">
        <w:rPr>
          <w:i/>
        </w:rPr>
        <w:t>Biochem</w:t>
      </w:r>
      <w:r w:rsidR="00BE6111" w:rsidRPr="00BE02EB">
        <w:rPr>
          <w:i/>
        </w:rPr>
        <w:t>ical</w:t>
      </w:r>
      <w:r w:rsidRPr="00BE02EB">
        <w:rPr>
          <w:i/>
        </w:rPr>
        <w:t xml:space="preserve"> Biophys</w:t>
      </w:r>
      <w:r w:rsidR="00BE6111" w:rsidRPr="00BE02EB">
        <w:rPr>
          <w:i/>
        </w:rPr>
        <w:t>ical</w:t>
      </w:r>
      <w:r w:rsidRPr="00BE02EB">
        <w:rPr>
          <w:i/>
        </w:rPr>
        <w:t xml:space="preserve"> Res</w:t>
      </w:r>
      <w:r w:rsidR="00BE6111" w:rsidRPr="00BE02EB">
        <w:rPr>
          <w:i/>
        </w:rPr>
        <w:t>earch</w:t>
      </w:r>
      <w:r w:rsidRPr="00BE02EB">
        <w:rPr>
          <w:i/>
        </w:rPr>
        <w:t xml:space="preserve"> Commun</w:t>
      </w:r>
      <w:r w:rsidR="00BE6111" w:rsidRPr="00BE02EB">
        <w:rPr>
          <w:i/>
        </w:rPr>
        <w:t>ications</w:t>
      </w:r>
      <w:r w:rsidRPr="00BE02EB">
        <w:rPr>
          <w:i/>
        </w:rPr>
        <w:t>.</w:t>
      </w:r>
      <w:r w:rsidRPr="00BE02EB">
        <w:t xml:space="preserve"> </w:t>
      </w:r>
      <w:r w:rsidRPr="00BE02EB">
        <w:rPr>
          <w:b/>
        </w:rPr>
        <w:t>389</w:t>
      </w:r>
      <w:r w:rsidRPr="00BE02EB">
        <w:t xml:space="preserve"> (4), 563-568, (2009).</w:t>
      </w:r>
    </w:p>
    <w:p w:rsidR="00B416CC" w:rsidRPr="00BE02EB" w:rsidRDefault="00B416CC" w:rsidP="00BE02EB">
      <w:pPr>
        <w:pStyle w:val="EndNoteBibliography"/>
      </w:pPr>
      <w:r w:rsidRPr="00BE02EB">
        <w:t>6</w:t>
      </w:r>
      <w:r w:rsidRPr="00BE02EB">
        <w:tab/>
        <w:t>Tannous, B. A., Kim, D. E., Fernandez, J. L., Weissleder, R.</w:t>
      </w:r>
      <w:r w:rsidR="00F83D46">
        <w:t>,</w:t>
      </w:r>
      <w:r w:rsidRPr="00BE02EB">
        <w:t xml:space="preserve"> Breakefield, X. O. Codon-optimized Gaussia luciferase cDNA for mammalian gene expression in culture and in vivo. </w:t>
      </w:r>
      <w:r w:rsidRPr="00BE02EB">
        <w:rPr>
          <w:i/>
        </w:rPr>
        <w:t>Mol</w:t>
      </w:r>
      <w:r w:rsidR="00BE6111" w:rsidRPr="00BE02EB">
        <w:rPr>
          <w:i/>
        </w:rPr>
        <w:t>ecular</w:t>
      </w:r>
      <w:r w:rsidRPr="00BE02EB">
        <w:rPr>
          <w:i/>
        </w:rPr>
        <w:t xml:space="preserve"> Ther</w:t>
      </w:r>
      <w:r w:rsidR="00BE6111" w:rsidRPr="00BE02EB">
        <w:rPr>
          <w:i/>
        </w:rPr>
        <w:t>arpy</w:t>
      </w:r>
      <w:r w:rsidRPr="00BE02EB">
        <w:rPr>
          <w:i/>
        </w:rPr>
        <w:t>.</w:t>
      </w:r>
      <w:r w:rsidRPr="00BE02EB">
        <w:t xml:space="preserve"> </w:t>
      </w:r>
      <w:r w:rsidRPr="00BE02EB">
        <w:rPr>
          <w:b/>
        </w:rPr>
        <w:t>11</w:t>
      </w:r>
      <w:r w:rsidRPr="00BE02EB">
        <w:t xml:space="preserve"> (3), 435-443, (2005).</w:t>
      </w:r>
    </w:p>
    <w:p w:rsidR="00B416CC" w:rsidRPr="00BE02EB" w:rsidRDefault="00B416CC" w:rsidP="00BE02EB">
      <w:pPr>
        <w:pStyle w:val="EndNoteBibliography"/>
      </w:pPr>
      <w:r w:rsidRPr="00BE02EB">
        <w:t>7</w:t>
      </w:r>
      <w:r w:rsidRPr="00BE02EB">
        <w:tab/>
        <w:t>Burns, S. M., Wagner, B. K.</w:t>
      </w:r>
      <w:r w:rsidR="00F83D46">
        <w:t>,</w:t>
      </w:r>
      <w:r w:rsidRPr="00BE02EB">
        <w:t xml:space="preserve"> Vetere, A. Compounds and methods for regulating insulin secretion. World patent WO2018175324A1 (2018).</w:t>
      </w:r>
    </w:p>
    <w:p w:rsidR="00B416CC" w:rsidRPr="00BE02EB" w:rsidRDefault="00B416CC" w:rsidP="00BE02EB">
      <w:pPr>
        <w:pStyle w:val="EndNoteBibliography"/>
      </w:pPr>
      <w:r w:rsidRPr="00BE02EB">
        <w:t>8</w:t>
      </w:r>
      <w:r w:rsidRPr="00BE02EB">
        <w:tab/>
        <w:t>Kalwat, M. A.</w:t>
      </w:r>
      <w:r w:rsidRPr="00BE02EB">
        <w:rPr>
          <w:i/>
        </w:rPr>
        <w:t xml:space="preserve"> </w:t>
      </w:r>
      <w:r w:rsidR="00F83D46" w:rsidRPr="00F83D46">
        <w:t>et al.</w:t>
      </w:r>
      <w:r w:rsidRPr="00BE02EB">
        <w:t xml:space="preserve"> Chromomycin A2 potently inhibits glucose-stimulated insulin secretion from pancreatic beta cells. </w:t>
      </w:r>
      <w:r w:rsidRPr="00BE02EB">
        <w:rPr>
          <w:i/>
        </w:rPr>
        <w:t>J</w:t>
      </w:r>
      <w:r w:rsidR="00BE6111" w:rsidRPr="00BE02EB">
        <w:rPr>
          <w:i/>
        </w:rPr>
        <w:t>ournal of</w:t>
      </w:r>
      <w:r w:rsidRPr="00BE02EB">
        <w:rPr>
          <w:i/>
        </w:rPr>
        <w:t xml:space="preserve"> Gen</w:t>
      </w:r>
      <w:r w:rsidR="00BE6111" w:rsidRPr="00BE02EB">
        <w:rPr>
          <w:i/>
        </w:rPr>
        <w:t>eral</w:t>
      </w:r>
      <w:r w:rsidRPr="00BE02EB">
        <w:rPr>
          <w:i/>
        </w:rPr>
        <w:t xml:space="preserve"> Physiol</w:t>
      </w:r>
      <w:r w:rsidR="00BE6111" w:rsidRPr="00BE02EB">
        <w:rPr>
          <w:i/>
        </w:rPr>
        <w:t>ogy</w:t>
      </w:r>
      <w:r w:rsidRPr="00BE02EB">
        <w:rPr>
          <w:i/>
        </w:rPr>
        <w:t>.</w:t>
      </w:r>
      <w:r w:rsidRPr="00BE02EB">
        <w:t xml:space="preserve"> 10.1085/jgp.201812177, (2018).</w:t>
      </w:r>
    </w:p>
    <w:p w:rsidR="00B416CC" w:rsidRPr="00BE02EB" w:rsidRDefault="00B416CC" w:rsidP="00BE02EB">
      <w:pPr>
        <w:pStyle w:val="EndNoteBibliography"/>
      </w:pPr>
      <w:r w:rsidRPr="00BE02EB">
        <w:t>9</w:t>
      </w:r>
      <w:r w:rsidRPr="00BE02EB">
        <w:tab/>
        <w:t>Luft, C.</w:t>
      </w:r>
      <w:r w:rsidRPr="00BE02EB">
        <w:rPr>
          <w:i/>
        </w:rPr>
        <w:t xml:space="preserve"> </w:t>
      </w:r>
      <w:r w:rsidR="00F83D46" w:rsidRPr="00F83D46">
        <w:t>et al.</w:t>
      </w:r>
      <w:r w:rsidRPr="00BE02EB">
        <w:t xml:space="preserve"> Application of Gaussia luciferase in bicistronic and non-conventional secretion reporter constructs. </w:t>
      </w:r>
      <w:r w:rsidRPr="00BE02EB">
        <w:rPr>
          <w:i/>
        </w:rPr>
        <w:t>BMC Biochemistry.</w:t>
      </w:r>
      <w:r w:rsidRPr="00BE02EB">
        <w:t xml:space="preserve"> </w:t>
      </w:r>
      <w:r w:rsidRPr="00BE02EB">
        <w:rPr>
          <w:b/>
        </w:rPr>
        <w:t>15</w:t>
      </w:r>
      <w:r w:rsidRPr="00BE02EB">
        <w:t xml:space="preserve"> (1), 14, (2014).</w:t>
      </w:r>
    </w:p>
    <w:p w:rsidR="00B416CC" w:rsidRPr="00BE02EB" w:rsidRDefault="00B416CC" w:rsidP="00BE02EB">
      <w:pPr>
        <w:pStyle w:val="EndNoteBibliography"/>
      </w:pPr>
      <w:r w:rsidRPr="00BE02EB">
        <w:t>10</w:t>
      </w:r>
      <w:r w:rsidRPr="00BE02EB">
        <w:tab/>
        <w:t>Ohmiya, Y.</w:t>
      </w:r>
      <w:r w:rsidR="00F83D46">
        <w:t>,</w:t>
      </w:r>
      <w:r w:rsidRPr="00BE02EB">
        <w:t xml:space="preserve"> Wu, C. Stabilizing composition and stabilizing method of coelenterazine solution for high-throughput measurement of luciferase activity. U.S. Patent 7,718,389 B2 (2010).</w:t>
      </w:r>
    </w:p>
    <w:p w:rsidR="00B416CC" w:rsidRPr="00BE02EB" w:rsidRDefault="00B416CC" w:rsidP="00BE02EB">
      <w:pPr>
        <w:pStyle w:val="EndNoteBibliography"/>
      </w:pPr>
      <w:r w:rsidRPr="00BE02EB">
        <w:t>11</w:t>
      </w:r>
      <w:r w:rsidRPr="00BE02EB">
        <w:tab/>
        <w:t xml:space="preserve">Tannous, B. A. Gaussia luciferase reporter assay for monitoring biological processes in culture and in vivo. </w:t>
      </w:r>
      <w:r w:rsidRPr="00BE02EB">
        <w:rPr>
          <w:i/>
        </w:rPr>
        <w:t>Nat</w:t>
      </w:r>
      <w:r w:rsidR="00BE6111" w:rsidRPr="00BE02EB">
        <w:rPr>
          <w:i/>
        </w:rPr>
        <w:t>ure</w:t>
      </w:r>
      <w:r w:rsidRPr="00BE02EB">
        <w:rPr>
          <w:i/>
        </w:rPr>
        <w:t xml:space="preserve"> Protoc</w:t>
      </w:r>
      <w:r w:rsidR="00BE6111" w:rsidRPr="00BE02EB">
        <w:rPr>
          <w:i/>
        </w:rPr>
        <w:t>ols</w:t>
      </w:r>
      <w:r w:rsidRPr="00BE02EB">
        <w:rPr>
          <w:i/>
        </w:rPr>
        <w:t>.</w:t>
      </w:r>
      <w:r w:rsidRPr="00BE02EB">
        <w:t xml:space="preserve"> </w:t>
      </w:r>
      <w:r w:rsidRPr="00BE02EB">
        <w:rPr>
          <w:b/>
        </w:rPr>
        <w:t>4</w:t>
      </w:r>
      <w:r w:rsidRPr="00BE02EB">
        <w:t xml:space="preserve"> (4), 582-591, (2009).</w:t>
      </w:r>
    </w:p>
    <w:p w:rsidR="00B416CC" w:rsidRPr="00BE02EB" w:rsidRDefault="00B416CC" w:rsidP="00BE02EB">
      <w:pPr>
        <w:pStyle w:val="EndNoteBibliography"/>
      </w:pPr>
      <w:r w:rsidRPr="00BE02EB">
        <w:t>12</w:t>
      </w:r>
      <w:r w:rsidRPr="00BE02EB">
        <w:tab/>
        <w:t>Wurdinger, T.</w:t>
      </w:r>
      <w:r w:rsidRPr="00BE02EB">
        <w:rPr>
          <w:i/>
        </w:rPr>
        <w:t xml:space="preserve"> </w:t>
      </w:r>
      <w:r w:rsidR="00F83D46" w:rsidRPr="00F83D46">
        <w:t>et al.</w:t>
      </w:r>
      <w:r w:rsidRPr="00BE02EB">
        <w:t xml:space="preserve"> A secreted luciferase for ex vivo monitoring of in vivo processes. </w:t>
      </w:r>
      <w:r w:rsidRPr="00BE02EB">
        <w:rPr>
          <w:i/>
        </w:rPr>
        <w:t>Nat</w:t>
      </w:r>
      <w:r w:rsidR="00BE6111" w:rsidRPr="00BE02EB">
        <w:rPr>
          <w:i/>
        </w:rPr>
        <w:t>ure</w:t>
      </w:r>
      <w:r w:rsidRPr="00BE02EB">
        <w:rPr>
          <w:i/>
        </w:rPr>
        <w:t xml:space="preserve"> Methods.</w:t>
      </w:r>
      <w:r w:rsidRPr="00BE02EB">
        <w:t xml:space="preserve"> </w:t>
      </w:r>
      <w:r w:rsidRPr="00BE02EB">
        <w:rPr>
          <w:b/>
        </w:rPr>
        <w:t>5</w:t>
      </w:r>
      <w:r w:rsidRPr="00BE02EB">
        <w:t xml:space="preserve"> (2), 171-173, (2008).</w:t>
      </w:r>
    </w:p>
    <w:p w:rsidR="00B416CC" w:rsidRPr="00BE02EB" w:rsidRDefault="00B416CC" w:rsidP="00BE02EB">
      <w:pPr>
        <w:pStyle w:val="EndNoteBibliography"/>
      </w:pPr>
      <w:r w:rsidRPr="00BE02EB">
        <w:t>13</w:t>
      </w:r>
      <w:r w:rsidRPr="00BE02EB">
        <w:tab/>
        <w:t xml:space="preserve">Henquin, J. C. Triggering and amplifying pathways of regulation of insulin secretion by glucose. </w:t>
      </w:r>
      <w:r w:rsidRPr="00BE02EB">
        <w:rPr>
          <w:i/>
        </w:rPr>
        <w:t>Diabetes.</w:t>
      </w:r>
      <w:r w:rsidRPr="00BE02EB">
        <w:t xml:space="preserve"> </w:t>
      </w:r>
      <w:r w:rsidRPr="00BE02EB">
        <w:rPr>
          <w:b/>
        </w:rPr>
        <w:t>49</w:t>
      </w:r>
      <w:r w:rsidRPr="00BE02EB">
        <w:t xml:space="preserve"> (11), 1751-1760, (2000).</w:t>
      </w:r>
    </w:p>
    <w:p w:rsidR="00B416CC" w:rsidRPr="00BE02EB" w:rsidRDefault="00B416CC" w:rsidP="00BE02EB">
      <w:pPr>
        <w:pStyle w:val="EndNoteBibliography"/>
      </w:pPr>
      <w:r w:rsidRPr="00BE02EB">
        <w:t>14</w:t>
      </w:r>
      <w:r w:rsidRPr="00BE02EB">
        <w:tab/>
        <w:t>Mourad, N. I., Nenquin, M.</w:t>
      </w:r>
      <w:r w:rsidR="00F83D46">
        <w:t>,</w:t>
      </w:r>
      <w:r w:rsidRPr="00BE02EB">
        <w:t xml:space="preserve"> Henquin, J. C. Amplification of insulin secretion by acetylcholine or phorbol ester is independent of beta-cell microfilaments and distinct from metabolic amplification. </w:t>
      </w:r>
      <w:r w:rsidRPr="00BE02EB">
        <w:rPr>
          <w:i/>
        </w:rPr>
        <w:t>Mol</w:t>
      </w:r>
      <w:r w:rsidR="00BE6111" w:rsidRPr="00BE02EB">
        <w:rPr>
          <w:i/>
        </w:rPr>
        <w:t>ecular &amp;</w:t>
      </w:r>
      <w:r w:rsidRPr="00BE02EB">
        <w:rPr>
          <w:i/>
        </w:rPr>
        <w:t xml:space="preserve"> Cell</w:t>
      </w:r>
      <w:r w:rsidR="00BE6111" w:rsidRPr="00BE02EB">
        <w:rPr>
          <w:i/>
        </w:rPr>
        <w:t>ular</w:t>
      </w:r>
      <w:r w:rsidRPr="00BE02EB">
        <w:rPr>
          <w:i/>
        </w:rPr>
        <w:t xml:space="preserve"> Endocrinol</w:t>
      </w:r>
      <w:r w:rsidR="00BE6111" w:rsidRPr="00BE02EB">
        <w:rPr>
          <w:i/>
        </w:rPr>
        <w:t>ogy</w:t>
      </w:r>
      <w:r w:rsidRPr="00BE02EB">
        <w:rPr>
          <w:i/>
        </w:rPr>
        <w:t>.</w:t>
      </w:r>
      <w:r w:rsidRPr="00BE02EB">
        <w:t xml:space="preserve"> </w:t>
      </w:r>
      <w:r w:rsidRPr="00BE02EB">
        <w:rPr>
          <w:b/>
        </w:rPr>
        <w:t>367</w:t>
      </w:r>
      <w:r w:rsidRPr="00BE02EB">
        <w:t xml:space="preserve"> (1-2), 11-20, (2013).</w:t>
      </w:r>
    </w:p>
    <w:p w:rsidR="00B416CC" w:rsidRPr="00BE02EB" w:rsidRDefault="00B416CC" w:rsidP="00BE02EB">
      <w:pPr>
        <w:pStyle w:val="EndNoteBibliography"/>
      </w:pPr>
      <w:r w:rsidRPr="00BE02EB">
        <w:t>15</w:t>
      </w:r>
      <w:r w:rsidRPr="00BE02EB">
        <w:tab/>
        <w:t>Straub, S. G.</w:t>
      </w:r>
      <w:r w:rsidR="00F83D46">
        <w:t>,</w:t>
      </w:r>
      <w:r w:rsidRPr="00BE02EB">
        <w:t xml:space="preserve"> Sharp, G. W. Evolving insights regarding mechanisms for the inhibition of insulin release by norepinephrine and heterotrimeric G proteins. </w:t>
      </w:r>
      <w:r w:rsidRPr="00BE02EB">
        <w:rPr>
          <w:i/>
        </w:rPr>
        <w:t>Am</w:t>
      </w:r>
      <w:r w:rsidR="00BE6111" w:rsidRPr="00BE02EB">
        <w:rPr>
          <w:i/>
        </w:rPr>
        <w:t>erican</w:t>
      </w:r>
      <w:r w:rsidRPr="00BE02EB">
        <w:rPr>
          <w:i/>
        </w:rPr>
        <w:t xml:space="preserve"> J</w:t>
      </w:r>
      <w:r w:rsidR="00BE6111" w:rsidRPr="00BE02EB">
        <w:rPr>
          <w:i/>
        </w:rPr>
        <w:t>ournal of</w:t>
      </w:r>
      <w:r w:rsidRPr="00BE02EB">
        <w:rPr>
          <w:i/>
        </w:rPr>
        <w:t xml:space="preserve"> Physiol</w:t>
      </w:r>
      <w:r w:rsidR="00BE6111" w:rsidRPr="00BE02EB">
        <w:rPr>
          <w:i/>
        </w:rPr>
        <w:t>ogy -</w:t>
      </w:r>
      <w:r w:rsidRPr="00BE02EB">
        <w:rPr>
          <w:i/>
        </w:rPr>
        <w:t xml:space="preserve"> Cell Physiol</w:t>
      </w:r>
      <w:r w:rsidR="00BE6111" w:rsidRPr="00BE02EB">
        <w:rPr>
          <w:i/>
        </w:rPr>
        <w:t>ogy</w:t>
      </w:r>
      <w:r w:rsidRPr="00BE02EB">
        <w:rPr>
          <w:i/>
        </w:rPr>
        <w:t>.</w:t>
      </w:r>
      <w:r w:rsidRPr="00BE02EB">
        <w:t xml:space="preserve"> </w:t>
      </w:r>
      <w:r w:rsidRPr="00BE02EB">
        <w:rPr>
          <w:b/>
        </w:rPr>
        <w:t>302</w:t>
      </w:r>
      <w:r w:rsidRPr="00BE02EB">
        <w:t xml:space="preserve"> (12), C1687-1698, (2012).</w:t>
      </w:r>
    </w:p>
    <w:p w:rsidR="00B416CC" w:rsidRPr="00BE02EB" w:rsidRDefault="00B416CC" w:rsidP="00BE02EB">
      <w:pPr>
        <w:pStyle w:val="EndNoteBibliography"/>
      </w:pPr>
      <w:r w:rsidRPr="00BE02EB">
        <w:t>16</w:t>
      </w:r>
      <w:r w:rsidRPr="00BE02EB">
        <w:tab/>
        <w:t>Cheng, K.</w:t>
      </w:r>
      <w:r w:rsidRPr="00BE02EB">
        <w:rPr>
          <w:i/>
        </w:rPr>
        <w:t xml:space="preserve"> </w:t>
      </w:r>
      <w:r w:rsidR="00F83D46" w:rsidRPr="00F83D46">
        <w:t>et al.</w:t>
      </w:r>
      <w:r w:rsidRPr="00BE02EB">
        <w:t xml:space="preserve"> High passage MIN6 cells have impaired insulin secretion with impaired glucose and lipid oxidation. </w:t>
      </w:r>
      <w:r w:rsidRPr="00BE02EB">
        <w:rPr>
          <w:i/>
        </w:rPr>
        <w:t>PLoS One.</w:t>
      </w:r>
      <w:r w:rsidRPr="00BE02EB">
        <w:t xml:space="preserve"> </w:t>
      </w:r>
      <w:r w:rsidRPr="00BE02EB">
        <w:rPr>
          <w:b/>
        </w:rPr>
        <w:t>7</w:t>
      </w:r>
      <w:r w:rsidRPr="00BE02EB">
        <w:t xml:space="preserve"> (7), e40868, (2012).</w:t>
      </w:r>
    </w:p>
    <w:p w:rsidR="00B416CC" w:rsidRPr="00BE02EB" w:rsidRDefault="00B416CC" w:rsidP="00BE02EB">
      <w:pPr>
        <w:pStyle w:val="EndNoteBibliography"/>
      </w:pPr>
      <w:r w:rsidRPr="00BE02EB">
        <w:t>17</w:t>
      </w:r>
      <w:r w:rsidRPr="00BE02EB">
        <w:tab/>
        <w:t>Head, W. S.</w:t>
      </w:r>
      <w:r w:rsidRPr="00BE02EB">
        <w:rPr>
          <w:i/>
        </w:rPr>
        <w:t xml:space="preserve"> </w:t>
      </w:r>
      <w:r w:rsidR="00F83D46" w:rsidRPr="00F83D46">
        <w:t>et al.</w:t>
      </w:r>
      <w:r w:rsidRPr="00BE02EB">
        <w:t xml:space="preserve"> Connexin-36 Gap Junctions Regulate In Vivo First- and Second-Phase Insulin Secretion Dynamics and Glucose Tolerance in the Conscious Mouse. </w:t>
      </w:r>
      <w:r w:rsidRPr="00BE02EB">
        <w:rPr>
          <w:i/>
        </w:rPr>
        <w:t>Diabetes.</w:t>
      </w:r>
      <w:r w:rsidRPr="00BE02EB">
        <w:t xml:space="preserve"> </w:t>
      </w:r>
      <w:r w:rsidRPr="00BE02EB">
        <w:rPr>
          <w:b/>
        </w:rPr>
        <w:t>61</w:t>
      </w:r>
      <w:r w:rsidRPr="00BE02EB">
        <w:t xml:space="preserve"> (7), 1700-1707, (2012).</w:t>
      </w:r>
    </w:p>
    <w:p w:rsidR="00B416CC" w:rsidRPr="00BE02EB" w:rsidRDefault="00B416CC" w:rsidP="00BE02EB">
      <w:pPr>
        <w:pStyle w:val="EndNoteBibliography"/>
      </w:pPr>
      <w:r w:rsidRPr="00BE02EB">
        <w:t>18</w:t>
      </w:r>
      <w:r w:rsidRPr="00BE02EB">
        <w:tab/>
        <w:t>Benninger, R. K. P., Head, W. S., Zhang, M., Satin, L. S.</w:t>
      </w:r>
      <w:r w:rsidR="00F83D46">
        <w:t>,</w:t>
      </w:r>
      <w:r w:rsidRPr="00BE02EB">
        <w:t xml:space="preserve"> Piston, D. W. Gap junctions and other mechanisms of cell-cell communication regulate basal insulin secretion in the pancreatic islet. </w:t>
      </w:r>
      <w:r w:rsidRPr="00BE02EB">
        <w:rPr>
          <w:i/>
        </w:rPr>
        <w:t>The Journal of Physiology.</w:t>
      </w:r>
      <w:r w:rsidRPr="00BE02EB">
        <w:t xml:space="preserve"> </w:t>
      </w:r>
      <w:r w:rsidRPr="00BE02EB">
        <w:rPr>
          <w:b/>
        </w:rPr>
        <w:t>589</w:t>
      </w:r>
      <w:r w:rsidRPr="00BE02EB">
        <w:t xml:space="preserve"> (22), 5453-5466, (2011).</w:t>
      </w:r>
    </w:p>
    <w:p w:rsidR="00B416CC" w:rsidRPr="00BE02EB" w:rsidRDefault="00B416CC" w:rsidP="00BE02EB">
      <w:pPr>
        <w:pStyle w:val="EndNoteBibliography"/>
      </w:pPr>
      <w:r w:rsidRPr="00BE02EB">
        <w:t>19</w:t>
      </w:r>
      <w:r w:rsidRPr="00BE02EB">
        <w:tab/>
        <w:t>Konstantinova, I.</w:t>
      </w:r>
      <w:r w:rsidRPr="00BE02EB">
        <w:rPr>
          <w:i/>
        </w:rPr>
        <w:t xml:space="preserve"> </w:t>
      </w:r>
      <w:r w:rsidR="00F83D46" w:rsidRPr="00F83D46">
        <w:t>et al.</w:t>
      </w:r>
      <w:r w:rsidRPr="00BE02EB">
        <w:t xml:space="preserve"> EphA-Ephrin-A-mediated beta cell communication regulates insulin secretion from pancreatic islets. </w:t>
      </w:r>
      <w:r w:rsidRPr="00BE02EB">
        <w:rPr>
          <w:i/>
        </w:rPr>
        <w:t>Cell.</w:t>
      </w:r>
      <w:r w:rsidRPr="00BE02EB">
        <w:t xml:space="preserve"> </w:t>
      </w:r>
      <w:r w:rsidRPr="00BE02EB">
        <w:rPr>
          <w:b/>
        </w:rPr>
        <w:t>129</w:t>
      </w:r>
      <w:r w:rsidRPr="00BE02EB">
        <w:t xml:space="preserve"> (2), 359-370, (2007).</w:t>
      </w:r>
    </w:p>
    <w:p w:rsidR="00B416CC" w:rsidRPr="00BE02EB" w:rsidRDefault="00B416CC" w:rsidP="00BE02EB">
      <w:pPr>
        <w:pStyle w:val="EndNoteBibliography"/>
      </w:pPr>
      <w:r w:rsidRPr="00BE02EB">
        <w:t>20</w:t>
      </w:r>
      <w:r w:rsidRPr="00BE02EB">
        <w:tab/>
        <w:t>Jaques, F.</w:t>
      </w:r>
      <w:r w:rsidRPr="00BE02EB">
        <w:rPr>
          <w:i/>
        </w:rPr>
        <w:t xml:space="preserve"> </w:t>
      </w:r>
      <w:r w:rsidR="00F83D46" w:rsidRPr="00F83D46">
        <w:t>et al.</w:t>
      </w:r>
      <w:r w:rsidRPr="00BE02EB">
        <w:t xml:space="preserve"> Dual effect of cell-cell contact disruption on cytosolic calcium and insulin secretion. </w:t>
      </w:r>
      <w:r w:rsidRPr="00BE02EB">
        <w:rPr>
          <w:i/>
        </w:rPr>
        <w:t>Endocrinology.</w:t>
      </w:r>
      <w:r w:rsidRPr="00BE02EB">
        <w:t xml:space="preserve"> </w:t>
      </w:r>
      <w:r w:rsidRPr="00BE02EB">
        <w:rPr>
          <w:b/>
        </w:rPr>
        <w:t>149</w:t>
      </w:r>
      <w:r w:rsidRPr="00BE02EB">
        <w:t xml:space="preserve"> (5), 2494-2505, (2008).</w:t>
      </w:r>
    </w:p>
    <w:p w:rsidR="00B416CC" w:rsidRPr="00BE02EB" w:rsidRDefault="00B416CC" w:rsidP="00BE02EB">
      <w:pPr>
        <w:pStyle w:val="EndNoteBibliography"/>
      </w:pPr>
      <w:r w:rsidRPr="00BE02EB">
        <w:t>21</w:t>
      </w:r>
      <w:r w:rsidRPr="00BE02EB">
        <w:tab/>
        <w:t>Calabrese, A.</w:t>
      </w:r>
      <w:r w:rsidRPr="00BE02EB">
        <w:rPr>
          <w:i/>
        </w:rPr>
        <w:t xml:space="preserve"> </w:t>
      </w:r>
      <w:r w:rsidR="00F83D46" w:rsidRPr="00F83D46">
        <w:t>et al.</w:t>
      </w:r>
      <w:r w:rsidRPr="00BE02EB">
        <w:t xml:space="preserve"> Connexin 36 Controls Synchronization of Ca2+ Oscillations and Insulin </w:t>
      </w:r>
      <w:r w:rsidRPr="00BE02EB">
        <w:lastRenderedPageBreak/>
        <w:t xml:space="preserve">Secretion in MIN6 Cells. </w:t>
      </w:r>
      <w:r w:rsidRPr="00BE02EB">
        <w:rPr>
          <w:i/>
        </w:rPr>
        <w:t>Diabetes.</w:t>
      </w:r>
      <w:r w:rsidRPr="00BE02EB">
        <w:t xml:space="preserve"> </w:t>
      </w:r>
      <w:r w:rsidRPr="00BE02EB">
        <w:rPr>
          <w:b/>
        </w:rPr>
        <w:t>52</w:t>
      </w:r>
      <w:r w:rsidRPr="00BE02EB">
        <w:t xml:space="preserve"> (2), 417-424, (2003).</w:t>
      </w:r>
    </w:p>
    <w:p w:rsidR="00B416CC" w:rsidRPr="00BE02EB" w:rsidRDefault="00B416CC" w:rsidP="00BE02EB">
      <w:pPr>
        <w:pStyle w:val="EndNoteBibliography"/>
      </w:pPr>
      <w:r w:rsidRPr="00BE02EB">
        <w:t>22</w:t>
      </w:r>
      <w:r w:rsidRPr="00BE02EB">
        <w:tab/>
        <w:t xml:space="preserve">Bielefeld-Sevigny, M. AlphaLISA immunoassay platform- the "no-wash" high-throughput alternative to ELISA. </w:t>
      </w:r>
      <w:r w:rsidRPr="00BE02EB">
        <w:rPr>
          <w:i/>
        </w:rPr>
        <w:t xml:space="preserve">Assay </w:t>
      </w:r>
      <w:r w:rsidR="00BE6111" w:rsidRPr="00BE02EB">
        <w:rPr>
          <w:i/>
        </w:rPr>
        <w:t xml:space="preserve">and </w:t>
      </w:r>
      <w:r w:rsidRPr="00BE02EB">
        <w:rPr>
          <w:i/>
        </w:rPr>
        <w:t>Drug Dev</w:t>
      </w:r>
      <w:r w:rsidR="00BE6111" w:rsidRPr="00BE02EB">
        <w:rPr>
          <w:i/>
        </w:rPr>
        <w:t>elopment</w:t>
      </w:r>
      <w:r w:rsidRPr="00BE02EB">
        <w:rPr>
          <w:i/>
        </w:rPr>
        <w:t xml:space="preserve"> Technol</w:t>
      </w:r>
      <w:r w:rsidR="00BE6111" w:rsidRPr="00BE02EB">
        <w:rPr>
          <w:i/>
        </w:rPr>
        <w:t>ogies</w:t>
      </w:r>
      <w:r w:rsidRPr="00BE02EB">
        <w:rPr>
          <w:i/>
        </w:rPr>
        <w:t>.</w:t>
      </w:r>
      <w:r w:rsidRPr="00BE02EB">
        <w:t xml:space="preserve"> </w:t>
      </w:r>
      <w:r w:rsidRPr="00BE02EB">
        <w:rPr>
          <w:b/>
        </w:rPr>
        <w:t>7</w:t>
      </w:r>
      <w:r w:rsidRPr="00BE02EB">
        <w:t xml:space="preserve"> (1), 90-92, (2009).</w:t>
      </w:r>
    </w:p>
    <w:p w:rsidR="00B416CC" w:rsidRPr="00BE02EB" w:rsidRDefault="00B416CC" w:rsidP="00BE02EB">
      <w:pPr>
        <w:pStyle w:val="EndNoteBibliography"/>
      </w:pPr>
      <w:r w:rsidRPr="00BE02EB">
        <w:t>23</w:t>
      </w:r>
      <w:r w:rsidRPr="00BE02EB">
        <w:tab/>
        <w:t>Aslanoglou, D., George, E. W.</w:t>
      </w:r>
      <w:r w:rsidR="00F83D46">
        <w:t>,</w:t>
      </w:r>
      <w:r w:rsidRPr="00BE02EB">
        <w:t xml:space="preserve"> Freyberg, Z. Homogeneous Time-resolved Forster Resonance Energy Transfer-based Assay for Detection of Insulin Secretion. </w:t>
      </w:r>
      <w:r w:rsidRPr="00BE02EB">
        <w:rPr>
          <w:i/>
        </w:rPr>
        <w:t>J</w:t>
      </w:r>
      <w:r w:rsidR="00BE6111" w:rsidRPr="00BE02EB">
        <w:rPr>
          <w:i/>
        </w:rPr>
        <w:t>ournal of</w:t>
      </w:r>
      <w:r w:rsidRPr="00BE02EB">
        <w:rPr>
          <w:i/>
        </w:rPr>
        <w:t xml:space="preserve"> Vis</w:t>
      </w:r>
      <w:r w:rsidR="00BE6111" w:rsidRPr="00BE02EB">
        <w:rPr>
          <w:i/>
        </w:rPr>
        <w:t>ualized</w:t>
      </w:r>
      <w:r w:rsidRPr="00BE02EB">
        <w:rPr>
          <w:i/>
        </w:rPr>
        <w:t xml:space="preserve"> Exp</w:t>
      </w:r>
      <w:r w:rsidR="00BE6111" w:rsidRPr="00BE02EB">
        <w:rPr>
          <w:i/>
        </w:rPr>
        <w:t>eriments</w:t>
      </w:r>
      <w:r w:rsidRPr="00BE02EB">
        <w:rPr>
          <w:i/>
        </w:rPr>
        <w:t>.</w:t>
      </w:r>
      <w:r w:rsidRPr="00BE02EB">
        <w:t xml:space="preserve"> 10.3791/57531 (135), (2018).</w:t>
      </w:r>
    </w:p>
    <w:p w:rsidR="00B416CC" w:rsidRPr="00BE02EB" w:rsidRDefault="00B416CC" w:rsidP="00BE02EB">
      <w:pPr>
        <w:pStyle w:val="EndNoteBibliography"/>
      </w:pPr>
      <w:r w:rsidRPr="00BE02EB">
        <w:t>24</w:t>
      </w:r>
      <w:r w:rsidRPr="00BE02EB">
        <w:tab/>
        <w:t>Rafati, A., Zarrabi, A., Abediankenari, S., Aarabi, M.</w:t>
      </w:r>
      <w:r w:rsidR="00F83D46">
        <w:t>,</w:t>
      </w:r>
      <w:r w:rsidRPr="00BE02EB">
        <w:t xml:space="preserve"> Gill, P. Sensitive colorimetric assay using insulin G-quadruplex aptamer arrays on DNA nanotubes coupled with magnetic nanoparticles. </w:t>
      </w:r>
      <w:r w:rsidRPr="00BE02EB">
        <w:rPr>
          <w:i/>
        </w:rPr>
        <w:t>R</w:t>
      </w:r>
      <w:r w:rsidR="00BE6111" w:rsidRPr="00BE02EB">
        <w:rPr>
          <w:i/>
        </w:rPr>
        <w:t>oyal</w:t>
      </w:r>
      <w:r w:rsidRPr="00BE02EB">
        <w:rPr>
          <w:i/>
        </w:rPr>
        <w:t xml:space="preserve"> Soc</w:t>
      </w:r>
      <w:r w:rsidR="00BE6111" w:rsidRPr="00BE02EB">
        <w:rPr>
          <w:i/>
        </w:rPr>
        <w:t>iecy</w:t>
      </w:r>
      <w:r w:rsidRPr="00BE02EB">
        <w:rPr>
          <w:i/>
        </w:rPr>
        <w:t xml:space="preserve"> Open Sci</w:t>
      </w:r>
      <w:r w:rsidR="00BE6111" w:rsidRPr="00BE02EB">
        <w:rPr>
          <w:i/>
        </w:rPr>
        <w:t>ence</w:t>
      </w:r>
      <w:r w:rsidRPr="00BE02EB">
        <w:rPr>
          <w:i/>
        </w:rPr>
        <w:t>.</w:t>
      </w:r>
      <w:r w:rsidRPr="00BE02EB">
        <w:t xml:space="preserve"> </w:t>
      </w:r>
      <w:r w:rsidRPr="00BE02EB">
        <w:rPr>
          <w:b/>
        </w:rPr>
        <w:t>5</w:t>
      </w:r>
      <w:r w:rsidRPr="00BE02EB">
        <w:t xml:space="preserve"> (3), 171835, (2018).</w:t>
      </w:r>
    </w:p>
    <w:p w:rsidR="00B416CC" w:rsidRPr="00BE02EB" w:rsidRDefault="00B416CC" w:rsidP="00BE02EB">
      <w:pPr>
        <w:pStyle w:val="EndNoteBibliography"/>
      </w:pPr>
      <w:r w:rsidRPr="00BE02EB">
        <w:t>25</w:t>
      </w:r>
      <w:r w:rsidRPr="00BE02EB">
        <w:tab/>
        <w:t>Hulleman, J. D., Brown, S. J., Rosen, H.</w:t>
      </w:r>
      <w:r w:rsidR="00F83D46">
        <w:t>,</w:t>
      </w:r>
      <w:r w:rsidRPr="00BE02EB">
        <w:t xml:space="preserve"> Kelly, J. W. A high-throughput cell-based Gaussia luciferase reporter assay for identifying modulators of fibulin-3 secretion. </w:t>
      </w:r>
      <w:r w:rsidRPr="00BE02EB">
        <w:rPr>
          <w:i/>
        </w:rPr>
        <w:t>J</w:t>
      </w:r>
      <w:r w:rsidR="00BE6111" w:rsidRPr="00BE02EB">
        <w:rPr>
          <w:i/>
        </w:rPr>
        <w:t>ournal of</w:t>
      </w:r>
      <w:r w:rsidRPr="00BE02EB">
        <w:rPr>
          <w:i/>
        </w:rPr>
        <w:t xml:space="preserve"> Biomol</w:t>
      </w:r>
      <w:r w:rsidR="00BE6111" w:rsidRPr="00BE02EB">
        <w:rPr>
          <w:i/>
        </w:rPr>
        <w:t>ecular</w:t>
      </w:r>
      <w:r w:rsidRPr="00BE02EB">
        <w:rPr>
          <w:i/>
        </w:rPr>
        <w:t xml:space="preserve"> Screen</w:t>
      </w:r>
      <w:r w:rsidR="00BE6111" w:rsidRPr="00BE02EB">
        <w:rPr>
          <w:i/>
        </w:rPr>
        <w:t>ing</w:t>
      </w:r>
      <w:r w:rsidRPr="00BE02EB">
        <w:rPr>
          <w:i/>
        </w:rPr>
        <w:t>.</w:t>
      </w:r>
      <w:r w:rsidRPr="00BE02EB">
        <w:t xml:space="preserve"> </w:t>
      </w:r>
      <w:r w:rsidRPr="00BE02EB">
        <w:rPr>
          <w:b/>
        </w:rPr>
        <w:t>18</w:t>
      </w:r>
      <w:r w:rsidRPr="00BE02EB">
        <w:t xml:space="preserve"> (6), 647-658, (2013).</w:t>
      </w:r>
    </w:p>
    <w:p w:rsidR="00B416CC" w:rsidRPr="00BE02EB" w:rsidRDefault="00B416CC" w:rsidP="00BE02EB">
      <w:pPr>
        <w:pStyle w:val="EndNoteBibliography"/>
      </w:pPr>
      <w:r w:rsidRPr="00BE02EB">
        <w:t>26</w:t>
      </w:r>
      <w:r w:rsidRPr="00BE02EB">
        <w:tab/>
        <w:t>Frank, J. A.</w:t>
      </w:r>
      <w:r w:rsidRPr="00BE02EB">
        <w:rPr>
          <w:i/>
        </w:rPr>
        <w:t xml:space="preserve"> </w:t>
      </w:r>
      <w:r w:rsidR="00F83D46" w:rsidRPr="00F83D46">
        <w:t>et al.</w:t>
      </w:r>
      <w:r w:rsidRPr="00BE02EB">
        <w:t xml:space="preserve"> Optical tools for understanding the complexity of beta-cell signalling and insulin release. </w:t>
      </w:r>
      <w:r w:rsidRPr="00BE02EB">
        <w:rPr>
          <w:i/>
        </w:rPr>
        <w:t>Nat</w:t>
      </w:r>
      <w:r w:rsidR="00BE6111" w:rsidRPr="00BE02EB">
        <w:rPr>
          <w:i/>
        </w:rPr>
        <w:t>ure</w:t>
      </w:r>
      <w:r w:rsidRPr="00BE02EB">
        <w:rPr>
          <w:i/>
        </w:rPr>
        <w:t xml:space="preserve"> Rev</w:t>
      </w:r>
      <w:r w:rsidR="00BE6111" w:rsidRPr="00BE02EB">
        <w:rPr>
          <w:i/>
        </w:rPr>
        <w:t>iews</w:t>
      </w:r>
      <w:r w:rsidRPr="00BE02EB">
        <w:rPr>
          <w:i/>
        </w:rPr>
        <w:t xml:space="preserve"> Endocrinol</w:t>
      </w:r>
      <w:r w:rsidR="00BE6111" w:rsidRPr="00BE02EB">
        <w:rPr>
          <w:i/>
        </w:rPr>
        <w:t>ogy</w:t>
      </w:r>
      <w:r w:rsidRPr="00BE02EB">
        <w:rPr>
          <w:i/>
        </w:rPr>
        <w:t>.</w:t>
      </w:r>
      <w:r w:rsidRPr="00BE02EB">
        <w:t xml:space="preserve"> </w:t>
      </w:r>
      <w:r w:rsidRPr="00BE02EB">
        <w:rPr>
          <w:b/>
        </w:rPr>
        <w:t>14</w:t>
      </w:r>
      <w:r w:rsidRPr="00BE02EB">
        <w:t xml:space="preserve"> (12), 721-737, (2018).</w:t>
      </w:r>
    </w:p>
    <w:p w:rsidR="00B416CC" w:rsidRPr="00BE02EB" w:rsidRDefault="00B416CC" w:rsidP="00BE02EB">
      <w:pPr>
        <w:pStyle w:val="EndNoteBibliography"/>
      </w:pPr>
      <w:r w:rsidRPr="00BE02EB">
        <w:t>27</w:t>
      </w:r>
      <w:r w:rsidRPr="00BE02EB">
        <w:tab/>
        <w:t>Zhu, S.</w:t>
      </w:r>
      <w:r w:rsidRPr="00BE02EB">
        <w:rPr>
          <w:i/>
        </w:rPr>
        <w:t xml:space="preserve"> </w:t>
      </w:r>
      <w:r w:rsidR="00F83D46" w:rsidRPr="00F83D46">
        <w:t>et al.</w:t>
      </w:r>
      <w:r w:rsidRPr="00BE02EB">
        <w:t xml:space="preserve"> Monitoring C-Peptide Storage and Secretion in Islet beta-Cells In Vitro and In Vivo. </w:t>
      </w:r>
      <w:r w:rsidRPr="00BE02EB">
        <w:rPr>
          <w:i/>
        </w:rPr>
        <w:t>Diabetes.</w:t>
      </w:r>
      <w:r w:rsidRPr="00BE02EB">
        <w:t xml:space="preserve"> </w:t>
      </w:r>
      <w:r w:rsidRPr="00BE02EB">
        <w:rPr>
          <w:b/>
        </w:rPr>
        <w:t>65</w:t>
      </w:r>
      <w:r w:rsidRPr="00BE02EB">
        <w:t xml:space="preserve"> (3), 699-709, (2016).</w:t>
      </w:r>
    </w:p>
    <w:p w:rsidR="00B416CC" w:rsidRPr="00BE02EB" w:rsidRDefault="00B416CC" w:rsidP="00BE02EB"/>
    <w:p w:rsidR="00731247" w:rsidRPr="00BE02EB" w:rsidRDefault="00731247" w:rsidP="00BE02EB"/>
    <w:sectPr w:rsidR="00731247" w:rsidRPr="00BE02EB" w:rsidSect="00BE02E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C71" w:rsidRDefault="005D5C71">
      <w:r>
        <w:separator/>
      </w:r>
    </w:p>
  </w:endnote>
  <w:endnote w:type="continuationSeparator" w:id="0">
    <w:p w:rsidR="005D5C71" w:rsidRDefault="005D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rsidR="008601FF" w:rsidRDefault="0030478D">
        <w:pPr>
          <w:pStyle w:val="Footer"/>
        </w:pPr>
        <w:r>
          <w:rPr>
            <w:noProof/>
          </w:rPr>
          <w:tab/>
        </w:r>
        <w:r>
          <w:rPr>
            <w:noProof/>
          </w:rPr>
          <w:tab/>
        </w:r>
      </w:p>
    </w:sdtContent>
  </w:sdt>
  <w:p w:rsidR="008601FF" w:rsidRPr="00494F77" w:rsidRDefault="005D5C7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1FF" w:rsidRDefault="0030478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C71" w:rsidRDefault="005D5C71">
      <w:r>
        <w:separator/>
      </w:r>
    </w:p>
  </w:footnote>
  <w:footnote w:type="continuationSeparator" w:id="0">
    <w:p w:rsidR="005D5C71" w:rsidRDefault="005D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1FF" w:rsidRPr="006F06E4" w:rsidRDefault="0030478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1FF" w:rsidRPr="006F06E4" w:rsidRDefault="0030478D"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E204A73"/>
    <w:multiLevelType w:val="hybridMultilevel"/>
    <w:tmpl w:val="D800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3251F"/>
    <w:multiLevelType w:val="multilevel"/>
    <w:tmpl w:val="B62A10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576"/>
        </w:tabs>
        <w:ind w:left="0" w:firstLine="0"/>
      </w:pPr>
      <w:rPr>
        <w:rFonts w:hint="default"/>
      </w:rPr>
    </w:lvl>
    <w:lvl w:ilvl="5">
      <w:start w:val="1"/>
      <w:numFmt w:val="decimal"/>
      <w:lvlText w:val="%1.%2.%3.%4.%5.%6."/>
      <w:lvlJc w:val="left"/>
      <w:pPr>
        <w:tabs>
          <w:tab w:val="num" w:pos="576"/>
        </w:tabs>
        <w:ind w:left="0" w:firstLine="0"/>
      </w:pPr>
      <w:rPr>
        <w:rFonts w:hint="default"/>
      </w:rPr>
    </w:lvl>
    <w:lvl w:ilvl="6">
      <w:start w:val="1"/>
      <w:numFmt w:val="decimal"/>
      <w:lvlText w:val="%1.%2.%3.%4.%5.%6.%7."/>
      <w:lvlJc w:val="left"/>
      <w:pPr>
        <w:tabs>
          <w:tab w:val="num" w:pos="576"/>
        </w:tabs>
        <w:ind w:left="0" w:firstLine="0"/>
      </w:pPr>
      <w:rPr>
        <w:rFonts w:hint="default"/>
      </w:rPr>
    </w:lvl>
    <w:lvl w:ilvl="7">
      <w:start w:val="1"/>
      <w:numFmt w:val="decimal"/>
      <w:lvlText w:val="%1.%2.%3.%4.%5.%6.%7.%8."/>
      <w:lvlJc w:val="left"/>
      <w:pPr>
        <w:tabs>
          <w:tab w:val="num" w:pos="576"/>
        </w:tabs>
        <w:ind w:left="0" w:firstLine="0"/>
      </w:pPr>
      <w:rPr>
        <w:rFonts w:hint="default"/>
      </w:rPr>
    </w:lvl>
    <w:lvl w:ilvl="8">
      <w:start w:val="1"/>
      <w:numFmt w:val="decimal"/>
      <w:lvlText w:val="%1.%2.%3.%4.%5.%6.%7.%8.%9."/>
      <w:lvlJc w:val="left"/>
      <w:pPr>
        <w:tabs>
          <w:tab w:val="num" w:pos="576"/>
        </w:tabs>
        <w:ind w:left="0" w:firstLine="0"/>
      </w:pPr>
      <w:rPr>
        <w:rFont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04C2BE0"/>
    <w:multiLevelType w:val="multilevel"/>
    <w:tmpl w:val="9DF67360"/>
    <w:styleLink w:val="Style1"/>
    <w:lvl w:ilvl="0">
      <w:start w:val="1"/>
      <w:numFmt w:val="decimal"/>
      <w:suff w:val="space"/>
      <w:lvlText w:val="%1"/>
      <w:lvlJc w:val="left"/>
      <w:pPr>
        <w:ind w:left="0" w:firstLine="0"/>
      </w:pPr>
      <w:rPr>
        <w:rFonts w:ascii="Times New Roman" w:hAnsi="Times New Roman" w:hint="default"/>
        <w:color w:val="auto"/>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1440" w:firstLine="0"/>
      </w:pPr>
      <w:rPr>
        <w:rFonts w:hint="default"/>
      </w:rPr>
    </w:lvl>
    <w:lvl w:ilvl="3">
      <w:start w:val="1"/>
      <w:numFmt w:val="decimal"/>
      <w:suff w:val="space"/>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8"/>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5"/>
  </w:num>
  <w:num w:numId="26">
    <w:abstractNumId w:val="6"/>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416CC"/>
    <w:rsid w:val="00050765"/>
    <w:rsid w:val="00115D2A"/>
    <w:rsid w:val="0030478D"/>
    <w:rsid w:val="003E7E27"/>
    <w:rsid w:val="00560A40"/>
    <w:rsid w:val="005D5C71"/>
    <w:rsid w:val="00676946"/>
    <w:rsid w:val="006F27CE"/>
    <w:rsid w:val="00731247"/>
    <w:rsid w:val="00835870"/>
    <w:rsid w:val="008E62FE"/>
    <w:rsid w:val="008E7E2F"/>
    <w:rsid w:val="00B416CC"/>
    <w:rsid w:val="00BE02EB"/>
    <w:rsid w:val="00BE6111"/>
    <w:rsid w:val="00C116D1"/>
    <w:rsid w:val="00CA5463"/>
    <w:rsid w:val="00F42163"/>
    <w:rsid w:val="00F8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F5E4"/>
  <w15:docId w15:val="{BF34DFDF-0695-43E3-96B6-9E331C6D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C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B416C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B416C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B416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6CC"/>
    <w:rPr>
      <w:rFonts w:ascii="Calibri" w:eastAsia="Times New Roman" w:hAnsi="Calibri" w:cs="Times New Roman"/>
      <w:b/>
      <w:bCs/>
      <w:color w:val="000000"/>
      <w:kern w:val="32"/>
      <w:sz w:val="28"/>
      <w:szCs w:val="32"/>
    </w:rPr>
  </w:style>
  <w:style w:type="character" w:customStyle="1" w:styleId="Heading2Char">
    <w:name w:val="Heading 2 Char"/>
    <w:link w:val="Heading2"/>
    <w:rsid w:val="00B416CC"/>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B416CC"/>
    <w:rPr>
      <w:rFonts w:asciiTheme="majorHAnsi" w:eastAsiaTheme="majorEastAsia" w:hAnsiTheme="majorHAnsi" w:cstheme="majorBidi"/>
      <w:b/>
      <w:bCs/>
      <w:color w:val="4F81BD" w:themeColor="accent1"/>
      <w:sz w:val="24"/>
      <w:szCs w:val="24"/>
    </w:rPr>
  </w:style>
  <w:style w:type="paragraph" w:styleId="NormalWeb">
    <w:name w:val="Normal (Web)"/>
    <w:basedOn w:val="Normal"/>
    <w:rsid w:val="00B416CC"/>
    <w:pPr>
      <w:spacing w:before="100" w:beforeAutospacing="1" w:after="100" w:afterAutospacing="1"/>
    </w:pPr>
  </w:style>
  <w:style w:type="character" w:styleId="Hyperlink">
    <w:name w:val="Hyperlink"/>
    <w:uiPriority w:val="99"/>
    <w:rsid w:val="00B416CC"/>
    <w:rPr>
      <w:color w:val="0000FF"/>
      <w:u w:val="single"/>
    </w:rPr>
  </w:style>
  <w:style w:type="paragraph" w:styleId="Header">
    <w:name w:val="header"/>
    <w:basedOn w:val="Normal"/>
    <w:link w:val="HeaderChar"/>
    <w:rsid w:val="00B416CC"/>
    <w:pPr>
      <w:tabs>
        <w:tab w:val="center" w:pos="4680"/>
        <w:tab w:val="right" w:pos="9360"/>
      </w:tabs>
    </w:pPr>
  </w:style>
  <w:style w:type="character" w:customStyle="1" w:styleId="HeaderChar">
    <w:name w:val="Header Char"/>
    <w:link w:val="Header"/>
    <w:rsid w:val="00B416CC"/>
    <w:rPr>
      <w:rFonts w:ascii="Calibri" w:eastAsia="Times New Roman" w:hAnsi="Calibri" w:cs="Calibri"/>
      <w:color w:val="000000"/>
      <w:sz w:val="24"/>
      <w:szCs w:val="24"/>
    </w:rPr>
  </w:style>
  <w:style w:type="paragraph" w:styleId="Footer">
    <w:name w:val="footer"/>
    <w:basedOn w:val="Normal"/>
    <w:link w:val="FooterChar"/>
    <w:uiPriority w:val="99"/>
    <w:rsid w:val="00B416CC"/>
    <w:pPr>
      <w:tabs>
        <w:tab w:val="center" w:pos="4680"/>
        <w:tab w:val="right" w:pos="9360"/>
      </w:tabs>
    </w:pPr>
  </w:style>
  <w:style w:type="character" w:customStyle="1" w:styleId="FooterChar">
    <w:name w:val="Footer Char"/>
    <w:link w:val="Footer"/>
    <w:uiPriority w:val="99"/>
    <w:rsid w:val="00B416CC"/>
    <w:rPr>
      <w:rFonts w:ascii="Calibri" w:eastAsia="Times New Roman" w:hAnsi="Calibri" w:cs="Calibri"/>
      <w:color w:val="000000"/>
      <w:sz w:val="24"/>
      <w:szCs w:val="24"/>
    </w:rPr>
  </w:style>
  <w:style w:type="character" w:styleId="CommentReference">
    <w:name w:val="annotation reference"/>
    <w:rsid w:val="00B416CC"/>
    <w:rPr>
      <w:sz w:val="18"/>
      <w:szCs w:val="18"/>
    </w:rPr>
  </w:style>
  <w:style w:type="paragraph" w:styleId="CommentText">
    <w:name w:val="annotation text"/>
    <w:basedOn w:val="Normal"/>
    <w:link w:val="CommentTextChar"/>
    <w:rsid w:val="00B416CC"/>
  </w:style>
  <w:style w:type="character" w:customStyle="1" w:styleId="CommentTextChar">
    <w:name w:val="Comment Text Char"/>
    <w:link w:val="CommentText"/>
    <w:rsid w:val="00B416CC"/>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B416CC"/>
    <w:rPr>
      <w:b/>
      <w:bCs/>
      <w:sz w:val="20"/>
      <w:szCs w:val="20"/>
    </w:rPr>
  </w:style>
  <w:style w:type="character" w:customStyle="1" w:styleId="CommentSubjectChar">
    <w:name w:val="Comment Subject Char"/>
    <w:link w:val="CommentSubject"/>
    <w:rsid w:val="00B416CC"/>
    <w:rPr>
      <w:rFonts w:ascii="Calibri" w:eastAsia="Times New Roman" w:hAnsi="Calibri" w:cs="Calibri"/>
      <w:b/>
      <w:bCs/>
      <w:color w:val="000000"/>
      <w:sz w:val="20"/>
      <w:szCs w:val="20"/>
    </w:rPr>
  </w:style>
  <w:style w:type="paragraph" w:styleId="BalloonText">
    <w:name w:val="Balloon Text"/>
    <w:basedOn w:val="Normal"/>
    <w:link w:val="BalloonTextChar"/>
    <w:rsid w:val="00B416CC"/>
    <w:rPr>
      <w:rFonts w:ascii="Lucida Grande" w:hAnsi="Lucida Grande"/>
      <w:sz w:val="18"/>
      <w:szCs w:val="18"/>
    </w:rPr>
  </w:style>
  <w:style w:type="character" w:customStyle="1" w:styleId="BalloonTextChar">
    <w:name w:val="Balloon Text Char"/>
    <w:link w:val="BalloonText"/>
    <w:rsid w:val="00B416CC"/>
    <w:rPr>
      <w:rFonts w:ascii="Lucida Grande" w:eastAsia="Times New Roman" w:hAnsi="Lucida Grande" w:cs="Calibri"/>
      <w:color w:val="000000"/>
      <w:sz w:val="18"/>
      <w:szCs w:val="18"/>
    </w:rPr>
  </w:style>
  <w:style w:type="character" w:styleId="PageNumber">
    <w:name w:val="page number"/>
    <w:basedOn w:val="DefaultParagraphFont"/>
    <w:rsid w:val="00B416CC"/>
  </w:style>
  <w:style w:type="character" w:styleId="FollowedHyperlink">
    <w:name w:val="FollowedHyperlink"/>
    <w:rsid w:val="00B416CC"/>
    <w:rPr>
      <w:color w:val="800080"/>
      <w:u w:val="single"/>
    </w:rPr>
  </w:style>
  <w:style w:type="character" w:customStyle="1" w:styleId="apple-converted-space">
    <w:name w:val="apple-converted-space"/>
    <w:basedOn w:val="DefaultParagraphFont"/>
    <w:rsid w:val="00B416CC"/>
  </w:style>
  <w:style w:type="character" w:styleId="IntenseEmphasis">
    <w:name w:val="Intense Emphasis"/>
    <w:qFormat/>
    <w:rsid w:val="00B416CC"/>
    <w:rPr>
      <w:b/>
      <w:bCs/>
      <w:i/>
      <w:iCs/>
      <w:color w:val="4F81BD"/>
    </w:rPr>
  </w:style>
  <w:style w:type="paragraph" w:customStyle="1" w:styleId="Exampletext">
    <w:name w:val="Example text"/>
    <w:basedOn w:val="Normal"/>
    <w:link w:val="ExampletextChar"/>
    <w:qFormat/>
    <w:rsid w:val="00B416CC"/>
    <w:pPr>
      <w:spacing w:after="240"/>
    </w:pPr>
    <w:rPr>
      <w:color w:val="7F7F7F"/>
    </w:rPr>
  </w:style>
  <w:style w:type="character" w:customStyle="1" w:styleId="ExampletextChar">
    <w:name w:val="Example text Char"/>
    <w:link w:val="Exampletext"/>
    <w:rsid w:val="00B416CC"/>
    <w:rPr>
      <w:rFonts w:ascii="Calibri" w:eastAsia="Times New Roman" w:hAnsi="Calibri" w:cs="Calibri"/>
      <w:color w:val="7F7F7F"/>
      <w:sz w:val="24"/>
      <w:szCs w:val="24"/>
    </w:rPr>
  </w:style>
  <w:style w:type="paragraph" w:styleId="ListParagraph">
    <w:name w:val="List Paragraph"/>
    <w:basedOn w:val="Normal"/>
    <w:uiPriority w:val="34"/>
    <w:qFormat/>
    <w:rsid w:val="00B416CC"/>
    <w:pPr>
      <w:ind w:left="720"/>
      <w:contextualSpacing/>
    </w:pPr>
  </w:style>
  <w:style w:type="paragraph" w:styleId="Revision">
    <w:name w:val="Revision"/>
    <w:hidden/>
    <w:uiPriority w:val="99"/>
    <w:semiHidden/>
    <w:rsid w:val="00B416CC"/>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B416C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B416CC"/>
    <w:rPr>
      <w:rFonts w:ascii="Calibri" w:eastAsia="Calibri" w:hAnsi="Calibri" w:cs="Calibri"/>
      <w:sz w:val="24"/>
      <w:szCs w:val="24"/>
    </w:rPr>
  </w:style>
  <w:style w:type="character" w:styleId="Strong">
    <w:name w:val="Strong"/>
    <w:basedOn w:val="DefaultParagraphFont"/>
    <w:uiPriority w:val="22"/>
    <w:qFormat/>
    <w:rsid w:val="00B416CC"/>
    <w:rPr>
      <w:b/>
      <w:bCs/>
    </w:rPr>
  </w:style>
  <w:style w:type="character" w:styleId="Emphasis">
    <w:name w:val="Emphasis"/>
    <w:basedOn w:val="DefaultParagraphFont"/>
    <w:uiPriority w:val="20"/>
    <w:qFormat/>
    <w:rsid w:val="00B416CC"/>
    <w:rPr>
      <w:i/>
      <w:iCs/>
    </w:rPr>
  </w:style>
  <w:style w:type="character" w:styleId="LineNumber">
    <w:name w:val="line number"/>
    <w:basedOn w:val="DefaultParagraphFont"/>
    <w:uiPriority w:val="99"/>
    <w:semiHidden/>
    <w:unhideWhenUsed/>
    <w:rsid w:val="00B416CC"/>
  </w:style>
  <w:style w:type="character" w:customStyle="1" w:styleId="UnresolvedMention1">
    <w:name w:val="Unresolved Mention1"/>
    <w:basedOn w:val="DefaultParagraphFont"/>
    <w:uiPriority w:val="99"/>
    <w:semiHidden/>
    <w:unhideWhenUsed/>
    <w:rsid w:val="00B416CC"/>
    <w:rPr>
      <w:color w:val="808080"/>
      <w:shd w:val="clear" w:color="auto" w:fill="E6E6E6"/>
    </w:rPr>
  </w:style>
  <w:style w:type="paragraph" w:customStyle="1" w:styleId="EndNoteBibliographyTitle">
    <w:name w:val="EndNote Bibliography Title"/>
    <w:basedOn w:val="Normal"/>
    <w:link w:val="EndNoteBibliographyTitleChar"/>
    <w:rsid w:val="00B416CC"/>
    <w:pPr>
      <w:jc w:val="center"/>
    </w:pPr>
    <w:rPr>
      <w:noProof/>
    </w:rPr>
  </w:style>
  <w:style w:type="character" w:customStyle="1" w:styleId="EndNoteBibliographyTitleChar">
    <w:name w:val="EndNote Bibliography Title Char"/>
    <w:basedOn w:val="DefaultParagraphFont"/>
    <w:link w:val="EndNoteBibliographyTitle"/>
    <w:rsid w:val="00B416CC"/>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B416CC"/>
    <w:rPr>
      <w:noProof/>
    </w:rPr>
  </w:style>
  <w:style w:type="character" w:customStyle="1" w:styleId="EndNoteBibliographyChar">
    <w:name w:val="EndNote Bibliography Char"/>
    <w:basedOn w:val="DefaultParagraphFont"/>
    <w:link w:val="EndNoteBibliography"/>
    <w:rsid w:val="00B416CC"/>
    <w:rPr>
      <w:rFonts w:ascii="Calibri" w:eastAsia="Times New Roman" w:hAnsi="Calibri" w:cs="Calibri"/>
      <w:noProof/>
      <w:color w:val="000000"/>
      <w:sz w:val="24"/>
      <w:szCs w:val="24"/>
    </w:rPr>
  </w:style>
  <w:style w:type="numbering" w:customStyle="1" w:styleId="Style1">
    <w:name w:val="Style1"/>
    <w:uiPriority w:val="99"/>
    <w:rsid w:val="00B416CC"/>
    <w:pPr>
      <w:numPr>
        <w:numId w:val="28"/>
      </w:numPr>
    </w:pPr>
  </w:style>
  <w:style w:type="table" w:styleId="TableGrid">
    <w:name w:val="Table Grid"/>
    <w:basedOn w:val="TableNormal"/>
    <w:uiPriority w:val="59"/>
    <w:rsid w:val="00B416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65064">
      <w:bodyDiv w:val="1"/>
      <w:marLeft w:val="0"/>
      <w:marRight w:val="0"/>
      <w:marTop w:val="0"/>
      <w:marBottom w:val="0"/>
      <w:divBdr>
        <w:top w:val="none" w:sz="0" w:space="0" w:color="auto"/>
        <w:left w:val="none" w:sz="0" w:space="0" w:color="auto"/>
        <w:bottom w:val="none" w:sz="0" w:space="0" w:color="auto"/>
        <w:right w:val="none" w:sz="0" w:space="0" w:color="auto"/>
      </w:divBdr>
    </w:div>
    <w:div w:id="1151017692">
      <w:bodyDiv w:val="1"/>
      <w:marLeft w:val="0"/>
      <w:marRight w:val="0"/>
      <w:marTop w:val="0"/>
      <w:marBottom w:val="0"/>
      <w:divBdr>
        <w:top w:val="none" w:sz="0" w:space="0" w:color="auto"/>
        <w:left w:val="none" w:sz="0" w:space="0" w:color="auto"/>
        <w:bottom w:val="none" w:sz="0" w:space="0" w:color="auto"/>
        <w:right w:val="none" w:sz="0" w:space="0" w:color="auto"/>
      </w:divBdr>
    </w:div>
    <w:div w:id="14630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anie.Cobb@utsouthweste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editor</cp:lastModifiedBy>
  <cp:revision>2</cp:revision>
  <dcterms:created xsi:type="dcterms:W3CDTF">2019-04-17T08:31:00Z</dcterms:created>
  <dcterms:modified xsi:type="dcterms:W3CDTF">2019-04-17T08:31:00Z</dcterms:modified>
</cp:coreProperties>
</file>