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Complete Pipeline for Isolating and Sequencing MicroRNAs, and Analyzing Them Using Open Source Tools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Meredith M. Course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Kathryn Gudsnuk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 N. Valdmanis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Medical Genetics, University of Washington School of Medicine, Seattle, WA,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Meredith M. Course</w:t>
        <w:tab/>
        <w:tab/>
        <w:t xml:space="preserve">(mmcourse@uw.edu)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Kathryn Gudsnuk</w:t>
        <w:tab/>
        <w:tab/>
        <w:t xml:space="preserve">(kgudsnuk@uw.edu)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N. Valdmanis</w:t>
        <w:tab/>
        <w:tab/>
        <w:t xml:space="preserve">(paulnv@uw.edu)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microRNAs, small RNAs, high-throughput sequencing, bioinformatics, library preparation, sequence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step-by-step strategy for isolating small RNAs, enriching for microRNAs, and preparing samples for high-throughput sequencing. We then describe how to process sequence reads and align them to microRNAs, using open source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Half of all human transcripts are thought to be regulated by microRNAs. Therefore, quantifying microRNA expression can reveal underlying mechanisms in disease states and provide therapeutic targets and biomarkers. Here, we detail how to accurately quantify microRNAs. Briefly, this method describes isolating microRNAs, ligating them to adaptors suitable for high-throughput sequencing, amplifying the final products, and preparing a sample library. Then, we explain how to align the obtained sequencing reads to microRNA hairpins, and quantify, normalize, and calculate their differential expression. Versatile and robust, this combined experimental workflow and bioinformatic analysis enables users to begin with tissue extraction and finish with microRNA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discovered in 1993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now estimated that nearly 2000 microRNAs are present in the human genome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MicroRNAs are small non-coding RNAs that are typically 21-24 nucleotides long. They are post-transcriptional regulators of gene expression, often binding to complementary sites in the 3-untranslated region (3-UTR) of target genes to repress protein expression and degrade mRNA. Quantifying microRNAs can give valuable insight into gene expression and several protocols have been developed for this purpose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defined, reproducible, and long-standing protocol for small RNA sequencing, and for analyzing normalized reads using open source bioinformatics tools. Importantly, our protocol enables the simultaneous identification of both endogenous microRNAs and exogenously delivered constructs that produce microRNA-like species, while minimizing reads that map to other small RNA species, including ribosomal RNAs (rRNAs), transfer RNA-derived small RNAs (tsRNAs), repeat-derived small RNAs, and mRNA degradation products. Fortunately, microRNAs are 5-phosphorylated and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hydroxylated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feature that can be leveraged to separate them from these other small RNAs and mRNA degradation products. Several commercial options exist for microRNA cloning and sequencing that are often quicker and easier to multiplex; however, the proprietary nature of kit reagents and their frequent modifications makes comparing sample runs challenging. Our strategy optimizes collecting only the correct size of microRNAs through acrylamide and agarose gel purification steps. In this protocol, we also describe a procedure for aligning sequence reads to microRNAs using open source tools. This set of instructions will be especially useful for novice informatics users, regardless of whether our library preparation method or a commercial method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has been used in several published studies. For example, it was used to identify the mechanism by which the Dicer enzyme cleaves small hairpin RNAs at a distance of two nucleotides from the internal loop of the stem-loop structure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so-called “loop-counting rule”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also followed these methods to identify the relative abundance of delivered small hairpin RNAs (shRNA) expressed from recombinant adeno-associated viral vectors (rAAVs), to identify the threshold of shRNA expression that can be tolerated prior to liver toxicity associated with excess shRNA expression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Using this protocol, we also identified microRNAs in the liver that respond to the absence of microRNA-122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highly expressed hepatic microRNA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while also characterizing the degradation pattern of this microRNA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Because we have used our protocol consistently in numerous experiments, we have been able to observe sample preparations longitudinally, and see that there are no discernible batch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sharing this protocol, our goal is to enable users to generate high quality, reproducible quantification of microRNAs in virtually any tissue or cell line, using affordable equipment and reagents, and free bioinformatics tools.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experiments were authorized by the Institutional Animal Care and Use Committee of the University of Washington.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Small RNA library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RNA isolation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Isolate RNA from a biological source using a standard RNA isolation reagent, or a kit that enriches for microRNAs. For tissues, it is best to start with samples snap-frozen in liquid nitrogen and ground to a powder using a pre-chilled mortar and pestle.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Measure each sample’s RNA integrity on an instrument that can quantify RNA and provide an RNA integrity number (RIN). RINs should be &amp;gt;7.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3 adaptor ligation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a ligation reaction in PCR strip tubes, by combining: 11 &amp;#956;L of RNA (1-3 &amp;#956;g, using the same amount for each sample), 1.5 &amp;#956;L of 10x T4 RNA ligase reaction buffer, ATP-free, 1 &amp;#956;L of poly-ethylene glycol (PEG), and 0.5 &amp;#956;L of 3-linker (100 &amp;#956;M Universal miRNA cloning linker). </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absence of ATP helps enrich for miRNAs and minimizes cloning of mRNA degradation products. PEG acts as a molecular crowding agent, enhancing successful ligation. </w:t>
      </w:r>
      <w:r>
        <w:rPr>
          <w:rFonts w:ascii="Calibri" w:hAnsi="Calibri" w:cs="Calibri" w:eastAsia="Calibri"/>
          <w:color w:val="000000"/>
          <w:spacing w:val="0"/>
          <w:position w:val="0"/>
          <w:sz w:val="24"/>
          <w:shd w:fill="auto" w:val="clear"/>
        </w:rPr>
        <w:t xml:space="preserve">The Universal miRNA cloning linker has a 3 blocking group (amine) to prevent self-ligation, circularization, and ligation to RNA at the 5 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Heat the samples at 95 &amp;#176;C on a thermocycler for 30-40 s. Cool on ice for 1 min. Add 1 &amp;#956;L of T4 RNA ligase 2 and incubate at room temperature for 2 h. Prepare the gel (step 2.3) while the samples are incubating.</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Incubation at room temperature helps prevent linker-linker ligation. We have also successfully used T4 RNA ligase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Prepare 30 mL of a 15% polyacrylamide gel with 8 M urea (for a 20x20 cm gel): 14.4 g of urea, 3 mL of 10x Tris-buffered ethylenediaminetetraacetic acid (TBE), 11.2 mL of 40% 19:1 acrylamide,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30 mL. Solution is best dissolved at 42 &amp;#176;C. Immediately before casting, add 150 &amp;#181;L of 10% ammonium persulfate (APS) and 30 &amp;#181;L of tetramethylethylenediamine (TEMED) for polymerization.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Pour between 0.8 mm separated glass plates in a plastic cast and insert comb. Once the gel is solidified (about 20 min), add 0.5x TBE to tank and wash wells of residual urea by pipetting vigorously.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Pre-run the gel at a constant 375 V for 25 min without samples so urea can enter the gel, then wash the wells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voltage may need to be reduced depending on the type of power supply and electrophoresis system that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Once the samples are done ligating, add 15 &amp;#956;L of acrylamide loading dye to the samples (for a 1:1 ratio), then denature for 5 min at 95 &amp;#176;C on a thermocycler.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Prepare 25 ng/&amp;#956;L of 37 and 44 bp size markers, diluted with one part acrylamide loading dye. Sequences are listed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Load the samples on the polyacrylamide gel, leaving at least one lane in between each sample. Load 20 &amp;#956;L of at least two sets of markers, in an asymmetrical pattern to keep track of gel orientation.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Run the gel at a constant 375 V for the first 15 min and then increase to a constant 425 V for the remaining run. Run until bromophenol blue is about 1-4 cm from the bottom, which takes approximately 2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necessary, the gel may be run at a lower constant voltage for a longer period of time until the bromophenol blue is about 1-4 cm from the bottom.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Remove the gel from the glass plates using a plate separator, and place the gel on a plastic page protector. Dilute 5 &amp;#956;L of ethidium bromide in 500 &amp;#956;L of distilled water, and pipette onto marker lanes just above the top light blue marker (see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gloves for ethidium bromide and dispose of waste in accordance with local regulations. Let sit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Under ultraviolet (UV) light, cut the gels from upper to lower marker in each lane using clean razor blade (see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1A</w:t>
      </w:r>
      <w:r>
        <w:rPr>
          <w:rFonts w:ascii="Calibri" w:hAnsi="Calibri" w:cs="Calibri" w:eastAsia="Calibri"/>
          <w:color w:val="000000"/>
          <w:spacing w:val="0"/>
          <w:position w:val="0"/>
          <w:sz w:val="24"/>
          <w:shd w:fill="FFFF00" w:val="clear"/>
        </w:rPr>
        <w:t xml:space="preserve">). Transfer to a 4 x 4 cm square of laboratory sealing film, then cut the gel with about 4 cuts horizontally and 3 vertically to produce 12 small squares (see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Pipette 400 &amp;#956;L of 0.3 M NaCl on to the sealing film square, and funnel gel pieces into 1.5 mL siliconized tubes (see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1C</w:t>
      </w:r>
      <w:r>
        <w:rPr>
          <w:rFonts w:ascii="Calibri" w:hAnsi="Calibri" w:cs="Calibri" w:eastAsia="Calibri"/>
          <w:color w:val="000000"/>
          <w:spacing w:val="0"/>
          <w:position w:val="0"/>
          <w:sz w:val="24"/>
          <w:shd w:fill="FFFF00" w:val="clear"/>
        </w:rPr>
        <w:t xml:space="preserve">). Agitate the samples on a nutator at 4 &amp;#176;C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low-retention 1.5 mL tubes can be substituted for siliconized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After at least 12 h of agitation at 4 &amp;#176;C, retrieve the samples and put them on ice, along with a conical tube of 100%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Transfer 400 &amp;#956;L of supernatant to a new tube, and then add 1 mL of 100% ethanol and 1 &amp;#956;L of 15 mg/mL glycogen coprecipitant. Ensure to collect as much supernatant as possible, spinning down at 4 &amp;#176;C and pipetting more as necessary. Place at -80 &amp;#176;C for 1 h, or -20 &amp;#176;C for 2 h or longer. Glycogen coprecipitant improves pellet visibility and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Spin at 4 &amp;#176;C at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20-30 min. Remove all traces of ethanol and let pellet air dry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5 linker ligation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Re-suspend the pellet by pipetting in 6.5 &amp;#956;L of nuclease-free water. Letting the pellet sit in water for a few minutes first will help with re-suspension.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After spinning down the pellet and resuspending in water, add 0.5 &amp;#956;L of 100 &amp;#956;M 5-linker (with barcodes; see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1 &amp;#956;L of T4 RNA ligase buffer, 1 &amp;#956;L of 10 mM ATP, and 1 &amp;#956;L of PEG. Heat at 90 &amp;#176;C for 30 s, then place on ice. Add 1 &amp;#956;L of T4 RNA ligase 1 and let incubate at room temperature for 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Add 400 &amp;#956;L of 0.3 M NaCl, followed by 400 &amp;#956;L of acid phenol/chloroform. Vortex 30 s - 1 min (solution will look cloudy), and then spin at 4 &amp;#176;C for 10-15 min at max speed in a microcentrifuge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Draw off the top layer and place in new 1.5 mL tube.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pipetting any of the bottom layer.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Add 350 &amp;#956;L of chloroform, vortex briefly, and then spin at 4 &amp;#176;C for 10 min at max speed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Draw off the top later and place in new 1.5 mL tube. Add 1.5 &amp;#956;L of glycogen coprecipitant and 1 mL of 100%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Again, avoid pipetting any of the bottom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Vortex briefly, then place at -80 &amp;#176;C for at least 1 h, or -20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Reverse transcription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Turn on the 42 &amp;#176;C heat block. Spin the samples at 4 &amp;#176;C and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20-30 min. Remove all supernatant and let the pellet air dry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Re-suspend pelleted sample in 8.25 &amp;#956;L of nuclease-free water, then add: 0.5 &amp;#956;L of 100 &amp;#956;M RT primer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and 5 &amp;#956;L of 2x RT Reaction Mix from a cDNA synthesis kit. Incubate at 42 &amp;#176;C for 3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Add 1.5 &amp;#956;L of 10x RT enzyme to each sample and incubate at 42 &amp;#176;C for 30 min in a thermocycler. Place at -20 &amp;#176;C or continue with hydrolysis and neutralization.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RT kits can be utilized for steps 4.2 and 4.3.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Perform alkaline hydrolysis and neutralization: Make 1 mL of 150 mM potassium hydroxide (KOH) solution (150 &amp;#956;L of 1 M KOH, 20 &amp;#956;L of 1 M Tris Base pH 7.5, and 830 &amp;#956;L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1 mL of 150 mM hydrochloric acid (HCl) (150 &amp;#956;L of 1 M HCl and 850 &amp;#956;L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Before adding to the samples, determine the amount of HCl needed to neutralize the KOH solution. Generally, around 20-24 &amp;#956;L of HCl will neutralize the 25 &amp;#956;L of KOH. Check the combination on a pH strip to ensure it is in the right range (pH 7.0 to 9.5).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Hydrolyze the samples by adding 25 &amp;#956;L of 150 mM KOH solution and incubate for 10 min at 95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Neutralize the samples by adding the amount of 150 mM HCl determined in step 4.4, to obtain a final sample pH between 7.0 and 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PCR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After neutralization, prepare a PCR reaction with: 29.5 &amp;#956;L of water, 5 &amp;#956;L of 10x Taq buffer, 1 &amp;#956;L of dNTP, 2 &amp;#956;L of 25 &amp;#956;M forward primer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2 &amp;#956;L of 25 &amp;#956;M reverse primer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0.5 &amp;#956;L of Taq, and 10 &amp;#956;L of the reverse transcribed cDNA from step 4.6.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Run the following PCR reaction: 94 &amp;#176;C for 2 min, then 20 cycles of 94 &amp;#176;C for 45 s, 50 &amp;#176;C for 75 s and 72 &amp;#176;C for 60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Run a second PCR reaction of about 2-4 more cycles using 5 &amp;#956;L of product from step 5.2. Mix: 34.8 &amp;#956;L of water, 5 &amp;#956;L of 10x Taq buffer, 1 &amp;#956;L of dNTP, 1 &amp;#956;L of 25 &amp;#956;M forward primer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&amp;#956;L of 25 &amp;#956;M reverse primer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0.2 &amp;#956;L of Taq polymerase. Follow the same thermocycler parameters outlined in step 5.2.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The purpose of doing two PCR reactions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 the first for 20 cycles and the second for just 2-4 more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to ensure that the amount of cDNA amplified is in a dynamic range (i.e., not a saturated amount).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Agarose gel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Prepare a 4% agarose gel with low-melting agarose. Load 40 &amp;#956;L or more of the PCR product on the gel, along with loading dye. Load 100 bp and 25 bp size markers.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25 bp ladder helps to distinguish amplified product from linker-linker ligation products. Low-melting agarose gels must be cast with greater care than traditional agarose gels, so closely follow the instructions from the manufacturer.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For gel extraction, select the cycle number that is visible on the gel but is not saturated (usually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cycles). Choose similar intensity bands when running multiple samples.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Cut the band that is above the 125 bp band (the darker band on 25 bp ladder; see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1D</w:t>
      </w:r>
      <w:r>
        <w:rPr>
          <w:rFonts w:ascii="Calibri" w:hAnsi="Calibri" w:cs="Calibri" w:eastAsia="Calibri"/>
          <w:color w:val="000000"/>
          <w:spacing w:val="0"/>
          <w:position w:val="0"/>
          <w:sz w:val="24"/>
          <w:shd w:fill="FFFF00" w:val="clear"/>
        </w:rPr>
        <w:t xml:space="preserve">). Using a gel extraction kit, follow the manufacturer’s instructions for adding buffer based on a 4% gel, then shake to dissolve agarose in buffer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Dissolving at 55 &amp;#176;C increases the potential for linker-linker ligation.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Follow the manufacturer’s gel extraction instructions and elute in 30 &amp;#956;L of elution buffer or water. If the product looked weak on the gel, then reduce elution to 20 &amp;#956;L.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Measure cDNA concentration using a sensitive technique, and prepare sample library for sequencing. Preparation will depend on the type of sequencing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Minimum requirements for a sequencing library are typically a 10 &amp;#956;L volume of 10 &amp;#956;M product. If concentrations are too low, pool and ethanol precipitate samples to bring library to the desired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Sequence the samples using available equipment. A common example would be to run samples using a kit for 50 bp single reads, to obtain approximately 15-25 million reads in a FASTQ output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Small RNA sequence alignment and bioinformatics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Data upload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Download FASTQ files generated from each sequencing run. Download a list of microRNA hairpin sequences from miRbase.org</w:t>
      </w:r>
      <w:r>
        <w:rPr>
          <w:rFonts w:ascii="Calibri" w:hAnsi="Calibri" w:cs="Calibri" w:eastAsia="Calibri"/>
          <w:color w:val="000000"/>
          <w:spacing w:val="0"/>
          <w:position w:val="0"/>
          <w:sz w:val="24"/>
          <w:shd w:fill="FFFF00" w:val="clear"/>
          <w:vertAlign w:val="superscript"/>
        </w:rPr>
        <w:t xml:space="preserve">8-10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Generate a Galaxy account at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www.usegalaxy.org</w:t>
        </w:r>
      </w:hyperlink>
      <w:r>
        <w:rPr>
          <w:rFonts w:ascii="Calibri" w:hAnsi="Calibri" w:cs="Calibri" w:eastAsia="Calibri"/>
          <w:color w:val="000000"/>
          <w:spacing w:val="0"/>
          <w:position w:val="0"/>
          <w:sz w:val="24"/>
          <w:shd w:fill="FFFF00" w:val="clear"/>
        </w:rPr>
        <w:t xml:space="preserve"> and upload a FASTQ file of sequence reads to this account.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Upload a text file of barcode sequences to the Galaxy account, such as barcodes.txt, which is available as a text file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Upload a FASTA file of microRNA hairpins to the Galaxy account from a database like miRBase.org. Examples of mouse (mousehairpins.fa) or human (humanhairpins.fa) microRNA precursors are provided in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Adaptor removal, barcode sort, and trim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In the left-hand tab, navigate to </w:t>
      </w:r>
      <w:r>
        <w:rPr>
          <w:rFonts w:ascii="Calibri" w:hAnsi="Calibri" w:cs="Calibri" w:eastAsia="Calibri"/>
          <w:b/>
          <w:color w:val="000000"/>
          <w:spacing w:val="0"/>
          <w:position w:val="0"/>
          <w:sz w:val="24"/>
          <w:shd w:fill="FFFF00" w:val="clear"/>
        </w:rPr>
        <w:t xml:space="preserve">Genomic file manipulation &amp;gt; FASTA/FASTQ &amp;gt; Clip adapter sequences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In </w:t>
      </w:r>
      <w:r>
        <w:rPr>
          <w:rFonts w:ascii="Calibri" w:hAnsi="Calibri" w:cs="Calibri" w:eastAsia="Calibri"/>
          <w:b/>
          <w:color w:val="000000"/>
          <w:spacing w:val="0"/>
          <w:position w:val="0"/>
          <w:sz w:val="24"/>
          <w:shd w:fill="FFFF00" w:val="clear"/>
        </w:rPr>
        <w:t xml:space="preserve">Input file in FASTA or FASTQ format</w:t>
      </w:r>
      <w:r>
        <w:rPr>
          <w:rFonts w:ascii="Calibri" w:hAnsi="Calibri" w:cs="Calibri" w:eastAsia="Calibri"/>
          <w:color w:val="000000"/>
          <w:spacing w:val="0"/>
          <w:position w:val="0"/>
          <w:sz w:val="24"/>
          <w:shd w:fill="FFFF00" w:val="clear"/>
        </w:rPr>
        <w:t xml:space="preserve">, enter FASTQ file from the drop-down list. Change </w:t>
      </w:r>
      <w:r>
        <w:rPr>
          <w:rFonts w:ascii="Calibri" w:hAnsi="Calibri" w:cs="Calibri" w:eastAsia="Calibri"/>
          <w:b/>
          <w:color w:val="000000"/>
          <w:spacing w:val="0"/>
          <w:position w:val="0"/>
          <w:sz w:val="24"/>
          <w:shd w:fill="FFFF00" w:val="clear"/>
        </w:rPr>
        <w:t xml:space="preserve">Minimum sequence length</w:t>
      </w:r>
      <w:r>
        <w:rPr>
          <w:rFonts w:ascii="Calibri" w:hAnsi="Calibri" w:cs="Calibri" w:eastAsia="Calibri"/>
          <w:color w:val="000000"/>
          <w:spacing w:val="0"/>
          <w:position w:val="0"/>
          <w:sz w:val="24"/>
          <w:shd w:fill="FFFF00" w:val="clear"/>
        </w:rPr>
        <w:t xml:space="preserve"> to 18. Change </w:t>
      </w:r>
      <w:r>
        <w:rPr>
          <w:rFonts w:ascii="Calibri" w:hAnsi="Calibri" w:cs="Calibri" w:eastAsia="Calibri"/>
          <w:b/>
          <w:color w:val="000000"/>
          <w:spacing w:val="0"/>
          <w:position w:val="0"/>
          <w:sz w:val="24"/>
          <w:shd w:fill="FFFF00" w:val="clear"/>
        </w:rPr>
        <w:t xml:space="preserve">Source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custom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Enter </w:t>
      </w:r>
      <w:r>
        <w:rPr>
          <w:rFonts w:ascii="Calibri" w:hAnsi="Calibri" w:cs="Calibri" w:eastAsia="Calibri"/>
          <w:b/>
          <w:color w:val="000000"/>
          <w:spacing w:val="0"/>
          <w:position w:val="0"/>
          <w:sz w:val="24"/>
          <w:shd w:fill="FFFF00" w:val="clear"/>
        </w:rPr>
        <w:t xml:space="preserve">CTGTAGGC</w:t>
      </w:r>
      <w:r>
        <w:rPr>
          <w:rFonts w:ascii="Calibri" w:hAnsi="Calibri" w:cs="Calibri" w:eastAsia="Calibri"/>
          <w:color w:val="000000"/>
          <w:spacing w:val="0"/>
          <w:position w:val="0"/>
          <w:sz w:val="24"/>
          <w:shd w:fill="FFFF00" w:val="clear"/>
        </w:rPr>
        <w:t xml:space="preserve">. Keep all other default parameters. Click </w:t>
      </w:r>
      <w:r>
        <w:rPr>
          <w:rFonts w:ascii="Calibri" w:hAnsi="Calibri" w:cs="Calibri" w:eastAsia="Calibri"/>
          <w:b/>
          <w:color w:val="000000"/>
          <w:spacing w:val="0"/>
          <w:position w:val="0"/>
          <w:sz w:val="24"/>
          <w:shd w:fill="FFFF00" w:val="clear"/>
        </w:rPr>
        <w:t xml:space="preserve">Execute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Sequence reads that are shorter than 18 nucleotides are difficult to map uniquely to microRNAs and contain many degradation products.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In the left-hand tab, navigate to </w:t>
      </w:r>
      <w:r>
        <w:rPr>
          <w:rFonts w:ascii="Calibri" w:hAnsi="Calibri" w:cs="Calibri" w:eastAsia="Calibri"/>
          <w:b/>
          <w:color w:val="000000"/>
          <w:spacing w:val="0"/>
          <w:position w:val="0"/>
          <w:sz w:val="24"/>
          <w:shd w:fill="FFFF00" w:val="clear"/>
        </w:rPr>
        <w:t xml:space="preserve">Genomic file manipulation &amp;gt; FASTA/FASTQ &amp;gt; Barcode Splitter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Galaxy functions and headers are updated periodically, so the search function may be necessary to find an equivalent tool or its location. Commercial kits using indexed primers are often already sorted by barcode. Therefore, this step and the barcode trim step are not necessary if starting from a commercial kit.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For </w:t>
      </w:r>
      <w:r>
        <w:rPr>
          <w:rFonts w:ascii="Calibri" w:hAnsi="Calibri" w:cs="Calibri" w:eastAsia="Calibri"/>
          <w:b/>
          <w:color w:val="000000"/>
          <w:spacing w:val="0"/>
          <w:position w:val="0"/>
          <w:sz w:val="24"/>
          <w:shd w:fill="FFFF00" w:val="clear"/>
        </w:rPr>
        <w:t xml:space="preserve">Barcodes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to</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use</w:t>
      </w:r>
      <w:r>
        <w:rPr>
          <w:rFonts w:ascii="Calibri" w:hAnsi="Calibri" w:cs="Calibri" w:eastAsia="Calibri"/>
          <w:color w:val="000000"/>
          <w:spacing w:val="0"/>
          <w:position w:val="0"/>
          <w:sz w:val="24"/>
          <w:shd w:fill="FFFF00" w:val="clear"/>
        </w:rPr>
        <w:t xml:space="preserve">, point to </w:t>
      </w:r>
      <w:r>
        <w:rPr>
          <w:rFonts w:ascii="Calibri" w:hAnsi="Calibri" w:cs="Calibri" w:eastAsia="Calibri"/>
          <w:b/>
          <w:color w:val="000000"/>
          <w:spacing w:val="0"/>
          <w:position w:val="0"/>
          <w:sz w:val="24"/>
          <w:shd w:fill="FFFF00" w:val="clear"/>
        </w:rPr>
        <w:t xml:space="preserve">barcodes.txt</w:t>
      </w:r>
      <w:r>
        <w:rPr>
          <w:rFonts w:ascii="Calibri" w:hAnsi="Calibri" w:cs="Calibri" w:eastAsia="Calibri"/>
          <w:color w:val="000000"/>
          <w:spacing w:val="0"/>
          <w:position w:val="0"/>
          <w:sz w:val="24"/>
          <w:shd w:fill="FFFF00" w:val="clear"/>
        </w:rPr>
        <w:t xml:space="preserve">. For </w:t>
      </w:r>
      <w:r>
        <w:rPr>
          <w:rFonts w:ascii="Calibri" w:hAnsi="Calibri" w:cs="Calibri" w:eastAsia="Calibri"/>
          <w:b/>
          <w:color w:val="000000"/>
          <w:spacing w:val="0"/>
          <w:position w:val="0"/>
          <w:sz w:val="24"/>
          <w:shd w:fill="FFFF00" w:val="clear"/>
        </w:rPr>
        <w:t xml:space="preserve">Library</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to</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split</w:t>
      </w:r>
      <w:r>
        <w:rPr>
          <w:rFonts w:ascii="Calibri" w:hAnsi="Calibri" w:cs="Calibri" w:eastAsia="Calibri"/>
          <w:color w:val="000000"/>
          <w:spacing w:val="0"/>
          <w:position w:val="0"/>
          <w:sz w:val="24"/>
          <w:shd w:fill="FFFF00" w:val="clear"/>
        </w:rPr>
        <w:t xml:space="preserve">, use </w:t>
      </w:r>
      <w:r>
        <w:rPr>
          <w:rFonts w:ascii="Calibri" w:hAnsi="Calibri" w:cs="Calibri" w:eastAsia="Calibri"/>
          <w:b/>
          <w:color w:val="000000"/>
          <w:spacing w:val="0"/>
          <w:position w:val="0"/>
          <w:sz w:val="24"/>
          <w:shd w:fill="FFFF00" w:val="clear"/>
        </w:rPr>
        <w:t xml:space="preserve">Clip</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file produced in the previous step. In </w:t>
      </w:r>
      <w:r>
        <w:rPr>
          <w:rFonts w:ascii="Calibri" w:hAnsi="Calibri" w:cs="Calibri" w:eastAsia="Calibri"/>
          <w:b/>
          <w:color w:val="000000"/>
          <w:spacing w:val="0"/>
          <w:position w:val="0"/>
          <w:sz w:val="24"/>
          <w:shd w:fill="FFFF00" w:val="clear"/>
        </w:rPr>
        <w:t xml:space="preserve">Number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of</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allowed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mismatches</w:t>
      </w:r>
      <w:r>
        <w:rPr>
          <w:rFonts w:ascii="Calibri" w:hAnsi="Calibri" w:cs="Calibri" w:eastAsia="Calibri"/>
          <w:color w:val="000000"/>
          <w:spacing w:val="0"/>
          <w:position w:val="0"/>
          <w:sz w:val="24"/>
          <w:shd w:fill="FFFF00" w:val="clear"/>
        </w:rPr>
        <w:t xml:space="preserve">, enter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Execute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Trim the first 4 nucleotides: navigate to </w:t>
      </w:r>
      <w:r>
        <w:rPr>
          <w:rFonts w:ascii="Calibri" w:hAnsi="Calibri" w:cs="Calibri" w:eastAsia="Calibri"/>
          <w:b/>
          <w:color w:val="000000"/>
          <w:spacing w:val="0"/>
          <w:position w:val="0"/>
          <w:sz w:val="24"/>
          <w:shd w:fill="FFFF00" w:val="clear"/>
        </w:rPr>
        <w:t xml:space="preserve">Text Manipulations &amp;gt; Trim leading or trailing characters</w:t>
      </w:r>
      <w:r>
        <w:rPr>
          <w:rFonts w:ascii="Calibri" w:hAnsi="Calibri" w:cs="Calibri" w:eastAsia="Calibri"/>
          <w:color w:val="000000"/>
          <w:spacing w:val="0"/>
          <w:position w:val="0"/>
          <w:sz w:val="24"/>
          <w:shd w:fill="FFFF00" w:val="clear"/>
        </w:rPr>
        <w:t xml:space="preserve">. For </w:t>
      </w:r>
      <w:r>
        <w:rPr>
          <w:rFonts w:ascii="Calibri" w:hAnsi="Calibri" w:cs="Calibri" w:eastAsia="Calibri"/>
          <w:b/>
          <w:color w:val="000000"/>
          <w:spacing w:val="0"/>
          <w:position w:val="0"/>
          <w:sz w:val="24"/>
          <w:shd w:fill="FFFF00" w:val="clear"/>
        </w:rPr>
        <w:t xml:space="preserve">Input dataset</w:t>
      </w:r>
      <w:r>
        <w:rPr>
          <w:rFonts w:ascii="Calibri" w:hAnsi="Calibri" w:cs="Calibri" w:eastAsia="Calibri"/>
          <w:color w:val="000000"/>
          <w:spacing w:val="0"/>
          <w:position w:val="0"/>
          <w:sz w:val="24"/>
          <w:shd w:fill="FFFF00" w:val="clear"/>
        </w:rPr>
        <w:t xml:space="preserve">, click on the folder icon, which is a dataset collection. Select the batch file of samples, which includes the label </w:t>
      </w:r>
      <w:r>
        <w:rPr>
          <w:rFonts w:ascii="Calibri" w:hAnsi="Calibri" w:cs="Calibri" w:eastAsia="Calibri"/>
          <w:b/>
          <w:color w:val="000000"/>
          <w:spacing w:val="0"/>
          <w:position w:val="0"/>
          <w:sz w:val="24"/>
          <w:shd w:fill="FFFF00" w:val="clear"/>
        </w:rPr>
        <w:t xml:space="preserve">Barcode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splitter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Trim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from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the beginning up to this position</w:t>
      </w:r>
      <w:r>
        <w:rPr>
          <w:rFonts w:ascii="Calibri" w:hAnsi="Calibri" w:cs="Calibri" w:eastAsia="Calibri"/>
          <w:color w:val="000000"/>
          <w:spacing w:val="0"/>
          <w:position w:val="0"/>
          <w:sz w:val="24"/>
          <w:shd w:fill="FFFF00" w:val="clear"/>
        </w:rPr>
        <w:t xml:space="preserve">, enter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Is input dataset in FASTQ format?</w:t>
      </w:r>
      <w:r>
        <w:rPr>
          <w:rFonts w:ascii="Calibri" w:hAnsi="Calibri" w:cs="Calibri" w:eastAsia="Calibri"/>
          <w:color w:val="000000"/>
          <w:spacing w:val="0"/>
          <w:position w:val="0"/>
          <w:sz w:val="24"/>
          <w:shd w:fill="FFFF00" w:val="clear"/>
        </w:rPr>
        <w:t xml:space="preserve"> enter </w:t>
      </w:r>
      <w:r>
        <w:rPr>
          <w:rFonts w:ascii="Calibri" w:hAnsi="Calibri" w:cs="Calibri" w:eastAsia="Calibri"/>
          <w:b/>
          <w:color w:val="000000"/>
          <w:spacing w:val="0"/>
          <w:position w:val="0"/>
          <w:sz w:val="24"/>
          <w:shd w:fill="FFFF00" w:val="clear"/>
        </w:rPr>
        <w:t xml:space="preserve">Yes</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Execute</w:t>
      </w:r>
      <w:r>
        <w:rPr>
          <w:rFonts w:ascii="Calibri" w:hAnsi="Calibri" w:cs="Calibri" w:eastAsia="Calibri"/>
          <w:color w:val="000000"/>
          <w:spacing w:val="0"/>
          <w:position w:val="0"/>
          <w:sz w:val="24"/>
          <w:shd w:fill="FFFF00" w:val="clear"/>
        </w:rPr>
        <w:t xml:space="preserve">. Execution may take several minutes.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Alignment of reads to microRNAs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In Galaxy, navigate to </w:t>
      </w:r>
      <w:r>
        <w:rPr>
          <w:rFonts w:ascii="Calibri" w:hAnsi="Calibri" w:cs="Calibri" w:eastAsia="Calibri"/>
          <w:b/>
          <w:color w:val="000000"/>
          <w:spacing w:val="0"/>
          <w:position w:val="0"/>
          <w:sz w:val="24"/>
          <w:shd w:fill="FFFF00" w:val="clear"/>
        </w:rPr>
        <w:t xml:space="preserve">Genomics Analysis &amp;gt; RNA-Seq &amp;gt; Sailfish transcript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quantification</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t xml:space="preserve">For the question </w:t>
      </w:r>
      <w:r>
        <w:rPr>
          <w:rFonts w:ascii="Calibri" w:hAnsi="Calibri" w:cs="Calibri" w:eastAsia="Calibri"/>
          <w:b/>
          <w:color w:val="000000"/>
          <w:spacing w:val="0"/>
          <w:position w:val="0"/>
          <w:sz w:val="24"/>
          <w:shd w:fill="FFFF00" w:val="clear"/>
        </w:rPr>
        <w:t xml:space="preserve">Select a reference transcriptome from your history or use a built-in index?</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Use one from the history</w:t>
      </w:r>
      <w:r>
        <w:rPr>
          <w:rFonts w:ascii="Calibri" w:hAnsi="Calibri" w:cs="Calibri" w:eastAsia="Calibri"/>
          <w:color w:val="000000"/>
          <w:spacing w:val="0"/>
          <w:position w:val="0"/>
          <w:sz w:val="24"/>
          <w:shd w:fill="FFFF00" w:val="clear"/>
        </w:rPr>
        <w:t xml:space="preserve">. Enter the uploaded file mousehairpins.fa from the drop-down list. In FASTA/Q file, click the folder icon to use a dataset collection and select the file that includes </w:t>
      </w:r>
      <w:r>
        <w:rPr>
          <w:rFonts w:ascii="Calibri" w:hAnsi="Calibri" w:cs="Calibri" w:eastAsia="Calibri"/>
          <w:b/>
          <w:color w:val="000000"/>
          <w:spacing w:val="0"/>
          <w:position w:val="0"/>
          <w:sz w:val="24"/>
          <w:shd w:fill="FFFF00" w:val="clear"/>
        </w:rPr>
        <w:t xml:space="preserve">Trim on collection</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Execute</w:t>
      </w:r>
      <w:r>
        <w:rPr>
          <w:rFonts w:ascii="Calibri" w:hAnsi="Calibri" w:cs="Calibri" w:eastAsia="Calibri"/>
          <w:color w:val="000000"/>
          <w:spacing w:val="0"/>
          <w:position w:val="0"/>
          <w:sz w:val="24"/>
          <w:shd w:fill="FFFF00" w:val="clear"/>
        </w:rPr>
        <w:t xml:space="preserve">. Execution may take several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w:t>
        <w:tab/>
        <w:t xml:space="preserve">In the history tab on the right, click on </w:t>
      </w:r>
      <w:r>
        <w:rPr>
          <w:rFonts w:ascii="Calibri" w:hAnsi="Calibri" w:cs="Calibri" w:eastAsia="Calibri"/>
          <w:b/>
          <w:color w:val="000000"/>
          <w:spacing w:val="0"/>
          <w:position w:val="0"/>
          <w:sz w:val="24"/>
          <w:shd w:fill="FFFF00" w:val="clear"/>
        </w:rPr>
        <w:t xml:space="preserve">Sailfish on collection…</w:t>
      </w:r>
      <w:r>
        <w:rPr>
          <w:rFonts w:ascii="Calibri" w:hAnsi="Calibri" w:cs="Calibri" w:eastAsia="Calibri"/>
          <w:color w:val="000000"/>
          <w:spacing w:val="0"/>
          <w:position w:val="0"/>
          <w:sz w:val="24"/>
          <w:shd w:fill="FFFF00" w:val="clear"/>
        </w:rPr>
        <w:t xml:space="preserve"> which is a list with 19 items. Click on each individual file and click the disk icon to save to local computer. Individually downloaded files first need to be uncompressed. They also may need to be re-saved with a .txt extension for the purpose of importing into a spreadsheet.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Open each spreadsheet file in and re-name the </w:t>
      </w:r>
      <w:r>
        <w:rPr>
          <w:rFonts w:ascii="Calibri" w:hAnsi="Calibri" w:cs="Calibri" w:eastAsia="Calibri"/>
          <w:b/>
          <w:color w:val="000000"/>
          <w:spacing w:val="0"/>
          <w:position w:val="0"/>
          <w:sz w:val="24"/>
          <w:shd w:fill="auto" w:val="clear"/>
        </w:rPr>
        <w:t xml:space="preserve">NumReads</w:t>
      </w:r>
      <w:r>
        <w:rPr>
          <w:rFonts w:ascii="Calibri" w:hAnsi="Calibri" w:cs="Calibri" w:eastAsia="Calibri"/>
          <w:color w:val="000000"/>
          <w:spacing w:val="0"/>
          <w:position w:val="0"/>
          <w:sz w:val="24"/>
          <w:shd w:fill="auto" w:val="clear"/>
        </w:rPr>
        <w:t xml:space="preserve"> column to the treatment condition. Merge the columns together to generate a matrix of microRNAs in the first column and read counts per condition in subsequent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To calculate differentially expressed microRNAs for each treatment condition, use the file with raw microRNA read counts as input for programs such as DESeq2</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DESeq2 is present in Galaxy in the </w:t>
      </w:r>
      <w:r>
        <w:rPr>
          <w:rFonts w:ascii="Calibri" w:hAnsi="Calibri" w:cs="Calibri" w:eastAsia="Calibri"/>
          <w:b/>
          <w:color w:val="000000"/>
          <w:spacing w:val="0"/>
          <w:position w:val="0"/>
          <w:sz w:val="24"/>
          <w:shd w:fill="auto" w:val="clear"/>
        </w:rPr>
        <w:t xml:space="preserve">Genomics Analysis &amp;gt; RNA-seq &amp;gt; DESeq2</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Convert raw reads to normalized microRNA read counts. Counts are normalized to the library sequence depth of the library through the following calculation: [(raw reads/total microRNA reads) * (1,000,000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number of microRNAs counted) + 1].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calculation provides a normalized reads per million (RPM) mapped microRNAs that can be compared across datasets and biological conditions. The output is a tab delimited file. Sailfish provides a </w:t>
      </w:r>
      <w:r>
        <w:rPr>
          <w:rFonts w:ascii="Calibri" w:hAnsi="Calibri" w:cs="Calibri" w:eastAsia="Calibri"/>
          <w:b/>
          <w:color w:val="000000"/>
          <w:spacing w:val="0"/>
          <w:position w:val="0"/>
          <w:sz w:val="24"/>
          <w:shd w:fill="auto" w:val="clear"/>
        </w:rPr>
        <w:t xml:space="preserve">tpm</w:t>
      </w:r>
      <w:r>
        <w:rPr>
          <w:rFonts w:ascii="Calibri" w:hAnsi="Calibri" w:cs="Calibri" w:eastAsia="Calibri"/>
          <w:color w:val="000000"/>
          <w:spacing w:val="0"/>
          <w:position w:val="0"/>
          <w:sz w:val="24"/>
          <w:shd w:fill="auto" w:val="clear"/>
        </w:rPr>
        <w:t xml:space="preserve"> output column, though this value is normalized by microRNA hairpin length, which is not necessary in this context.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If relevant, repeat alignment with custom input sequences (e.g., a vector) to identify reads that map to delivered constructs, like shRNAs.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Schematic of steps involved in library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overall schematic of small RNA extraction, sequencing, and alignment is outlined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Liver samples from one male and one female mouse were collected and snap frozen in liquid nitrogen. Total RNA was extracted and evaluated for quality and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Small RNA sequencing yields sufficient RNA for sequencing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&amp;#956;g of RNA from two independent RNA extractions were used as starting material for small RNA sequencing. Samples were run on an acrylamide gel and cut out between size markers corresponding to 17-28 nt of RNA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Samples were chopped into fragments for RNA isolation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transferred to a low-retention 1.5 mL centrifuge tube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Barcodes bc7 and bc17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were ligated to the 5’ end of the small RNA. Small RNA libraries were PCR amplified using 22 cycles of PCR to yield 8.0 and 11.2 ng/&amp;#956;L product, respectively. Samples were pooled and a 10 nM pooled sample was submitted for high-throughput sequencing using a 50 bp read length.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MiR-122 is the most abundant microRNA in the mouse liver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barcode sorting, 851,931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reads contained barcodes from liver sample 1 and 650,154 from liver sample 2. Of the reads, 83.5% and 90.0% mapped to microRNAs respectively, with the remaining reads mapping to rRNAs (1.8% and 0.6% respectively), tRNAs and mRNA degradation fragments. After alignment to human microRNA hairpins, we observed strong concordance between microRNA read counts in each replicate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0.998;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 total of 306 microRNA species were detected, with the greatest number of reads mapping to miR-122 (</w:t>
      </w:r>
      <w:r>
        <w:rPr>
          <w:rFonts w:ascii="Calibri" w:hAnsi="Calibri" w:cs="Calibri" w:eastAsia="Calibri"/>
          <w:b/>
          <w:color w:val="000000"/>
          <w:spacing w:val="0"/>
          <w:position w:val="0"/>
          <w:sz w:val="24"/>
          <w:shd w:fill="auto" w:val="clear"/>
        </w:rPr>
        <w:t xml:space="preserve">Supplementary Table 4</w:t>
      </w:r>
      <w:r>
        <w:rPr>
          <w:rFonts w:ascii="Calibri" w:hAnsi="Calibri" w:cs="Calibri" w:eastAsia="Calibri"/>
          <w:color w:val="000000"/>
          <w:spacing w:val="0"/>
          <w:position w:val="0"/>
          <w:sz w:val="24"/>
          <w:shd w:fill="auto" w:val="clear"/>
        </w:rPr>
        <w:t xml:space="preserve">). MicroRNA abundance was similar between male and female liver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Extraction of small RNAs from an acrylamide gel.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Acrylamide gel and region that is cut corresponding to the size of microRNAs.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Gel pieces before and after cutting into smaller fragments.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Process for transferring gel fragments into siliconized tubes.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PCR reaction on low-melt agarose gel demonstrating correct cloned product compared with linker-linker product and unsaturated (22 cycles) versus saturated (24 cycles)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protocol.</w:t>
      </w:r>
      <w:r>
        <w:rPr>
          <w:rFonts w:ascii="Calibri" w:hAnsi="Calibri" w:cs="Calibri" w:eastAsia="Calibri"/>
          <w:color w:val="000000"/>
          <w:spacing w:val="0"/>
          <w:position w:val="0"/>
          <w:sz w:val="24"/>
          <w:shd w:fill="auto" w:val="clear"/>
        </w:rPr>
        <w:t xml:space="preserve"> A timeline showing the major steps involved in the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Reproducibility of results from two independent RNA extractions.</w:t>
      </w:r>
      <w:r>
        <w:rPr>
          <w:rFonts w:ascii="Calibri" w:hAnsi="Calibri" w:cs="Calibri" w:eastAsia="Calibri"/>
          <w:color w:val="000000"/>
          <w:spacing w:val="0"/>
          <w:position w:val="0"/>
          <w:sz w:val="24"/>
          <w:shd w:fill="auto" w:val="clear"/>
        </w:rPr>
        <w:t xml:space="preserve"> Scatterplot of microRNA read counts from a male mouse liver (x-axis) compared with a female mouse liver (y-axis) using a log10-based scale. Each point represents the reads per million (RPM) mapped microRNA count for each individual microRNA.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List of primers.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List of barcode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2. Curated list of mouse microRNA precursor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3. Curated list of human microRNA precursor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4. Raw and normalized microRNA read counts.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identification of microRNAs over 20 years ago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process of microRNA sequencing remains laborious and requires specialized equipment, hindering laboratories from routinely adopting in-house protocols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Other techniques can simultaneously evaluate microRNAs, like microRNA microarrays and multiplexed expression panels; however, these approaches are limited in that they only quantify the microRNAs present in their probe set. Because of this, they miss important features of small RNA sequencing, like the identification of novel microRNAs, and of microRNA isoforms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nucleoside changes that can have important biological function</w:t>
      </w:r>
      <w:r>
        <w:rPr>
          <w:rFonts w:ascii="Calibri" w:hAnsi="Calibri" w:cs="Calibri" w:eastAsia="Calibri"/>
          <w:color w:val="000000"/>
          <w:spacing w:val="0"/>
          <w:position w:val="0"/>
          <w:sz w:val="24"/>
          <w:shd w:fill="auto" w:val="clear"/>
          <w:vertAlign w:val="superscript"/>
        </w:rPr>
        <w:t xml:space="preserve">6,7,15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starting a new experiment, using a commercial vendor is often easiest because they offer technical support and ease of use. Several commercial options are available for microRNA sequencing, which can be multiplexed to reduce the workload when processing large numbers (&amp;gt;100) of samples. These commercial kits are continually being improved, which is both an advantage and disadvantage. On the one hand, the companies who make these kits have developed novel microRNA capture methods, for example, through circularization of their 5 and 3 ends prior to sequencing or using degenerate linkers with random sequences at each end to reduce ligation bias. They have also developed methods to remove adaptor-dimers, for example, through ligation of double-stranded adaptors or hybridization of complementary oligonucleotides. On the other hand, commercial kits recommend against modification or alteration of any step. Therefore, if any updates are made to a kit, it is difficult or impossible to compare data derived from old and new versions of kits, as well as data derived from kits from different commercial vendors. Here, we have described a protocol that has staying power in the face of commercial alternatives. Our focus on gel purification steps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while they add time to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enables consistent microRNA capture and reproducibility over the many years we have used it. Several evaluations of the reproducibility between commercial kits and in-house protocols have been made, and we refer the reader to a few of these studies</w:t>
      </w:r>
      <w:r>
        <w:rPr>
          <w:rFonts w:ascii="Calibri" w:hAnsi="Calibri" w:cs="Calibri" w:eastAsia="Calibri"/>
          <w:color w:val="000000"/>
          <w:spacing w:val="0"/>
          <w:position w:val="0"/>
          <w:sz w:val="24"/>
          <w:shd w:fill="auto" w:val="clear"/>
          <w:vertAlign w:val="superscript"/>
        </w:rPr>
        <w:t xml:space="preserve">16,17,18,19</w:t>
      </w:r>
      <w:r>
        <w:rPr>
          <w:rFonts w:ascii="Calibri" w:hAnsi="Calibri" w:cs="Calibri" w:eastAsia="Calibri"/>
          <w:color w:val="000000"/>
          <w:spacing w:val="0"/>
          <w:position w:val="0"/>
          <w:sz w:val="24"/>
          <w:shd w:fill="auto" w:val="clear"/>
        </w:rPr>
        <w:t xml:space="preserve">. Importantly, the steps we outline for bioinformatics analysis of microRNAs can be employed regardless of the choice of kit or in-house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MicroRNA sequencing is often troubled by the choice of barcodes: in some instances, the ligation efficiency of the various barcodes may not be equivalent, leading to biased distributions of sequences in the samples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is now recommended to use degenerate bases at the 5 and 3 end to minimize ligation biases of specific microRNAs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In this protocol, we have not observed these ligation issues and have observed consistent readouts for technical and biological replicates evaluated with different barcodes</w:t>
      </w:r>
      <w:r>
        <w:rPr>
          <w:rFonts w:ascii="Calibri" w:hAnsi="Calibri" w:cs="Calibri" w:eastAsia="Calibri"/>
          <w:color w:val="000000"/>
          <w:spacing w:val="0"/>
          <w:position w:val="0"/>
          <w:sz w:val="24"/>
          <w:shd w:fill="auto" w:val="clear"/>
          <w:vertAlign w:val="superscript"/>
        </w:rPr>
        <w:t xml:space="preserve">5,6,7,23</w:t>
      </w:r>
      <w:r>
        <w:rPr>
          <w:rFonts w:ascii="Calibri" w:hAnsi="Calibri" w:cs="Calibri" w:eastAsia="Calibri"/>
          <w:color w:val="000000"/>
          <w:spacing w:val="0"/>
          <w:position w:val="0"/>
          <w:sz w:val="24"/>
          <w:shd w:fill="auto" w:val="clear"/>
        </w:rPr>
        <w:t xml:space="preserve">, but it is important to be aware of them. Methods to avoid ligation bias include the incorporation of index primers in the PCR primers, or to add one or more random RNA nucleosides at the 3 end of the 5 adaptor sequence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Introducing one or more synthetic spike-in RNA, such as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miR-39 microRNA</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is also an option for normalization purposes, which is critical for low-yield situations, like quantifying microRNAs from exosomes. Likewise, for RNA ligation, we have successfully used T4 RNA ligase 1, but ligation with less bias has been demonstrated for a truncated form of T4 RNA ligase 2</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Finally, Superscripts III and IV are alternative reverse transcription enzymes that we have used without 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microRNA database can also influence the final normalized results. A challenge with curating microRNA databases is that several novel small RNAs listed as microRNAs are actually fragments of repeat elements and not </w:t>
      </w:r>
      <w:r>
        <w:rPr>
          <w:rFonts w:ascii="Calibri" w:hAnsi="Calibri" w:cs="Calibri" w:eastAsia="Calibri"/>
          <w:i/>
          <w:color w:val="000000"/>
          <w:spacing w:val="0"/>
          <w:position w:val="0"/>
          <w:sz w:val="24"/>
          <w:shd w:fill="auto" w:val="clear"/>
        </w:rPr>
        <w:t xml:space="preserve">bona fide </w:t>
      </w:r>
      <w:r>
        <w:rPr>
          <w:rFonts w:ascii="Calibri" w:hAnsi="Calibri" w:cs="Calibri" w:eastAsia="Calibri"/>
          <w:color w:val="000000"/>
          <w:spacing w:val="0"/>
          <w:position w:val="0"/>
          <w:sz w:val="24"/>
          <w:shd w:fill="auto" w:val="clear"/>
        </w:rPr>
        <w:t xml:space="preserve">microRNAs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Efforts have been made to retire microRNAs that do not conform to standard criteria, so that the next version of a microRNA database is more refined; however, the next iteration also contains new candidates that need confirmation. When repeat-derived microRNAs are included in alignments, they can skew the results and overwhelm data from existing microRNAs. Therefore, the use of well-curated datasets of microRNAs from different species is essential</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We have experienced greatest reproducibility when aligning small RNA sequencing reads to curated lists of conserved microRNAs and have included these hairpins in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 These lists match estimates of about 500 high confidence microRNAs in the human genome</w:t>
      </w:r>
      <w:r>
        <w:rPr>
          <w:rFonts w:ascii="Calibri" w:hAnsi="Calibri" w:cs="Calibri" w:eastAsia="Calibri"/>
          <w:color w:val="000000"/>
          <w:spacing w:val="0"/>
          <w:position w:val="0"/>
          <w:sz w:val="24"/>
          <w:shd w:fill="auto" w:val="clear"/>
          <w:vertAlign w:val="superscript"/>
        </w:rPr>
        <w:t xml:space="preserve">2,26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any technique, results should be confirmed with an orthogonal approach. We have successfully reproduced small RNA sequencing results with small RNA northern blots that incorporate radiolabeled probes to confirm the size and relative abundance of candidate microRNAs</w:t>
      </w:r>
      <w:r>
        <w:rPr>
          <w:rFonts w:ascii="Calibri" w:hAnsi="Calibri" w:cs="Calibri" w:eastAsia="Calibri"/>
          <w:color w:val="000000"/>
          <w:spacing w:val="0"/>
          <w:position w:val="0"/>
          <w:sz w:val="24"/>
          <w:shd w:fill="auto" w:val="clear"/>
          <w:vertAlign w:val="superscript"/>
        </w:rPr>
        <w:t xml:space="preserve">6,7,23</w:t>
      </w:r>
      <w:r>
        <w:rPr>
          <w:rFonts w:ascii="Calibri" w:hAnsi="Calibri" w:cs="Calibri" w:eastAsia="Calibri"/>
          <w:color w:val="000000"/>
          <w:spacing w:val="0"/>
          <w:position w:val="0"/>
          <w:sz w:val="24"/>
          <w:shd w:fill="auto" w:val="clear"/>
        </w:rPr>
        <w:t xml:space="preserve">. Quantitative PCR of microRNAs using split-read sequencing, and confirmation of target mRNA changes using qPCR and western blotting are other options for validation.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provided a method to isolate and sequence microRNAs and perform alignments against existing microRNA databases. The affordability of the reagents and equipment and the use of open source tools for analysis should make this protocol accessible to anyone. Finally, this protocol can be used in any tissue or cell line to yield highly reproducible, high-quality reads.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members of the laboratories of Andrew Fire and Mark Kay for guidance and suggestions.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Lee, R. C., Feinbaum, R. L. &amp;amp; Ambros, V. The C. elegans heterochronic gene lin-4 encodes small RNAs with antisense complementarity to lin-14.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(5), 843-854,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Bartel, D. P. Metazoan MicroRNAs.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(1), 20-51,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Lau, N. C., Lim, L. P., Weinstein, E. G. &amp;amp; Bartel, D. P. An abundant class of tiny RNAs with probable regulatory roles in Caenorhabditis elegans.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(5543), 858-862,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Kim, V. N., Han, J. &amp;amp; Siomi, M. C. Biogenesis of small RNAs in animals.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126-139,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Gu,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loop position of shRNAs and pre-miRNAs is critical for the accuracy of dicer processing in vivo.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(4), 900-911,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Valdmanis, P.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 interference-induced hepatotoxicity results from loss of the first synthesized isoform of microRNA-122 in mice.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557-562,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Valdmanis, P.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miR-122 removal in the liver activates imprinted microRNAs and enables more effective microRNA-mediated gene repression.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5321,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Griffiths-Jones, S. The microRNA Registry.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(Database issue), D109-111,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Griffiths-Jones, S., Grocock, R. J., van Dongen, S., Bateman, A. &amp;amp; Enright, A. J. miRBase: microRNA sequences, targets and gene nomenclature.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(Database issue), D140-144,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Griffiths-Jones, S., Saini, H. K., van Dongen, S. &amp;amp; Enright, A. J. miRBase: tools for microRNA genomics.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(Database issue), D154-158,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Patro, R., Mount, S. M. &amp;amp; Kingsford, C. Sailfish enables alignment-free isoform quantification from RNA-seq reads using lightweight algorithms.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462-464,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Love, M. I., Huber, W. &amp;amp; Anders, S. Moderated estimation of fold change and dispersion for RNA-seq data with DESeq2.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550,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Fire,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Potent and specific genetic interference by double-stranded RNA in Caenorhabditis elegans.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(6669), 806-811,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Etheridge, A., Wang, K., Baxter, D. &amp;amp; Galas, D. Preparation of Small RNA NGS Libraries from Biofluids.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1740</w:t>
      </w:r>
      <w:r>
        <w:rPr>
          <w:rFonts w:ascii="Calibri" w:hAnsi="Calibri" w:cs="Calibri" w:eastAsia="Calibri"/>
          <w:color w:val="000000"/>
          <w:spacing w:val="0"/>
          <w:position w:val="0"/>
          <w:sz w:val="24"/>
          <w:shd w:fill="auto" w:val="clear"/>
        </w:rPr>
        <w:t xml:space="preserve"> 163-175,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Yamane,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hepatitis C virus RNA target site selection and host factor activities of naturally occurring miR-122 3 variants.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 4743-4755,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Giraldez, M.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Comprehensive multi-center assessment of small RNA-seq methods for quantitative miRNA profiling.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(8), 746-757,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Dard-Dascot,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Systematic comparison of small RNA library preparation protocols for next-generation sequencing.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Yeri,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commercially available small RNASeq library preparation kits using low input RNA.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331,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Coenen-Stass, A. M.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methodologies for microRNA biomarker detection by next generation sequencing. </w:t>
      </w:r>
      <w:r>
        <w:rPr>
          <w:rFonts w:ascii="Calibri" w:hAnsi="Calibri" w:cs="Calibri" w:eastAsia="Calibri"/>
          <w:i/>
          <w:color w:val="000000"/>
          <w:spacing w:val="0"/>
          <w:position w:val="0"/>
          <w:sz w:val="24"/>
          <w:shd w:fill="auto" w:val="clear"/>
        </w:rPr>
        <w:t xml:space="preserve">RNA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1133-1145,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Baran-Gale,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Addressing Bias in Small RNA Library Preparation for Sequencing: A New Protocol Recovers MicroRNAs that Evade Capture by Current Methods.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Jayaprakash, A. D., Jabado, O., Brown, B. D. &amp;amp; Sachidanandam, R. Identification and remediation of biases in the activity of RNA ligases in small-RNA deep sequencing.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(21), e141,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Van Nieuwerburgh,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bias in Illumina TruSeq and a novel post amplification barcoding strategy for multiplexed DNA and small RNA deep sequencing.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e26969,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Valdmanis, P.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Upregulation of the microRNA cluster at the Dlk1-Dio3 locus in lung adenocarcinoma.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94-103,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Schwarzenbach, H., da Silva, A. M., Calin, G. &amp;amp; Pantel, K. Data Normalization Strategies for MicroRNA Quantification.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(11), 1333-1342,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Viollet, S., Fuchs, R. T., Munafo, D. B., Zhuang, F. &amp;amp; Robb, G. B. T4 RNA ligase 2 truncated active site mutants: improved tools for RNA analysis.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Chiang, H.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Mammalian microRNAs: experimental evaluation of novel and previously annotated genes.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(10), 992-1009,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Fromm,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Uniform System for the Annotation of Vertebrate microRNA Genes and the Evolution of the Human microRNAome. </w:t>
      </w:r>
      <w:r>
        <w:rPr>
          <w:rFonts w:ascii="Calibri" w:hAnsi="Calibri" w:cs="Calibri" w:eastAsia="Calibri"/>
          <w:i/>
          <w:color w:val="000000"/>
          <w:spacing w:val="0"/>
          <w:position w:val="0"/>
          <w:sz w:val="24"/>
          <w:shd w:fill="auto" w:val="clear"/>
        </w:rPr>
        <w:t xml:space="preserve">Annual Review of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213-242, (2015).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usegalaxy.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