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862" w:rsidRPr="00A41862" w:rsidRDefault="00A41862" w:rsidP="00A41862">
      <w:pPr>
        <w:jc w:val="right"/>
        <w:rPr>
          <w:rFonts w:asciiTheme="minorHAnsi" w:hAnsiTheme="minorHAnsi" w:cstheme="minorHAnsi"/>
          <w:b/>
        </w:rPr>
      </w:pPr>
      <w:r w:rsidRPr="00A41862">
        <w:rPr>
          <w:rFonts w:asciiTheme="minorHAnsi" w:hAnsiTheme="minorHAnsi" w:cstheme="minorHAnsi"/>
          <w:noProof/>
        </w:rPr>
        <w:drawing>
          <wp:anchor distT="0" distB="0" distL="114300" distR="114300" simplePos="0" relativeHeight="251659264" behindDoc="0" locked="1" layoutInCell="1" allowOverlap="1" wp14:anchorId="49E02C1A" wp14:editId="3808C6D3">
            <wp:simplePos x="0" y="0"/>
            <wp:positionH relativeFrom="page">
              <wp:posOffset>673735</wp:posOffset>
            </wp:positionH>
            <wp:positionV relativeFrom="page">
              <wp:posOffset>609600</wp:posOffset>
            </wp:positionV>
            <wp:extent cx="2347595" cy="434340"/>
            <wp:effectExtent l="0" t="0" r="0" b="3810"/>
            <wp:wrapNone/>
            <wp:docPr id="1" name="Picture 1" descr="2campus_cmyk_h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campus_cmyk_h1.ep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7595"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1862">
        <w:rPr>
          <w:rFonts w:asciiTheme="minorHAnsi" w:hAnsiTheme="minorHAnsi" w:cstheme="minorHAnsi"/>
          <w:b/>
        </w:rPr>
        <w:t>Department of Pathology</w:t>
      </w:r>
    </w:p>
    <w:p w:rsidR="00A41862" w:rsidRPr="00A41862" w:rsidRDefault="00A41862" w:rsidP="004D0A29">
      <w:pPr>
        <w:jc w:val="right"/>
        <w:rPr>
          <w:rFonts w:asciiTheme="minorHAnsi" w:hAnsiTheme="minorHAnsi" w:cstheme="minorHAnsi"/>
          <w:b/>
          <w:sz w:val="20"/>
          <w:szCs w:val="20"/>
        </w:rPr>
      </w:pPr>
      <w:r w:rsidRPr="00A41862">
        <w:rPr>
          <w:rFonts w:asciiTheme="minorHAnsi" w:hAnsiTheme="minorHAnsi" w:cstheme="minorHAnsi"/>
          <w:b/>
          <w:sz w:val="20"/>
          <w:szCs w:val="20"/>
        </w:rPr>
        <w:t>School of Medicine</w:t>
      </w:r>
    </w:p>
    <w:p w:rsidR="00A41862" w:rsidRDefault="006F046C" w:rsidP="00B67FD2">
      <w:pPr>
        <w:jc w:val="right"/>
        <w:rPr>
          <w:rFonts w:asciiTheme="minorHAnsi" w:hAnsiTheme="minorHAnsi" w:cstheme="minorHAnsi"/>
          <w:sz w:val="18"/>
          <w:szCs w:val="18"/>
        </w:rPr>
      </w:pPr>
      <w:r>
        <w:rPr>
          <w:rFonts w:asciiTheme="minorHAnsi" w:hAnsiTheme="minorHAnsi" w:cstheme="minorHAnsi"/>
          <w:sz w:val="18"/>
          <w:szCs w:val="18"/>
        </w:rPr>
        <w:t xml:space="preserve">BioScience 2 </w:t>
      </w:r>
      <w:r w:rsidR="005C41DE">
        <w:rPr>
          <w:rFonts w:asciiTheme="minorHAnsi" w:hAnsiTheme="minorHAnsi" w:cstheme="minorHAnsi"/>
          <w:sz w:val="18"/>
          <w:szCs w:val="18"/>
        </w:rPr>
        <w:t>Suite 400</w:t>
      </w:r>
    </w:p>
    <w:p w:rsidR="006F046C" w:rsidRPr="00A41862" w:rsidRDefault="006F046C" w:rsidP="00B67FD2">
      <w:pPr>
        <w:jc w:val="right"/>
        <w:rPr>
          <w:rFonts w:asciiTheme="minorHAnsi" w:hAnsiTheme="minorHAnsi" w:cstheme="minorHAnsi"/>
          <w:sz w:val="18"/>
          <w:szCs w:val="18"/>
        </w:rPr>
      </w:pPr>
      <w:r>
        <w:rPr>
          <w:rFonts w:asciiTheme="minorHAnsi" w:hAnsiTheme="minorHAnsi" w:cstheme="minorHAnsi"/>
          <w:sz w:val="18"/>
          <w:szCs w:val="18"/>
        </w:rPr>
        <w:t>12705 E. Montview Blvd.</w:t>
      </w:r>
    </w:p>
    <w:p w:rsidR="00A41862" w:rsidRPr="00A41862" w:rsidRDefault="00A41862" w:rsidP="00B67FD2">
      <w:pPr>
        <w:jc w:val="right"/>
        <w:rPr>
          <w:rFonts w:asciiTheme="minorHAnsi" w:hAnsiTheme="minorHAnsi" w:cstheme="minorHAnsi"/>
          <w:sz w:val="18"/>
          <w:szCs w:val="18"/>
        </w:rPr>
      </w:pPr>
      <w:r w:rsidRPr="00A41862">
        <w:rPr>
          <w:rFonts w:asciiTheme="minorHAnsi" w:hAnsiTheme="minorHAnsi" w:cstheme="minorHAnsi"/>
          <w:sz w:val="18"/>
          <w:szCs w:val="18"/>
        </w:rPr>
        <w:t>Aurora, CO 80045</w:t>
      </w:r>
    </w:p>
    <w:p w:rsidR="00B72A8D" w:rsidRPr="00523681" w:rsidRDefault="00E01A14" w:rsidP="00B67FD2">
      <w:pPr>
        <w:jc w:val="right"/>
        <w:rPr>
          <w:rFonts w:asciiTheme="minorHAnsi" w:hAnsiTheme="minorHAnsi" w:cstheme="minorHAnsi"/>
          <w:sz w:val="18"/>
          <w:szCs w:val="18"/>
        </w:rPr>
      </w:pPr>
      <w:r w:rsidRPr="00A41862">
        <w:rPr>
          <w:rFonts w:asciiTheme="minorHAnsi" w:hAnsiTheme="minorHAnsi" w:cstheme="minorHAnsi"/>
          <w:sz w:val="18"/>
          <w:szCs w:val="18"/>
        </w:rPr>
        <w:t>Office</w:t>
      </w:r>
      <w:r w:rsidRPr="00A41862">
        <w:rPr>
          <w:rFonts w:asciiTheme="minorHAnsi" w:hAnsiTheme="minorHAnsi" w:cstheme="minorHAnsi"/>
          <w:sz w:val="18"/>
          <w:szCs w:val="18"/>
        </w:rPr>
        <w:tab/>
        <w:t>303 724-</w:t>
      </w:r>
      <w:r w:rsidR="00B67FD2">
        <w:rPr>
          <w:rFonts w:asciiTheme="minorHAnsi" w:hAnsiTheme="minorHAnsi" w:cstheme="minorHAnsi"/>
          <w:sz w:val="18"/>
          <w:szCs w:val="18"/>
        </w:rPr>
        <w:t>9257</w:t>
      </w:r>
    </w:p>
    <w:p w:rsidR="002804EC" w:rsidRDefault="00620738" w:rsidP="002804EC">
      <w:pPr>
        <w:jc w:val="right"/>
        <w:rPr>
          <w:sz w:val="22"/>
          <w:szCs w:val="22"/>
        </w:rPr>
      </w:pPr>
      <w:hyperlink r:id="rId6" w:history="1">
        <w:r w:rsidR="002804EC" w:rsidRPr="00422867">
          <w:rPr>
            <w:rStyle w:val="Hyperlink"/>
            <w:sz w:val="22"/>
            <w:szCs w:val="22"/>
          </w:rPr>
          <w:t>Kurtis.davies@ucdenver.edu</w:t>
        </w:r>
      </w:hyperlink>
    </w:p>
    <w:p w:rsidR="00F6017E" w:rsidRDefault="00F6017E" w:rsidP="00B67FD2">
      <w:pPr>
        <w:ind w:left="7920"/>
        <w:jc w:val="right"/>
        <w:rPr>
          <w:rFonts w:asciiTheme="minorHAnsi" w:hAnsiTheme="minorHAnsi" w:cstheme="minorHAnsi"/>
          <w:sz w:val="20"/>
          <w:szCs w:val="18"/>
        </w:rPr>
      </w:pPr>
    </w:p>
    <w:p w:rsidR="00E01A14" w:rsidRPr="00F6017E" w:rsidRDefault="00B67FD2" w:rsidP="00F6017E">
      <w:pPr>
        <w:ind w:left="7830"/>
        <w:jc w:val="right"/>
        <w:rPr>
          <w:rFonts w:asciiTheme="minorHAnsi" w:hAnsiTheme="minorHAnsi" w:cstheme="minorHAnsi"/>
          <w:b/>
        </w:rPr>
      </w:pPr>
      <w:r w:rsidRPr="00F6017E">
        <w:rPr>
          <w:rFonts w:asciiTheme="minorHAnsi" w:hAnsiTheme="minorHAnsi" w:cstheme="minorHAnsi"/>
          <w:b/>
        </w:rPr>
        <w:t>Kurtis D. Davies</w:t>
      </w:r>
      <w:r w:rsidR="00E01A14" w:rsidRPr="00F6017E">
        <w:rPr>
          <w:rFonts w:asciiTheme="minorHAnsi" w:hAnsiTheme="minorHAnsi" w:cstheme="minorHAnsi"/>
          <w:b/>
        </w:rPr>
        <w:t xml:space="preserve"> </w:t>
      </w:r>
      <w:r w:rsidR="00F6017E">
        <w:rPr>
          <w:rFonts w:asciiTheme="minorHAnsi" w:hAnsiTheme="minorHAnsi" w:cstheme="minorHAnsi"/>
          <w:b/>
        </w:rPr>
        <w:t>PhD</w:t>
      </w:r>
    </w:p>
    <w:p w:rsidR="00F6017E" w:rsidRPr="00F6017E" w:rsidRDefault="00F6017E" w:rsidP="00B67FD2">
      <w:pPr>
        <w:ind w:left="7920"/>
        <w:jc w:val="right"/>
        <w:rPr>
          <w:rFonts w:asciiTheme="minorHAnsi" w:hAnsiTheme="minorHAnsi" w:cstheme="minorHAnsi"/>
          <w:b/>
        </w:rPr>
      </w:pPr>
      <w:r w:rsidRPr="00F6017E">
        <w:rPr>
          <w:rFonts w:asciiTheme="minorHAnsi" w:hAnsiTheme="minorHAnsi" w:cstheme="minorHAnsi"/>
          <w:b/>
        </w:rPr>
        <w:t>Assistant Professor</w:t>
      </w:r>
    </w:p>
    <w:p w:rsidR="00E0362C" w:rsidRDefault="00E0362C" w:rsidP="00273C3C">
      <w:pPr>
        <w:jc w:val="center"/>
        <w:rPr>
          <w:rFonts w:asciiTheme="minorHAnsi" w:hAnsiTheme="minorHAnsi" w:cstheme="minorHAnsi"/>
          <w:sz w:val="20"/>
          <w:szCs w:val="18"/>
        </w:rPr>
      </w:pPr>
    </w:p>
    <w:p w:rsidR="0000429C" w:rsidRDefault="0000429C" w:rsidP="00E0362C">
      <w:pPr>
        <w:jc w:val="right"/>
        <w:rPr>
          <w:rFonts w:asciiTheme="minorHAnsi" w:hAnsiTheme="minorHAnsi" w:cstheme="minorHAnsi"/>
          <w:sz w:val="20"/>
          <w:szCs w:val="18"/>
        </w:rPr>
      </w:pPr>
    </w:p>
    <w:p w:rsidR="00017007" w:rsidRDefault="00713530" w:rsidP="00C90D2C">
      <w:pPr>
        <w:jc w:val="both"/>
        <w:rPr>
          <w:sz w:val="22"/>
          <w:szCs w:val="22"/>
        </w:rPr>
      </w:pPr>
      <w:r w:rsidRPr="00C90D2C">
        <w:rPr>
          <w:sz w:val="22"/>
          <w:szCs w:val="22"/>
        </w:rPr>
        <w:tab/>
      </w:r>
      <w:r w:rsidRPr="00C90D2C">
        <w:rPr>
          <w:sz w:val="22"/>
          <w:szCs w:val="22"/>
        </w:rPr>
        <w:tab/>
      </w:r>
      <w:r w:rsidRPr="00C90D2C">
        <w:rPr>
          <w:sz w:val="22"/>
          <w:szCs w:val="22"/>
        </w:rPr>
        <w:tab/>
      </w:r>
      <w:r w:rsidRPr="00C90D2C">
        <w:rPr>
          <w:sz w:val="22"/>
          <w:szCs w:val="22"/>
        </w:rPr>
        <w:tab/>
      </w:r>
      <w:r w:rsidRPr="00C90D2C">
        <w:rPr>
          <w:sz w:val="22"/>
          <w:szCs w:val="22"/>
        </w:rPr>
        <w:tab/>
      </w:r>
      <w:r w:rsidRPr="00C90D2C">
        <w:rPr>
          <w:sz w:val="22"/>
          <w:szCs w:val="22"/>
        </w:rPr>
        <w:tab/>
      </w:r>
      <w:r w:rsidRPr="00C90D2C">
        <w:rPr>
          <w:sz w:val="22"/>
          <w:szCs w:val="22"/>
        </w:rPr>
        <w:tab/>
      </w:r>
      <w:r w:rsidRPr="00C90D2C">
        <w:rPr>
          <w:sz w:val="22"/>
          <w:szCs w:val="22"/>
        </w:rPr>
        <w:tab/>
      </w:r>
      <w:r w:rsidRPr="00C90D2C">
        <w:rPr>
          <w:sz w:val="22"/>
          <w:szCs w:val="22"/>
        </w:rPr>
        <w:tab/>
      </w:r>
      <w:r w:rsidRPr="00C90D2C">
        <w:rPr>
          <w:sz w:val="22"/>
          <w:szCs w:val="22"/>
        </w:rPr>
        <w:tab/>
      </w:r>
      <w:r w:rsidRPr="00C90D2C">
        <w:rPr>
          <w:sz w:val="22"/>
          <w:szCs w:val="22"/>
        </w:rPr>
        <w:tab/>
      </w:r>
    </w:p>
    <w:p w:rsidR="00713530" w:rsidRPr="00726AED" w:rsidRDefault="00620738" w:rsidP="00C90D2C">
      <w:pPr>
        <w:jc w:val="both"/>
        <w:rPr>
          <w:sz w:val="22"/>
          <w:szCs w:val="22"/>
        </w:rPr>
      </w:pPr>
      <w:r>
        <w:rPr>
          <w:sz w:val="22"/>
          <w:szCs w:val="22"/>
        </w:rPr>
        <w:t>April</w:t>
      </w:r>
      <w:r w:rsidR="005C41DE" w:rsidRPr="00726AED">
        <w:rPr>
          <w:sz w:val="22"/>
          <w:szCs w:val="22"/>
        </w:rPr>
        <w:t xml:space="preserve"> </w:t>
      </w:r>
      <w:r>
        <w:rPr>
          <w:sz w:val="22"/>
          <w:szCs w:val="22"/>
        </w:rPr>
        <w:t>2nd</w:t>
      </w:r>
      <w:r w:rsidR="00A1652D" w:rsidRPr="00726AED">
        <w:rPr>
          <w:sz w:val="22"/>
          <w:szCs w:val="22"/>
        </w:rPr>
        <w:t>, 201</w:t>
      </w:r>
      <w:r w:rsidR="00435477">
        <w:rPr>
          <w:sz w:val="22"/>
          <w:szCs w:val="22"/>
        </w:rPr>
        <w:t>9</w:t>
      </w:r>
    </w:p>
    <w:p w:rsidR="00A1652D" w:rsidRPr="00726AED" w:rsidRDefault="00A1652D" w:rsidP="00A1652D">
      <w:pPr>
        <w:rPr>
          <w:sz w:val="22"/>
          <w:szCs w:val="22"/>
        </w:rPr>
      </w:pPr>
    </w:p>
    <w:p w:rsidR="00726AED" w:rsidRPr="00726AED" w:rsidRDefault="00726AED" w:rsidP="00726AED">
      <w:pPr>
        <w:rPr>
          <w:sz w:val="22"/>
          <w:szCs w:val="22"/>
        </w:rPr>
      </w:pPr>
      <w:r w:rsidRPr="00726AED">
        <w:rPr>
          <w:sz w:val="22"/>
          <w:szCs w:val="22"/>
        </w:rPr>
        <w:t xml:space="preserve">Dr. </w:t>
      </w:r>
      <w:r w:rsidR="00620738">
        <w:rPr>
          <w:sz w:val="22"/>
          <w:szCs w:val="22"/>
        </w:rPr>
        <w:t xml:space="preserve">Phillip </w:t>
      </w:r>
      <w:proofErr w:type="spellStart"/>
      <w:r w:rsidR="00620738">
        <w:rPr>
          <w:sz w:val="22"/>
          <w:szCs w:val="22"/>
        </w:rPr>
        <w:t>Steindel</w:t>
      </w:r>
      <w:proofErr w:type="spellEnd"/>
      <w:r w:rsidR="00435477">
        <w:rPr>
          <w:sz w:val="22"/>
          <w:szCs w:val="22"/>
        </w:rPr>
        <w:t xml:space="preserve"> Ph.D.</w:t>
      </w:r>
    </w:p>
    <w:p w:rsidR="00726AED" w:rsidRPr="00726AED" w:rsidRDefault="00620738" w:rsidP="00726AED">
      <w:pPr>
        <w:rPr>
          <w:sz w:val="22"/>
          <w:szCs w:val="22"/>
        </w:rPr>
      </w:pPr>
      <w:r>
        <w:rPr>
          <w:sz w:val="22"/>
          <w:szCs w:val="22"/>
        </w:rPr>
        <w:t xml:space="preserve">Review </w:t>
      </w:r>
      <w:r w:rsidR="00726AED" w:rsidRPr="00726AED">
        <w:rPr>
          <w:sz w:val="22"/>
          <w:szCs w:val="22"/>
        </w:rPr>
        <w:t>Editor</w:t>
      </w:r>
      <w:r w:rsidR="00435477">
        <w:rPr>
          <w:sz w:val="22"/>
          <w:szCs w:val="22"/>
        </w:rPr>
        <w:t xml:space="preserve"> – Journal of Visualized Experiments</w:t>
      </w:r>
    </w:p>
    <w:p w:rsidR="00726AED" w:rsidRPr="00726AED" w:rsidRDefault="00726AED" w:rsidP="00726AED">
      <w:pPr>
        <w:rPr>
          <w:sz w:val="22"/>
          <w:szCs w:val="22"/>
        </w:rPr>
      </w:pPr>
    </w:p>
    <w:p w:rsidR="00726AED" w:rsidRPr="00726AED" w:rsidRDefault="00726AED" w:rsidP="00726AED">
      <w:pPr>
        <w:rPr>
          <w:sz w:val="22"/>
          <w:szCs w:val="22"/>
        </w:rPr>
      </w:pPr>
    </w:p>
    <w:p w:rsidR="00726AED" w:rsidRPr="00435477" w:rsidRDefault="00726AED" w:rsidP="00726AED">
      <w:pPr>
        <w:rPr>
          <w:sz w:val="22"/>
          <w:szCs w:val="22"/>
        </w:rPr>
      </w:pPr>
      <w:r w:rsidRPr="00435477">
        <w:rPr>
          <w:sz w:val="22"/>
          <w:szCs w:val="22"/>
        </w:rPr>
        <w:t xml:space="preserve">Re:  </w:t>
      </w:r>
      <w:r w:rsidR="00435477" w:rsidRPr="00435477">
        <w:rPr>
          <w:sz w:val="22"/>
          <w:szCs w:val="22"/>
        </w:rPr>
        <w:t>Oncogenic Gene Fusion Detection Using Anchored Multiplex Polymerase Chain Reaction Followed by Next Generation Sequencing</w:t>
      </w:r>
    </w:p>
    <w:p w:rsidR="00726AED" w:rsidRPr="00726AED" w:rsidRDefault="00726AED" w:rsidP="00726AED">
      <w:pPr>
        <w:rPr>
          <w:sz w:val="22"/>
          <w:szCs w:val="22"/>
        </w:rPr>
      </w:pPr>
      <w:r w:rsidRPr="00726AED">
        <w:rPr>
          <w:sz w:val="22"/>
          <w:szCs w:val="22"/>
        </w:rPr>
        <w:t xml:space="preserve"> </w:t>
      </w:r>
    </w:p>
    <w:p w:rsidR="00726AED" w:rsidRPr="00726AED" w:rsidRDefault="00726AED" w:rsidP="00726AED">
      <w:pPr>
        <w:rPr>
          <w:sz w:val="22"/>
          <w:szCs w:val="22"/>
        </w:rPr>
      </w:pPr>
    </w:p>
    <w:p w:rsidR="00726AED" w:rsidRPr="00726AED" w:rsidRDefault="00726AED" w:rsidP="00726AED">
      <w:pPr>
        <w:rPr>
          <w:sz w:val="22"/>
          <w:szCs w:val="22"/>
        </w:rPr>
      </w:pPr>
      <w:r w:rsidRPr="00726AED">
        <w:rPr>
          <w:sz w:val="22"/>
          <w:szCs w:val="22"/>
        </w:rPr>
        <w:t xml:space="preserve">Dear Dr. </w:t>
      </w:r>
      <w:proofErr w:type="spellStart"/>
      <w:r w:rsidR="00620738">
        <w:rPr>
          <w:sz w:val="22"/>
          <w:szCs w:val="22"/>
        </w:rPr>
        <w:t>Steindel</w:t>
      </w:r>
      <w:proofErr w:type="spellEnd"/>
      <w:r w:rsidRPr="00726AED">
        <w:rPr>
          <w:sz w:val="22"/>
          <w:szCs w:val="22"/>
        </w:rPr>
        <w:t>:</w:t>
      </w:r>
    </w:p>
    <w:p w:rsidR="00726AED" w:rsidRPr="00726AED" w:rsidRDefault="00726AED" w:rsidP="00726AED">
      <w:pPr>
        <w:rPr>
          <w:sz w:val="22"/>
          <w:szCs w:val="22"/>
        </w:rPr>
      </w:pPr>
    </w:p>
    <w:p w:rsidR="00726AED" w:rsidRDefault="00435477" w:rsidP="00726AED">
      <w:pPr>
        <w:rPr>
          <w:sz w:val="22"/>
          <w:szCs w:val="22"/>
        </w:rPr>
      </w:pPr>
      <w:r>
        <w:rPr>
          <w:sz w:val="22"/>
          <w:szCs w:val="22"/>
        </w:rPr>
        <w:t xml:space="preserve">Thank you very much for the invitation to submit </w:t>
      </w:r>
      <w:r w:rsidR="003A18DD">
        <w:rPr>
          <w:sz w:val="22"/>
          <w:szCs w:val="22"/>
        </w:rPr>
        <w:t>a</w:t>
      </w:r>
      <w:r w:rsidR="00620738">
        <w:rPr>
          <w:sz w:val="22"/>
          <w:szCs w:val="22"/>
        </w:rPr>
        <w:t xml:space="preserve"> revised version of our</w:t>
      </w:r>
      <w:r>
        <w:rPr>
          <w:sz w:val="22"/>
          <w:szCs w:val="22"/>
        </w:rPr>
        <w:t xml:space="preserve"> manuscript to the Journal of Visualized Experiments</w:t>
      </w:r>
      <w:r w:rsidR="00726AED" w:rsidRPr="00726AED">
        <w:rPr>
          <w:sz w:val="22"/>
          <w:szCs w:val="22"/>
        </w:rPr>
        <w:t>.</w:t>
      </w:r>
    </w:p>
    <w:p w:rsidR="00435477" w:rsidRDefault="00435477" w:rsidP="00726AED">
      <w:pPr>
        <w:rPr>
          <w:sz w:val="22"/>
          <w:szCs w:val="22"/>
        </w:rPr>
      </w:pPr>
    </w:p>
    <w:p w:rsidR="00726AED" w:rsidRDefault="00620738" w:rsidP="00726AED">
      <w:pPr>
        <w:rPr>
          <w:sz w:val="22"/>
          <w:szCs w:val="22"/>
        </w:rPr>
      </w:pPr>
      <w:r>
        <w:rPr>
          <w:sz w:val="22"/>
          <w:szCs w:val="22"/>
        </w:rPr>
        <w:t xml:space="preserve">We also thank the Editors and Reviewers for their thorough evaluations of the manuscript.  We feel that by addressing the concerns they raised the manuscript is much improved.  We have included a point-by-point response to all criticisms below (author responses are in blue).  </w:t>
      </w:r>
      <w:r w:rsidR="003A18DD">
        <w:rPr>
          <w:sz w:val="22"/>
          <w:szCs w:val="22"/>
        </w:rPr>
        <w:t xml:space="preserve"> </w:t>
      </w:r>
    </w:p>
    <w:p w:rsidR="00842D67" w:rsidRDefault="00842D67" w:rsidP="00726AED">
      <w:pPr>
        <w:rPr>
          <w:sz w:val="22"/>
          <w:szCs w:val="22"/>
        </w:rPr>
      </w:pPr>
    </w:p>
    <w:p w:rsidR="00842D67" w:rsidRPr="00842D67" w:rsidRDefault="00842D67" w:rsidP="00726AED">
      <w:pPr>
        <w:rPr>
          <w:sz w:val="22"/>
          <w:szCs w:val="22"/>
        </w:rPr>
      </w:pPr>
      <w:r w:rsidRPr="00842D67">
        <w:rPr>
          <w:sz w:val="22"/>
          <w:szCs w:val="22"/>
        </w:rPr>
        <w:t>I can confirm that I and all co-authors of this manuscript were original contributors to this work, approve of its submission, and have disclosed all conflicts of interest.  This material has not been submitted elsewhere for publication.</w:t>
      </w:r>
    </w:p>
    <w:p w:rsidR="005C41DE" w:rsidRPr="00726AED" w:rsidRDefault="005C41DE" w:rsidP="00A1652D">
      <w:pPr>
        <w:rPr>
          <w:sz w:val="22"/>
          <w:szCs w:val="22"/>
        </w:rPr>
      </w:pPr>
    </w:p>
    <w:p w:rsidR="006E4974" w:rsidRPr="00726AED" w:rsidRDefault="006E4974" w:rsidP="00A1652D">
      <w:pPr>
        <w:rPr>
          <w:sz w:val="22"/>
          <w:szCs w:val="22"/>
        </w:rPr>
      </w:pPr>
    </w:p>
    <w:p w:rsidR="004D0A29" w:rsidRPr="00726AED" w:rsidRDefault="006E4974" w:rsidP="00CB75EA">
      <w:pPr>
        <w:rPr>
          <w:sz w:val="22"/>
          <w:szCs w:val="22"/>
        </w:rPr>
      </w:pPr>
      <w:r w:rsidRPr="00726AED">
        <w:rPr>
          <w:sz w:val="22"/>
          <w:szCs w:val="22"/>
        </w:rPr>
        <w:t>Sincerely,</w:t>
      </w:r>
    </w:p>
    <w:p w:rsidR="00E0362C" w:rsidRDefault="00B67FD2" w:rsidP="00713530">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836023" cy="38616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avies electronic signature.jpg"/>
                    <pic:cNvPicPr/>
                  </pic:nvPicPr>
                  <pic:blipFill rotWithShape="1">
                    <a:blip r:embed="rId7" cstate="print">
                      <a:extLst>
                        <a:ext uri="{28A0092B-C50C-407E-A947-70E740481C1C}">
                          <a14:useLocalDpi xmlns:a14="http://schemas.microsoft.com/office/drawing/2010/main" val="0"/>
                        </a:ext>
                      </a:extLst>
                    </a:blip>
                    <a:srcRect t="11333" b="27104"/>
                    <a:stretch/>
                  </pic:blipFill>
                  <pic:spPr bwMode="auto">
                    <a:xfrm>
                      <a:off x="0" y="0"/>
                      <a:ext cx="837040" cy="386633"/>
                    </a:xfrm>
                    <a:prstGeom prst="rect">
                      <a:avLst/>
                    </a:prstGeom>
                    <a:ln>
                      <a:noFill/>
                    </a:ln>
                    <a:extLst>
                      <a:ext uri="{53640926-AAD7-44D8-BBD7-CCE9431645EC}">
                        <a14:shadowObscured xmlns:a14="http://schemas.microsoft.com/office/drawing/2010/main"/>
                      </a:ext>
                    </a:extLst>
                  </pic:spPr>
                </pic:pic>
              </a:graphicData>
            </a:graphic>
          </wp:inline>
        </w:drawing>
      </w:r>
    </w:p>
    <w:p w:rsidR="00E01A14" w:rsidRPr="00726AED" w:rsidRDefault="00B67FD2" w:rsidP="00E01A14">
      <w:pPr>
        <w:rPr>
          <w:sz w:val="22"/>
          <w:szCs w:val="22"/>
        </w:rPr>
      </w:pPr>
      <w:r w:rsidRPr="00726AED">
        <w:rPr>
          <w:sz w:val="22"/>
          <w:szCs w:val="22"/>
        </w:rPr>
        <w:t xml:space="preserve">Kurtis D. Davies </w:t>
      </w:r>
      <w:r w:rsidR="00F516B9" w:rsidRPr="00726AED">
        <w:rPr>
          <w:sz w:val="22"/>
          <w:szCs w:val="22"/>
        </w:rPr>
        <w:t>Ph</w:t>
      </w:r>
      <w:r w:rsidR="00E01A14" w:rsidRPr="00726AED">
        <w:rPr>
          <w:sz w:val="22"/>
          <w:szCs w:val="22"/>
        </w:rPr>
        <w:t>D</w:t>
      </w:r>
    </w:p>
    <w:p w:rsidR="00726AED" w:rsidRDefault="00726AED" w:rsidP="00713530">
      <w:pPr>
        <w:rPr>
          <w:sz w:val="22"/>
          <w:szCs w:val="22"/>
        </w:rPr>
      </w:pPr>
    </w:p>
    <w:p w:rsidR="00620738" w:rsidRDefault="00620738" w:rsidP="00713530">
      <w:pPr>
        <w:rPr>
          <w:sz w:val="22"/>
          <w:szCs w:val="22"/>
        </w:rPr>
      </w:pPr>
    </w:p>
    <w:p w:rsidR="00620738" w:rsidRDefault="00620738" w:rsidP="00620738">
      <w:pPr>
        <w:rPr>
          <w:rStyle w:val="Strong"/>
          <w:color w:val="0070C0"/>
        </w:rPr>
      </w:pPr>
    </w:p>
    <w:p w:rsidR="00620738" w:rsidRDefault="00620738" w:rsidP="00620738">
      <w:pPr>
        <w:rPr>
          <w:rStyle w:val="Strong"/>
          <w:color w:val="0070C0"/>
        </w:rPr>
      </w:pPr>
    </w:p>
    <w:p w:rsidR="00620738" w:rsidRDefault="00620738" w:rsidP="00620738">
      <w:pPr>
        <w:rPr>
          <w:rStyle w:val="Strong"/>
          <w:color w:val="0070C0"/>
        </w:rPr>
      </w:pPr>
    </w:p>
    <w:p w:rsidR="00620738" w:rsidRDefault="00620738" w:rsidP="00620738">
      <w:pPr>
        <w:rPr>
          <w:rStyle w:val="Strong"/>
          <w:color w:val="0070C0"/>
        </w:rPr>
      </w:pPr>
    </w:p>
    <w:p w:rsidR="00620738" w:rsidRDefault="00620738" w:rsidP="00620738">
      <w:pPr>
        <w:rPr>
          <w:rStyle w:val="Strong"/>
          <w:color w:val="0070C0"/>
        </w:rPr>
      </w:pPr>
    </w:p>
    <w:p w:rsidR="00620738" w:rsidRDefault="00620738" w:rsidP="00620738">
      <w:pPr>
        <w:rPr>
          <w:rStyle w:val="Strong"/>
          <w:color w:val="0070C0"/>
        </w:rPr>
      </w:pPr>
    </w:p>
    <w:p w:rsidR="00620738" w:rsidRDefault="00620738" w:rsidP="00620738">
      <w:pPr>
        <w:rPr>
          <w:rStyle w:val="Strong"/>
          <w:color w:val="0070C0"/>
        </w:rPr>
      </w:pPr>
    </w:p>
    <w:p w:rsidR="00620738" w:rsidRDefault="00620738" w:rsidP="00620738">
      <w:pPr>
        <w:rPr>
          <w:rStyle w:val="Strong"/>
          <w:color w:val="0070C0"/>
        </w:rPr>
      </w:pPr>
    </w:p>
    <w:p w:rsidR="00620738" w:rsidRDefault="00620738" w:rsidP="00620738">
      <w:pPr>
        <w:rPr>
          <w:rStyle w:val="Strong"/>
          <w:color w:val="0070C0"/>
        </w:rPr>
      </w:pPr>
      <w:bookmarkStart w:id="0" w:name="_GoBack"/>
      <w:bookmarkEnd w:id="0"/>
      <w:r>
        <w:rPr>
          <w:rStyle w:val="Strong"/>
          <w:color w:val="0070C0"/>
        </w:rPr>
        <w:t>Author Responses are below each individual comment in blue</w:t>
      </w:r>
    </w:p>
    <w:p w:rsidR="00620738" w:rsidRDefault="00620738" w:rsidP="00620738">
      <w:pPr>
        <w:rPr>
          <w:rStyle w:val="Strong"/>
        </w:rPr>
      </w:pPr>
    </w:p>
    <w:p w:rsidR="00620738" w:rsidRDefault="00620738" w:rsidP="00620738">
      <w:r>
        <w:rPr>
          <w:rStyle w:val="Strong"/>
        </w:rPr>
        <w:t>Editorial comments</w:t>
      </w:r>
      <w:proofErr w:type="gramStart"/>
      <w:r>
        <w:rPr>
          <w:rStyle w:val="Strong"/>
        </w:rPr>
        <w:t>:</w:t>
      </w:r>
      <w:proofErr w:type="gramEnd"/>
      <w:r>
        <w:br/>
        <w:t>Changes to be made by the Author(s):</w:t>
      </w: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rsidR="00620738" w:rsidRDefault="00620738" w:rsidP="00620738">
      <w:pPr>
        <w:rPr>
          <w:color w:val="0070C0"/>
        </w:rPr>
      </w:pPr>
      <w:r>
        <w:rPr>
          <w:color w:val="0070C0"/>
        </w:rPr>
        <w:t>The manuscript has been thoroughly proofread and is free of errors.</w:t>
      </w:r>
    </w:p>
    <w:p w:rsidR="00620738" w:rsidRDefault="00620738" w:rsidP="00620738">
      <w:r>
        <w:br/>
        <w:t>2. Please submit the figures as a vector image file to ensure high resolution throughout production: (.</w:t>
      </w:r>
      <w:proofErr w:type="spellStart"/>
      <w:r>
        <w:t>svg</w:t>
      </w:r>
      <w:proofErr w:type="spellEnd"/>
      <w:r>
        <w:t>, .eps, .ai). If submitting as a .</w:t>
      </w:r>
      <w:proofErr w:type="spellStart"/>
      <w:r>
        <w:t>tif</w:t>
      </w:r>
      <w:proofErr w:type="spellEnd"/>
      <w:r>
        <w:t xml:space="preserve"> or .</w:t>
      </w:r>
      <w:proofErr w:type="spellStart"/>
      <w:r>
        <w:t>psd</w:t>
      </w:r>
      <w:proofErr w:type="spellEnd"/>
      <w:r>
        <w:t>, please ensure that the image is 1920 pixels x 1080 pixels or 300dpi.</w:t>
      </w:r>
    </w:p>
    <w:p w:rsidR="00620738" w:rsidRDefault="00620738" w:rsidP="00620738">
      <w:pPr>
        <w:rPr>
          <w:color w:val="0070C0"/>
        </w:rPr>
      </w:pPr>
      <w:r>
        <w:rPr>
          <w:color w:val="0070C0"/>
        </w:rPr>
        <w:t>All figures have been converted to .</w:t>
      </w:r>
      <w:proofErr w:type="spellStart"/>
      <w:r>
        <w:rPr>
          <w:color w:val="0070C0"/>
        </w:rPr>
        <w:t>tif</w:t>
      </w:r>
      <w:proofErr w:type="spellEnd"/>
      <w:r>
        <w:rPr>
          <w:color w:val="0070C0"/>
        </w:rPr>
        <w:t xml:space="preserve"> format.  The Representative Result figures are screenshots (there is no alternative for this) and current resolution is, from our perspective, the best that can be achieved.</w:t>
      </w:r>
    </w:p>
    <w:p w:rsidR="00620738" w:rsidRDefault="00620738" w:rsidP="00620738">
      <w:r>
        <w:br/>
        <w:t>3. Please sort the Materials Table alphabetically by the name of the material.</w:t>
      </w:r>
    </w:p>
    <w:p w:rsidR="00620738" w:rsidRDefault="00620738" w:rsidP="00620738">
      <w:pPr>
        <w:rPr>
          <w:color w:val="0070C0"/>
        </w:rPr>
      </w:pPr>
      <w:r>
        <w:rPr>
          <w:color w:val="0070C0"/>
        </w:rPr>
        <w:t>The Table has been sorted</w:t>
      </w:r>
    </w:p>
    <w:p w:rsidR="00620738" w:rsidRDefault="00620738" w:rsidP="00620738">
      <w:r>
        <w:br/>
      </w:r>
      <w:proofErr w:type="gramStart"/>
      <w:r>
        <w:t xml:space="preserve">4. </w:t>
      </w:r>
      <w:proofErr w:type="spellStart"/>
      <w:r>
        <w:t>JoVE</w:t>
      </w:r>
      <w:proofErr w:type="spellEnd"/>
      <w:proofErr w:type="gram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br/>
        <w:t xml:space="preserve">For example: ArcherDX FusionPlex Solids Tumor Kit, SeraCare, Qubit, iTaq, </w:t>
      </w:r>
      <w:proofErr w:type="spellStart"/>
      <w:r>
        <w:t>MicroAmp</w:t>
      </w:r>
      <w:proofErr w:type="spellEnd"/>
      <w:r>
        <w:t>, AMPure, Illumina, etc.</w:t>
      </w:r>
    </w:p>
    <w:p w:rsidR="00620738" w:rsidRDefault="00620738" w:rsidP="00620738">
      <w:pPr>
        <w:rPr>
          <w:color w:val="0070C0"/>
        </w:rPr>
      </w:pPr>
      <w:r>
        <w:rPr>
          <w:color w:val="0070C0"/>
        </w:rPr>
        <w:t xml:space="preserve">All commercial language has been removed from the manuscript body except for 2 instances where it was absolutely critical to name the vendor (in cases where description would not have been coherent without direct reference). </w:t>
      </w:r>
    </w:p>
    <w:p w:rsidR="00620738" w:rsidRDefault="00620738" w:rsidP="00620738">
      <w:r>
        <w:br/>
        <w:t>5. Please remove the embedded Table from the manuscript. All tables should be uploaded separately to your Editorial Manager account in the form of an .</w:t>
      </w:r>
      <w:proofErr w:type="spellStart"/>
      <w:r>
        <w:t>xls</w:t>
      </w:r>
      <w:proofErr w:type="spellEnd"/>
      <w:r>
        <w:t xml:space="preserve"> or .</w:t>
      </w:r>
      <w:proofErr w:type="spellStart"/>
      <w:r>
        <w:t>xlsx</w:t>
      </w:r>
      <w:proofErr w:type="spellEnd"/>
      <w:r>
        <w:t xml:space="preserve"> file. Each table must be accompanied by a title and a description after the Representative Results of the manuscript text.</w:t>
      </w:r>
    </w:p>
    <w:p w:rsidR="00620738" w:rsidRDefault="00620738" w:rsidP="00620738">
      <w:pPr>
        <w:rPr>
          <w:color w:val="0070C0"/>
        </w:rPr>
      </w:pPr>
      <w:r>
        <w:rPr>
          <w:color w:val="0070C0"/>
        </w:rPr>
        <w:t>The embedded tables have been converted to lines of text.</w:t>
      </w:r>
    </w:p>
    <w:p w:rsidR="00620738" w:rsidRDefault="00620738" w:rsidP="00620738">
      <w:r>
        <w:br/>
        <w:t xml:space="preserve">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w:t>
      </w:r>
    </w:p>
    <w:p w:rsidR="00620738" w:rsidRDefault="00620738" w:rsidP="00620738">
      <w:pPr>
        <w:rPr>
          <w:color w:val="0070C0"/>
        </w:rPr>
      </w:pPr>
      <w:r>
        <w:rPr>
          <w:color w:val="0070C0"/>
        </w:rPr>
        <w:t>Several sentences have been changed to reflect an imperative tense.</w:t>
      </w:r>
    </w:p>
    <w:p w:rsidR="00620738" w:rsidRDefault="00620738" w:rsidP="00620738"/>
    <w:p w:rsidR="00620738" w:rsidRDefault="00620738" w:rsidP="00620738">
      <w:r>
        <w:t>Please include all safety procedures and use of hoods, etc.</w:t>
      </w:r>
    </w:p>
    <w:p w:rsidR="00620738" w:rsidRDefault="00620738" w:rsidP="00620738">
      <w:pPr>
        <w:rPr>
          <w:color w:val="0070C0"/>
        </w:rPr>
      </w:pPr>
      <w:r>
        <w:rPr>
          <w:color w:val="0070C0"/>
        </w:rPr>
        <w:t>There are no safety procedures beyond standard laboratory practice (personal protective equipment etc.).  Hoods are not used for the assay.</w:t>
      </w:r>
    </w:p>
    <w:p w:rsidR="00620738" w:rsidRDefault="00620738" w:rsidP="00620738"/>
    <w:p w:rsidR="00620738" w:rsidRDefault="00620738" w:rsidP="00620738">
      <w:r>
        <w:lastRenderedPageBreak/>
        <w:t>7. The Protocol should contain only action items that direct the reader to do something. Please move the discussion about the protocol to the Discussion.</w:t>
      </w:r>
    </w:p>
    <w:p w:rsidR="00620738" w:rsidRDefault="00620738" w:rsidP="00620738">
      <w:pPr>
        <w:rPr>
          <w:color w:val="0070C0"/>
        </w:rPr>
      </w:pPr>
      <w:r>
        <w:rPr>
          <w:color w:val="0070C0"/>
        </w:rPr>
        <w:t>Description of the wet-bench steps is free of any discussion.  Some data analysis steps contain descriptive explanations, but we strongly feel that this is necessary to support the action items that direct decision making.  Without these descriptions, the action items will seem largely arbitrary.</w:t>
      </w:r>
    </w:p>
    <w:p w:rsidR="00620738" w:rsidRDefault="00620738" w:rsidP="00620738">
      <w:r>
        <w:br/>
        <w:t>8. There is a 10 page limit for the Protocol, but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620738" w:rsidRDefault="00620738" w:rsidP="00620738">
      <w:pPr>
        <w:rPr>
          <w:color w:val="0070C0"/>
        </w:rPr>
      </w:pPr>
      <w:r>
        <w:rPr>
          <w:color w:val="0070C0"/>
        </w:rPr>
        <w:t>The sections we would like as filmable content have been highlighted (approximately 2.75 pages).</w:t>
      </w:r>
    </w:p>
    <w:p w:rsidR="00620738" w:rsidRDefault="00620738" w:rsidP="00620738">
      <w:r>
        <w:br/>
        <w:t>9.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rsidR="00620738" w:rsidRDefault="00620738" w:rsidP="00620738">
      <w:pPr>
        <w:rPr>
          <w:color w:val="0070C0"/>
        </w:rPr>
      </w:pPr>
      <w:r>
        <w:rPr>
          <w:color w:val="0070C0"/>
        </w:rPr>
        <w:t>We have ensured that the highlighted section conforms to the above.</w:t>
      </w:r>
    </w:p>
    <w:p w:rsidR="00620738" w:rsidRDefault="00620738" w:rsidP="00620738">
      <w:r>
        <w:br/>
        <w:t>10.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rsidR="00620738" w:rsidRDefault="00620738" w:rsidP="00620738">
      <w:pPr>
        <w:rPr>
          <w:color w:val="0070C0"/>
        </w:rPr>
      </w:pPr>
      <w:r>
        <w:rPr>
          <w:color w:val="0070C0"/>
        </w:rPr>
        <w:t>The previously included figure legends for the Representative Results have been converted into a single paragraph of text explaining all three figures.</w:t>
      </w:r>
    </w:p>
    <w:p w:rsidR="00620738" w:rsidRDefault="00620738" w:rsidP="00620738">
      <w:r>
        <w:br/>
        <w:t>11. Please discuss all figures in the Representative Results. However for figures showing the experimental set-up, please reference them in the Protocol.</w:t>
      </w:r>
    </w:p>
    <w:p w:rsidR="00620738" w:rsidRDefault="00620738" w:rsidP="00620738">
      <w:pPr>
        <w:rPr>
          <w:color w:val="0070C0"/>
        </w:rPr>
      </w:pPr>
      <w:r>
        <w:rPr>
          <w:color w:val="0070C0"/>
        </w:rPr>
        <w:t>These figures are discussed separately in the manuscript.</w:t>
      </w:r>
    </w:p>
    <w:p w:rsidR="00620738" w:rsidRDefault="00620738" w:rsidP="00620738">
      <w:r>
        <w:br/>
        <w:t>12. As we are a methods journal, please revise the Discussion to explicitly cover the following in detail in 3-6 paragraphs with citations:</w:t>
      </w:r>
      <w:r>
        <w:br/>
        <w:t>a) Critical steps within the protocol</w:t>
      </w:r>
      <w:r>
        <w:br/>
        <w:t>b) Any modifications and troubleshooting of the technique</w:t>
      </w:r>
      <w:r>
        <w:br/>
        <w:t>c) Any limitations of the technique</w:t>
      </w:r>
      <w:r>
        <w:br/>
        <w:t>d) The significance with respect to existing methods</w:t>
      </w:r>
      <w:r>
        <w:br/>
        <w:t>e) Any future applications of the technique</w:t>
      </w:r>
    </w:p>
    <w:p w:rsidR="00620738" w:rsidRDefault="00620738" w:rsidP="00620738">
      <w:pPr>
        <w:rPr>
          <w:color w:val="0070C0"/>
        </w:rPr>
      </w:pPr>
      <w:r>
        <w:rPr>
          <w:color w:val="0070C0"/>
        </w:rPr>
        <w:t>The Discussion has been completely re-written to reflect the above guidelines.</w:t>
      </w:r>
    </w:p>
    <w:p w:rsidR="00620738" w:rsidRDefault="00620738" w:rsidP="00620738">
      <w:r>
        <w:br/>
        <w:t>13. Please do not abbreviate journal titles.</w:t>
      </w:r>
      <w:r>
        <w:br/>
      </w:r>
      <w:r>
        <w:rPr>
          <w:color w:val="0070C0"/>
        </w:rPr>
        <w:t>The reference list has been fixed to include full journal titles.</w:t>
      </w:r>
      <w:r>
        <w:br/>
      </w:r>
      <w:r>
        <w:br/>
      </w:r>
      <w:r>
        <w:br/>
      </w:r>
      <w:r>
        <w:rPr>
          <w:rStyle w:val="Strong"/>
        </w:rPr>
        <w:t>Reviewers' comments</w:t>
      </w:r>
      <w:proofErr w:type="gramStart"/>
      <w:r>
        <w:rPr>
          <w:rStyle w:val="Strong"/>
        </w:rPr>
        <w:t>:</w:t>
      </w:r>
      <w:proofErr w:type="gramEnd"/>
      <w:r>
        <w:br/>
        <w:t>Reviewer #1:</w:t>
      </w:r>
      <w:r>
        <w:br/>
      </w:r>
      <w:r>
        <w:br/>
        <w:t>Manuscript Summary:</w:t>
      </w:r>
      <w:r>
        <w:br/>
      </w:r>
      <w:r>
        <w:lastRenderedPageBreak/>
        <w:t>The manuscript by Seager and coworkers describes a method for detecting gene rearrangements or exon skipping events by RNA sequencing. The authors make an excellent case for use of the method, originally described by Zheng et al., and commercialized by ArcherDx. However, it would be nice to see a bit more introduction on the limitations of RNA sequencing and a clear case for the ArcherDx method over competing hybrid capture RNA sequencing methods. Overall the method is described in sufficient detail to allow other laboratories to carry out the procedure. I have several comments and suggestions that would make the procedure more clear. In addition, I believe that some description of the care needed when handling RNA is needed as are the proper precautions needed to prevent PCR amplicon contamination of workspaces.</w:t>
      </w:r>
    </w:p>
    <w:p w:rsidR="00620738" w:rsidRDefault="00620738" w:rsidP="00620738"/>
    <w:p w:rsidR="00620738" w:rsidRDefault="00620738" w:rsidP="00620738">
      <w:r>
        <w:rPr>
          <w:color w:val="0070C0"/>
        </w:rPr>
        <w:t>We thank the Reviewer for the thorough evaluation of the manuscript.  As stated below, we do not believe that the AMP/ArcherDx approach is inherently better than hybrid-capture, it just happens to be the assay we use.  Therefore, we do not feel comfortable making an argument that it is better.  We have, however, stated general advantages of amplicon vs. hybrid capture and vice versa in the revised manuscript.  Other concerns are addressed individually below.  We feel that prevention of PCR amplicon contamination is more in the realm of general good laboratory practice, and we are not able to fully address it in this manuscript due to word limits.</w:t>
      </w:r>
      <w:r>
        <w:br/>
      </w:r>
      <w:r>
        <w:br/>
        <w:t>Major Concerns: None</w:t>
      </w:r>
      <w:r>
        <w:br/>
      </w:r>
      <w:r>
        <w:br/>
        <w:t>Minor Concerns</w:t>
      </w:r>
      <w:proofErr w:type="gramStart"/>
      <w:r>
        <w:t>:</w:t>
      </w:r>
      <w:proofErr w:type="gramEnd"/>
      <w:r>
        <w:br/>
      </w:r>
      <w:r>
        <w:br/>
        <w:t>Introduction</w:t>
      </w:r>
      <w:r>
        <w:br/>
        <w:t>1. The introduction should be better referenced. A large number of statements are not backed-up by literature references. Good examples are lines 64-67, 46-49.</w:t>
      </w:r>
    </w:p>
    <w:p w:rsidR="00620738" w:rsidRDefault="00620738" w:rsidP="00620738">
      <w:pPr>
        <w:rPr>
          <w:color w:val="0070C0"/>
        </w:rPr>
      </w:pPr>
      <w:r>
        <w:rPr>
          <w:color w:val="0070C0"/>
        </w:rPr>
        <w:t>We have added references to support the above referred to statements as well as other statements.</w:t>
      </w:r>
    </w:p>
    <w:p w:rsidR="00620738" w:rsidRDefault="00620738" w:rsidP="00620738">
      <w:r>
        <w:br/>
        <w:t xml:space="preserve">2. The authors point out hybrid capture methods and note that they have pros and cons (lines 81-83). The pros and cons should be listed for the reason that there </w:t>
      </w:r>
      <w:proofErr w:type="gramStart"/>
      <w:r>
        <w:t>are</w:t>
      </w:r>
      <w:proofErr w:type="gramEnd"/>
      <w:r>
        <w:t xml:space="preserve"> quite successful RNA sequencing library prep methods that make use of hybrid capture. In addition, like the AMP method, they are agnostic of the non-oncogenic fusion partner. Is AMP better and why?</w:t>
      </w:r>
    </w:p>
    <w:p w:rsidR="00620738" w:rsidRDefault="00620738" w:rsidP="00620738">
      <w:pPr>
        <w:rPr>
          <w:color w:val="0070C0"/>
        </w:rPr>
      </w:pPr>
      <w:r>
        <w:rPr>
          <w:color w:val="0070C0"/>
        </w:rPr>
        <w:t>We have added commentary (along with references) in the Introduction that compares amplicon vs. hybrid capture target enrichment.  We do not think that AMP is necessarily better than hybrid capture and therefore are not going to make this argument (it just happens to be the assay that we use).</w:t>
      </w:r>
    </w:p>
    <w:p w:rsidR="00620738" w:rsidRDefault="00620738" w:rsidP="00620738"/>
    <w:p w:rsidR="00620738" w:rsidRDefault="00620738" w:rsidP="00620738">
      <w:r>
        <w:br/>
        <w:t>3. The description of AMP at the end of the introduction would be greatly aided by a diagram of the method - it's difficult to follow otherwise.</w:t>
      </w:r>
    </w:p>
    <w:p w:rsidR="00620738" w:rsidRDefault="00620738" w:rsidP="00620738">
      <w:r>
        <w:rPr>
          <w:color w:val="0070C0"/>
        </w:rPr>
        <w:t>A Figure schematically depicting the primary advantage of the AMP approach has been included in the revised version (Figure 1).</w:t>
      </w:r>
      <w:r>
        <w:br/>
      </w:r>
      <w:r>
        <w:br/>
      </w:r>
      <w:proofErr w:type="gramStart"/>
      <w:r>
        <w:t>Protocol</w:t>
      </w:r>
      <w:r>
        <w:br/>
        <w:t>1.</w:t>
      </w:r>
      <w:proofErr w:type="gramEnd"/>
      <w:r>
        <w:t xml:space="preserve"> No mention is made of the precautions required to maintain RNA integrity during handling. One or two sentences outlining the general precautions used would be helpful.</w:t>
      </w:r>
    </w:p>
    <w:p w:rsidR="00620738" w:rsidRDefault="00620738" w:rsidP="00620738">
      <w:pPr>
        <w:rPr>
          <w:color w:val="0070C0"/>
        </w:rPr>
      </w:pPr>
      <w:r>
        <w:rPr>
          <w:color w:val="0070C0"/>
        </w:rPr>
        <w:t>We have added a section on prevention of RNA degradation (1.1.4.)</w:t>
      </w:r>
    </w:p>
    <w:p w:rsidR="00620738" w:rsidRDefault="00620738" w:rsidP="00620738">
      <w:r>
        <w:lastRenderedPageBreak/>
        <w:br/>
        <w:t>2. Similarly, no mention is made of the unidirectional workflow that is typically employed using sequencing library prep methods that employ PCR steps. This would give the authors an opportunity to describe the use of molecular barcodes in the Archer procedure and why it's important that they are incorporated prior to PCR amplification.</w:t>
      </w:r>
    </w:p>
    <w:p w:rsidR="00620738" w:rsidRDefault="00620738" w:rsidP="00620738">
      <w:pPr>
        <w:rPr>
          <w:color w:val="0070C0"/>
        </w:rPr>
      </w:pPr>
      <w:r>
        <w:rPr>
          <w:color w:val="0070C0"/>
        </w:rPr>
        <w:t>We agree that the molecular barcode incorporation (and corresponding de-duplication process during analysis steps) is an advantage of the ArcherDx assay.  However, as this concept is quite complicated (thus requiring significant and “wordy” explanation) and not specifically relevant to instructing users how to perform the assay, we feel it is beyond the scope of the manuscript and would likely put it over word limits.</w:t>
      </w:r>
    </w:p>
    <w:p w:rsidR="00620738" w:rsidRDefault="00620738" w:rsidP="00620738">
      <w:r>
        <w:br/>
        <w:t>3. It should be noted where a headed lid is required for thermocycler steps.</w:t>
      </w:r>
    </w:p>
    <w:p w:rsidR="00620738" w:rsidRDefault="00620738" w:rsidP="00620738">
      <w:pPr>
        <w:rPr>
          <w:color w:val="0070C0"/>
        </w:rPr>
      </w:pPr>
      <w:r>
        <w:rPr>
          <w:color w:val="0070C0"/>
        </w:rPr>
        <w:t>We have updated description of steps that require thermocycler incubation with whether or not a heated lid is used.</w:t>
      </w:r>
    </w:p>
    <w:p w:rsidR="00620738" w:rsidRDefault="00620738" w:rsidP="00620738">
      <w:r>
        <w:br/>
        <w:t>4. 1.5 Pre-Seq QC. What is the corrective action if the NTC repeatedly has a Ct value? Is the entire batch restarted?</w:t>
      </w:r>
    </w:p>
    <w:p w:rsidR="00620738" w:rsidRDefault="00620738" w:rsidP="00620738">
      <w:pPr>
        <w:rPr>
          <w:color w:val="0070C0"/>
        </w:rPr>
      </w:pPr>
      <w:r>
        <w:rPr>
          <w:color w:val="0070C0"/>
        </w:rPr>
        <w:t>Yes, if the NTC demonstrates a Ct value the entire assay must be restarted.  This has now been stated in section 1.5.4.</w:t>
      </w:r>
    </w:p>
    <w:p w:rsidR="00620738" w:rsidRDefault="00620738" w:rsidP="00620738">
      <w:r>
        <w:br/>
        <w:t>5. The exact Alpaqua magnet used should be specified, is it the Grade N34 or Grade N48 magnet. The magnet strength can impact the clearing rate of the magnetic beads.</w:t>
      </w:r>
    </w:p>
    <w:p w:rsidR="00620738" w:rsidRDefault="00620738" w:rsidP="00620738">
      <w:pPr>
        <w:rPr>
          <w:color w:val="0070C0"/>
        </w:rPr>
      </w:pPr>
      <w:r>
        <w:rPr>
          <w:color w:val="0070C0"/>
        </w:rPr>
        <w:t>The magnet plate used is N38 grade.  The materials table has been updated accordingly.</w:t>
      </w:r>
    </w:p>
    <w:p w:rsidR="00620738" w:rsidRDefault="00620738" w:rsidP="00620738">
      <w:r>
        <w:br/>
        <w:t xml:space="preserve">6. 1.8.1 </w:t>
      </w:r>
      <w:proofErr w:type="gramStart"/>
      <w:r>
        <w:t>It</w:t>
      </w:r>
      <w:proofErr w:type="gramEnd"/>
      <w:r>
        <w:t xml:space="preserve"> should be noted that it's critical to record in the analysis bench sheet the identity of the MBC ligated to each sample. In addition, in Section 1.10 the 2nd PCR tube used for each sample should be recorded in the analysis bench sheet. This critical information in needed to input the correct barcodes into the Illumina MiSeq sample sheet.</w:t>
      </w:r>
    </w:p>
    <w:p w:rsidR="00620738" w:rsidRDefault="00620738" w:rsidP="00620738">
      <w:pPr>
        <w:rPr>
          <w:color w:val="0070C0"/>
        </w:rPr>
      </w:pPr>
      <w:r>
        <w:rPr>
          <w:color w:val="0070C0"/>
        </w:rPr>
        <w:t>Both sections have been updated to state that sample-specific indexes must be tracked for sequencing purposes.</w:t>
      </w:r>
    </w:p>
    <w:p w:rsidR="00620738" w:rsidRDefault="00620738" w:rsidP="00620738">
      <w:r>
        <w:br/>
        <w:t xml:space="preserve">7. 1.12.1 Here the authors indicate that a paired-end 300 </w:t>
      </w:r>
      <w:proofErr w:type="spellStart"/>
      <w:r>
        <w:t>bp</w:t>
      </w:r>
      <w:proofErr w:type="spellEnd"/>
      <w:r>
        <w:t xml:space="preserve"> MiSeq configuration is used to sequence, but later (line 165) they mention 2x151 sequencing. Why not use a MiSeq V2 300 cycle kit (paired-end 150 </w:t>
      </w:r>
      <w:proofErr w:type="spellStart"/>
      <w:r>
        <w:t>bp</w:t>
      </w:r>
      <w:proofErr w:type="spellEnd"/>
      <w:r>
        <w:t xml:space="preserve"> sequencing)? The V2 300 kit has enough cycles to cover the 2x151 reads 1 and 2 plus 2x8 indexes.</w:t>
      </w:r>
    </w:p>
    <w:p w:rsidR="00620738" w:rsidRDefault="00620738" w:rsidP="00620738">
      <w:r>
        <w:rPr>
          <w:color w:val="0070C0"/>
        </w:rPr>
        <w:t>The v3 kit (which does not come in a 300 cycle configuration) is necessary to achieve the total fragments per sequencing run necessary for our throughput of up to 8 samples per run.  If we used v2, the number of libraries per sequencing run would need to be reduced significantly (likely to 4-5) and result in less efficient sequencing.</w:t>
      </w:r>
      <w:r>
        <w:br/>
      </w:r>
      <w:r>
        <w:br/>
      </w:r>
      <w:proofErr w:type="gramStart"/>
      <w:r>
        <w:t>Data Analysis</w:t>
      </w:r>
      <w:r>
        <w:br/>
        <w:t>1.</w:t>
      </w:r>
      <w:proofErr w:type="gramEnd"/>
      <w:r>
        <w:t xml:space="preserve"> 2.1.2 (line 376) 945-1800 K is not what Illumina recommends for this flow cell (</w:t>
      </w:r>
      <w:hyperlink r:id="rId8" w:history="1">
        <w:r>
          <w:rPr>
            <w:rStyle w:val="Hyperlink"/>
          </w:rPr>
          <w:t>https://support.illumina.com/bulletins/2016/10/cluster-density-guidelines-for-illumina-sequencing-platforms-.html</w:t>
        </w:r>
      </w:hyperlink>
      <w:r>
        <w:t xml:space="preserve">). 1400K is the high end of Illumina's recommendations. If the authors run the instrument at 1800K clusters/mm2 I expect that they fall short of the Q30 and cluster Pass filter targets. I recommend that the authors stick with Illumina's recommendations for this flow cell. Their sequencing </w:t>
      </w:r>
      <w:r>
        <w:lastRenderedPageBreak/>
        <w:t>metrics objectives are in-line with good practice (lines 377-381), but probably would not be met at 1800K clusters/mm2.</w:t>
      </w:r>
    </w:p>
    <w:p w:rsidR="00620738" w:rsidRDefault="00620738" w:rsidP="00620738">
      <w:r>
        <w:rPr>
          <w:color w:val="0070C0"/>
        </w:rPr>
        <w:t>We agree that this is a deviation from Illumina’s recommendations, but in our experience we can cluster at up to 1800K and still pass our other metrics (including Q30 and Pass Filter).  It is only when cluster density rises above 1800K that we see negative effects on other metrics.</w:t>
      </w:r>
    </w:p>
    <w:p w:rsidR="00620738" w:rsidRDefault="00620738" w:rsidP="00620738">
      <w:r>
        <w:br/>
        <w:t xml:space="preserve">2. 2.1.3 </w:t>
      </w:r>
      <w:proofErr w:type="gramStart"/>
      <w:r>
        <w:t>The</w:t>
      </w:r>
      <w:proofErr w:type="gramEnd"/>
      <w:r>
        <w:t xml:space="preserve"> % for the PhiX spike-in is 5%, not 3.5% (Library pool = 13.5 pM, PhiX = 0.5 pM).</w:t>
      </w:r>
    </w:p>
    <w:p w:rsidR="00620738" w:rsidRDefault="00620738" w:rsidP="00620738">
      <w:pPr>
        <w:rPr>
          <w:color w:val="0070C0"/>
        </w:rPr>
      </w:pPr>
      <w:r>
        <w:rPr>
          <w:color w:val="0070C0"/>
        </w:rPr>
        <w:t xml:space="preserve">The mixing to achieve an average 5% PhiX alignment is largely empiric and not based on absolute calculated concentration.  </w:t>
      </w:r>
      <w:proofErr w:type="gramStart"/>
      <w:r>
        <w:rPr>
          <w:color w:val="0070C0"/>
        </w:rPr>
        <w:t>Section 2.1.3.</w:t>
      </w:r>
      <w:proofErr w:type="gramEnd"/>
      <w:r>
        <w:rPr>
          <w:color w:val="0070C0"/>
        </w:rPr>
        <w:t xml:space="preserve"> </w:t>
      </w:r>
      <w:proofErr w:type="gramStart"/>
      <w:r>
        <w:rPr>
          <w:color w:val="0070C0"/>
        </w:rPr>
        <w:t>has</w:t>
      </w:r>
      <w:proofErr w:type="gramEnd"/>
      <w:r>
        <w:rPr>
          <w:color w:val="0070C0"/>
        </w:rPr>
        <w:t xml:space="preserve"> been changed to state approximately 5%.</w:t>
      </w:r>
    </w:p>
    <w:p w:rsidR="00620738" w:rsidRDefault="00620738" w:rsidP="00620738">
      <w:pPr>
        <w:rPr>
          <w:color w:val="0070C0"/>
        </w:rPr>
      </w:pPr>
      <w:r>
        <w:br/>
        <w:t>3. The authors need to explain the rationale for running the positive control at such a limiting input amount, 25 ng compared with 200 ng for clinical samples? The low input obviously handicaps the analysis with respect to the exon34 ROS1 fusion and MET exon skipping detection.</w:t>
      </w:r>
      <w:r>
        <w:br/>
      </w:r>
      <w:r>
        <w:rPr>
          <w:color w:val="0070C0"/>
        </w:rPr>
        <w:t xml:space="preserve">This is largely an economical decision (the reference material we use for the positive control is quite expensive).  We agree with the reviewer that the ROS1 and MET events would be better detected at higher </w:t>
      </w:r>
      <w:proofErr w:type="gramStart"/>
      <w:r>
        <w:rPr>
          <w:color w:val="0070C0"/>
        </w:rPr>
        <w:t>input,</w:t>
      </w:r>
      <w:proofErr w:type="gramEnd"/>
      <w:r>
        <w:rPr>
          <w:color w:val="0070C0"/>
        </w:rPr>
        <w:t xml:space="preserve"> however we are tracking several other fusions that we deem sufficient for this purpose.  Another consideration is low-level barcode contamination that the manufacturer has warned us about and that we have seen on one occasion.  Because of this, we don’t want fusion supporting reads to be too high for the other fusions in the reference material as this may cause barcode contamination-mediated false positive results in clinical samples. By using a lower input, none of the fusions in the positive control reaches a level to be concerning.</w:t>
      </w:r>
    </w:p>
    <w:p w:rsidR="00620738" w:rsidRDefault="00620738" w:rsidP="00620738">
      <w:pPr>
        <w:rPr>
          <w:color w:val="0070C0"/>
        </w:rPr>
      </w:pPr>
    </w:p>
    <w:p w:rsidR="00620738" w:rsidRDefault="00620738" w:rsidP="00620738">
      <w:pPr>
        <w:rPr>
          <w:color w:val="0070C0"/>
        </w:rPr>
      </w:pPr>
      <w:r>
        <w:rPr>
          <w:color w:val="0070C0"/>
        </w:rPr>
        <w:t>Regardless, since the journal prohibits commercial language, we have adjusted positive control description in the revised version to be generic.  Thus, description of this specific product (input amount etc.) has been omitted.</w:t>
      </w:r>
      <w:r>
        <w:br/>
      </w:r>
      <w:r>
        <w:br/>
      </w:r>
      <w:r>
        <w:br/>
        <w:t>Reviewer #2</w:t>
      </w:r>
      <w:proofErr w:type="gramStart"/>
      <w:r>
        <w:t>:</w:t>
      </w:r>
      <w:proofErr w:type="gramEnd"/>
      <w:r>
        <w:br/>
      </w:r>
      <w:r>
        <w:br/>
        <w:t>Manuscript Summary:</w:t>
      </w:r>
      <w:r>
        <w:br/>
        <w:t>The manuscript by Seager et al. is a thorough and succinct explanation of gene rearrangement detection using anchored multiplex PCR (Archer, Inc) and NGS. All the necessary wet bench steps are appropriately described with detailed parameters for acceptability. Lines 299-301 appear to be a duplication of lines 296-298 and should be deleted or if necessary revised to make clear why the step is repeated. The data analysis steps are explained well. The quality control steps and results interpretations are consistent with the manufacturer guidelines and the general standards accepted by laboratories performing this method for clinical testing.</w:t>
      </w:r>
    </w:p>
    <w:p w:rsidR="00620738" w:rsidRDefault="00620738" w:rsidP="00620738">
      <w:r>
        <w:rPr>
          <w:color w:val="0070C0"/>
        </w:rPr>
        <w:t>We thank the reviewer for the thorough evaluation of the manuscript.  Yes there was an indeed an erroneous duplication.  This has been removed in the revised version.</w:t>
      </w:r>
      <w:r>
        <w:br/>
      </w:r>
      <w:r>
        <w:br/>
        <w:t>Major Concerns</w:t>
      </w:r>
      <w:proofErr w:type="gramStart"/>
      <w:r>
        <w:t>:</w:t>
      </w:r>
      <w:proofErr w:type="gramEnd"/>
      <w:r>
        <w:br/>
        <w:t>The quality of the three figures is poor in the PDF version. Higher resolution images should be provided as deemed appropriate by the editor.</w:t>
      </w:r>
    </w:p>
    <w:p w:rsidR="00620738" w:rsidRDefault="00620738" w:rsidP="00620738">
      <w:r>
        <w:rPr>
          <w:color w:val="0070C0"/>
        </w:rPr>
        <w:t>This has been addressed in the revised version.</w:t>
      </w:r>
      <w:r>
        <w:br/>
      </w:r>
      <w:r>
        <w:br/>
        <w:t>Minor Concerns</w:t>
      </w:r>
      <w:proofErr w:type="gramStart"/>
      <w:r>
        <w:t>:</w:t>
      </w:r>
      <w:proofErr w:type="gramEnd"/>
      <w:r>
        <w:br/>
      </w:r>
      <w:r>
        <w:lastRenderedPageBreak/>
        <w:t>It would be helpful to include the list of the gene targets in the Solid Tumor FusionPlex kit.</w:t>
      </w:r>
      <w:r>
        <w:br/>
      </w:r>
      <w:r>
        <w:rPr>
          <w:color w:val="0070C0"/>
        </w:rPr>
        <w:t>This has been added as Supplementary Table 1.</w:t>
      </w:r>
      <w:r>
        <w:br/>
      </w:r>
      <w:r>
        <w:br/>
      </w:r>
      <w:r>
        <w:br/>
        <w:t>Reviewer #3</w:t>
      </w:r>
      <w:proofErr w:type="gramStart"/>
      <w:r>
        <w:t>:</w:t>
      </w:r>
      <w:proofErr w:type="gramEnd"/>
      <w:r>
        <w:br/>
      </w:r>
      <w:r>
        <w:br/>
        <w:t>Manuscript Summary:</w:t>
      </w:r>
      <w:r>
        <w:br/>
        <w:t>The authors present a detailed protocol of the Archer FusionPlex Solid Tumor Panel, a system based on the Anchored Multiplex Technology published by Zheng et al (Nature medicine, 2014). They discuss critical steps in the protocol and QC steps. Data Analysis and Interpretation using the ArcherDx Analysis Software are discussed and examples of true positive and false positive gene fusions are shown.</w:t>
      </w:r>
      <w:r>
        <w:br/>
      </w:r>
      <w:r>
        <w:rPr>
          <w:color w:val="0070C0"/>
        </w:rPr>
        <w:t>We thank the reviewer for the thorough evaluation of the manuscript.</w:t>
      </w:r>
    </w:p>
    <w:p w:rsidR="00620738" w:rsidRDefault="00620738" w:rsidP="00620738"/>
    <w:p w:rsidR="00620738" w:rsidRDefault="00620738" w:rsidP="00620738">
      <w:r>
        <w:br/>
        <w:t>Major Concerns</w:t>
      </w:r>
      <w:proofErr w:type="gramStart"/>
      <w:r>
        <w:t>:</w:t>
      </w:r>
      <w:proofErr w:type="gramEnd"/>
      <w:r>
        <w:br/>
        <w:t>No Major concerns</w:t>
      </w:r>
      <w:r>
        <w:br/>
      </w:r>
      <w:r>
        <w:br/>
        <w:t>Minor Concerns:</w:t>
      </w:r>
      <w:r>
        <w:br/>
      </w:r>
      <w:r>
        <w:br/>
        <w:t xml:space="preserve">- the PreSeq QC is not only a measure for contamination, but also provides a quality metrics which is useful to determine whether an FFPE-derived RNA is useful for the analysis. It would be helpful for the Reader who wants to </w:t>
      </w:r>
      <w:proofErr w:type="spellStart"/>
      <w:r>
        <w:t>estabish</w:t>
      </w:r>
      <w:proofErr w:type="spellEnd"/>
      <w:r>
        <w:t xml:space="preserve"> the protocol in their own lab, if the authors could provide a table showing samples with different Ct values and the final QC metrics after sequencing.</w:t>
      </w:r>
    </w:p>
    <w:p w:rsidR="00620738" w:rsidRDefault="00620738" w:rsidP="00620738">
      <w:r>
        <w:rPr>
          <w:color w:val="0070C0"/>
        </w:rPr>
        <w:t xml:space="preserve">We agree that the PreSeq QC assay provides a quality metric useful in determining RNA quality.  However, since the assay is performed </w:t>
      </w:r>
      <w:r>
        <w:rPr>
          <w:color w:val="0070C0"/>
          <w:u w:val="single"/>
        </w:rPr>
        <w:t>after</w:t>
      </w:r>
      <w:r>
        <w:rPr>
          <w:color w:val="0070C0"/>
        </w:rPr>
        <w:t xml:space="preserve"> cDNA synthesis, the user is already ‘committed’ in that the prescribed input has already been used.  Therefore, it is not useful for determining which samples should not be submitted to the assay.  In terms of assessing RNA quality for post-sequencing analysis, we believe that the Start Site per GSP2 for Control Genes is the superior metric (and in fact we have seen, albeit rarely, instances where a poor PreSeq value is then followed by an acceptable SS/GSP2 value). However, as is stated in section 1.5.1., the PreSeq score also has value in troubleshooting in cases of poor post-sequencing metrics (i.e. if a sample with good PreSeq score produces poor sequencing metrics, then this may be an indication of a problem in the assay run).  We have included a new figure (Fig 2) that demonstrates the correlation between PreSeq QC score and the post-sequencing SS/GSP2 QC metric.</w:t>
      </w:r>
    </w:p>
    <w:p w:rsidR="00620738" w:rsidRDefault="00620738" w:rsidP="00620738">
      <w:r>
        <w:br/>
        <w:t xml:space="preserve">- </w:t>
      </w:r>
      <w:proofErr w:type="gramStart"/>
      <w:r>
        <w:t>some</w:t>
      </w:r>
      <w:proofErr w:type="gramEnd"/>
      <w:r>
        <w:t xml:space="preserve"> of the protocol steps include incubation of the strips in the thermocycler. As some of programs include low temperature and high temperature incubation steps, it not always </w:t>
      </w:r>
      <w:proofErr w:type="gramStart"/>
      <w:r>
        <w:t>clear</w:t>
      </w:r>
      <w:proofErr w:type="gramEnd"/>
      <w:r>
        <w:t xml:space="preserve"> whether or not to use a heated lid option or not. Maybe the authors could include their experience.</w:t>
      </w:r>
    </w:p>
    <w:p w:rsidR="00620738" w:rsidRDefault="00620738" w:rsidP="00620738">
      <w:pPr>
        <w:rPr>
          <w:color w:val="0070C0"/>
        </w:rPr>
      </w:pPr>
      <w:r>
        <w:rPr>
          <w:color w:val="0070C0"/>
        </w:rPr>
        <w:t>We have updated description of steps that require thermocycler incubation with whether or not a heated lid is used.</w:t>
      </w:r>
    </w:p>
    <w:p w:rsidR="00620738" w:rsidRDefault="00620738" w:rsidP="00620738">
      <w:r>
        <w:br/>
        <w:t xml:space="preserve">- The Archer products are not only available for use with Illumina sequencers, but also for </w:t>
      </w:r>
      <w:proofErr w:type="spellStart"/>
      <w:r>
        <w:t>IonTorrent</w:t>
      </w:r>
      <w:proofErr w:type="spellEnd"/>
      <w:r>
        <w:t xml:space="preserve"> Systems. That should be shortly stated and differences in the protocol should be shortly discussed.</w:t>
      </w:r>
    </w:p>
    <w:p w:rsidR="00620738" w:rsidRDefault="00620738" w:rsidP="00620738">
      <w:pPr>
        <w:rPr>
          <w:color w:val="0070C0"/>
        </w:rPr>
      </w:pPr>
      <w:r>
        <w:rPr>
          <w:color w:val="0070C0"/>
        </w:rPr>
        <w:t xml:space="preserve">Since the journal has prohibited use of commercial language within the text (and thus any specific mention of Illumina or </w:t>
      </w:r>
      <w:proofErr w:type="spellStart"/>
      <w:r>
        <w:rPr>
          <w:color w:val="0070C0"/>
        </w:rPr>
        <w:t>IonTorrent</w:t>
      </w:r>
      <w:proofErr w:type="spellEnd"/>
      <w:r>
        <w:rPr>
          <w:color w:val="0070C0"/>
        </w:rPr>
        <w:t xml:space="preserve">), it is difficult to discuss these differences in the body of the </w:t>
      </w:r>
      <w:r>
        <w:rPr>
          <w:color w:val="0070C0"/>
        </w:rPr>
        <w:lastRenderedPageBreak/>
        <w:t>manuscript.  We have, however, updated the Materials table to state that the assay being described is the Illumina-specific version but that Ion Torrent-specific kit versions are also available.</w:t>
      </w:r>
    </w:p>
    <w:p w:rsidR="00620738" w:rsidRDefault="00620738" w:rsidP="00620738">
      <w:r>
        <w:br/>
        <w:t>- The ArcherDx Analysis Software comes is deployed as a virtual machine. The authors could help users by explaining their Setup of the system (PC/Server, CPU, available RAM, parallel processing, Analysis time)</w:t>
      </w:r>
    </w:p>
    <w:p w:rsidR="00620738" w:rsidRDefault="00620738" w:rsidP="00620738">
      <w:pPr>
        <w:rPr>
          <w:color w:val="0070C0"/>
        </w:rPr>
      </w:pPr>
      <w:r>
        <w:rPr>
          <w:color w:val="0070C0"/>
        </w:rPr>
        <w:t>This information has been added to the new section 2.2.1.</w:t>
      </w:r>
    </w:p>
    <w:p w:rsidR="00620738" w:rsidRDefault="00620738" w:rsidP="00620738">
      <w:r>
        <w:br/>
        <w:t>- The authors could include a short table of common false-positive Fusion detected by the solid tumor Panel.</w:t>
      </w:r>
    </w:p>
    <w:p w:rsidR="00620738" w:rsidRPr="00726AED" w:rsidRDefault="00620738" w:rsidP="00620738">
      <w:pPr>
        <w:rPr>
          <w:sz w:val="22"/>
          <w:szCs w:val="22"/>
        </w:rPr>
      </w:pPr>
      <w:r>
        <w:rPr>
          <w:color w:val="0070C0"/>
        </w:rPr>
        <w:t>A list of common artifacts has been added to section 2.4.2.</w:t>
      </w:r>
    </w:p>
    <w:sectPr w:rsidR="00620738" w:rsidRPr="00726AED" w:rsidSect="00FC20A9">
      <w:type w:val="continuous"/>
      <w:pgSz w:w="12240" w:h="15840" w:code="1"/>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862"/>
    <w:rsid w:val="00001D83"/>
    <w:rsid w:val="0000429C"/>
    <w:rsid w:val="0000571E"/>
    <w:rsid w:val="00007A03"/>
    <w:rsid w:val="00007D66"/>
    <w:rsid w:val="000114E9"/>
    <w:rsid w:val="00011651"/>
    <w:rsid w:val="00011CB8"/>
    <w:rsid w:val="00012CB4"/>
    <w:rsid w:val="00014DF7"/>
    <w:rsid w:val="00017007"/>
    <w:rsid w:val="00017AEA"/>
    <w:rsid w:val="00020738"/>
    <w:rsid w:val="00021D3F"/>
    <w:rsid w:val="00022C41"/>
    <w:rsid w:val="00022E2A"/>
    <w:rsid w:val="000243DA"/>
    <w:rsid w:val="00024B69"/>
    <w:rsid w:val="00024C34"/>
    <w:rsid w:val="00024F3F"/>
    <w:rsid w:val="0003172D"/>
    <w:rsid w:val="00034274"/>
    <w:rsid w:val="000358F8"/>
    <w:rsid w:val="00036C1B"/>
    <w:rsid w:val="0004262B"/>
    <w:rsid w:val="00042D05"/>
    <w:rsid w:val="00044C69"/>
    <w:rsid w:val="00044ECA"/>
    <w:rsid w:val="000460B2"/>
    <w:rsid w:val="000460BC"/>
    <w:rsid w:val="00047D3A"/>
    <w:rsid w:val="000504B5"/>
    <w:rsid w:val="0005198D"/>
    <w:rsid w:val="000520F2"/>
    <w:rsid w:val="00052313"/>
    <w:rsid w:val="00057349"/>
    <w:rsid w:val="00057B2A"/>
    <w:rsid w:val="00060516"/>
    <w:rsid w:val="00061D17"/>
    <w:rsid w:val="00062244"/>
    <w:rsid w:val="00062256"/>
    <w:rsid w:val="00062CB0"/>
    <w:rsid w:val="0006346C"/>
    <w:rsid w:val="00063A00"/>
    <w:rsid w:val="000650C5"/>
    <w:rsid w:val="00066802"/>
    <w:rsid w:val="00066825"/>
    <w:rsid w:val="00066A04"/>
    <w:rsid w:val="00066B31"/>
    <w:rsid w:val="000707FB"/>
    <w:rsid w:val="000710F8"/>
    <w:rsid w:val="000732DF"/>
    <w:rsid w:val="0007441D"/>
    <w:rsid w:val="0007549E"/>
    <w:rsid w:val="0007680C"/>
    <w:rsid w:val="00076A7D"/>
    <w:rsid w:val="000770E3"/>
    <w:rsid w:val="000777FD"/>
    <w:rsid w:val="00082398"/>
    <w:rsid w:val="00083C65"/>
    <w:rsid w:val="00091171"/>
    <w:rsid w:val="00091361"/>
    <w:rsid w:val="0009390E"/>
    <w:rsid w:val="0009565F"/>
    <w:rsid w:val="0009792B"/>
    <w:rsid w:val="000A0BE7"/>
    <w:rsid w:val="000A1674"/>
    <w:rsid w:val="000A21AD"/>
    <w:rsid w:val="000A2B86"/>
    <w:rsid w:val="000A5352"/>
    <w:rsid w:val="000A57A1"/>
    <w:rsid w:val="000A6178"/>
    <w:rsid w:val="000A75E7"/>
    <w:rsid w:val="000B06ED"/>
    <w:rsid w:val="000B0867"/>
    <w:rsid w:val="000B1EF4"/>
    <w:rsid w:val="000B2F24"/>
    <w:rsid w:val="000B473B"/>
    <w:rsid w:val="000B56D4"/>
    <w:rsid w:val="000B5C33"/>
    <w:rsid w:val="000B7639"/>
    <w:rsid w:val="000B7B96"/>
    <w:rsid w:val="000C04A3"/>
    <w:rsid w:val="000C2E4C"/>
    <w:rsid w:val="000C407B"/>
    <w:rsid w:val="000C49FB"/>
    <w:rsid w:val="000C4B45"/>
    <w:rsid w:val="000C6799"/>
    <w:rsid w:val="000C68C0"/>
    <w:rsid w:val="000C7EFB"/>
    <w:rsid w:val="000D082F"/>
    <w:rsid w:val="000D0A6A"/>
    <w:rsid w:val="000D534B"/>
    <w:rsid w:val="000D7497"/>
    <w:rsid w:val="000D7D35"/>
    <w:rsid w:val="000D7D63"/>
    <w:rsid w:val="000E0020"/>
    <w:rsid w:val="000E00F4"/>
    <w:rsid w:val="000E0840"/>
    <w:rsid w:val="000E13D7"/>
    <w:rsid w:val="000E1EBC"/>
    <w:rsid w:val="000E2F19"/>
    <w:rsid w:val="000E3975"/>
    <w:rsid w:val="000E46B2"/>
    <w:rsid w:val="000E558C"/>
    <w:rsid w:val="000E7260"/>
    <w:rsid w:val="000F01AE"/>
    <w:rsid w:val="000F1BDE"/>
    <w:rsid w:val="000F4C5C"/>
    <w:rsid w:val="000F50D2"/>
    <w:rsid w:val="000F6ADE"/>
    <w:rsid w:val="000F6DD8"/>
    <w:rsid w:val="000F6DF1"/>
    <w:rsid w:val="000F72C9"/>
    <w:rsid w:val="000F7FEF"/>
    <w:rsid w:val="00100B3C"/>
    <w:rsid w:val="00101C65"/>
    <w:rsid w:val="00102D9A"/>
    <w:rsid w:val="00103712"/>
    <w:rsid w:val="00103795"/>
    <w:rsid w:val="001040B5"/>
    <w:rsid w:val="001042AD"/>
    <w:rsid w:val="00104F05"/>
    <w:rsid w:val="00105B6D"/>
    <w:rsid w:val="00105FD7"/>
    <w:rsid w:val="001065CC"/>
    <w:rsid w:val="001074D8"/>
    <w:rsid w:val="00110E2F"/>
    <w:rsid w:val="001114E7"/>
    <w:rsid w:val="001115A0"/>
    <w:rsid w:val="001124C8"/>
    <w:rsid w:val="001128BE"/>
    <w:rsid w:val="0011317A"/>
    <w:rsid w:val="0011351D"/>
    <w:rsid w:val="00113ED3"/>
    <w:rsid w:val="00113F3E"/>
    <w:rsid w:val="00114908"/>
    <w:rsid w:val="00114AE5"/>
    <w:rsid w:val="0011655B"/>
    <w:rsid w:val="00116B19"/>
    <w:rsid w:val="00116C72"/>
    <w:rsid w:val="00120DCF"/>
    <w:rsid w:val="00120DDF"/>
    <w:rsid w:val="001215A3"/>
    <w:rsid w:val="00122536"/>
    <w:rsid w:val="0012464F"/>
    <w:rsid w:val="0012467A"/>
    <w:rsid w:val="001248FF"/>
    <w:rsid w:val="00126AF1"/>
    <w:rsid w:val="00127B5F"/>
    <w:rsid w:val="00133FF1"/>
    <w:rsid w:val="00135A2B"/>
    <w:rsid w:val="0013623E"/>
    <w:rsid w:val="00136276"/>
    <w:rsid w:val="001364F0"/>
    <w:rsid w:val="00137720"/>
    <w:rsid w:val="00137B95"/>
    <w:rsid w:val="00137F99"/>
    <w:rsid w:val="00141CE0"/>
    <w:rsid w:val="00141ED7"/>
    <w:rsid w:val="0014209E"/>
    <w:rsid w:val="001427CF"/>
    <w:rsid w:val="00144035"/>
    <w:rsid w:val="0014416E"/>
    <w:rsid w:val="00147893"/>
    <w:rsid w:val="00151BF2"/>
    <w:rsid w:val="00153377"/>
    <w:rsid w:val="00154284"/>
    <w:rsid w:val="0015637C"/>
    <w:rsid w:val="00156AF0"/>
    <w:rsid w:val="00161B2D"/>
    <w:rsid w:val="00161B91"/>
    <w:rsid w:val="0016286C"/>
    <w:rsid w:val="00164A39"/>
    <w:rsid w:val="0016516C"/>
    <w:rsid w:val="00166E15"/>
    <w:rsid w:val="00167ACA"/>
    <w:rsid w:val="00170B8A"/>
    <w:rsid w:val="00171696"/>
    <w:rsid w:val="0017344E"/>
    <w:rsid w:val="00173BCA"/>
    <w:rsid w:val="001744E2"/>
    <w:rsid w:val="0017523E"/>
    <w:rsid w:val="0017664B"/>
    <w:rsid w:val="001766E4"/>
    <w:rsid w:val="0017671A"/>
    <w:rsid w:val="00176A2C"/>
    <w:rsid w:val="001801E7"/>
    <w:rsid w:val="00180C72"/>
    <w:rsid w:val="00181127"/>
    <w:rsid w:val="00181680"/>
    <w:rsid w:val="001876F9"/>
    <w:rsid w:val="00187A06"/>
    <w:rsid w:val="00190456"/>
    <w:rsid w:val="00191C8C"/>
    <w:rsid w:val="001921C8"/>
    <w:rsid w:val="00192536"/>
    <w:rsid w:val="00192D71"/>
    <w:rsid w:val="00193310"/>
    <w:rsid w:val="00193933"/>
    <w:rsid w:val="00194849"/>
    <w:rsid w:val="00194D82"/>
    <w:rsid w:val="00196F45"/>
    <w:rsid w:val="00197BB1"/>
    <w:rsid w:val="001A04B9"/>
    <w:rsid w:val="001A359A"/>
    <w:rsid w:val="001A56A6"/>
    <w:rsid w:val="001A6653"/>
    <w:rsid w:val="001A77EE"/>
    <w:rsid w:val="001B04C3"/>
    <w:rsid w:val="001B1967"/>
    <w:rsid w:val="001B4EF0"/>
    <w:rsid w:val="001B76E9"/>
    <w:rsid w:val="001C04A5"/>
    <w:rsid w:val="001C0766"/>
    <w:rsid w:val="001C2A3C"/>
    <w:rsid w:val="001C2E88"/>
    <w:rsid w:val="001C2FE1"/>
    <w:rsid w:val="001C312F"/>
    <w:rsid w:val="001C32AE"/>
    <w:rsid w:val="001C3D33"/>
    <w:rsid w:val="001C439B"/>
    <w:rsid w:val="001C7B2F"/>
    <w:rsid w:val="001D05E2"/>
    <w:rsid w:val="001D3070"/>
    <w:rsid w:val="001D3F44"/>
    <w:rsid w:val="001D418F"/>
    <w:rsid w:val="001E1411"/>
    <w:rsid w:val="001E178A"/>
    <w:rsid w:val="001E1AAD"/>
    <w:rsid w:val="001E3290"/>
    <w:rsid w:val="001E34A0"/>
    <w:rsid w:val="001E4177"/>
    <w:rsid w:val="001E49D5"/>
    <w:rsid w:val="001E5406"/>
    <w:rsid w:val="001F0EAB"/>
    <w:rsid w:val="001F1E63"/>
    <w:rsid w:val="001F2378"/>
    <w:rsid w:val="001F4468"/>
    <w:rsid w:val="001F6B88"/>
    <w:rsid w:val="001F72E9"/>
    <w:rsid w:val="001F7D99"/>
    <w:rsid w:val="002020AB"/>
    <w:rsid w:val="00202117"/>
    <w:rsid w:val="002026C9"/>
    <w:rsid w:val="002068F3"/>
    <w:rsid w:val="00206B92"/>
    <w:rsid w:val="00210558"/>
    <w:rsid w:val="00210C50"/>
    <w:rsid w:val="00211B5C"/>
    <w:rsid w:val="002127EB"/>
    <w:rsid w:val="00212959"/>
    <w:rsid w:val="00214D17"/>
    <w:rsid w:val="00215691"/>
    <w:rsid w:val="0021686A"/>
    <w:rsid w:val="0021703F"/>
    <w:rsid w:val="0022343F"/>
    <w:rsid w:val="00224649"/>
    <w:rsid w:val="00224A6A"/>
    <w:rsid w:val="002267A4"/>
    <w:rsid w:val="002273D8"/>
    <w:rsid w:val="002304E8"/>
    <w:rsid w:val="0023199F"/>
    <w:rsid w:val="00231FAD"/>
    <w:rsid w:val="0023234A"/>
    <w:rsid w:val="00232A29"/>
    <w:rsid w:val="00232F75"/>
    <w:rsid w:val="0023315E"/>
    <w:rsid w:val="00234171"/>
    <w:rsid w:val="00235113"/>
    <w:rsid w:val="002368DB"/>
    <w:rsid w:val="00237114"/>
    <w:rsid w:val="0023776F"/>
    <w:rsid w:val="00237D8F"/>
    <w:rsid w:val="00240142"/>
    <w:rsid w:val="002405C8"/>
    <w:rsid w:val="00241228"/>
    <w:rsid w:val="00241CBE"/>
    <w:rsid w:val="002422EB"/>
    <w:rsid w:val="00242A40"/>
    <w:rsid w:val="002443E4"/>
    <w:rsid w:val="00244EE2"/>
    <w:rsid w:val="00247F08"/>
    <w:rsid w:val="00250AE3"/>
    <w:rsid w:val="00254988"/>
    <w:rsid w:val="00254A0A"/>
    <w:rsid w:val="0025527A"/>
    <w:rsid w:val="002558F0"/>
    <w:rsid w:val="002603B6"/>
    <w:rsid w:val="00261633"/>
    <w:rsid w:val="00261A63"/>
    <w:rsid w:val="00261DEA"/>
    <w:rsid w:val="002621A4"/>
    <w:rsid w:val="00262A4C"/>
    <w:rsid w:val="00263FBC"/>
    <w:rsid w:val="002643E6"/>
    <w:rsid w:val="00264B8E"/>
    <w:rsid w:val="00264FD4"/>
    <w:rsid w:val="00270906"/>
    <w:rsid w:val="00271424"/>
    <w:rsid w:val="002719FE"/>
    <w:rsid w:val="00271BB9"/>
    <w:rsid w:val="002720D7"/>
    <w:rsid w:val="00272723"/>
    <w:rsid w:val="002736D8"/>
    <w:rsid w:val="00273C3C"/>
    <w:rsid w:val="002751AC"/>
    <w:rsid w:val="002753DF"/>
    <w:rsid w:val="00275682"/>
    <w:rsid w:val="00275AA5"/>
    <w:rsid w:val="00275FC0"/>
    <w:rsid w:val="00277D2C"/>
    <w:rsid w:val="002804EC"/>
    <w:rsid w:val="00280AE3"/>
    <w:rsid w:val="00280D9B"/>
    <w:rsid w:val="00281E6D"/>
    <w:rsid w:val="0028213F"/>
    <w:rsid w:val="00282BA0"/>
    <w:rsid w:val="002833A0"/>
    <w:rsid w:val="0028456C"/>
    <w:rsid w:val="00284D3E"/>
    <w:rsid w:val="00284DED"/>
    <w:rsid w:val="0028530F"/>
    <w:rsid w:val="00285C9B"/>
    <w:rsid w:val="002862DE"/>
    <w:rsid w:val="00287394"/>
    <w:rsid w:val="00290305"/>
    <w:rsid w:val="002918E7"/>
    <w:rsid w:val="00293496"/>
    <w:rsid w:val="0029486C"/>
    <w:rsid w:val="002962F3"/>
    <w:rsid w:val="002963B5"/>
    <w:rsid w:val="00297ADE"/>
    <w:rsid w:val="00297EFD"/>
    <w:rsid w:val="002A406A"/>
    <w:rsid w:val="002A516B"/>
    <w:rsid w:val="002A5339"/>
    <w:rsid w:val="002A5916"/>
    <w:rsid w:val="002A5A0D"/>
    <w:rsid w:val="002A5CC1"/>
    <w:rsid w:val="002B0149"/>
    <w:rsid w:val="002B1C4F"/>
    <w:rsid w:val="002B1F62"/>
    <w:rsid w:val="002B286A"/>
    <w:rsid w:val="002B32BA"/>
    <w:rsid w:val="002B42C3"/>
    <w:rsid w:val="002B4A35"/>
    <w:rsid w:val="002B4ADD"/>
    <w:rsid w:val="002B4E20"/>
    <w:rsid w:val="002B696E"/>
    <w:rsid w:val="002B7EFD"/>
    <w:rsid w:val="002C0342"/>
    <w:rsid w:val="002C0BA5"/>
    <w:rsid w:val="002C1878"/>
    <w:rsid w:val="002C243B"/>
    <w:rsid w:val="002C2B57"/>
    <w:rsid w:val="002C30A2"/>
    <w:rsid w:val="002C3125"/>
    <w:rsid w:val="002C3A69"/>
    <w:rsid w:val="002C51B4"/>
    <w:rsid w:val="002C5579"/>
    <w:rsid w:val="002C5600"/>
    <w:rsid w:val="002C5BFF"/>
    <w:rsid w:val="002C6D05"/>
    <w:rsid w:val="002C7631"/>
    <w:rsid w:val="002C7906"/>
    <w:rsid w:val="002D57A5"/>
    <w:rsid w:val="002D5E7B"/>
    <w:rsid w:val="002D6D0E"/>
    <w:rsid w:val="002D7443"/>
    <w:rsid w:val="002D7745"/>
    <w:rsid w:val="002D7C9B"/>
    <w:rsid w:val="002D7D6F"/>
    <w:rsid w:val="002E1647"/>
    <w:rsid w:val="002E1760"/>
    <w:rsid w:val="002E2059"/>
    <w:rsid w:val="002E288D"/>
    <w:rsid w:val="002E38B5"/>
    <w:rsid w:val="002E70F0"/>
    <w:rsid w:val="002F016F"/>
    <w:rsid w:val="002F02AC"/>
    <w:rsid w:val="002F0831"/>
    <w:rsid w:val="002F11D3"/>
    <w:rsid w:val="002F285E"/>
    <w:rsid w:val="002F3719"/>
    <w:rsid w:val="002F4818"/>
    <w:rsid w:val="002F4E9B"/>
    <w:rsid w:val="002F5333"/>
    <w:rsid w:val="002F6C1E"/>
    <w:rsid w:val="00300624"/>
    <w:rsid w:val="00300E0E"/>
    <w:rsid w:val="00301FF8"/>
    <w:rsid w:val="003026D3"/>
    <w:rsid w:val="00302EE6"/>
    <w:rsid w:val="003049C4"/>
    <w:rsid w:val="003054AE"/>
    <w:rsid w:val="0031346A"/>
    <w:rsid w:val="00314440"/>
    <w:rsid w:val="0031479E"/>
    <w:rsid w:val="00314CD7"/>
    <w:rsid w:val="00314DA3"/>
    <w:rsid w:val="0031535E"/>
    <w:rsid w:val="003160DE"/>
    <w:rsid w:val="00321164"/>
    <w:rsid w:val="0032282D"/>
    <w:rsid w:val="003229BE"/>
    <w:rsid w:val="00322A62"/>
    <w:rsid w:val="00322ED5"/>
    <w:rsid w:val="003236C4"/>
    <w:rsid w:val="00331C20"/>
    <w:rsid w:val="003324B2"/>
    <w:rsid w:val="00336DFB"/>
    <w:rsid w:val="00337122"/>
    <w:rsid w:val="00337883"/>
    <w:rsid w:val="003378E0"/>
    <w:rsid w:val="003379F3"/>
    <w:rsid w:val="00341296"/>
    <w:rsid w:val="00341D3F"/>
    <w:rsid w:val="00341E57"/>
    <w:rsid w:val="003434B2"/>
    <w:rsid w:val="003445BC"/>
    <w:rsid w:val="003462D8"/>
    <w:rsid w:val="00347FE2"/>
    <w:rsid w:val="00350549"/>
    <w:rsid w:val="003516D7"/>
    <w:rsid w:val="003517DB"/>
    <w:rsid w:val="00351D15"/>
    <w:rsid w:val="00352FD0"/>
    <w:rsid w:val="00353D76"/>
    <w:rsid w:val="00354813"/>
    <w:rsid w:val="00355CC7"/>
    <w:rsid w:val="00355D1F"/>
    <w:rsid w:val="00356255"/>
    <w:rsid w:val="00356654"/>
    <w:rsid w:val="00361982"/>
    <w:rsid w:val="00363A51"/>
    <w:rsid w:val="003641A2"/>
    <w:rsid w:val="00370CE0"/>
    <w:rsid w:val="00370EC5"/>
    <w:rsid w:val="003710E6"/>
    <w:rsid w:val="00373807"/>
    <w:rsid w:val="00373ABE"/>
    <w:rsid w:val="00373E8B"/>
    <w:rsid w:val="003755AC"/>
    <w:rsid w:val="00377380"/>
    <w:rsid w:val="003774D1"/>
    <w:rsid w:val="003809C6"/>
    <w:rsid w:val="0038113A"/>
    <w:rsid w:val="003823DA"/>
    <w:rsid w:val="003833A2"/>
    <w:rsid w:val="00384E3B"/>
    <w:rsid w:val="00385560"/>
    <w:rsid w:val="00385C70"/>
    <w:rsid w:val="00385F0F"/>
    <w:rsid w:val="003865BE"/>
    <w:rsid w:val="00390A4B"/>
    <w:rsid w:val="00390E09"/>
    <w:rsid w:val="003914F3"/>
    <w:rsid w:val="0039155D"/>
    <w:rsid w:val="003976E7"/>
    <w:rsid w:val="003A0118"/>
    <w:rsid w:val="003A04FF"/>
    <w:rsid w:val="003A143C"/>
    <w:rsid w:val="003A18DD"/>
    <w:rsid w:val="003A1A60"/>
    <w:rsid w:val="003A37A2"/>
    <w:rsid w:val="003A3C68"/>
    <w:rsid w:val="003A4864"/>
    <w:rsid w:val="003A491A"/>
    <w:rsid w:val="003A69C4"/>
    <w:rsid w:val="003A7CD5"/>
    <w:rsid w:val="003B077E"/>
    <w:rsid w:val="003B24C5"/>
    <w:rsid w:val="003B257A"/>
    <w:rsid w:val="003B305D"/>
    <w:rsid w:val="003B3C07"/>
    <w:rsid w:val="003B3D8C"/>
    <w:rsid w:val="003B528C"/>
    <w:rsid w:val="003B71D2"/>
    <w:rsid w:val="003C0D93"/>
    <w:rsid w:val="003C0E02"/>
    <w:rsid w:val="003C4321"/>
    <w:rsid w:val="003D3327"/>
    <w:rsid w:val="003D3522"/>
    <w:rsid w:val="003D4493"/>
    <w:rsid w:val="003D5422"/>
    <w:rsid w:val="003D6621"/>
    <w:rsid w:val="003D6F8D"/>
    <w:rsid w:val="003D7807"/>
    <w:rsid w:val="003E144A"/>
    <w:rsid w:val="003E1CF0"/>
    <w:rsid w:val="003E245F"/>
    <w:rsid w:val="003E24FA"/>
    <w:rsid w:val="003E2F5D"/>
    <w:rsid w:val="003E304E"/>
    <w:rsid w:val="003E4CA4"/>
    <w:rsid w:val="003E6CF2"/>
    <w:rsid w:val="003F031A"/>
    <w:rsid w:val="003F2E15"/>
    <w:rsid w:val="003F4A3C"/>
    <w:rsid w:val="003F4B95"/>
    <w:rsid w:val="003F6D82"/>
    <w:rsid w:val="003F7E40"/>
    <w:rsid w:val="004014F3"/>
    <w:rsid w:val="004019A2"/>
    <w:rsid w:val="00401BC8"/>
    <w:rsid w:val="004047F3"/>
    <w:rsid w:val="004058B0"/>
    <w:rsid w:val="00405A6B"/>
    <w:rsid w:val="00406532"/>
    <w:rsid w:val="00406DCA"/>
    <w:rsid w:val="00406FDA"/>
    <w:rsid w:val="00411069"/>
    <w:rsid w:val="00413963"/>
    <w:rsid w:val="004153A3"/>
    <w:rsid w:val="00420077"/>
    <w:rsid w:val="004201A5"/>
    <w:rsid w:val="0042173C"/>
    <w:rsid w:val="00421B0B"/>
    <w:rsid w:val="004227E9"/>
    <w:rsid w:val="004252C5"/>
    <w:rsid w:val="00427482"/>
    <w:rsid w:val="004274D0"/>
    <w:rsid w:val="004322D4"/>
    <w:rsid w:val="00433F10"/>
    <w:rsid w:val="0043455C"/>
    <w:rsid w:val="00434957"/>
    <w:rsid w:val="00435477"/>
    <w:rsid w:val="0043569F"/>
    <w:rsid w:val="0043723E"/>
    <w:rsid w:val="00437F58"/>
    <w:rsid w:val="004404D0"/>
    <w:rsid w:val="004423AA"/>
    <w:rsid w:val="0044245E"/>
    <w:rsid w:val="004427AF"/>
    <w:rsid w:val="004439F3"/>
    <w:rsid w:val="0044494E"/>
    <w:rsid w:val="00444CFC"/>
    <w:rsid w:val="004451FC"/>
    <w:rsid w:val="00447277"/>
    <w:rsid w:val="00447E5F"/>
    <w:rsid w:val="00450D97"/>
    <w:rsid w:val="00451C54"/>
    <w:rsid w:val="0045235A"/>
    <w:rsid w:val="00452AF3"/>
    <w:rsid w:val="00454243"/>
    <w:rsid w:val="0045448C"/>
    <w:rsid w:val="004571F4"/>
    <w:rsid w:val="00457BDD"/>
    <w:rsid w:val="004604F9"/>
    <w:rsid w:val="004613A0"/>
    <w:rsid w:val="00461D41"/>
    <w:rsid w:val="00462F41"/>
    <w:rsid w:val="00465538"/>
    <w:rsid w:val="0046699B"/>
    <w:rsid w:val="004671C6"/>
    <w:rsid w:val="004705A5"/>
    <w:rsid w:val="00470D7A"/>
    <w:rsid w:val="00471975"/>
    <w:rsid w:val="00472886"/>
    <w:rsid w:val="00472F22"/>
    <w:rsid w:val="004734F2"/>
    <w:rsid w:val="004752FA"/>
    <w:rsid w:val="00476992"/>
    <w:rsid w:val="004801D5"/>
    <w:rsid w:val="004816A3"/>
    <w:rsid w:val="00482314"/>
    <w:rsid w:val="00482DBF"/>
    <w:rsid w:val="00484B5D"/>
    <w:rsid w:val="00484F46"/>
    <w:rsid w:val="00485DE0"/>
    <w:rsid w:val="00487E59"/>
    <w:rsid w:val="00487FD1"/>
    <w:rsid w:val="00493C3B"/>
    <w:rsid w:val="004950FA"/>
    <w:rsid w:val="00495C06"/>
    <w:rsid w:val="00497C16"/>
    <w:rsid w:val="00497FE1"/>
    <w:rsid w:val="004A1F8D"/>
    <w:rsid w:val="004A4287"/>
    <w:rsid w:val="004A43C8"/>
    <w:rsid w:val="004A4F11"/>
    <w:rsid w:val="004A57F1"/>
    <w:rsid w:val="004A7051"/>
    <w:rsid w:val="004B0DD5"/>
    <w:rsid w:val="004B0E63"/>
    <w:rsid w:val="004B2982"/>
    <w:rsid w:val="004B3F5B"/>
    <w:rsid w:val="004B5636"/>
    <w:rsid w:val="004B5A9C"/>
    <w:rsid w:val="004B64BC"/>
    <w:rsid w:val="004B6B0F"/>
    <w:rsid w:val="004B708B"/>
    <w:rsid w:val="004C1410"/>
    <w:rsid w:val="004C216C"/>
    <w:rsid w:val="004C4DE8"/>
    <w:rsid w:val="004C4E69"/>
    <w:rsid w:val="004C717B"/>
    <w:rsid w:val="004D0A29"/>
    <w:rsid w:val="004D0BA8"/>
    <w:rsid w:val="004D207C"/>
    <w:rsid w:val="004D214D"/>
    <w:rsid w:val="004D2D1D"/>
    <w:rsid w:val="004D2DE7"/>
    <w:rsid w:val="004D40DD"/>
    <w:rsid w:val="004D411E"/>
    <w:rsid w:val="004D4336"/>
    <w:rsid w:val="004D48CE"/>
    <w:rsid w:val="004D5817"/>
    <w:rsid w:val="004D5AEE"/>
    <w:rsid w:val="004D69AF"/>
    <w:rsid w:val="004D70D1"/>
    <w:rsid w:val="004D74A4"/>
    <w:rsid w:val="004E10FC"/>
    <w:rsid w:val="004E1B4A"/>
    <w:rsid w:val="004E27E2"/>
    <w:rsid w:val="004E3306"/>
    <w:rsid w:val="004E4E22"/>
    <w:rsid w:val="004E5ECA"/>
    <w:rsid w:val="004E6EAA"/>
    <w:rsid w:val="004F0B0B"/>
    <w:rsid w:val="004F0BF9"/>
    <w:rsid w:val="004F17D1"/>
    <w:rsid w:val="004F1E58"/>
    <w:rsid w:val="004F25D3"/>
    <w:rsid w:val="004F2645"/>
    <w:rsid w:val="004F26CB"/>
    <w:rsid w:val="004F2B9B"/>
    <w:rsid w:val="004F4413"/>
    <w:rsid w:val="004F4A3D"/>
    <w:rsid w:val="004F5199"/>
    <w:rsid w:val="004F55C1"/>
    <w:rsid w:val="004F6AD1"/>
    <w:rsid w:val="004F6D9A"/>
    <w:rsid w:val="004F749A"/>
    <w:rsid w:val="005000D0"/>
    <w:rsid w:val="0050137C"/>
    <w:rsid w:val="00501A88"/>
    <w:rsid w:val="005050FE"/>
    <w:rsid w:val="005052F9"/>
    <w:rsid w:val="0050741C"/>
    <w:rsid w:val="0050750D"/>
    <w:rsid w:val="00510ABD"/>
    <w:rsid w:val="00511212"/>
    <w:rsid w:val="00511BD3"/>
    <w:rsid w:val="0051398A"/>
    <w:rsid w:val="00516926"/>
    <w:rsid w:val="00521E6A"/>
    <w:rsid w:val="00523681"/>
    <w:rsid w:val="00524A2A"/>
    <w:rsid w:val="00524FE0"/>
    <w:rsid w:val="005270D2"/>
    <w:rsid w:val="005310C5"/>
    <w:rsid w:val="00531BC3"/>
    <w:rsid w:val="00533828"/>
    <w:rsid w:val="00534719"/>
    <w:rsid w:val="00534BA9"/>
    <w:rsid w:val="00534C98"/>
    <w:rsid w:val="005374C5"/>
    <w:rsid w:val="00540706"/>
    <w:rsid w:val="005422A7"/>
    <w:rsid w:val="005423FD"/>
    <w:rsid w:val="005438B7"/>
    <w:rsid w:val="005440DE"/>
    <w:rsid w:val="0054514D"/>
    <w:rsid w:val="005451F2"/>
    <w:rsid w:val="005453A0"/>
    <w:rsid w:val="00546875"/>
    <w:rsid w:val="00546A4E"/>
    <w:rsid w:val="00547D13"/>
    <w:rsid w:val="0055094D"/>
    <w:rsid w:val="00551A00"/>
    <w:rsid w:val="00552A3D"/>
    <w:rsid w:val="0055303B"/>
    <w:rsid w:val="00553C3A"/>
    <w:rsid w:val="00554CA4"/>
    <w:rsid w:val="00554CB2"/>
    <w:rsid w:val="00555FB3"/>
    <w:rsid w:val="00556193"/>
    <w:rsid w:val="0055640F"/>
    <w:rsid w:val="00557192"/>
    <w:rsid w:val="00557C3B"/>
    <w:rsid w:val="00562C05"/>
    <w:rsid w:val="00563EA6"/>
    <w:rsid w:val="00564D7F"/>
    <w:rsid w:val="005650AD"/>
    <w:rsid w:val="00566AB1"/>
    <w:rsid w:val="0057064A"/>
    <w:rsid w:val="0057102B"/>
    <w:rsid w:val="00574B22"/>
    <w:rsid w:val="00577ACD"/>
    <w:rsid w:val="005815A6"/>
    <w:rsid w:val="00586657"/>
    <w:rsid w:val="00586BFD"/>
    <w:rsid w:val="00586D29"/>
    <w:rsid w:val="00587877"/>
    <w:rsid w:val="00592C7C"/>
    <w:rsid w:val="00593A88"/>
    <w:rsid w:val="005969B7"/>
    <w:rsid w:val="00597544"/>
    <w:rsid w:val="005A085D"/>
    <w:rsid w:val="005A0A0B"/>
    <w:rsid w:val="005A140D"/>
    <w:rsid w:val="005A3691"/>
    <w:rsid w:val="005A39D2"/>
    <w:rsid w:val="005A41AF"/>
    <w:rsid w:val="005A4F26"/>
    <w:rsid w:val="005A7096"/>
    <w:rsid w:val="005A77CB"/>
    <w:rsid w:val="005B0EDD"/>
    <w:rsid w:val="005B1132"/>
    <w:rsid w:val="005B1A21"/>
    <w:rsid w:val="005B21A2"/>
    <w:rsid w:val="005B3628"/>
    <w:rsid w:val="005B5D95"/>
    <w:rsid w:val="005B7869"/>
    <w:rsid w:val="005C09A1"/>
    <w:rsid w:val="005C251D"/>
    <w:rsid w:val="005C31DB"/>
    <w:rsid w:val="005C37C1"/>
    <w:rsid w:val="005C41DE"/>
    <w:rsid w:val="005C5545"/>
    <w:rsid w:val="005C56E9"/>
    <w:rsid w:val="005C60B9"/>
    <w:rsid w:val="005C66B9"/>
    <w:rsid w:val="005C7D52"/>
    <w:rsid w:val="005C7E2C"/>
    <w:rsid w:val="005D0373"/>
    <w:rsid w:val="005D03DA"/>
    <w:rsid w:val="005D0713"/>
    <w:rsid w:val="005D2C17"/>
    <w:rsid w:val="005D3D50"/>
    <w:rsid w:val="005D46ED"/>
    <w:rsid w:val="005D492E"/>
    <w:rsid w:val="005D5C6E"/>
    <w:rsid w:val="005D6431"/>
    <w:rsid w:val="005D6BB9"/>
    <w:rsid w:val="005E1565"/>
    <w:rsid w:val="005E1A68"/>
    <w:rsid w:val="005E2282"/>
    <w:rsid w:val="005E43BC"/>
    <w:rsid w:val="005E7155"/>
    <w:rsid w:val="005E7362"/>
    <w:rsid w:val="005E76C3"/>
    <w:rsid w:val="005F0957"/>
    <w:rsid w:val="005F147C"/>
    <w:rsid w:val="005F2FB0"/>
    <w:rsid w:val="005F3CEB"/>
    <w:rsid w:val="005F3F56"/>
    <w:rsid w:val="005F4134"/>
    <w:rsid w:val="005F4688"/>
    <w:rsid w:val="005F53A2"/>
    <w:rsid w:val="005F5A62"/>
    <w:rsid w:val="005F5CB3"/>
    <w:rsid w:val="005F7FED"/>
    <w:rsid w:val="0060103E"/>
    <w:rsid w:val="006017FA"/>
    <w:rsid w:val="006026A8"/>
    <w:rsid w:val="006027E5"/>
    <w:rsid w:val="00602CA6"/>
    <w:rsid w:val="006031A7"/>
    <w:rsid w:val="00604736"/>
    <w:rsid w:val="006047A1"/>
    <w:rsid w:val="006048A8"/>
    <w:rsid w:val="00605E8C"/>
    <w:rsid w:val="0061059F"/>
    <w:rsid w:val="00611DDD"/>
    <w:rsid w:val="00616DDB"/>
    <w:rsid w:val="00616F1C"/>
    <w:rsid w:val="00620738"/>
    <w:rsid w:val="0062112C"/>
    <w:rsid w:val="006225A4"/>
    <w:rsid w:val="00622D3E"/>
    <w:rsid w:val="00622F7C"/>
    <w:rsid w:val="0062637E"/>
    <w:rsid w:val="006263F7"/>
    <w:rsid w:val="006264EE"/>
    <w:rsid w:val="00626B86"/>
    <w:rsid w:val="00626D65"/>
    <w:rsid w:val="0063175A"/>
    <w:rsid w:val="00631BBD"/>
    <w:rsid w:val="00634342"/>
    <w:rsid w:val="0063498E"/>
    <w:rsid w:val="00634FB9"/>
    <w:rsid w:val="00635D5D"/>
    <w:rsid w:val="00636733"/>
    <w:rsid w:val="00636BC9"/>
    <w:rsid w:val="006371C5"/>
    <w:rsid w:val="00637907"/>
    <w:rsid w:val="0064308D"/>
    <w:rsid w:val="0064443D"/>
    <w:rsid w:val="00644C4F"/>
    <w:rsid w:val="00647B90"/>
    <w:rsid w:val="00650745"/>
    <w:rsid w:val="00651A8A"/>
    <w:rsid w:val="00652EF7"/>
    <w:rsid w:val="00654D51"/>
    <w:rsid w:val="0065576E"/>
    <w:rsid w:val="006605D0"/>
    <w:rsid w:val="00660D60"/>
    <w:rsid w:val="00661531"/>
    <w:rsid w:val="00662003"/>
    <w:rsid w:val="00664B02"/>
    <w:rsid w:val="0066673A"/>
    <w:rsid w:val="00667932"/>
    <w:rsid w:val="0067172E"/>
    <w:rsid w:val="006725DA"/>
    <w:rsid w:val="00672E1B"/>
    <w:rsid w:val="00673E10"/>
    <w:rsid w:val="006749A2"/>
    <w:rsid w:val="0067564E"/>
    <w:rsid w:val="0067595E"/>
    <w:rsid w:val="00675FBE"/>
    <w:rsid w:val="00677B81"/>
    <w:rsid w:val="00680B20"/>
    <w:rsid w:val="00681248"/>
    <w:rsid w:val="00681713"/>
    <w:rsid w:val="006817B8"/>
    <w:rsid w:val="00682011"/>
    <w:rsid w:val="00682657"/>
    <w:rsid w:val="00682765"/>
    <w:rsid w:val="006834F2"/>
    <w:rsid w:val="00684EC6"/>
    <w:rsid w:val="00684F36"/>
    <w:rsid w:val="00685C61"/>
    <w:rsid w:val="00687045"/>
    <w:rsid w:val="006872A1"/>
    <w:rsid w:val="0069060D"/>
    <w:rsid w:val="0069095D"/>
    <w:rsid w:val="00691784"/>
    <w:rsid w:val="00691D54"/>
    <w:rsid w:val="006922A8"/>
    <w:rsid w:val="0069327A"/>
    <w:rsid w:val="00693EE8"/>
    <w:rsid w:val="0069449D"/>
    <w:rsid w:val="00694A0F"/>
    <w:rsid w:val="00695595"/>
    <w:rsid w:val="006963C6"/>
    <w:rsid w:val="00696717"/>
    <w:rsid w:val="00696CF9"/>
    <w:rsid w:val="006A0D10"/>
    <w:rsid w:val="006A40C3"/>
    <w:rsid w:val="006A4696"/>
    <w:rsid w:val="006A5B79"/>
    <w:rsid w:val="006A5F30"/>
    <w:rsid w:val="006A657D"/>
    <w:rsid w:val="006A78BD"/>
    <w:rsid w:val="006B141F"/>
    <w:rsid w:val="006B1AB7"/>
    <w:rsid w:val="006B279B"/>
    <w:rsid w:val="006B387B"/>
    <w:rsid w:val="006B450F"/>
    <w:rsid w:val="006B505B"/>
    <w:rsid w:val="006C18ED"/>
    <w:rsid w:val="006C19A4"/>
    <w:rsid w:val="006C25CB"/>
    <w:rsid w:val="006C2676"/>
    <w:rsid w:val="006C2DC2"/>
    <w:rsid w:val="006C53ED"/>
    <w:rsid w:val="006C5BAB"/>
    <w:rsid w:val="006C5BEB"/>
    <w:rsid w:val="006C72A3"/>
    <w:rsid w:val="006C7B48"/>
    <w:rsid w:val="006D01DE"/>
    <w:rsid w:val="006D46F8"/>
    <w:rsid w:val="006D62DA"/>
    <w:rsid w:val="006D63C4"/>
    <w:rsid w:val="006D797D"/>
    <w:rsid w:val="006D7DAE"/>
    <w:rsid w:val="006E048E"/>
    <w:rsid w:val="006E32F5"/>
    <w:rsid w:val="006E46A1"/>
    <w:rsid w:val="006E4974"/>
    <w:rsid w:val="006E4D7B"/>
    <w:rsid w:val="006E535B"/>
    <w:rsid w:val="006F0157"/>
    <w:rsid w:val="006F046C"/>
    <w:rsid w:val="006F177B"/>
    <w:rsid w:val="006F19F3"/>
    <w:rsid w:val="006F480D"/>
    <w:rsid w:val="006F513D"/>
    <w:rsid w:val="006F6CFB"/>
    <w:rsid w:val="006F7978"/>
    <w:rsid w:val="006F7A5C"/>
    <w:rsid w:val="0070049C"/>
    <w:rsid w:val="00700844"/>
    <w:rsid w:val="007011F5"/>
    <w:rsid w:val="007021CC"/>
    <w:rsid w:val="007047FA"/>
    <w:rsid w:val="007051A1"/>
    <w:rsid w:val="0070522D"/>
    <w:rsid w:val="007052E1"/>
    <w:rsid w:val="00707A93"/>
    <w:rsid w:val="00713530"/>
    <w:rsid w:val="00713902"/>
    <w:rsid w:val="0071470F"/>
    <w:rsid w:val="00715801"/>
    <w:rsid w:val="00720CAC"/>
    <w:rsid w:val="00720EF0"/>
    <w:rsid w:val="00722445"/>
    <w:rsid w:val="00722CEC"/>
    <w:rsid w:val="0072311D"/>
    <w:rsid w:val="0072578A"/>
    <w:rsid w:val="00726AED"/>
    <w:rsid w:val="007276DA"/>
    <w:rsid w:val="007277A3"/>
    <w:rsid w:val="0073009C"/>
    <w:rsid w:val="007307E3"/>
    <w:rsid w:val="007315A4"/>
    <w:rsid w:val="00732AE0"/>
    <w:rsid w:val="007333F4"/>
    <w:rsid w:val="00733D65"/>
    <w:rsid w:val="007347B1"/>
    <w:rsid w:val="0073485D"/>
    <w:rsid w:val="00735E68"/>
    <w:rsid w:val="00737AE6"/>
    <w:rsid w:val="00741AF7"/>
    <w:rsid w:val="00741BEA"/>
    <w:rsid w:val="00741E54"/>
    <w:rsid w:val="0074220A"/>
    <w:rsid w:val="0074677F"/>
    <w:rsid w:val="00753253"/>
    <w:rsid w:val="00754CAE"/>
    <w:rsid w:val="00756054"/>
    <w:rsid w:val="007600FC"/>
    <w:rsid w:val="00760121"/>
    <w:rsid w:val="00760940"/>
    <w:rsid w:val="00761E65"/>
    <w:rsid w:val="007624A6"/>
    <w:rsid w:val="00762B43"/>
    <w:rsid w:val="00762E40"/>
    <w:rsid w:val="007634A1"/>
    <w:rsid w:val="007644D3"/>
    <w:rsid w:val="007647AD"/>
    <w:rsid w:val="007648E7"/>
    <w:rsid w:val="00765120"/>
    <w:rsid w:val="00767F1C"/>
    <w:rsid w:val="0077006B"/>
    <w:rsid w:val="007703BD"/>
    <w:rsid w:val="0077069A"/>
    <w:rsid w:val="00771F88"/>
    <w:rsid w:val="00772355"/>
    <w:rsid w:val="00772B4E"/>
    <w:rsid w:val="00773452"/>
    <w:rsid w:val="007743A7"/>
    <w:rsid w:val="00774816"/>
    <w:rsid w:val="00775127"/>
    <w:rsid w:val="00775414"/>
    <w:rsid w:val="007775E9"/>
    <w:rsid w:val="00777616"/>
    <w:rsid w:val="00780452"/>
    <w:rsid w:val="007817F3"/>
    <w:rsid w:val="00781968"/>
    <w:rsid w:val="00783E09"/>
    <w:rsid w:val="007844CD"/>
    <w:rsid w:val="00785575"/>
    <w:rsid w:val="00787C4F"/>
    <w:rsid w:val="0079150D"/>
    <w:rsid w:val="00791D43"/>
    <w:rsid w:val="00792C86"/>
    <w:rsid w:val="007948B0"/>
    <w:rsid w:val="007959CB"/>
    <w:rsid w:val="00795A4D"/>
    <w:rsid w:val="007960B7"/>
    <w:rsid w:val="007A05FF"/>
    <w:rsid w:val="007A193E"/>
    <w:rsid w:val="007A44CF"/>
    <w:rsid w:val="007B02BD"/>
    <w:rsid w:val="007B1CD3"/>
    <w:rsid w:val="007B27AC"/>
    <w:rsid w:val="007B3197"/>
    <w:rsid w:val="007B6C32"/>
    <w:rsid w:val="007C0F7C"/>
    <w:rsid w:val="007C11D0"/>
    <w:rsid w:val="007C239C"/>
    <w:rsid w:val="007C2747"/>
    <w:rsid w:val="007C3442"/>
    <w:rsid w:val="007C3718"/>
    <w:rsid w:val="007C3789"/>
    <w:rsid w:val="007C3D83"/>
    <w:rsid w:val="007C523B"/>
    <w:rsid w:val="007C5292"/>
    <w:rsid w:val="007C68B5"/>
    <w:rsid w:val="007C7CAA"/>
    <w:rsid w:val="007D1192"/>
    <w:rsid w:val="007D1743"/>
    <w:rsid w:val="007D387F"/>
    <w:rsid w:val="007D42FF"/>
    <w:rsid w:val="007D4C0B"/>
    <w:rsid w:val="007D4F53"/>
    <w:rsid w:val="007D66D2"/>
    <w:rsid w:val="007D76B9"/>
    <w:rsid w:val="007E0180"/>
    <w:rsid w:val="007E0BDE"/>
    <w:rsid w:val="007E0D65"/>
    <w:rsid w:val="007E0EE0"/>
    <w:rsid w:val="007E1616"/>
    <w:rsid w:val="007E20E2"/>
    <w:rsid w:val="007E2DDC"/>
    <w:rsid w:val="007E42C1"/>
    <w:rsid w:val="007E5669"/>
    <w:rsid w:val="007E7043"/>
    <w:rsid w:val="007E74C8"/>
    <w:rsid w:val="007F07A1"/>
    <w:rsid w:val="007F08CD"/>
    <w:rsid w:val="007F190C"/>
    <w:rsid w:val="007F2E55"/>
    <w:rsid w:val="007F4131"/>
    <w:rsid w:val="007F584C"/>
    <w:rsid w:val="007F5E78"/>
    <w:rsid w:val="007F6CDC"/>
    <w:rsid w:val="007F76AC"/>
    <w:rsid w:val="007F79DA"/>
    <w:rsid w:val="00800FE1"/>
    <w:rsid w:val="0080207B"/>
    <w:rsid w:val="00802683"/>
    <w:rsid w:val="008040BB"/>
    <w:rsid w:val="00806023"/>
    <w:rsid w:val="008063F8"/>
    <w:rsid w:val="00807249"/>
    <w:rsid w:val="0080766E"/>
    <w:rsid w:val="0080787F"/>
    <w:rsid w:val="00807A9D"/>
    <w:rsid w:val="008107E6"/>
    <w:rsid w:val="00810DF7"/>
    <w:rsid w:val="00811D37"/>
    <w:rsid w:val="00816C9A"/>
    <w:rsid w:val="008172A3"/>
    <w:rsid w:val="00821566"/>
    <w:rsid w:val="00822B6F"/>
    <w:rsid w:val="008247D7"/>
    <w:rsid w:val="0082595F"/>
    <w:rsid w:val="00825EA1"/>
    <w:rsid w:val="00826D35"/>
    <w:rsid w:val="00827ED5"/>
    <w:rsid w:val="00830DF1"/>
    <w:rsid w:val="008342FF"/>
    <w:rsid w:val="008352BE"/>
    <w:rsid w:val="00835DF4"/>
    <w:rsid w:val="00842D67"/>
    <w:rsid w:val="00842F8F"/>
    <w:rsid w:val="00844EDA"/>
    <w:rsid w:val="008459A9"/>
    <w:rsid w:val="00846892"/>
    <w:rsid w:val="008471CC"/>
    <w:rsid w:val="008475DA"/>
    <w:rsid w:val="00847F0E"/>
    <w:rsid w:val="00850CEE"/>
    <w:rsid w:val="008512E0"/>
    <w:rsid w:val="00851595"/>
    <w:rsid w:val="008519F0"/>
    <w:rsid w:val="00853E00"/>
    <w:rsid w:val="00854CE6"/>
    <w:rsid w:val="008565FD"/>
    <w:rsid w:val="00856BF5"/>
    <w:rsid w:val="00857D0D"/>
    <w:rsid w:val="0086170C"/>
    <w:rsid w:val="008617A3"/>
    <w:rsid w:val="00864AED"/>
    <w:rsid w:val="00865250"/>
    <w:rsid w:val="00866542"/>
    <w:rsid w:val="008665B6"/>
    <w:rsid w:val="0086676F"/>
    <w:rsid w:val="00866E22"/>
    <w:rsid w:val="008674DD"/>
    <w:rsid w:val="008708A0"/>
    <w:rsid w:val="00870AB4"/>
    <w:rsid w:val="00871E47"/>
    <w:rsid w:val="008724DB"/>
    <w:rsid w:val="00872C5F"/>
    <w:rsid w:val="008735A0"/>
    <w:rsid w:val="00874BD5"/>
    <w:rsid w:val="00875153"/>
    <w:rsid w:val="00877532"/>
    <w:rsid w:val="00877880"/>
    <w:rsid w:val="00880716"/>
    <w:rsid w:val="00881401"/>
    <w:rsid w:val="00881433"/>
    <w:rsid w:val="0088261A"/>
    <w:rsid w:val="008848F2"/>
    <w:rsid w:val="0088532F"/>
    <w:rsid w:val="008854A6"/>
    <w:rsid w:val="00885C64"/>
    <w:rsid w:val="008866DD"/>
    <w:rsid w:val="00887526"/>
    <w:rsid w:val="00887A74"/>
    <w:rsid w:val="008902FB"/>
    <w:rsid w:val="00890A41"/>
    <w:rsid w:val="00890BD7"/>
    <w:rsid w:val="00890E8A"/>
    <w:rsid w:val="00891A4C"/>
    <w:rsid w:val="00892DCD"/>
    <w:rsid w:val="00893403"/>
    <w:rsid w:val="008937A5"/>
    <w:rsid w:val="00893A89"/>
    <w:rsid w:val="0089502D"/>
    <w:rsid w:val="0089585C"/>
    <w:rsid w:val="008958D9"/>
    <w:rsid w:val="00895ECD"/>
    <w:rsid w:val="00897325"/>
    <w:rsid w:val="00897A83"/>
    <w:rsid w:val="008A016A"/>
    <w:rsid w:val="008A20BD"/>
    <w:rsid w:val="008A3327"/>
    <w:rsid w:val="008A3C95"/>
    <w:rsid w:val="008A3E84"/>
    <w:rsid w:val="008A42EE"/>
    <w:rsid w:val="008A469D"/>
    <w:rsid w:val="008A50A1"/>
    <w:rsid w:val="008A52A4"/>
    <w:rsid w:val="008A7B1C"/>
    <w:rsid w:val="008B04C5"/>
    <w:rsid w:val="008B1226"/>
    <w:rsid w:val="008B1492"/>
    <w:rsid w:val="008B3A00"/>
    <w:rsid w:val="008B45BF"/>
    <w:rsid w:val="008B49FD"/>
    <w:rsid w:val="008B7AFA"/>
    <w:rsid w:val="008C0640"/>
    <w:rsid w:val="008C1610"/>
    <w:rsid w:val="008C2B48"/>
    <w:rsid w:val="008C3744"/>
    <w:rsid w:val="008C5D5E"/>
    <w:rsid w:val="008C6F33"/>
    <w:rsid w:val="008D03F2"/>
    <w:rsid w:val="008D2199"/>
    <w:rsid w:val="008D2482"/>
    <w:rsid w:val="008D3B9B"/>
    <w:rsid w:val="008D5024"/>
    <w:rsid w:val="008D7118"/>
    <w:rsid w:val="008E0543"/>
    <w:rsid w:val="008E05C1"/>
    <w:rsid w:val="008E2B88"/>
    <w:rsid w:val="008E3BFA"/>
    <w:rsid w:val="008F1760"/>
    <w:rsid w:val="008F4750"/>
    <w:rsid w:val="008F5209"/>
    <w:rsid w:val="008F7927"/>
    <w:rsid w:val="00900521"/>
    <w:rsid w:val="00900681"/>
    <w:rsid w:val="00900CBB"/>
    <w:rsid w:val="00900FFB"/>
    <w:rsid w:val="0090245E"/>
    <w:rsid w:val="00902AB9"/>
    <w:rsid w:val="009030B4"/>
    <w:rsid w:val="00903D38"/>
    <w:rsid w:val="00903F30"/>
    <w:rsid w:val="009042FE"/>
    <w:rsid w:val="009049E9"/>
    <w:rsid w:val="00904BBC"/>
    <w:rsid w:val="009064FE"/>
    <w:rsid w:val="0091010C"/>
    <w:rsid w:val="00913366"/>
    <w:rsid w:val="00916F5E"/>
    <w:rsid w:val="009202C0"/>
    <w:rsid w:val="00920F68"/>
    <w:rsid w:val="00922062"/>
    <w:rsid w:val="009220A3"/>
    <w:rsid w:val="00922334"/>
    <w:rsid w:val="009244A4"/>
    <w:rsid w:val="00925AB3"/>
    <w:rsid w:val="00925AD4"/>
    <w:rsid w:val="009263BD"/>
    <w:rsid w:val="009276D2"/>
    <w:rsid w:val="009301EB"/>
    <w:rsid w:val="00930433"/>
    <w:rsid w:val="0093127C"/>
    <w:rsid w:val="009314EB"/>
    <w:rsid w:val="00933D2B"/>
    <w:rsid w:val="00934BEA"/>
    <w:rsid w:val="00935844"/>
    <w:rsid w:val="00940AC2"/>
    <w:rsid w:val="009417D2"/>
    <w:rsid w:val="00941A5E"/>
    <w:rsid w:val="00941FD2"/>
    <w:rsid w:val="00942378"/>
    <w:rsid w:val="00943193"/>
    <w:rsid w:val="00947676"/>
    <w:rsid w:val="009533F3"/>
    <w:rsid w:val="00953AD6"/>
    <w:rsid w:val="00954CB2"/>
    <w:rsid w:val="00956EFA"/>
    <w:rsid w:val="00957CEE"/>
    <w:rsid w:val="009610C7"/>
    <w:rsid w:val="009637B7"/>
    <w:rsid w:val="00965C9B"/>
    <w:rsid w:val="00965E10"/>
    <w:rsid w:val="00966546"/>
    <w:rsid w:val="0096680C"/>
    <w:rsid w:val="00970C91"/>
    <w:rsid w:val="0097162D"/>
    <w:rsid w:val="009721C6"/>
    <w:rsid w:val="00972419"/>
    <w:rsid w:val="0097249E"/>
    <w:rsid w:val="0097262C"/>
    <w:rsid w:val="0097505F"/>
    <w:rsid w:val="009754EA"/>
    <w:rsid w:val="00976D94"/>
    <w:rsid w:val="00976F4D"/>
    <w:rsid w:val="0098101C"/>
    <w:rsid w:val="00985F4E"/>
    <w:rsid w:val="00986464"/>
    <w:rsid w:val="00986949"/>
    <w:rsid w:val="00987CBD"/>
    <w:rsid w:val="00993DF9"/>
    <w:rsid w:val="00997CF9"/>
    <w:rsid w:val="009A0D81"/>
    <w:rsid w:val="009A1411"/>
    <w:rsid w:val="009A1701"/>
    <w:rsid w:val="009A1890"/>
    <w:rsid w:val="009A34DC"/>
    <w:rsid w:val="009A43C3"/>
    <w:rsid w:val="009A4A4C"/>
    <w:rsid w:val="009A5821"/>
    <w:rsid w:val="009A5A63"/>
    <w:rsid w:val="009A703D"/>
    <w:rsid w:val="009B182F"/>
    <w:rsid w:val="009B3910"/>
    <w:rsid w:val="009B46CA"/>
    <w:rsid w:val="009B47D5"/>
    <w:rsid w:val="009B484A"/>
    <w:rsid w:val="009B5059"/>
    <w:rsid w:val="009B510E"/>
    <w:rsid w:val="009B60A7"/>
    <w:rsid w:val="009B69D0"/>
    <w:rsid w:val="009B6E54"/>
    <w:rsid w:val="009B7534"/>
    <w:rsid w:val="009C07DF"/>
    <w:rsid w:val="009C14E7"/>
    <w:rsid w:val="009C2289"/>
    <w:rsid w:val="009C2A03"/>
    <w:rsid w:val="009C4692"/>
    <w:rsid w:val="009C5664"/>
    <w:rsid w:val="009C5911"/>
    <w:rsid w:val="009C5E90"/>
    <w:rsid w:val="009C7D4C"/>
    <w:rsid w:val="009D05DD"/>
    <w:rsid w:val="009D118F"/>
    <w:rsid w:val="009D1477"/>
    <w:rsid w:val="009D1DC6"/>
    <w:rsid w:val="009D2680"/>
    <w:rsid w:val="009D55AE"/>
    <w:rsid w:val="009D5C75"/>
    <w:rsid w:val="009D5D73"/>
    <w:rsid w:val="009D7AC2"/>
    <w:rsid w:val="009E0BCF"/>
    <w:rsid w:val="009E252F"/>
    <w:rsid w:val="009E550E"/>
    <w:rsid w:val="009E5E40"/>
    <w:rsid w:val="009E6702"/>
    <w:rsid w:val="009E692D"/>
    <w:rsid w:val="009E702F"/>
    <w:rsid w:val="009E7A60"/>
    <w:rsid w:val="009F042A"/>
    <w:rsid w:val="009F052C"/>
    <w:rsid w:val="009F1BE8"/>
    <w:rsid w:val="009F2701"/>
    <w:rsid w:val="009F30F1"/>
    <w:rsid w:val="009F46BF"/>
    <w:rsid w:val="009F4FE3"/>
    <w:rsid w:val="009F6683"/>
    <w:rsid w:val="00A01399"/>
    <w:rsid w:val="00A013E7"/>
    <w:rsid w:val="00A037E6"/>
    <w:rsid w:val="00A041CD"/>
    <w:rsid w:val="00A04BE9"/>
    <w:rsid w:val="00A04F74"/>
    <w:rsid w:val="00A11982"/>
    <w:rsid w:val="00A13103"/>
    <w:rsid w:val="00A1326E"/>
    <w:rsid w:val="00A158EF"/>
    <w:rsid w:val="00A15E4D"/>
    <w:rsid w:val="00A1622E"/>
    <w:rsid w:val="00A1652D"/>
    <w:rsid w:val="00A16E85"/>
    <w:rsid w:val="00A1772A"/>
    <w:rsid w:val="00A1780A"/>
    <w:rsid w:val="00A20AF6"/>
    <w:rsid w:val="00A21E45"/>
    <w:rsid w:val="00A243F2"/>
    <w:rsid w:val="00A25A81"/>
    <w:rsid w:val="00A26B31"/>
    <w:rsid w:val="00A30E48"/>
    <w:rsid w:val="00A33524"/>
    <w:rsid w:val="00A33AB1"/>
    <w:rsid w:val="00A33EF2"/>
    <w:rsid w:val="00A34239"/>
    <w:rsid w:val="00A346CF"/>
    <w:rsid w:val="00A35A52"/>
    <w:rsid w:val="00A36B9B"/>
    <w:rsid w:val="00A370EC"/>
    <w:rsid w:val="00A40387"/>
    <w:rsid w:val="00A406A2"/>
    <w:rsid w:val="00A41794"/>
    <w:rsid w:val="00A41862"/>
    <w:rsid w:val="00A4197E"/>
    <w:rsid w:val="00A42631"/>
    <w:rsid w:val="00A43530"/>
    <w:rsid w:val="00A4431D"/>
    <w:rsid w:val="00A45116"/>
    <w:rsid w:val="00A45166"/>
    <w:rsid w:val="00A4531D"/>
    <w:rsid w:val="00A477D6"/>
    <w:rsid w:val="00A47E33"/>
    <w:rsid w:val="00A51935"/>
    <w:rsid w:val="00A519B7"/>
    <w:rsid w:val="00A52A3F"/>
    <w:rsid w:val="00A52B44"/>
    <w:rsid w:val="00A52D9A"/>
    <w:rsid w:val="00A5350D"/>
    <w:rsid w:val="00A55445"/>
    <w:rsid w:val="00A5600C"/>
    <w:rsid w:val="00A56416"/>
    <w:rsid w:val="00A5674C"/>
    <w:rsid w:val="00A57C59"/>
    <w:rsid w:val="00A6062F"/>
    <w:rsid w:val="00A61E5F"/>
    <w:rsid w:val="00A6579D"/>
    <w:rsid w:val="00A66C61"/>
    <w:rsid w:val="00A67272"/>
    <w:rsid w:val="00A67884"/>
    <w:rsid w:val="00A678C1"/>
    <w:rsid w:val="00A700A4"/>
    <w:rsid w:val="00A71153"/>
    <w:rsid w:val="00A71360"/>
    <w:rsid w:val="00A72116"/>
    <w:rsid w:val="00A722E4"/>
    <w:rsid w:val="00A73D0B"/>
    <w:rsid w:val="00A75357"/>
    <w:rsid w:val="00A76F54"/>
    <w:rsid w:val="00A7718E"/>
    <w:rsid w:val="00A77679"/>
    <w:rsid w:val="00A77BE8"/>
    <w:rsid w:val="00A77FA1"/>
    <w:rsid w:val="00A8041F"/>
    <w:rsid w:val="00A8052F"/>
    <w:rsid w:val="00A81F06"/>
    <w:rsid w:val="00A8206F"/>
    <w:rsid w:val="00A8238F"/>
    <w:rsid w:val="00A82CA0"/>
    <w:rsid w:val="00A83A29"/>
    <w:rsid w:val="00A83E71"/>
    <w:rsid w:val="00A84310"/>
    <w:rsid w:val="00A844F3"/>
    <w:rsid w:val="00A848AF"/>
    <w:rsid w:val="00A84D64"/>
    <w:rsid w:val="00A8554E"/>
    <w:rsid w:val="00A87510"/>
    <w:rsid w:val="00A90BD5"/>
    <w:rsid w:val="00A92221"/>
    <w:rsid w:val="00A941B7"/>
    <w:rsid w:val="00A94542"/>
    <w:rsid w:val="00A94647"/>
    <w:rsid w:val="00AA3249"/>
    <w:rsid w:val="00AA3662"/>
    <w:rsid w:val="00AA5A68"/>
    <w:rsid w:val="00AA73C3"/>
    <w:rsid w:val="00AB0140"/>
    <w:rsid w:val="00AB2774"/>
    <w:rsid w:val="00AB31DE"/>
    <w:rsid w:val="00AB4005"/>
    <w:rsid w:val="00AB4449"/>
    <w:rsid w:val="00AB4D7C"/>
    <w:rsid w:val="00AB5D40"/>
    <w:rsid w:val="00AB69DF"/>
    <w:rsid w:val="00AC191A"/>
    <w:rsid w:val="00AC26F7"/>
    <w:rsid w:val="00AC37C3"/>
    <w:rsid w:val="00AC3DCA"/>
    <w:rsid w:val="00AC4526"/>
    <w:rsid w:val="00AC4F9E"/>
    <w:rsid w:val="00AD1D2B"/>
    <w:rsid w:val="00AD5277"/>
    <w:rsid w:val="00AD5F30"/>
    <w:rsid w:val="00AD6AFA"/>
    <w:rsid w:val="00AE09C4"/>
    <w:rsid w:val="00AE0AD5"/>
    <w:rsid w:val="00AE5745"/>
    <w:rsid w:val="00AE723C"/>
    <w:rsid w:val="00AE7DD7"/>
    <w:rsid w:val="00AF0874"/>
    <w:rsid w:val="00AF22B9"/>
    <w:rsid w:val="00AF26CA"/>
    <w:rsid w:val="00AF4537"/>
    <w:rsid w:val="00AF4978"/>
    <w:rsid w:val="00AF5CF0"/>
    <w:rsid w:val="00AF6120"/>
    <w:rsid w:val="00B0040D"/>
    <w:rsid w:val="00B01503"/>
    <w:rsid w:val="00B0191C"/>
    <w:rsid w:val="00B0268A"/>
    <w:rsid w:val="00B0388B"/>
    <w:rsid w:val="00B04B84"/>
    <w:rsid w:val="00B06150"/>
    <w:rsid w:val="00B069BC"/>
    <w:rsid w:val="00B06BC5"/>
    <w:rsid w:val="00B1095F"/>
    <w:rsid w:val="00B11DDE"/>
    <w:rsid w:val="00B129C2"/>
    <w:rsid w:val="00B12B13"/>
    <w:rsid w:val="00B14128"/>
    <w:rsid w:val="00B14BBA"/>
    <w:rsid w:val="00B1541C"/>
    <w:rsid w:val="00B15752"/>
    <w:rsid w:val="00B160F7"/>
    <w:rsid w:val="00B17ADC"/>
    <w:rsid w:val="00B20304"/>
    <w:rsid w:val="00B2260E"/>
    <w:rsid w:val="00B23066"/>
    <w:rsid w:val="00B23140"/>
    <w:rsid w:val="00B2320B"/>
    <w:rsid w:val="00B233F1"/>
    <w:rsid w:val="00B23438"/>
    <w:rsid w:val="00B24275"/>
    <w:rsid w:val="00B24E33"/>
    <w:rsid w:val="00B26906"/>
    <w:rsid w:val="00B30436"/>
    <w:rsid w:val="00B3219A"/>
    <w:rsid w:val="00B34102"/>
    <w:rsid w:val="00B34152"/>
    <w:rsid w:val="00B350C8"/>
    <w:rsid w:val="00B356E2"/>
    <w:rsid w:val="00B35B4F"/>
    <w:rsid w:val="00B36989"/>
    <w:rsid w:val="00B37953"/>
    <w:rsid w:val="00B37A4E"/>
    <w:rsid w:val="00B37DA9"/>
    <w:rsid w:val="00B41498"/>
    <w:rsid w:val="00B41C16"/>
    <w:rsid w:val="00B42B85"/>
    <w:rsid w:val="00B4492A"/>
    <w:rsid w:val="00B45CE9"/>
    <w:rsid w:val="00B46AAD"/>
    <w:rsid w:val="00B47D5F"/>
    <w:rsid w:val="00B50539"/>
    <w:rsid w:val="00B50F4E"/>
    <w:rsid w:val="00B525DE"/>
    <w:rsid w:val="00B52C52"/>
    <w:rsid w:val="00B53455"/>
    <w:rsid w:val="00B54166"/>
    <w:rsid w:val="00B545DB"/>
    <w:rsid w:val="00B54F36"/>
    <w:rsid w:val="00B56998"/>
    <w:rsid w:val="00B57FE8"/>
    <w:rsid w:val="00B60DAA"/>
    <w:rsid w:val="00B628A3"/>
    <w:rsid w:val="00B64DC7"/>
    <w:rsid w:val="00B65CB0"/>
    <w:rsid w:val="00B66210"/>
    <w:rsid w:val="00B6770C"/>
    <w:rsid w:val="00B67FD2"/>
    <w:rsid w:val="00B70457"/>
    <w:rsid w:val="00B705E3"/>
    <w:rsid w:val="00B71ABE"/>
    <w:rsid w:val="00B71DD1"/>
    <w:rsid w:val="00B72206"/>
    <w:rsid w:val="00B72A8D"/>
    <w:rsid w:val="00B72AC7"/>
    <w:rsid w:val="00B734D0"/>
    <w:rsid w:val="00B75583"/>
    <w:rsid w:val="00B7631E"/>
    <w:rsid w:val="00B76A42"/>
    <w:rsid w:val="00B77218"/>
    <w:rsid w:val="00B77CFD"/>
    <w:rsid w:val="00B80EE9"/>
    <w:rsid w:val="00B82410"/>
    <w:rsid w:val="00B83928"/>
    <w:rsid w:val="00B84C19"/>
    <w:rsid w:val="00B84CDD"/>
    <w:rsid w:val="00B8536A"/>
    <w:rsid w:val="00B90BD3"/>
    <w:rsid w:val="00B91552"/>
    <w:rsid w:val="00B92247"/>
    <w:rsid w:val="00B93079"/>
    <w:rsid w:val="00B94276"/>
    <w:rsid w:val="00B95DDD"/>
    <w:rsid w:val="00B9659F"/>
    <w:rsid w:val="00B97008"/>
    <w:rsid w:val="00BA04CC"/>
    <w:rsid w:val="00BA3833"/>
    <w:rsid w:val="00BA38A1"/>
    <w:rsid w:val="00BA3ED4"/>
    <w:rsid w:val="00BA441A"/>
    <w:rsid w:val="00BA4AC5"/>
    <w:rsid w:val="00BA56CD"/>
    <w:rsid w:val="00BA62EB"/>
    <w:rsid w:val="00BB0586"/>
    <w:rsid w:val="00BB0841"/>
    <w:rsid w:val="00BB1B17"/>
    <w:rsid w:val="00BB28D1"/>
    <w:rsid w:val="00BB4672"/>
    <w:rsid w:val="00BB70A2"/>
    <w:rsid w:val="00BB72CB"/>
    <w:rsid w:val="00BC0063"/>
    <w:rsid w:val="00BC25FA"/>
    <w:rsid w:val="00BC4558"/>
    <w:rsid w:val="00BC4F04"/>
    <w:rsid w:val="00BC6400"/>
    <w:rsid w:val="00BC65FC"/>
    <w:rsid w:val="00BC6C77"/>
    <w:rsid w:val="00BC7588"/>
    <w:rsid w:val="00BC76E8"/>
    <w:rsid w:val="00BC7E67"/>
    <w:rsid w:val="00BD0194"/>
    <w:rsid w:val="00BD1650"/>
    <w:rsid w:val="00BD1D62"/>
    <w:rsid w:val="00BD1E64"/>
    <w:rsid w:val="00BD3309"/>
    <w:rsid w:val="00BD49A1"/>
    <w:rsid w:val="00BD505F"/>
    <w:rsid w:val="00BE0357"/>
    <w:rsid w:val="00BE0478"/>
    <w:rsid w:val="00BE05D2"/>
    <w:rsid w:val="00BE139D"/>
    <w:rsid w:val="00BE40FC"/>
    <w:rsid w:val="00BE4817"/>
    <w:rsid w:val="00BE4B7D"/>
    <w:rsid w:val="00BE5508"/>
    <w:rsid w:val="00BE57EF"/>
    <w:rsid w:val="00BE7031"/>
    <w:rsid w:val="00BE7820"/>
    <w:rsid w:val="00BE7D1E"/>
    <w:rsid w:val="00BF1C7E"/>
    <w:rsid w:val="00BF21D0"/>
    <w:rsid w:val="00BF45B8"/>
    <w:rsid w:val="00BF59D5"/>
    <w:rsid w:val="00BF6471"/>
    <w:rsid w:val="00BF71FB"/>
    <w:rsid w:val="00BF779B"/>
    <w:rsid w:val="00C00076"/>
    <w:rsid w:val="00C00713"/>
    <w:rsid w:val="00C01A04"/>
    <w:rsid w:val="00C048F4"/>
    <w:rsid w:val="00C04BA2"/>
    <w:rsid w:val="00C0656B"/>
    <w:rsid w:val="00C06A00"/>
    <w:rsid w:val="00C07BB5"/>
    <w:rsid w:val="00C12A6D"/>
    <w:rsid w:val="00C13903"/>
    <w:rsid w:val="00C13D05"/>
    <w:rsid w:val="00C15DE3"/>
    <w:rsid w:val="00C2092F"/>
    <w:rsid w:val="00C20B13"/>
    <w:rsid w:val="00C20C09"/>
    <w:rsid w:val="00C21D6B"/>
    <w:rsid w:val="00C25948"/>
    <w:rsid w:val="00C261F7"/>
    <w:rsid w:val="00C27DAB"/>
    <w:rsid w:val="00C27E68"/>
    <w:rsid w:val="00C27FB8"/>
    <w:rsid w:val="00C304F8"/>
    <w:rsid w:val="00C33C2F"/>
    <w:rsid w:val="00C33EE4"/>
    <w:rsid w:val="00C34219"/>
    <w:rsid w:val="00C34715"/>
    <w:rsid w:val="00C349C6"/>
    <w:rsid w:val="00C36375"/>
    <w:rsid w:val="00C369CA"/>
    <w:rsid w:val="00C372D7"/>
    <w:rsid w:val="00C37D07"/>
    <w:rsid w:val="00C37FDE"/>
    <w:rsid w:val="00C4032C"/>
    <w:rsid w:val="00C40A9D"/>
    <w:rsid w:val="00C41DF0"/>
    <w:rsid w:val="00C42668"/>
    <w:rsid w:val="00C4325A"/>
    <w:rsid w:val="00C44E35"/>
    <w:rsid w:val="00C459B6"/>
    <w:rsid w:val="00C465FF"/>
    <w:rsid w:val="00C46C5E"/>
    <w:rsid w:val="00C51F67"/>
    <w:rsid w:val="00C525A5"/>
    <w:rsid w:val="00C536DA"/>
    <w:rsid w:val="00C55948"/>
    <w:rsid w:val="00C55D21"/>
    <w:rsid w:val="00C60578"/>
    <w:rsid w:val="00C61897"/>
    <w:rsid w:val="00C61B86"/>
    <w:rsid w:val="00C625BB"/>
    <w:rsid w:val="00C62E1E"/>
    <w:rsid w:val="00C64996"/>
    <w:rsid w:val="00C6559B"/>
    <w:rsid w:val="00C66361"/>
    <w:rsid w:val="00C66C9D"/>
    <w:rsid w:val="00C67222"/>
    <w:rsid w:val="00C702F7"/>
    <w:rsid w:val="00C704B7"/>
    <w:rsid w:val="00C70936"/>
    <w:rsid w:val="00C715A5"/>
    <w:rsid w:val="00C71675"/>
    <w:rsid w:val="00C720C7"/>
    <w:rsid w:val="00C72B1B"/>
    <w:rsid w:val="00C74E64"/>
    <w:rsid w:val="00C7662A"/>
    <w:rsid w:val="00C77AB4"/>
    <w:rsid w:val="00C81363"/>
    <w:rsid w:val="00C830B6"/>
    <w:rsid w:val="00C834E5"/>
    <w:rsid w:val="00C85289"/>
    <w:rsid w:val="00C85E4C"/>
    <w:rsid w:val="00C90D2C"/>
    <w:rsid w:val="00C9153D"/>
    <w:rsid w:val="00C91820"/>
    <w:rsid w:val="00C91AFB"/>
    <w:rsid w:val="00C9293A"/>
    <w:rsid w:val="00C93121"/>
    <w:rsid w:val="00C94A98"/>
    <w:rsid w:val="00C95854"/>
    <w:rsid w:val="00C97D55"/>
    <w:rsid w:val="00CA0406"/>
    <w:rsid w:val="00CA118A"/>
    <w:rsid w:val="00CA1706"/>
    <w:rsid w:val="00CA2478"/>
    <w:rsid w:val="00CA2EA0"/>
    <w:rsid w:val="00CA33E4"/>
    <w:rsid w:val="00CA35D9"/>
    <w:rsid w:val="00CA4065"/>
    <w:rsid w:val="00CA43EC"/>
    <w:rsid w:val="00CA53C6"/>
    <w:rsid w:val="00CA7D85"/>
    <w:rsid w:val="00CB0939"/>
    <w:rsid w:val="00CB1B8D"/>
    <w:rsid w:val="00CB31A3"/>
    <w:rsid w:val="00CB49F9"/>
    <w:rsid w:val="00CB4B17"/>
    <w:rsid w:val="00CB5B9D"/>
    <w:rsid w:val="00CB69C0"/>
    <w:rsid w:val="00CB75EA"/>
    <w:rsid w:val="00CB785E"/>
    <w:rsid w:val="00CC0132"/>
    <w:rsid w:val="00CC0192"/>
    <w:rsid w:val="00CC0200"/>
    <w:rsid w:val="00CC0686"/>
    <w:rsid w:val="00CC0B6B"/>
    <w:rsid w:val="00CC0FC3"/>
    <w:rsid w:val="00CC10B9"/>
    <w:rsid w:val="00CC1F55"/>
    <w:rsid w:val="00CC2371"/>
    <w:rsid w:val="00CC24E1"/>
    <w:rsid w:val="00CC3D22"/>
    <w:rsid w:val="00CC4A5F"/>
    <w:rsid w:val="00CC4FB6"/>
    <w:rsid w:val="00CC55BB"/>
    <w:rsid w:val="00CC5790"/>
    <w:rsid w:val="00CD208A"/>
    <w:rsid w:val="00CD2A5D"/>
    <w:rsid w:val="00CD38F6"/>
    <w:rsid w:val="00CD3F71"/>
    <w:rsid w:val="00CD5BE4"/>
    <w:rsid w:val="00CD69FB"/>
    <w:rsid w:val="00CD7A79"/>
    <w:rsid w:val="00CE111D"/>
    <w:rsid w:val="00CE24BD"/>
    <w:rsid w:val="00CE5BC9"/>
    <w:rsid w:val="00CE6002"/>
    <w:rsid w:val="00CE7835"/>
    <w:rsid w:val="00CF05A3"/>
    <w:rsid w:val="00CF09C8"/>
    <w:rsid w:val="00CF0A5B"/>
    <w:rsid w:val="00CF1A80"/>
    <w:rsid w:val="00CF5552"/>
    <w:rsid w:val="00CF683F"/>
    <w:rsid w:val="00CF6B62"/>
    <w:rsid w:val="00CF73DE"/>
    <w:rsid w:val="00CF7B1B"/>
    <w:rsid w:val="00D01A1A"/>
    <w:rsid w:val="00D02F76"/>
    <w:rsid w:val="00D03330"/>
    <w:rsid w:val="00D035AA"/>
    <w:rsid w:val="00D03B5E"/>
    <w:rsid w:val="00D03BF2"/>
    <w:rsid w:val="00D05995"/>
    <w:rsid w:val="00D05AC3"/>
    <w:rsid w:val="00D06DC6"/>
    <w:rsid w:val="00D07390"/>
    <w:rsid w:val="00D07B84"/>
    <w:rsid w:val="00D1075E"/>
    <w:rsid w:val="00D11134"/>
    <w:rsid w:val="00D12A3E"/>
    <w:rsid w:val="00D13468"/>
    <w:rsid w:val="00D13E10"/>
    <w:rsid w:val="00D159B8"/>
    <w:rsid w:val="00D15FA1"/>
    <w:rsid w:val="00D163D8"/>
    <w:rsid w:val="00D20BCA"/>
    <w:rsid w:val="00D217D3"/>
    <w:rsid w:val="00D224A9"/>
    <w:rsid w:val="00D2301D"/>
    <w:rsid w:val="00D23755"/>
    <w:rsid w:val="00D2392A"/>
    <w:rsid w:val="00D24B09"/>
    <w:rsid w:val="00D26F0C"/>
    <w:rsid w:val="00D30651"/>
    <w:rsid w:val="00D31310"/>
    <w:rsid w:val="00D318C4"/>
    <w:rsid w:val="00D331A4"/>
    <w:rsid w:val="00D33743"/>
    <w:rsid w:val="00D33979"/>
    <w:rsid w:val="00D407A9"/>
    <w:rsid w:val="00D426DF"/>
    <w:rsid w:val="00D42C41"/>
    <w:rsid w:val="00D44737"/>
    <w:rsid w:val="00D466BE"/>
    <w:rsid w:val="00D50C21"/>
    <w:rsid w:val="00D51BD7"/>
    <w:rsid w:val="00D528D8"/>
    <w:rsid w:val="00D54712"/>
    <w:rsid w:val="00D56AF5"/>
    <w:rsid w:val="00D57085"/>
    <w:rsid w:val="00D61103"/>
    <w:rsid w:val="00D6420C"/>
    <w:rsid w:val="00D6492D"/>
    <w:rsid w:val="00D6505D"/>
    <w:rsid w:val="00D6571D"/>
    <w:rsid w:val="00D70FB0"/>
    <w:rsid w:val="00D75D4F"/>
    <w:rsid w:val="00D76821"/>
    <w:rsid w:val="00D803D6"/>
    <w:rsid w:val="00D8097B"/>
    <w:rsid w:val="00D81304"/>
    <w:rsid w:val="00D82A66"/>
    <w:rsid w:val="00D83A52"/>
    <w:rsid w:val="00D83F7C"/>
    <w:rsid w:val="00D84632"/>
    <w:rsid w:val="00D84831"/>
    <w:rsid w:val="00D85082"/>
    <w:rsid w:val="00D8651F"/>
    <w:rsid w:val="00D866C6"/>
    <w:rsid w:val="00D86AD6"/>
    <w:rsid w:val="00D87DEC"/>
    <w:rsid w:val="00D90C85"/>
    <w:rsid w:val="00D9113B"/>
    <w:rsid w:val="00D91303"/>
    <w:rsid w:val="00D927ED"/>
    <w:rsid w:val="00D9288A"/>
    <w:rsid w:val="00D92E7F"/>
    <w:rsid w:val="00D93218"/>
    <w:rsid w:val="00D94168"/>
    <w:rsid w:val="00D94232"/>
    <w:rsid w:val="00D942A1"/>
    <w:rsid w:val="00D950E8"/>
    <w:rsid w:val="00DA0F87"/>
    <w:rsid w:val="00DA202C"/>
    <w:rsid w:val="00DA227F"/>
    <w:rsid w:val="00DA357A"/>
    <w:rsid w:val="00DA3D90"/>
    <w:rsid w:val="00DB19E9"/>
    <w:rsid w:val="00DB1CF4"/>
    <w:rsid w:val="00DB2BE7"/>
    <w:rsid w:val="00DB3A83"/>
    <w:rsid w:val="00DB4DFB"/>
    <w:rsid w:val="00DB5F11"/>
    <w:rsid w:val="00DC0B9A"/>
    <w:rsid w:val="00DC19C9"/>
    <w:rsid w:val="00DC4F60"/>
    <w:rsid w:val="00DC7424"/>
    <w:rsid w:val="00DD03C2"/>
    <w:rsid w:val="00DD0BE4"/>
    <w:rsid w:val="00DD2692"/>
    <w:rsid w:val="00DD2992"/>
    <w:rsid w:val="00DD43B4"/>
    <w:rsid w:val="00DD4F97"/>
    <w:rsid w:val="00DD60BB"/>
    <w:rsid w:val="00DD6260"/>
    <w:rsid w:val="00DD7583"/>
    <w:rsid w:val="00DE1B6F"/>
    <w:rsid w:val="00DE36B6"/>
    <w:rsid w:val="00DE44B0"/>
    <w:rsid w:val="00DE71B0"/>
    <w:rsid w:val="00DF1DB9"/>
    <w:rsid w:val="00DF6BBA"/>
    <w:rsid w:val="00E00C4D"/>
    <w:rsid w:val="00E00E9E"/>
    <w:rsid w:val="00E01A14"/>
    <w:rsid w:val="00E0362C"/>
    <w:rsid w:val="00E10AFB"/>
    <w:rsid w:val="00E11D49"/>
    <w:rsid w:val="00E12C08"/>
    <w:rsid w:val="00E13EC2"/>
    <w:rsid w:val="00E144FA"/>
    <w:rsid w:val="00E161CA"/>
    <w:rsid w:val="00E178A7"/>
    <w:rsid w:val="00E209AB"/>
    <w:rsid w:val="00E21ADF"/>
    <w:rsid w:val="00E2257C"/>
    <w:rsid w:val="00E2277A"/>
    <w:rsid w:val="00E23090"/>
    <w:rsid w:val="00E27332"/>
    <w:rsid w:val="00E3267A"/>
    <w:rsid w:val="00E369DD"/>
    <w:rsid w:val="00E36B41"/>
    <w:rsid w:val="00E36D2B"/>
    <w:rsid w:val="00E36E39"/>
    <w:rsid w:val="00E37767"/>
    <w:rsid w:val="00E37B95"/>
    <w:rsid w:val="00E40823"/>
    <w:rsid w:val="00E40FF0"/>
    <w:rsid w:val="00E41585"/>
    <w:rsid w:val="00E448F2"/>
    <w:rsid w:val="00E44F44"/>
    <w:rsid w:val="00E44FF8"/>
    <w:rsid w:val="00E45499"/>
    <w:rsid w:val="00E45B2C"/>
    <w:rsid w:val="00E50DA0"/>
    <w:rsid w:val="00E516E0"/>
    <w:rsid w:val="00E53E6A"/>
    <w:rsid w:val="00E54553"/>
    <w:rsid w:val="00E5495A"/>
    <w:rsid w:val="00E5609D"/>
    <w:rsid w:val="00E5731C"/>
    <w:rsid w:val="00E57562"/>
    <w:rsid w:val="00E609C7"/>
    <w:rsid w:val="00E609FB"/>
    <w:rsid w:val="00E61C98"/>
    <w:rsid w:val="00E63F14"/>
    <w:rsid w:val="00E640D6"/>
    <w:rsid w:val="00E64EB1"/>
    <w:rsid w:val="00E650F9"/>
    <w:rsid w:val="00E6705B"/>
    <w:rsid w:val="00E671C6"/>
    <w:rsid w:val="00E67393"/>
    <w:rsid w:val="00E67540"/>
    <w:rsid w:val="00E70DB0"/>
    <w:rsid w:val="00E71BFB"/>
    <w:rsid w:val="00E74F21"/>
    <w:rsid w:val="00E77521"/>
    <w:rsid w:val="00E8057D"/>
    <w:rsid w:val="00E80C39"/>
    <w:rsid w:val="00E81AA9"/>
    <w:rsid w:val="00E82368"/>
    <w:rsid w:val="00E82775"/>
    <w:rsid w:val="00E8313F"/>
    <w:rsid w:val="00E840A6"/>
    <w:rsid w:val="00E8481A"/>
    <w:rsid w:val="00E849BF"/>
    <w:rsid w:val="00E852AF"/>
    <w:rsid w:val="00E8614A"/>
    <w:rsid w:val="00E86397"/>
    <w:rsid w:val="00E870C2"/>
    <w:rsid w:val="00E873D8"/>
    <w:rsid w:val="00E911B1"/>
    <w:rsid w:val="00E93035"/>
    <w:rsid w:val="00E9368B"/>
    <w:rsid w:val="00E94B61"/>
    <w:rsid w:val="00E94D87"/>
    <w:rsid w:val="00E95EB5"/>
    <w:rsid w:val="00EA2A15"/>
    <w:rsid w:val="00EA38C1"/>
    <w:rsid w:val="00EA7A7B"/>
    <w:rsid w:val="00EB01B2"/>
    <w:rsid w:val="00EB01E6"/>
    <w:rsid w:val="00EB0C6B"/>
    <w:rsid w:val="00EB26C8"/>
    <w:rsid w:val="00EB349C"/>
    <w:rsid w:val="00EB5510"/>
    <w:rsid w:val="00EB638C"/>
    <w:rsid w:val="00EB7447"/>
    <w:rsid w:val="00EC0856"/>
    <w:rsid w:val="00EC0D60"/>
    <w:rsid w:val="00EC1661"/>
    <w:rsid w:val="00EC1B1B"/>
    <w:rsid w:val="00EC1FD5"/>
    <w:rsid w:val="00EC2188"/>
    <w:rsid w:val="00EC4FAD"/>
    <w:rsid w:val="00EC673B"/>
    <w:rsid w:val="00ED3907"/>
    <w:rsid w:val="00ED46C1"/>
    <w:rsid w:val="00ED49A8"/>
    <w:rsid w:val="00ED53BA"/>
    <w:rsid w:val="00ED7742"/>
    <w:rsid w:val="00ED7FB2"/>
    <w:rsid w:val="00EE0217"/>
    <w:rsid w:val="00EE146F"/>
    <w:rsid w:val="00EE1771"/>
    <w:rsid w:val="00EE1A65"/>
    <w:rsid w:val="00EE2289"/>
    <w:rsid w:val="00EE2695"/>
    <w:rsid w:val="00EE37EA"/>
    <w:rsid w:val="00EE3A81"/>
    <w:rsid w:val="00EE455F"/>
    <w:rsid w:val="00EE5558"/>
    <w:rsid w:val="00EE605E"/>
    <w:rsid w:val="00EF2878"/>
    <w:rsid w:val="00EF2B5B"/>
    <w:rsid w:val="00EF5B76"/>
    <w:rsid w:val="00EF5BF5"/>
    <w:rsid w:val="00EF6AC0"/>
    <w:rsid w:val="00EF6CD5"/>
    <w:rsid w:val="00EF6ECB"/>
    <w:rsid w:val="00EF7727"/>
    <w:rsid w:val="00F00649"/>
    <w:rsid w:val="00F05E21"/>
    <w:rsid w:val="00F061A3"/>
    <w:rsid w:val="00F0673D"/>
    <w:rsid w:val="00F06E51"/>
    <w:rsid w:val="00F0713D"/>
    <w:rsid w:val="00F072FA"/>
    <w:rsid w:val="00F10933"/>
    <w:rsid w:val="00F1095D"/>
    <w:rsid w:val="00F11F9F"/>
    <w:rsid w:val="00F136A6"/>
    <w:rsid w:val="00F13B9B"/>
    <w:rsid w:val="00F17150"/>
    <w:rsid w:val="00F177F4"/>
    <w:rsid w:val="00F202B7"/>
    <w:rsid w:val="00F24EBA"/>
    <w:rsid w:val="00F26678"/>
    <w:rsid w:val="00F26863"/>
    <w:rsid w:val="00F269F6"/>
    <w:rsid w:val="00F26F02"/>
    <w:rsid w:val="00F273D6"/>
    <w:rsid w:val="00F310CE"/>
    <w:rsid w:val="00F31FDA"/>
    <w:rsid w:val="00F33139"/>
    <w:rsid w:val="00F3339B"/>
    <w:rsid w:val="00F33A18"/>
    <w:rsid w:val="00F34B08"/>
    <w:rsid w:val="00F34EBE"/>
    <w:rsid w:val="00F35168"/>
    <w:rsid w:val="00F37328"/>
    <w:rsid w:val="00F468D6"/>
    <w:rsid w:val="00F516B9"/>
    <w:rsid w:val="00F51D7B"/>
    <w:rsid w:val="00F5554B"/>
    <w:rsid w:val="00F5572A"/>
    <w:rsid w:val="00F56A74"/>
    <w:rsid w:val="00F6017E"/>
    <w:rsid w:val="00F605FC"/>
    <w:rsid w:val="00F6421D"/>
    <w:rsid w:val="00F6512E"/>
    <w:rsid w:val="00F657E7"/>
    <w:rsid w:val="00F66FC3"/>
    <w:rsid w:val="00F67BDE"/>
    <w:rsid w:val="00F7117A"/>
    <w:rsid w:val="00F71749"/>
    <w:rsid w:val="00F746D8"/>
    <w:rsid w:val="00F750F1"/>
    <w:rsid w:val="00F751F3"/>
    <w:rsid w:val="00F7658D"/>
    <w:rsid w:val="00F77A21"/>
    <w:rsid w:val="00F80791"/>
    <w:rsid w:val="00F81973"/>
    <w:rsid w:val="00F81F30"/>
    <w:rsid w:val="00F820BE"/>
    <w:rsid w:val="00F82131"/>
    <w:rsid w:val="00F82A4E"/>
    <w:rsid w:val="00F82FAC"/>
    <w:rsid w:val="00F837F7"/>
    <w:rsid w:val="00F83B46"/>
    <w:rsid w:val="00F83B82"/>
    <w:rsid w:val="00F84DC5"/>
    <w:rsid w:val="00F85317"/>
    <w:rsid w:val="00F857F4"/>
    <w:rsid w:val="00F8710D"/>
    <w:rsid w:val="00F87D51"/>
    <w:rsid w:val="00F90059"/>
    <w:rsid w:val="00F9078F"/>
    <w:rsid w:val="00F90E46"/>
    <w:rsid w:val="00F91237"/>
    <w:rsid w:val="00F92100"/>
    <w:rsid w:val="00F939E0"/>
    <w:rsid w:val="00F944E1"/>
    <w:rsid w:val="00F969A8"/>
    <w:rsid w:val="00FA492B"/>
    <w:rsid w:val="00FA57AC"/>
    <w:rsid w:val="00FA767C"/>
    <w:rsid w:val="00FB1599"/>
    <w:rsid w:val="00FB1B2D"/>
    <w:rsid w:val="00FB2656"/>
    <w:rsid w:val="00FB4007"/>
    <w:rsid w:val="00FB62BA"/>
    <w:rsid w:val="00FB6936"/>
    <w:rsid w:val="00FC0D63"/>
    <w:rsid w:val="00FC20A9"/>
    <w:rsid w:val="00FC2E0D"/>
    <w:rsid w:val="00FC37F6"/>
    <w:rsid w:val="00FC6E24"/>
    <w:rsid w:val="00FC70AD"/>
    <w:rsid w:val="00FC7167"/>
    <w:rsid w:val="00FC73B6"/>
    <w:rsid w:val="00FD12C2"/>
    <w:rsid w:val="00FD5137"/>
    <w:rsid w:val="00FD6A40"/>
    <w:rsid w:val="00FD7127"/>
    <w:rsid w:val="00FE0E95"/>
    <w:rsid w:val="00FE11F1"/>
    <w:rsid w:val="00FE2D97"/>
    <w:rsid w:val="00FE3F0B"/>
    <w:rsid w:val="00FE520C"/>
    <w:rsid w:val="00FE6517"/>
    <w:rsid w:val="00FE793C"/>
    <w:rsid w:val="00FF13F6"/>
    <w:rsid w:val="00FF20FE"/>
    <w:rsid w:val="00FF3D18"/>
    <w:rsid w:val="00FF4A69"/>
    <w:rsid w:val="00FF5D9C"/>
    <w:rsid w:val="00FF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0429C"/>
    <w:rPr>
      <w:rFonts w:ascii="Tahoma" w:hAnsi="Tahoma" w:cs="Tahoma"/>
      <w:sz w:val="16"/>
      <w:szCs w:val="16"/>
    </w:rPr>
  </w:style>
  <w:style w:type="character" w:customStyle="1" w:styleId="BalloonTextChar">
    <w:name w:val="Balloon Text Char"/>
    <w:basedOn w:val="DefaultParagraphFont"/>
    <w:link w:val="BalloonText"/>
    <w:rsid w:val="0000429C"/>
    <w:rPr>
      <w:rFonts w:ascii="Tahoma" w:hAnsi="Tahoma" w:cs="Tahoma"/>
      <w:sz w:val="16"/>
      <w:szCs w:val="16"/>
    </w:rPr>
  </w:style>
  <w:style w:type="character" w:styleId="Hyperlink">
    <w:name w:val="Hyperlink"/>
    <w:basedOn w:val="DefaultParagraphFont"/>
    <w:unhideWhenUsed/>
    <w:rsid w:val="00726AED"/>
    <w:rPr>
      <w:color w:val="0000FF" w:themeColor="hyperlink"/>
      <w:u w:val="single"/>
    </w:rPr>
  </w:style>
  <w:style w:type="character" w:styleId="Strong">
    <w:name w:val="Strong"/>
    <w:basedOn w:val="DefaultParagraphFont"/>
    <w:uiPriority w:val="22"/>
    <w:qFormat/>
    <w:rsid w:val="006207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0429C"/>
    <w:rPr>
      <w:rFonts w:ascii="Tahoma" w:hAnsi="Tahoma" w:cs="Tahoma"/>
      <w:sz w:val="16"/>
      <w:szCs w:val="16"/>
    </w:rPr>
  </w:style>
  <w:style w:type="character" w:customStyle="1" w:styleId="BalloonTextChar">
    <w:name w:val="Balloon Text Char"/>
    <w:basedOn w:val="DefaultParagraphFont"/>
    <w:link w:val="BalloonText"/>
    <w:rsid w:val="0000429C"/>
    <w:rPr>
      <w:rFonts w:ascii="Tahoma" w:hAnsi="Tahoma" w:cs="Tahoma"/>
      <w:sz w:val="16"/>
      <w:szCs w:val="16"/>
    </w:rPr>
  </w:style>
  <w:style w:type="character" w:styleId="Hyperlink">
    <w:name w:val="Hyperlink"/>
    <w:basedOn w:val="DefaultParagraphFont"/>
    <w:unhideWhenUsed/>
    <w:rsid w:val="00726AED"/>
    <w:rPr>
      <w:color w:val="0000FF" w:themeColor="hyperlink"/>
      <w:u w:val="single"/>
    </w:rPr>
  </w:style>
  <w:style w:type="character" w:styleId="Strong">
    <w:name w:val="Strong"/>
    <w:basedOn w:val="DefaultParagraphFont"/>
    <w:uiPriority w:val="22"/>
    <w:qFormat/>
    <w:rsid w:val="006207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85125">
      <w:bodyDiv w:val="1"/>
      <w:marLeft w:val="0"/>
      <w:marRight w:val="0"/>
      <w:marTop w:val="0"/>
      <w:marBottom w:val="0"/>
      <w:divBdr>
        <w:top w:val="none" w:sz="0" w:space="0" w:color="auto"/>
        <w:left w:val="none" w:sz="0" w:space="0" w:color="auto"/>
        <w:bottom w:val="none" w:sz="0" w:space="0" w:color="auto"/>
        <w:right w:val="none" w:sz="0" w:space="0" w:color="auto"/>
      </w:divBdr>
    </w:div>
    <w:div w:id="159902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illumina.com/bulletins/2016/10/cluster-density-guidelines-for-illumina-sequencing-platforms-.html" TargetMode="External"/><Relationship Id="rId3" Type="http://schemas.openxmlformats.org/officeDocument/2006/relationships/settings" Target="settings.xml"/><Relationship Id="rId7" Type="http://schemas.openxmlformats.org/officeDocument/2006/relationships/image" Target="media/image2.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urtis.davies@ucdenver.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2908</Words>
  <Characters>16581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Aisner, Dara</dc:creator>
  <cp:lastModifiedBy>Davies, Kurtis</cp:lastModifiedBy>
  <cp:revision>3</cp:revision>
  <cp:lastPrinted>2015-08-19T20:33:00Z</cp:lastPrinted>
  <dcterms:created xsi:type="dcterms:W3CDTF">2019-04-02T20:36:00Z</dcterms:created>
  <dcterms:modified xsi:type="dcterms:W3CDTF">2019-04-02T20:45:00Z</dcterms:modified>
</cp:coreProperties>
</file>