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Disclosing Hemolymph Collection and Inoculation of </w:t>
      </w:r>
      <w:r>
        <w:rPr>
          <w:rFonts w:ascii="Calibri" w:hAnsi="Calibri" w:cs="Calibri" w:eastAsia="Calibri"/>
          <w:b/>
          <w:i/>
          <w:color w:val="000000"/>
          <w:spacing w:val="0"/>
          <w:position w:val="0"/>
          <w:sz w:val="24"/>
          <w:shd w:fill="auto" w:val="clear"/>
        </w:rPr>
        <w:t xml:space="preserve">Metarhizium </w:t>
      </w:r>
      <w:r>
        <w:rPr>
          <w:rFonts w:ascii="Calibri" w:hAnsi="Calibri" w:cs="Calibri" w:eastAsia="Calibri"/>
          <w:b/>
          <w:color w:val="000000"/>
          <w:spacing w:val="0"/>
          <w:position w:val="0"/>
          <w:sz w:val="24"/>
          <w:shd w:fill="auto" w:val="clear"/>
        </w:rPr>
        <w:t xml:space="preserve">Blastospores into </w:t>
      </w:r>
      <w:r>
        <w:rPr>
          <w:rFonts w:ascii="Calibri" w:hAnsi="Calibri" w:cs="Calibri" w:eastAsia="Calibri"/>
          <w:b/>
          <w:i/>
          <w:color w:val="000000"/>
          <w:spacing w:val="0"/>
          <w:position w:val="0"/>
          <w:sz w:val="24"/>
          <w:shd w:fill="auto" w:val="clear"/>
        </w:rPr>
        <w:t xml:space="preserve">Rhipicephalus microplus</w:t>
      </w:r>
      <w:r>
        <w:rPr>
          <w:rFonts w:ascii="Calibri" w:hAnsi="Calibri" w:cs="Calibri" w:eastAsia="Calibri"/>
          <w:b/>
          <w:color w:val="000000"/>
          <w:spacing w:val="0"/>
          <w:position w:val="0"/>
          <w:sz w:val="24"/>
          <w:shd w:fill="auto" w:val="clear"/>
        </w:rPr>
        <w:t xml:space="preserve"> Ticks Towards Invertebrate Pathology Studies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J&amp;#233;ssica Fiorotti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Patr&amp;#237;cia S. Gôlo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Allan Felipe Marciano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Mariana G. Camargo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Isabele C. Angelo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Vânia R.E.P. Bittencourt</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Post-Graduate Program in Veterinary Sciences, Federal Rural University of Rio de Janeiro, Serop&amp;#233;dica, RJ,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Animal Parasitology, Federal Rural University of Rio de Janeiro, Serop&amp;#233;dica, RJ,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Epidemiology and Public Health, Federal Rural University of Rio de Janeiro, Serop&amp;#233;dica, RJ,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Vânia R.E.P. Bittencourt</w:t>
        <w:tab/>
        <w:t xml:space="preserve">(</w:t>
      </w:r>
      <w:r>
        <w:rPr>
          <w:rFonts w:ascii="Calibri" w:hAnsi="Calibri" w:cs="Calibri" w:eastAsia="Calibri"/>
          <w:color w:val="000000"/>
          <w:spacing w:val="0"/>
          <w:position w:val="0"/>
          <w:sz w:val="24"/>
          <w:shd w:fill="auto" w:val="clear"/>
        </w:rPr>
        <w:t xml:space="preserve">vaniabit@ufrrj.br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J&amp;#233;ssica Fiorotti</w:t>
        <w:tab/>
        <w:tab/>
        <w:tab/>
        <w:t xml:space="preserve">(</w:t>
      </w:r>
      <w:r>
        <w:rPr>
          <w:rFonts w:ascii="Calibri" w:hAnsi="Calibri" w:cs="Calibri" w:eastAsia="Calibri"/>
          <w:color w:val="000000"/>
          <w:spacing w:val="0"/>
          <w:position w:val="0"/>
          <w:sz w:val="24"/>
          <w:shd w:fill="auto" w:val="clear"/>
        </w:rPr>
        <w:t xml:space="preserve">jessicafiorot@ufrrj.br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Patr&amp;#237;cia S. Gôlo</w:t>
        <w:tab/>
        <w:tab/>
        <w:t xml:space="preserve">(</w:t>
      </w:r>
      <w:r>
        <w:rPr>
          <w:rFonts w:ascii="Calibri" w:hAnsi="Calibri" w:cs="Calibri" w:eastAsia="Calibri"/>
          <w:color w:val="000000"/>
          <w:spacing w:val="0"/>
          <w:position w:val="0"/>
          <w:sz w:val="24"/>
          <w:shd w:fill="auto" w:val="clear"/>
        </w:rPr>
        <w:t xml:space="preserve">patriciagolo@gmail.com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Allan Felipe Marciano</w:t>
        <w:tab/>
        <w:tab/>
        <w:t xml:space="preserve">(</w:t>
      </w:r>
      <w:r>
        <w:rPr>
          <w:rFonts w:ascii="Calibri" w:hAnsi="Calibri" w:cs="Calibri" w:eastAsia="Calibri"/>
          <w:color w:val="000000"/>
          <w:spacing w:val="0"/>
          <w:position w:val="0"/>
          <w:sz w:val="24"/>
          <w:shd w:fill="auto" w:val="clear"/>
        </w:rPr>
        <w:t xml:space="preserve">allanmarc@gmail.com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G. Camargo</w:t>
        <w:tab/>
        <w:tab/>
        <w:t xml:space="preserve">(</w:t>
      </w:r>
      <w:r>
        <w:rPr>
          <w:rFonts w:ascii="Calibri" w:hAnsi="Calibri" w:cs="Calibri" w:eastAsia="Calibri"/>
          <w:color w:val="000000"/>
          <w:spacing w:val="0"/>
          <w:position w:val="0"/>
          <w:sz w:val="24"/>
          <w:shd w:fill="auto" w:val="clear"/>
        </w:rPr>
        <w:t xml:space="preserve">marigcamargo@gmail.com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Isabele C. Angelo</w:t>
        <w:tab/>
        <w:tab/>
        <w:t xml:space="preserve">(</w:t>
      </w:r>
      <w:r>
        <w:rPr>
          <w:rFonts w:ascii="Calibri" w:hAnsi="Calibri" w:cs="Calibri" w:eastAsia="Calibri"/>
          <w:color w:val="000000"/>
          <w:spacing w:val="0"/>
          <w:position w:val="0"/>
          <w:sz w:val="24"/>
          <w:shd w:fill="auto" w:val="clear"/>
        </w:rPr>
        <w:t xml:space="preserve">isabeleangelo@yahoo.com.br</w:t>
      </w:r>
      <w:r>
        <w:rPr>
          <w:rFonts w:ascii="Calibri" w:hAnsi="Calibri" w:cs="Calibri" w:eastAsia="Calibri"/>
          <w:color w:val="auto"/>
          <w:spacing w:val="0"/>
          <w:position w:val="0"/>
          <w:sz w:val="24"/>
          <w:shd w:fill="auto" w:val="clear"/>
        </w:rPr>
        <w:t xml:space="preserve">) </w:t>
      </w:r>
    </w:p>
    <w:p>
      <w:pPr>
        <w:tabs>
          <w:tab w:val="left" w:pos="630" w:leader="none"/>
          <w:tab w:val="left" w:pos="8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fungal infection, tick hemocytes, immune response, arthropod, model host, immunology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tick hemolymph represents an important source of information on how some pathogens cause disease and how ticks immunologically respond to this infection. The present study demonstrates how to inoculate fungal propagules and collect hemolymph from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engorged females. </w:t>
      </w: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 w:val="left" w:pos="24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Ticks are obligate hematophagous ectoparasites and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has great importance in veterinary medicine because it causes anemia, weight loss, depreciation of the animals’ leather and also can act as a vector of several pathogens. Due to the exorbitant costs to control these parasites, damage to the environment caused by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inappropriate use of chemical acaricides, and the increased resistance against traditional parasiticides, alternative control of ticks, by the use of entomopathogenic fungi, for example, has been considered an interesting approach. Nevertheless, few studies have demonstrated how the tick’s immune system acts to fight these entomopathogens. Therefore, this protocol demonstrates two methods used for entomopathogen inoculation into engorged females and two techniques used for hemolymph collection and hemocytes harvesting. Inoculation of pathogens at the leg insertion in the tick female’s body allows evaluation of females biologic parameters unlike the inoculation between the scutum and capitulum, which frequently damages Gen&amp;#233;’s organ. Dorsal hemolymph collection yielded a higher volume recovery than collection through the legs. Some limitations of tick hemolymph collection and processing include i) high rates of hemocytes’ disruption, ii) hemolymph contamination with disrupted midgut, and iii) low hemolymph volume recovery. When hemolymph is collected through the leg cutting, the hemolymph takes time to accumulate at the leg opening, favoring the clotting process. In addition, fewer hemocytes are obtained in the collection through the leg compared to the dorsal collection, even though the first method is considered easier to be performed. Understanding the immune response in ticks mediated by entomopathogenic agents helps to unveil their pathogenesis and develop new targets for tick control. The inoculation processes described here require very low technological resources and can be used not only to expose ticks to pathogenic microorganisms. Similarly, the collection of tick hemolymph may represent the first step for many physiological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cattle tick,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is an hematophagus actoparasite with </w:t>
      </w:r>
      <w:r>
        <w:rPr>
          <w:rFonts w:ascii="Calibri" w:hAnsi="Calibri" w:cs="Calibri" w:eastAsia="Calibri"/>
          <w:color w:val="000000"/>
          <w:spacing w:val="0"/>
          <w:position w:val="0"/>
          <w:sz w:val="24"/>
          <w:shd w:fill="auto" w:val="clear"/>
        </w:rPr>
        <w:t xml:space="preserve">an enormous negative impact on livestock in tropical areas</w:t>
      </w:r>
      <w:r>
        <w:rPr>
          <w:rFonts w:ascii="Calibri" w:hAnsi="Calibri" w:cs="Calibri" w:eastAsia="Calibri"/>
          <w:color w:val="auto"/>
          <w:spacing w:val="0"/>
          <w:position w:val="0"/>
          <w:sz w:val="24"/>
          <w:shd w:fill="auto" w:val="clear"/>
        </w:rPr>
        <w:t xml:space="preserve">. This tick is the vector of pathogenic agents such as </w:t>
      </w:r>
      <w:r>
        <w:rPr>
          <w:rFonts w:ascii="Calibri" w:hAnsi="Calibri" w:cs="Calibri" w:eastAsia="Calibri"/>
          <w:i/>
          <w:color w:val="auto"/>
          <w:spacing w:val="0"/>
          <w:position w:val="0"/>
          <w:sz w:val="24"/>
          <w:shd w:fill="auto" w:val="clear"/>
        </w:rPr>
        <w:t xml:space="preserve">Babesia bovis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Babesia bigemina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Anaplasma marginale</w:t>
      </w:r>
      <w:r>
        <w:rPr>
          <w:rFonts w:ascii="Calibri" w:hAnsi="Calibri" w:cs="Calibri" w:eastAsia="Calibri"/>
          <w:color w:val="auto"/>
          <w:spacing w:val="0"/>
          <w:position w:val="0"/>
          <w:sz w:val="24"/>
          <w:shd w:fill="auto" w:val="clear"/>
        </w:rPr>
        <w:t xml:space="preserve"> that, combined with the direct hemofeeding damage, can reduce milk and meat production, cause anemia and ultimately death. Losses caused by this ectoparasite were estimated in 3.24 billion dollars annually in Brazil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Sustainable methods are demanded and the use of entomopathogenic agents is considered a promising alternative to reduce the use of chemicals acaricides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Entomopathogenic fungi, such as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are natural enemies of arthropods including ticks, and some isolates can be used as biocontrollers. These pathogens actively infect the host through the cuticle and colonize their body</w:t>
      </w:r>
      <w:r>
        <w:rPr>
          <w:rFonts w:ascii="Calibri" w:hAnsi="Calibri" w:cs="Calibri" w:eastAsia="Calibri"/>
          <w:color w:val="auto"/>
          <w:spacing w:val="0"/>
          <w:position w:val="0"/>
          <w:sz w:val="24"/>
          <w:shd w:fill="auto" w:val="clear"/>
          <w:vertAlign w:val="superscript"/>
        </w:rPr>
        <w:t xml:space="preserve">2,5,6</w:t>
      </w:r>
      <w:r>
        <w:rPr>
          <w:rFonts w:ascii="Calibri" w:hAnsi="Calibri" w:cs="Calibri" w:eastAsia="Calibri"/>
          <w:color w:val="auto"/>
          <w:spacing w:val="0"/>
          <w:position w:val="0"/>
          <w:sz w:val="24"/>
          <w:shd w:fill="auto" w:val="clear"/>
        </w:rPr>
        <w:t xml:space="preserve">. As the infection develops, cellular and humoral responses are mediated by the tick immune system. Analysis of the tick hemolymph is reported as a useful tool to evaluate the immune responses after the challenging with pathogens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Arthropods’ immune response is divided into humoral and cellular responses. The humoral response involves hemagglutination processes and production of antimicrobial proteins/peptides, whereas the cellular immune response is performed through the hemocytes. These cells are present in the hemolymph from all arthropods and are reported to develop an expressive role in studies involving innate immune response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it is directly related to the phagocytosis and encapsulation processes. Accordingly, studies about hemocytes can help to investigate death pathway and understand processes such as autophagy, apoptosis, and necrosis. In some invertebrates as bivalves, the hemocytes’ collection faces limitations like cell disruption, low hemolymph volume obtained, and low concentration of recovered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Very frequently, depending on the methodology applied, reduced concentration of cells is obtained, impacting directly on cells quantification and analysis.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hemocytes circulating in the hemolymph is variable among different arthropods and it can change in the same species due to different physiological stages such as sex, age, and the arthropod’s developmental stage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Hemocytes can also be found adhered to some organs and be released into circulation just after the infection process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Nevertheless, most studies reported use insects, while ticks remain less explored regarding their physiology and pathology. Despite pathogen inoculation and hemolymph collection in ticks are less used techniques, establishing standard methods helps the development of more accurate studies.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present study was to compare the most used methods for hemolymph collection and inoculation of pathogens into </w:t>
      </w:r>
      <w:r>
        <w:rPr>
          <w:rFonts w:ascii="Calibri" w:hAnsi="Calibri" w:cs="Calibri" w:eastAsia="Calibri"/>
          <w:i/>
          <w:color w:val="auto"/>
          <w:spacing w:val="0"/>
          <w:position w:val="0"/>
          <w:sz w:val="24"/>
          <w:shd w:fill="auto" w:val="clear"/>
        </w:rPr>
        <w:t xml:space="preserve">R. microplus</w:t>
      </w:r>
      <w:r>
        <w:rPr>
          <w:rFonts w:ascii="Calibri" w:hAnsi="Calibri" w:cs="Calibri" w:eastAsia="Calibri"/>
          <w:color w:val="auto"/>
          <w:spacing w:val="0"/>
          <w:position w:val="0"/>
          <w:sz w:val="24"/>
          <w:shd w:fill="auto" w:val="clear"/>
        </w:rPr>
        <w:t xml:space="preserve"> ticks, evaluating the efficacy in the hemolymph acquisition and hemocytes concentration.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Ticks used in the present study were obtained from an artificial colony, mantained at Federal Rural University of Rio de Janeiro, which methods have been approved by the Committee on Ethics for the Use of Vertebrate Animals (CEUA-IV/UFRRJ #037/2014).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Tick engorged females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After tick gathering, wash engorged females using tap water and immerse them in 0.5% (v/v) sodium hypochlorite solution for 3 min in a 500 mL glass beaker recipient, for cuticle hygiene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then dry all females using sterile paper towels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Divide females in homogeneous weighted groups (with 20 females each): one group without any treatment, one control group inoculated with 5</w:t>
      </w:r>
      <w:r>
        <w:rPr>
          <w:rFonts w:ascii="Calibri" w:hAnsi="Calibri" w:cs="Calibri" w:eastAsia="Calibri"/>
          <w:color w:val="000000"/>
          <w:spacing w:val="0"/>
          <w:position w:val="0"/>
          <w:sz w:val="24"/>
          <w:shd w:fill="auto" w:val="clear"/>
        </w:rPr>
        <w:t xml:space="preserve"> &amp;#181;L</w:t>
      </w:r>
      <w:r>
        <w:rPr>
          <w:rFonts w:ascii="Calibri" w:hAnsi="Calibri" w:cs="Calibri" w:eastAsia="Calibri"/>
          <w:color w:val="auto"/>
          <w:spacing w:val="0"/>
          <w:position w:val="0"/>
          <w:sz w:val="24"/>
          <w:shd w:fill="auto" w:val="clear"/>
        </w:rPr>
        <w:t xml:space="preserve"> of 0.1% polyoxyethylene sorbitan monooleate aqueous solution (v/v), and one infected-group inoculated with 5</w:t>
      </w:r>
      <w:r>
        <w:rPr>
          <w:rFonts w:ascii="Calibri" w:hAnsi="Calibri" w:cs="Calibri" w:eastAsia="Calibri"/>
          <w:color w:val="000000"/>
          <w:spacing w:val="0"/>
          <w:position w:val="0"/>
          <w:sz w:val="24"/>
          <w:shd w:fill="auto" w:val="clear"/>
        </w:rPr>
        <w:t xml:space="preserve"> &amp;#181;L at</w:t>
      </w:r>
      <w:r>
        <w:rPr>
          <w:rFonts w:ascii="Calibri" w:hAnsi="Calibri" w:cs="Calibri" w:eastAsia="Calibri"/>
          <w:color w:val="auto"/>
          <w:spacing w:val="0"/>
          <w:position w:val="0"/>
          <w:sz w:val="24"/>
          <w:shd w:fill="auto" w:val="clear"/>
        </w:rPr>
        <w:t xml:space="preserve"> 1.0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blastospores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untreated ticks were used for volume and hemocyte concentration. Three replicates of each group were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Pathogens inoculation between the scutum and capitulum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entomopathogenic fungal suspensions were used as an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Suspend fungal blastospores in 1 mL of 0.1% polyoxyethylene sorbitan monooleate aqueous solution (v/v) and adjust to a final concentration of 1.0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blastospores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 an aliquot of 5 &amp;#181;L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blastospores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suspension to the surface of a plastic paraffin film.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Metarhizium </w:t>
      </w:r>
      <w:r>
        <w:rPr>
          <w:rFonts w:ascii="Calibri" w:hAnsi="Calibri" w:cs="Calibri" w:eastAsia="Calibri"/>
          <w:color w:val="000000"/>
          <w:spacing w:val="0"/>
          <w:position w:val="0"/>
          <w:sz w:val="24"/>
          <w:shd w:fill="auto" w:val="clear"/>
        </w:rPr>
        <w:t xml:space="preserve">blastospores suspension was adjusted using a Neubauer´s chamber</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speed the inoculation process, multiple bubbles can be added to the plastic paraffin film surface, each bubble corresponding to 5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a 1 mL ultra-fine insulin syringe and a 0.3 mm needle to pull the suspension and inoculate it into the tick. Remember to take all the air out of the syringe before using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Inoculate 5 &amp;#181;L of fungal suspension into the tick female between the scutum and capitulum. Inoculate females from the control group with 5 &amp;#181;L of 0.1% polyoxyethylene sorbitan monooleate aqueous solution (v/v) with no fungus.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 volume of hemolymph may be present on the foramen after the needle insertion. Be careful to not inoculate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Inoculation of entomopathogenic fungi between the leg thigh and the tick female’s body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Inoculate females with fungal suspension (5 &amp;#181;L at 1.0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blastospores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between the leg tigh and the female’s body, using a 1 mL ultra-fine insulin syringe coupled to a 0.3 mm needle. Inoculate females from the control group with 5 &amp;#181;L of 0.1% polyoxyethylene sorbitan monooleate aqueous solution (v/v).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blastospores inoculation is performed between the leg tigh and the tick female’s body, a small volume of hemolymph can be present on the tigh after the needle insertion. Be careful to not inoculate 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Dorsal hemolymph collection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the rubber part of a winged infusion set, a 0.3 mm capillary tube, and a filtered tip to perform the hemolymph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Disrupt the female dorsal cuticle using a 0.3 mm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disruption, apply gentle pressure on the anterior part of the tick body. Observe an almost transparent liquid pulling out of the disruption site. Collect the hemolymph by sucking the liquid through the filter tip coupled to the rubber part of a winged infusion set, and a 0.3 mm capillary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press the tick’s body hardly during its immobilization because this may disrupt the midgut and contaminate the hemolymph. Wait until gentle pressure can expel the fluid without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Hemolymph collection from the tick leg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Immobilize the tick, cut a piece of a front leg with a pair of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or more legs can be cut, as well as, the same leg can be cut more than one time.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Apply gentle pressure on the tick’s posterior body part. Observe a transparent liquid bubble that shows up on the cut site and collect it with the capillary tube, as described in step 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press the tick’s body hardly during its immobilization because this may disrupt the midgut and contaminate the hemolymph. Wait until gentle pressure can expel the fluid without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Hemolymph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After hemolymph collection, deposit it in 1.5 mL microtubes previously filled with 30 &amp;#181;L protease cocktail and 82 &amp;#181;L saline buffer. Keep the microtubes on ice throughout the hemolymph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Centrifuge samples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 </w:t>
      </w:r>
      <w:r>
        <w:rPr>
          <w:rFonts w:ascii="Calibri" w:hAnsi="Calibri" w:cs="Calibri" w:eastAsia="Calibri"/>
          <w:color w:val="000000"/>
          <w:spacing w:val="0"/>
          <w:position w:val="0"/>
          <w:sz w:val="24"/>
          <w:shd w:fill="auto" w:val="clear"/>
        </w:rPr>
        <w:t xml:space="preserve">A soft pellet of hemocytes will be formed after hemolymph centrifugation.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hemolymph quantification, quantify the hemolymph volume obtained by counting the total volume inside the microtube and discounting the volume of protease cocktail and saline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Carefully remove the supernatant (cell-free hemolymph). Gently resuspend the cells in, for example, Leibovitz’s L-15 culture adjusted to pH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Quantify hemocytes by placing 10 &amp;#181;L of resuspended hemocytes in a Neubauer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Hemocyte sampling slide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Cut the tick’s front leg with a pair of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Apply gentle pressure on the tick’s posterior body part. Observe a transparent liquid bubble that shows up on the cut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Apply the hemolymph drops directly on clean microscope slides, after that, use appropriated methods to stain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To stain hemocytes using Giemsa, air-dry the hemolymph on the slide for 30 min, fix it at room temperature with methanol for 3 min, and stain in Giemsa solution (1:9 ratio of Sorensen’s buffer solution, pH 7.2) for 30 min at room temperature. Wash the slides with running water to remove the excess of dye, air-dry the slide and evaluate the cells at 400x in an optical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approaches inoculation and hemolymph collection methods applied to ticks. After the inoculation between the leg thigh and the tick female’s body, some fluid (hemolymph) can be secreted during the process; however, it is important to note that when the inoculation is finished, no liquid or tissues were present in the needle tip or at the inoculation site, ensuring that the fungal suspension was completely inoculated. When the inoculation process was correctly performed, the needle insertion did not cause tick females’ death. On the other hand, ticks died approximately 48 h after inoculation of the entomopathogenic fungus. Inoculation between the leg thigh and tick female’s body can damage tick intern organs such as midgut and the Malpighian tubules, while damage to Gene’s organ can occur during inoculation between the scutum and capitulum.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tick midgut is disrupted by the needle during the dorsal hemolymph collection, the fluid obtained is red, not colorless. This indicates an incorrect hemolymph collection. In these cases, hemolymph shall be discarded since it is contaminated with intestinal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auto" w:val="clear"/>
        </w:rPr>
        <w:t xml:space="preserve">The correct hemolymph collection is crucial to properly conduct the experiments and obtain reliable results. When hemolymph was collected from cut tick legs (n = 20 ticks homogenously weighed), the volume obtained was lower than the total hemolymph obtained from the dorsal collection (n = 20 ticks homogenously weighed)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suggested that, due to the low volume of each drop that pulls out of the cut leg, hemolymph clotting can be frequently present during this process of hemolymph collection. This may negatively interfere in the hemocytes acquisition and classification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Despite the higher volume achievement</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of hemolymph, the dorsal collection is considered more difficult to perform.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Ticks’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cuticle hygienization</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Rhipicephalus microplus</w:t>
      </w:r>
      <w:r>
        <w:rPr>
          <w:rFonts w:ascii="Calibri" w:hAnsi="Calibri" w:cs="Calibri" w:eastAsia="Calibri"/>
          <w:color w:val="auto"/>
          <w:spacing w:val="0"/>
          <w:position w:val="0"/>
          <w:sz w:val="24"/>
          <w:shd w:fill="FFFFFF" w:val="clear"/>
        </w:rPr>
        <w:t xml:space="preserve"> fully engorged females were washed using tap water and immersed in 0.5% sodium hypochlorite solution (v/v) for 3 min in a 500 mL glass beaker recipient.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Ticks’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cuticle drying</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Rhipicephalus microplus</w:t>
      </w:r>
      <w:r>
        <w:rPr>
          <w:rFonts w:ascii="Calibri" w:hAnsi="Calibri" w:cs="Calibri" w:eastAsia="Calibri"/>
          <w:color w:val="auto"/>
          <w:spacing w:val="0"/>
          <w:position w:val="0"/>
          <w:sz w:val="24"/>
          <w:shd w:fill="FFFFFF" w:val="clear"/>
        </w:rPr>
        <w:t xml:space="preserve"> fully engorged females were dried using sterile paper towels.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FFFFFF" w:val="clear"/>
        </w:rPr>
        <w:t xml:space="preserve">Metarhizium </w:t>
      </w:r>
      <w:r>
        <w:rPr>
          <w:rFonts w:ascii="Calibri" w:hAnsi="Calibri" w:cs="Calibri" w:eastAsia="Calibri"/>
          <w:b/>
          <w:color w:val="auto"/>
          <w:spacing w:val="0"/>
          <w:position w:val="0"/>
          <w:sz w:val="24"/>
          <w:shd w:fill="FFFFFF" w:val="clear"/>
        </w:rPr>
        <w:t xml:space="preserve">blastospores. </w:t>
      </w:r>
      <w:r>
        <w:rPr>
          <w:rFonts w:ascii="Calibri" w:hAnsi="Calibri" w:cs="Calibri" w:eastAsia="Calibri"/>
          <w:color w:val="auto"/>
          <w:spacing w:val="0"/>
          <w:position w:val="0"/>
          <w:sz w:val="24"/>
          <w:shd w:fill="FFFFFF" w:val="clear"/>
        </w:rPr>
        <w:t xml:space="preserve">Fungal propaluges used in tick inoculation. Scale bar = 50</w:t>
      </w:r>
      <w:r>
        <w:rPr>
          <w:rFonts w:ascii="Calibri" w:hAnsi="Calibri" w:cs="Calibri" w:eastAsia="Calibri"/>
          <w:color w:val="auto"/>
          <w:spacing w:val="0"/>
          <w:position w:val="0"/>
          <w:sz w:val="24"/>
          <w:shd w:fill="auto" w:val="clear"/>
        </w:rPr>
        <w:t xml:space="preserve">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graph demonstrating hemolymph volume obtained with each collecton method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hemolymph volume obtained after dorsal or leg collection. A pool of 20 homogenously weighed ticks were used for each method. These ticks were not previously inoculated. Mean values &amp;plusmn; standard deviation followed for the same letter do not differ statistically after analysis of variance (ANOVA)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Hemocytes concentration obtained with each hemolymph collection method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hemocytes concentration obtained after resuspension in Leibovitz’s L-15 culture medium after dorsal or leg collection. Mean values &amp;plusmn; standard deviation followed for the same letter do not differ statistically after Kruskal-Wallis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Hemocytes found in </w:t>
      </w:r>
      <w:r>
        <w:rPr>
          <w:rFonts w:ascii="Calibri" w:hAnsi="Calibri" w:cs="Calibri" w:eastAsia="Calibri"/>
          <w:b/>
          <w:i/>
          <w:color w:val="auto"/>
          <w:spacing w:val="0"/>
          <w:position w:val="0"/>
          <w:sz w:val="24"/>
          <w:shd w:fill="FFFFFF" w:val="clear"/>
        </w:rPr>
        <w:t xml:space="preserve">Rhipicephalus microplus</w:t>
      </w:r>
      <w:r>
        <w:rPr>
          <w:rFonts w:ascii="Calibri" w:hAnsi="Calibri" w:cs="Calibri" w:eastAsia="Calibri"/>
          <w:b/>
          <w:color w:val="auto"/>
          <w:spacing w:val="0"/>
          <w:position w:val="0"/>
          <w:sz w:val="24"/>
          <w:shd w:fill="FFFFFF" w:val="clear"/>
        </w:rPr>
        <w:t xml:space="preserve"> hemolymph smear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 microplus</w:t>
      </w:r>
      <w:r>
        <w:rPr>
          <w:rFonts w:ascii="Calibri" w:hAnsi="Calibri" w:cs="Calibri" w:eastAsia="Calibri"/>
          <w:color w:val="auto"/>
          <w:spacing w:val="0"/>
          <w:position w:val="0"/>
          <w:sz w:val="24"/>
          <w:shd w:fill="auto" w:val="clear"/>
        </w:rPr>
        <w:t xml:space="preserve"> hemocytes were stained by Giemsa. Black arrows indicate the different cells in the tick hemolymph.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Inoculation of pathogens is useful when the study aims to investigate the in vivo action of microorganisms in experimental arthropod models because it assures that the pathogen is inside the host. The technique can also be applied to inoculate molecules such as RNA interference (RNAi). Inoculation between the scutum and capitulum is considered easier to perform but frequently damages Gen&amp;#233;’s organ, impairing the eggs viability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Gen&amp;#233;’s organ is anatomically located close to the anterior part of capitum, and it is an important organ for the tick oviposition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Accordingly, inoculation between the leg tigh and the female’s body is more appropriate if the study requires the observation of females’ biological parameters since the Gen&amp;#233;’s organ will not be injured. Despite the inoculation method between the leg thigh and the tick’s body is considered more difficult and easily damage or expose the tick internal organs, such as the midgut and the Malpighian tubules, when it is well performed, it will not disrupt these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Hemolymph analysis is essential to understand the arthropod immune system as well as to understand pathogenesis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Accordingly tick hemolymph can be used to unveil tick physiology, assure tick infectivity, understand tick-pathogen interactions, and the cellular and humoral immune responses</w:t>
      </w:r>
      <w:r>
        <w:rPr>
          <w:rFonts w:ascii="Calibri" w:hAnsi="Calibri" w:cs="Calibri" w:eastAsia="Calibri"/>
          <w:color w:val="auto"/>
          <w:spacing w:val="0"/>
          <w:position w:val="0"/>
          <w:sz w:val="24"/>
          <w:shd w:fill="auto" w:val="clear"/>
          <w:vertAlign w:val="superscript"/>
        </w:rPr>
        <w:t xml:space="preserve">9,17,18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Tick hemolymph collection through the leg cutting is reported in several studies</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Despite this method being simple with no or very low hemolymph contamination, it is considered counterproductive for studies that require high concentrations of hemocytes or large volumes of hemolymph. On the other hand, the correct execution of hemolymph collection through the dorsal region of engorged females is not easy to achieve since the gut occupies almost the entire tick body and rupturing it with the needle causes hemolymph contamination. Contamination due to gut disruption can also be observed when the tick is naturally infected with high loads of hemoparasites (viz., </w:t>
      </w:r>
      <w:r>
        <w:rPr>
          <w:rFonts w:ascii="Calibri" w:hAnsi="Calibri" w:cs="Calibri" w:eastAsia="Calibri"/>
          <w:i/>
          <w:color w:val="auto"/>
          <w:spacing w:val="0"/>
          <w:position w:val="0"/>
          <w:sz w:val="24"/>
          <w:shd w:fill="auto" w:val="clear"/>
        </w:rPr>
        <w:t xml:space="preserve">Babesia</w:t>
      </w:r>
      <w:r>
        <w:rPr>
          <w:rFonts w:ascii="Calibri" w:hAnsi="Calibri" w:cs="Calibri" w:eastAsia="Calibri"/>
          <w:color w:val="auto"/>
          <w:spacing w:val="0"/>
          <w:position w:val="0"/>
          <w:sz w:val="24"/>
          <w:shd w:fill="auto" w:val="clear"/>
        </w:rPr>
        <w:t xml:space="preserve"> spp.), or in the final steps of the death process caused by entomopathogens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these cases, hemolymph shall be discarded since hemocytes and plasma analyzes can be affected.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centrifugation speed of hemolymph samples for hemocytes harvesting is also important and directly influence the hemocytes concentration, since high relative centrifugal field (RCF) speeds contribute to: i) cell pellet difficult to resuspend, ii) cells disruption, and iii) hemocytes degranulation. The ideal cell pellet is a soft pellet easy to resuspend. For this reason, the centrifugation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three minutes at 4 &amp;#176;C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was used. In the present study, hemocytes were resuspended in a culture medium and not in phosphate-buffered saline (PBS) because the culture medium supports better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presented here may face limitations when applied to immatures stages (larva and nymph) of ticks or unfed adults. </w:t>
      </w:r>
      <w:r>
        <w:rPr>
          <w:rFonts w:ascii="Calibri" w:hAnsi="Calibri" w:cs="Calibri" w:eastAsia="Calibri"/>
          <w:color w:val="000000"/>
          <w:spacing w:val="0"/>
          <w:position w:val="0"/>
          <w:sz w:val="24"/>
          <w:shd w:fill="auto" w:val="clear"/>
        </w:rPr>
        <w:t xml:space="preserve">The inoculation method, for example, is only applied for adult engorged females because the needle size will damage immature stages and possibly unfed adult ticks. To inoculate these stages, a microinjector shall be used. Similarly, hemolymph collection through the dorsal region is more effective when applied to engorged ticks, while hemolymph collection by cutting the legs can be used in studies with unfed adult ticks or immature stages. Despite this, our goal here was to show methods that require very low technological resources.</w:t>
      </w:r>
      <w:r>
        <w:rPr>
          <w:rFonts w:ascii="Calibri" w:hAnsi="Calibri" w:cs="Calibri" w:eastAsia="Calibri"/>
          <w:color w:val="auto"/>
          <w:spacing w:val="0"/>
          <w:position w:val="0"/>
          <w:sz w:val="24"/>
          <w:shd w:fill="auto" w:val="clear"/>
        </w:rPr>
        <w:t xml:space="preserve"> In addition, centrifugation technique has to be performed at low centrifugation force because high force or extended spin time can damage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disclosed here can be used as guidelines for studies involving inoculation of entomopathogens into ticks and hemolymph/hemocytes harvesting. The techniques presented here require very low technological resources and are classical steps for studies about tick physiology, pathology, and tick’s immune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000000"/>
          <w:spacing w:val="0"/>
          <w:position w:val="0"/>
          <w:sz w:val="24"/>
          <w:shd w:fill="auto" w:val="clear"/>
        </w:rPr>
        <w:t xml:space="preserve">This study was financed in part by the Coordenacão de Aperfei&amp;#231;oamento de Pessoal de N&amp;#237;vel Superior (CAPES) from Brazil, finance code 001. </w:t>
      </w:r>
      <w:r>
        <w:rPr>
          <w:rFonts w:ascii="Calibri" w:hAnsi="Calibri" w:cs="Calibri" w:eastAsia="Calibri"/>
          <w:color w:val="212121"/>
          <w:spacing w:val="0"/>
          <w:position w:val="0"/>
          <w:sz w:val="24"/>
          <w:shd w:fill="auto" w:val="clear"/>
        </w:rPr>
        <w:t xml:space="preserve">CAPES provided Ph.D. scholarship for A.F. Marciano. We thank National Council for Scientific and Technological Development (CNPq) of Brazil for providing Ph.D. scholarship for J. Fiorotti. This research was also supported by grants of Carlos Chagas Filho Foundation for Research of the State of Rio de Janeiro (FAPERJ) and CNPq. V.R.E.P. Bittencourt is a CNPq researcher.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 Grisi, L. et al. Reassessment of the potencial economic impact of cattle parasites in Brazil. </w:t>
      </w:r>
      <w:r>
        <w:rPr>
          <w:rFonts w:ascii="Calibri" w:hAnsi="Calibri" w:cs="Calibri" w:eastAsia="Calibri"/>
          <w:i/>
          <w:color w:val="auto"/>
          <w:spacing w:val="0"/>
          <w:position w:val="0"/>
          <w:sz w:val="24"/>
          <w:shd w:fill="auto" w:val="clear"/>
        </w:rPr>
        <w:t xml:space="preserve">Revista Brasileira de Parasitologia Veterin&amp;#225;ria.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Schrank, A., Vainstein, M.H.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enzymes and toxins. </w:t>
      </w:r>
      <w:r>
        <w:rPr>
          <w:rFonts w:ascii="Calibri" w:hAnsi="Calibri" w:cs="Calibri" w:eastAsia="Calibri"/>
          <w:i/>
          <w:color w:val="auto"/>
          <w:spacing w:val="0"/>
          <w:position w:val="0"/>
          <w:sz w:val="24"/>
          <w:shd w:fill="auto" w:val="clear"/>
        </w:rPr>
        <w:t xml:space="preserve">Toxicon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(7), 1267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Camargo, M.G. et al.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for controlling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ticks under field conditions.</w:t>
      </w:r>
      <w:r>
        <w:rPr>
          <w:rFonts w:ascii="Calibri" w:hAnsi="Calibri" w:cs="Calibri" w:eastAsia="Calibri"/>
          <w:i/>
          <w:color w:val="auto"/>
          <w:spacing w:val="0"/>
          <w:position w:val="0"/>
          <w:sz w:val="24"/>
          <w:shd w:fill="auto" w:val="clear"/>
        </w:rPr>
        <w:t xml:space="preserve"> Veterinary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38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Perinotto, W.M.S. et 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pathogenicity of different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s.l. isolates in oil formulations against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Biocontrol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338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Pedrini, N., Crespo, R., Juarez, M.P. Biochemistry of insect epicuticle degradation by entomopathogenic fungi. </w:t>
      </w:r>
      <w:r>
        <w:rPr>
          <w:rFonts w:ascii="Calibri" w:hAnsi="Calibri" w:cs="Calibri" w:eastAsia="Calibri"/>
          <w:i/>
          <w:color w:val="auto"/>
          <w:spacing w:val="0"/>
          <w:position w:val="0"/>
          <w:sz w:val="24"/>
          <w:shd w:fill="auto" w:val="clear"/>
        </w:rPr>
        <w:t xml:space="preserve">Comparative Biochemistry and Physiology. Part C: Toxicology and Pharmacolpgy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Ortiz-Urquiza, A., Keyhani, N.O. Action on the surface: Entomopathogenic fungi versus the insect cuticle. </w:t>
      </w:r>
      <w:r>
        <w:rPr>
          <w:rFonts w:ascii="Calibri" w:hAnsi="Calibri" w:cs="Calibri" w:eastAsia="Calibri"/>
          <w:i/>
          <w:color w:val="auto"/>
          <w:spacing w:val="0"/>
          <w:position w:val="0"/>
          <w:sz w:val="24"/>
          <w:shd w:fill="auto" w:val="clear"/>
        </w:rPr>
        <w:t xml:space="preserve">Insects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(3), 357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(2013).</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7. Angelo, I. C. et al. Detection of serpins involved in cellular immune response of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challenged with fungi. </w:t>
      </w:r>
      <w:r>
        <w:rPr>
          <w:rFonts w:ascii="Calibri" w:hAnsi="Calibri" w:cs="Calibri" w:eastAsia="Calibri"/>
          <w:i/>
          <w:color w:val="auto"/>
          <w:spacing w:val="0"/>
          <w:position w:val="0"/>
          <w:sz w:val="24"/>
          <w:shd w:fill="auto" w:val="clear"/>
        </w:rPr>
        <w:t xml:space="preserve">Biocontrol Science and Technology.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351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De Paulo, J.F. et al.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infected by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unveiling hemocyte quantification, GFP-fungi virulence, and ovary infection. </w:t>
      </w:r>
      <w:r>
        <w:rPr>
          <w:rFonts w:ascii="Calibri" w:hAnsi="Calibri" w:cs="Calibri" w:eastAsia="Calibri"/>
          <w:i/>
          <w:color w:val="auto"/>
          <w:spacing w:val="0"/>
          <w:position w:val="0"/>
          <w:sz w:val="24"/>
          <w:shd w:fill="auto" w:val="clear"/>
        </w:rPr>
        <w:t xml:space="preserve">Parasitology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1847-1856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Marmaras, V.J., Lampropoulou, M. Regulators and signalling in insect haemocyte immunity. </w:t>
      </w:r>
      <w:r>
        <w:rPr>
          <w:rFonts w:ascii="Calibri" w:hAnsi="Calibri" w:cs="Calibri" w:eastAsia="Calibri"/>
          <w:i/>
          <w:color w:val="auto"/>
          <w:spacing w:val="0"/>
          <w:position w:val="0"/>
          <w:sz w:val="24"/>
          <w:shd w:fill="auto" w:val="clear"/>
        </w:rPr>
        <w:t xml:space="preserve">Cell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186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Hinzmann, M.F., Lopes-Lima, M., Gon&amp;#231;alves, J., Machado, J. Antiaggregant and toxic properties of different solutions on hemocytes of three freshwater bivalves. </w:t>
      </w:r>
      <w:r>
        <w:rPr>
          <w:rFonts w:ascii="Calibri" w:hAnsi="Calibri" w:cs="Calibri" w:eastAsia="Calibri"/>
          <w:i/>
          <w:color w:val="auto"/>
          <w:spacing w:val="0"/>
          <w:position w:val="0"/>
          <w:sz w:val="24"/>
          <w:shd w:fill="auto" w:val="clear"/>
        </w:rPr>
        <w:t xml:space="preserve">Toxicological &amp;amp; Environmental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790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Nation, J.L. </w:t>
      </w:r>
      <w:r>
        <w:rPr>
          <w:rFonts w:ascii="Calibri" w:hAnsi="Calibri" w:cs="Calibri" w:eastAsia="Calibri"/>
          <w:i/>
          <w:color w:val="auto"/>
          <w:spacing w:val="0"/>
          <w:position w:val="0"/>
          <w:sz w:val="24"/>
          <w:shd w:fill="auto" w:val="clear"/>
        </w:rPr>
        <w:t xml:space="preserve">Insect Physiology and Biochemistry</w:t>
      </w:r>
      <w:r>
        <w:rPr>
          <w:rFonts w:ascii="Calibri" w:hAnsi="Calibri" w:cs="Calibri" w:eastAsia="Calibri"/>
          <w:color w:val="auto"/>
          <w:spacing w:val="0"/>
          <w:position w:val="0"/>
          <w:sz w:val="24"/>
          <w:shd w:fill="auto" w:val="clear"/>
        </w:rPr>
        <w:t xml:space="preserve">. University of Florida. Gainesville, FL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Gene, J. 1848. M&amp;#233;moires de l’Acad&amp;#233;mie royale des sciences. </w:t>
      </w:r>
      <w:r>
        <w:rPr>
          <w:rFonts w:ascii="Calibri" w:hAnsi="Calibri" w:cs="Calibri" w:eastAsia="Calibri"/>
          <w:i/>
          <w:color w:val="auto"/>
          <w:spacing w:val="0"/>
          <w:position w:val="0"/>
          <w:sz w:val="24"/>
          <w:shd w:fill="auto" w:val="clear"/>
        </w:rPr>
        <w:t xml:space="preserve">Torino</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 751 (1848).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Lees, A.D., Beament, J.W.L. An organ waxing in ticks. </w:t>
      </w:r>
      <w:r>
        <w:rPr>
          <w:rFonts w:ascii="Calibri" w:hAnsi="Calibri" w:cs="Calibri" w:eastAsia="Calibri"/>
          <w:i/>
          <w:color w:val="auto"/>
          <w:spacing w:val="0"/>
          <w:position w:val="0"/>
          <w:sz w:val="24"/>
          <w:shd w:fill="auto" w:val="clear"/>
        </w:rPr>
        <w:t xml:space="preserve">The Quarterly Journal of the Mythic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(1948).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Sonenshine, D.E., Roe, R.M. </w:t>
      </w:r>
      <w:r>
        <w:rPr>
          <w:rFonts w:ascii="Calibri" w:hAnsi="Calibri" w:cs="Calibri" w:eastAsia="Calibri"/>
          <w:i/>
          <w:color w:val="auto"/>
          <w:spacing w:val="0"/>
          <w:position w:val="0"/>
          <w:sz w:val="24"/>
          <w:shd w:fill="auto" w:val="clear"/>
        </w:rPr>
        <w:t xml:space="preserve">Biology of ticks</w:t>
      </w:r>
      <w:r>
        <w:rPr>
          <w:rFonts w:ascii="Calibri" w:hAnsi="Calibri" w:cs="Calibri" w:eastAsia="Calibri"/>
          <w:color w:val="auto"/>
          <w:spacing w:val="0"/>
          <w:position w:val="0"/>
          <w:sz w:val="24"/>
          <w:shd w:fill="auto" w:val="clear"/>
        </w:rPr>
        <w:t xml:space="preserve">. Oxford University Press. Oxford, UK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Tan, J. et al. Characterization of hemocytes proliferation in larval silkworm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595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Bowden, T.J. The humoral immune systems of the American lobster (</w:t>
      </w:r>
      <w:r>
        <w:rPr>
          <w:rFonts w:ascii="Calibri" w:hAnsi="Calibri" w:cs="Calibri" w:eastAsia="Calibri"/>
          <w:i/>
          <w:color w:val="auto"/>
          <w:spacing w:val="0"/>
          <w:position w:val="0"/>
          <w:sz w:val="24"/>
          <w:shd w:fill="auto" w:val="clear"/>
        </w:rPr>
        <w:t xml:space="preserve">Homarus americanus</w:t>
      </w:r>
      <w:r>
        <w:rPr>
          <w:rFonts w:ascii="Calibri" w:hAnsi="Calibri" w:cs="Calibri" w:eastAsia="Calibri"/>
          <w:color w:val="auto"/>
          <w:spacing w:val="0"/>
          <w:position w:val="0"/>
          <w:sz w:val="24"/>
          <w:shd w:fill="auto" w:val="clear"/>
        </w:rPr>
        <w:t xml:space="preserve">) and the European lobster (</w:t>
      </w:r>
      <w:r>
        <w:rPr>
          <w:rFonts w:ascii="Calibri" w:hAnsi="Calibri" w:cs="Calibri" w:eastAsia="Calibri"/>
          <w:i/>
          <w:color w:val="auto"/>
          <w:spacing w:val="0"/>
          <w:position w:val="0"/>
          <w:sz w:val="24"/>
          <w:shd w:fill="auto" w:val="clear"/>
        </w:rPr>
        <w:t xml:space="preserve">Homarus gammarus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Fish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367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(2017).</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17. Sonenshine, D.E., Hynes, W.L. Molecular characterization and related aspects of the innate immune response in ticks. </w:t>
      </w:r>
      <w:r>
        <w:rPr>
          <w:rFonts w:ascii="Calibri" w:hAnsi="Calibri" w:cs="Calibri" w:eastAsia="Calibri"/>
          <w:i/>
          <w:color w:val="auto"/>
          <w:spacing w:val="0"/>
          <w:position w:val="0"/>
          <w:sz w:val="24"/>
          <w:u w:val="single"/>
          <w:shd w:fill="auto" w:val="clear"/>
        </w:rPr>
        <w:t xml:space="preserve">Frontiers in Bioscience</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13</w:t>
      </w:r>
      <w:r>
        <w:rPr>
          <w:rFonts w:ascii="Calibri" w:hAnsi="Calibri" w:cs="Calibri" w:eastAsia="Calibri"/>
          <w:color w:val="auto"/>
          <w:spacing w:val="0"/>
          <w:position w:val="0"/>
          <w:sz w:val="24"/>
          <w:u w:val="single"/>
          <w:shd w:fill="auto" w:val="clear"/>
        </w:rPr>
        <w:t xml:space="preserve">, 7046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7063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Tsakas, S., Marmaras, V. Insect immunity and its signaling: an overview. </w:t>
      </w:r>
      <w:r>
        <w:rPr>
          <w:rFonts w:ascii="Calibri" w:hAnsi="Calibri" w:cs="Calibri" w:eastAsia="Calibri"/>
          <w:i/>
          <w:color w:val="auto"/>
          <w:spacing w:val="0"/>
          <w:position w:val="0"/>
          <w:sz w:val="24"/>
          <w:shd w:fill="auto" w:val="clear"/>
        </w:rPr>
        <w:t xml:space="preserve">Invertebrate Survival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228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Burgdorfer, W. Hemolymph Test. A technique for detection of Rickettsiae in ticks. </w:t>
      </w:r>
      <w:r>
        <w:rPr>
          <w:rFonts w:ascii="Calibri" w:hAnsi="Calibri" w:cs="Calibri" w:eastAsia="Calibri"/>
          <w:i/>
          <w:color w:val="auto"/>
          <w:spacing w:val="0"/>
          <w:position w:val="0"/>
          <w:sz w:val="24"/>
          <w:shd w:fill="auto" w:val="clear"/>
        </w:rPr>
        <w:t xml:space="preserve">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1014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Dunham-Ems, S.M. et al. Live imaging reveals a biphasic mode of dissemination of Borrelia burgdorferi within ticks.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3652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Patton, T.G. et al. Saliva, salivary gland, and hemolymph collection from Ixodes scapularis ticks.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e3894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