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E5A" w:rsidRDefault="00526F4B">
      <w:pPr>
        <w:pStyle w:val="FootnoteText"/>
        <w:rPr>
          <w:noProof/>
          <w:szCs w:val="24"/>
        </w:rPr>
      </w:pPr>
      <w:r>
        <w:rPr>
          <w:noProof/>
          <w:szCs w:val="24"/>
        </w:rPr>
        <w:drawing>
          <wp:anchor distT="0" distB="0" distL="114300" distR="114300" simplePos="0" relativeHeight="251657216" behindDoc="0" locked="0" layoutInCell="1" allowOverlap="1">
            <wp:simplePos x="0" y="0"/>
            <wp:positionH relativeFrom="column">
              <wp:posOffset>-114300</wp:posOffset>
            </wp:positionH>
            <wp:positionV relativeFrom="paragraph">
              <wp:posOffset>152400</wp:posOffset>
            </wp:positionV>
            <wp:extent cx="2628900" cy="1219200"/>
            <wp:effectExtent l="19050" t="0" r="0" b="0"/>
            <wp:wrapNone/>
            <wp:docPr id="2" name="Picture 2" descr="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pic:cNvPicPr>
                      <a:picLocks noChangeAspect="1" noChangeArrowheads="1"/>
                    </pic:cNvPicPr>
                  </pic:nvPicPr>
                  <pic:blipFill>
                    <a:blip r:embed="rId7" cstate="print">
                      <a:lum bright="-10000" contrast="50000"/>
                    </a:blip>
                    <a:srcRect/>
                    <a:stretch>
                      <a:fillRect/>
                    </a:stretch>
                  </pic:blipFill>
                  <pic:spPr bwMode="auto">
                    <a:xfrm>
                      <a:off x="0" y="0"/>
                      <a:ext cx="2628900" cy="1219200"/>
                    </a:xfrm>
                    <a:prstGeom prst="rect">
                      <a:avLst/>
                    </a:prstGeom>
                    <a:noFill/>
                    <a:ln w="9525">
                      <a:noFill/>
                      <a:miter lim="800000"/>
                      <a:headEnd/>
                      <a:tailEnd/>
                    </a:ln>
                  </pic:spPr>
                </pic:pic>
              </a:graphicData>
            </a:graphic>
          </wp:anchor>
        </w:drawing>
      </w:r>
    </w:p>
    <w:p w:rsidR="00783E5A" w:rsidRDefault="00783E5A">
      <w:pPr>
        <w:ind w:left="5760"/>
        <w:rPr>
          <w:rFonts w:ascii="Arial" w:hAnsi="Arial" w:cs="Arial"/>
          <w:b/>
          <w:bCs/>
          <w:sz w:val="16"/>
        </w:rPr>
      </w:pPr>
      <w:r>
        <w:rPr>
          <w:rFonts w:ascii="Arial" w:hAnsi="Arial" w:cs="Arial"/>
          <w:b/>
          <w:bCs/>
          <w:sz w:val="16"/>
        </w:rPr>
        <w:t>Department of Molecular Genetics,</w:t>
      </w:r>
    </w:p>
    <w:p w:rsidR="00783E5A" w:rsidRDefault="00783E5A">
      <w:pPr>
        <w:ind w:left="5760"/>
        <w:rPr>
          <w:rFonts w:ascii="Arial" w:hAnsi="Arial" w:cs="Arial"/>
          <w:sz w:val="16"/>
        </w:rPr>
      </w:pPr>
      <w:r>
        <w:rPr>
          <w:rFonts w:ascii="Arial" w:hAnsi="Arial" w:cs="Arial"/>
          <w:b/>
          <w:bCs/>
          <w:sz w:val="16"/>
        </w:rPr>
        <w:t xml:space="preserve">    Biochemistry and Microbiology</w:t>
      </w:r>
    </w:p>
    <w:p w:rsidR="00783E5A" w:rsidRDefault="00783E5A">
      <w:pPr>
        <w:ind w:left="5760"/>
        <w:rPr>
          <w:rFonts w:ascii="Arial" w:hAnsi="Arial" w:cs="Arial"/>
          <w:sz w:val="16"/>
        </w:rPr>
      </w:pPr>
      <w:r>
        <w:rPr>
          <w:rFonts w:ascii="Arial" w:hAnsi="Arial" w:cs="Arial"/>
          <w:sz w:val="16"/>
        </w:rPr>
        <w:t xml:space="preserve">University of </w:t>
      </w:r>
      <w:smartTag w:uri="urn:schemas-microsoft-com:office:smarttags" w:element="place">
        <w:smartTag w:uri="urn:schemas-microsoft-com:office:smarttags" w:element="PlaceName">
          <w:r>
            <w:rPr>
              <w:rFonts w:ascii="Arial" w:hAnsi="Arial" w:cs="Arial"/>
              <w:sz w:val="16"/>
            </w:rPr>
            <w:t>Cincinnati</w:t>
          </w:r>
        </w:smartTag>
        <w:r>
          <w:rPr>
            <w:rFonts w:ascii="Arial" w:hAnsi="Arial" w:cs="Arial"/>
            <w:sz w:val="16"/>
          </w:rPr>
          <w:t xml:space="preserve"> </w:t>
        </w:r>
        <w:smartTag w:uri="urn:schemas-microsoft-com:office:smarttags" w:element="PlaceName">
          <w:r>
            <w:rPr>
              <w:rFonts w:ascii="Arial" w:hAnsi="Arial" w:cs="Arial"/>
              <w:sz w:val="16"/>
            </w:rPr>
            <w:t>Medical</w:t>
          </w:r>
        </w:smartTag>
        <w:r>
          <w:rPr>
            <w:rFonts w:ascii="Arial" w:hAnsi="Arial" w:cs="Arial"/>
            <w:sz w:val="16"/>
          </w:rPr>
          <w:t xml:space="preserve"> </w:t>
        </w:r>
        <w:smartTag w:uri="urn:schemas-microsoft-com:office:smarttags" w:element="PlaceType">
          <w:r>
            <w:rPr>
              <w:rFonts w:ascii="Arial" w:hAnsi="Arial" w:cs="Arial"/>
              <w:sz w:val="16"/>
            </w:rPr>
            <w:t>Center</w:t>
          </w:r>
        </w:smartTag>
      </w:smartTag>
    </w:p>
    <w:p w:rsidR="00783E5A" w:rsidRDefault="00880807">
      <w:pPr>
        <w:ind w:left="5760"/>
        <w:rPr>
          <w:rFonts w:ascii="Arial" w:hAnsi="Arial" w:cs="Arial"/>
          <w:sz w:val="16"/>
        </w:rPr>
      </w:pPr>
      <w:r>
        <w:rPr>
          <w:rFonts w:ascii="Arial" w:hAnsi="Arial" w:cs="Arial"/>
          <w:sz w:val="16"/>
        </w:rPr>
        <w:t>2206</w:t>
      </w:r>
      <w:r w:rsidR="00783E5A">
        <w:rPr>
          <w:rFonts w:ascii="Arial" w:hAnsi="Arial" w:cs="Arial"/>
          <w:sz w:val="16"/>
        </w:rPr>
        <w:t xml:space="preserve"> Medical Sciences Building</w:t>
      </w:r>
    </w:p>
    <w:p w:rsidR="00783E5A" w:rsidRDefault="00783E5A">
      <w:pPr>
        <w:ind w:left="5760"/>
        <w:rPr>
          <w:rFonts w:ascii="Arial" w:hAnsi="Arial" w:cs="Arial"/>
          <w:sz w:val="16"/>
        </w:rPr>
      </w:pPr>
      <w:smartTag w:uri="urn:schemas-microsoft-com:office:smarttags" w:element="address">
        <w:smartTag w:uri="urn:schemas-microsoft-com:office:smarttags" w:element="Street">
          <w:r>
            <w:rPr>
              <w:rFonts w:ascii="Arial" w:hAnsi="Arial" w:cs="Arial"/>
              <w:sz w:val="16"/>
            </w:rPr>
            <w:t>P.O. Box</w:t>
          </w:r>
        </w:smartTag>
        <w:r>
          <w:rPr>
            <w:rFonts w:ascii="Arial" w:hAnsi="Arial" w:cs="Arial"/>
            <w:sz w:val="16"/>
          </w:rPr>
          <w:t xml:space="preserve"> 670524</w:t>
        </w:r>
      </w:smartTag>
    </w:p>
    <w:p w:rsidR="00783E5A" w:rsidRDefault="00783E5A">
      <w:pPr>
        <w:ind w:left="5760"/>
        <w:rPr>
          <w:rFonts w:ascii="Arial" w:hAnsi="Arial" w:cs="Arial"/>
          <w:sz w:val="16"/>
        </w:rPr>
      </w:pPr>
      <w:smartTag w:uri="urn:schemas-microsoft-com:office:smarttags" w:element="place">
        <w:smartTag w:uri="urn:schemas-microsoft-com:office:smarttags" w:element="City">
          <w:r>
            <w:rPr>
              <w:rFonts w:ascii="Arial" w:hAnsi="Arial" w:cs="Arial"/>
              <w:sz w:val="16"/>
            </w:rPr>
            <w:t>Cincinnati</w:t>
          </w:r>
        </w:smartTag>
        <w:r>
          <w:rPr>
            <w:rFonts w:ascii="Arial" w:hAnsi="Arial" w:cs="Arial"/>
            <w:sz w:val="16"/>
          </w:rPr>
          <w:t xml:space="preserve">, </w:t>
        </w:r>
        <w:smartTag w:uri="urn:schemas-microsoft-com:office:smarttags" w:element="State">
          <w:r>
            <w:rPr>
              <w:rFonts w:ascii="Arial" w:hAnsi="Arial" w:cs="Arial"/>
              <w:sz w:val="16"/>
            </w:rPr>
            <w:t>OH</w:t>
          </w:r>
        </w:smartTag>
        <w:r>
          <w:rPr>
            <w:rFonts w:ascii="Arial" w:hAnsi="Arial" w:cs="Arial"/>
            <w:sz w:val="16"/>
          </w:rPr>
          <w:t xml:space="preserve"> </w:t>
        </w:r>
        <w:smartTag w:uri="urn:schemas-microsoft-com:office:smarttags" w:element="PostalCode">
          <w:r>
            <w:rPr>
              <w:rFonts w:ascii="Arial" w:hAnsi="Arial" w:cs="Arial"/>
              <w:sz w:val="16"/>
            </w:rPr>
            <w:t>45267-0524</w:t>
          </w:r>
        </w:smartTag>
      </w:smartTag>
    </w:p>
    <w:p w:rsidR="00783E5A" w:rsidRDefault="00783E5A">
      <w:pPr>
        <w:ind w:left="5760"/>
        <w:jc w:val="both"/>
        <w:rPr>
          <w:rFonts w:ascii="Arial" w:hAnsi="Arial" w:cs="Arial"/>
          <w:sz w:val="16"/>
        </w:rPr>
      </w:pPr>
      <w:r>
        <w:rPr>
          <w:rFonts w:ascii="Arial" w:hAnsi="Arial" w:cs="Arial"/>
          <w:sz w:val="16"/>
        </w:rPr>
        <w:t>Phone (513) 558-0866</w:t>
      </w:r>
    </w:p>
    <w:p w:rsidR="00783E5A" w:rsidRDefault="00783E5A">
      <w:pPr>
        <w:ind w:left="5760"/>
        <w:jc w:val="both"/>
        <w:rPr>
          <w:rFonts w:ascii="Arial" w:hAnsi="Arial" w:cs="Arial"/>
          <w:sz w:val="16"/>
        </w:rPr>
      </w:pPr>
      <w:smartTag w:uri="urn:schemas-microsoft-com:office:smarttags" w:element="PersonName">
        <w:r>
          <w:rPr>
            <w:rFonts w:ascii="Arial" w:hAnsi="Arial" w:cs="Arial"/>
            <w:sz w:val="16"/>
          </w:rPr>
          <w:t>william.miller@uc.edu</w:t>
        </w:r>
      </w:smartTag>
    </w:p>
    <w:p w:rsidR="00783E5A" w:rsidRDefault="00783E5A">
      <w:pPr>
        <w:ind w:left="5760"/>
        <w:rPr>
          <w:rFonts w:ascii="Arial" w:hAnsi="Arial" w:cs="Arial"/>
          <w:sz w:val="16"/>
        </w:rPr>
      </w:pPr>
    </w:p>
    <w:p w:rsidR="00783E5A" w:rsidRPr="00DA7FF4" w:rsidRDefault="00783E5A">
      <w:pPr>
        <w:ind w:left="5760"/>
        <w:rPr>
          <w:rFonts w:ascii="Arial" w:hAnsi="Arial" w:cs="Arial"/>
          <w:sz w:val="16"/>
          <w:szCs w:val="16"/>
        </w:rPr>
      </w:pPr>
      <w:r w:rsidRPr="00DA7FF4">
        <w:rPr>
          <w:rFonts w:ascii="Arial" w:hAnsi="Arial" w:cs="Arial"/>
          <w:sz w:val="16"/>
          <w:szCs w:val="16"/>
        </w:rPr>
        <w:t>William E. Miller, Ph.D.</w:t>
      </w:r>
    </w:p>
    <w:p w:rsidR="00783E5A" w:rsidRPr="00DA7FF4" w:rsidRDefault="00783E5A">
      <w:pPr>
        <w:ind w:left="5760"/>
        <w:rPr>
          <w:rFonts w:ascii="Arial" w:hAnsi="Arial" w:cs="Arial"/>
          <w:sz w:val="16"/>
          <w:szCs w:val="16"/>
        </w:rPr>
      </w:pPr>
      <w:r w:rsidRPr="00DA7FF4">
        <w:rPr>
          <w:rFonts w:ascii="Arial" w:hAnsi="Arial" w:cs="Arial"/>
          <w:sz w:val="16"/>
          <w:szCs w:val="16"/>
        </w:rPr>
        <w:t>Professor</w:t>
      </w:r>
      <w:r w:rsidR="00DA7FF4" w:rsidRPr="00DA7FF4">
        <w:rPr>
          <w:rFonts w:ascii="Arial" w:hAnsi="Arial" w:cs="Arial"/>
          <w:sz w:val="16"/>
          <w:szCs w:val="16"/>
        </w:rPr>
        <w:t xml:space="preserve"> and Director of Graduate Studies</w:t>
      </w:r>
    </w:p>
    <w:p w:rsidR="00F64CF2" w:rsidRPr="00DA7FF4" w:rsidRDefault="00DA7FF4" w:rsidP="00272630">
      <w:pPr>
        <w:jc w:val="both"/>
        <w:rPr>
          <w:rFonts w:ascii="Arial" w:hAnsi="Arial" w:cs="Arial"/>
          <w:sz w:val="16"/>
          <w:szCs w:val="16"/>
        </w:rPr>
      </w:pP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r>
      <w:r w:rsidRPr="00DA7FF4">
        <w:rPr>
          <w:rFonts w:ascii="Arial" w:hAnsi="Arial" w:cs="Arial"/>
          <w:sz w:val="16"/>
          <w:szCs w:val="16"/>
        </w:rPr>
        <w:tab/>
        <w:t>Department of Molecular Genetics</w:t>
      </w:r>
    </w:p>
    <w:p w:rsidR="00272630" w:rsidRDefault="00E2449B" w:rsidP="00272630">
      <w:pPr>
        <w:jc w:val="both"/>
        <w:rPr>
          <w:rFonts w:eastAsia="Times"/>
          <w:szCs w:val="20"/>
        </w:rPr>
      </w:pPr>
      <w:r>
        <w:t>March 28</w:t>
      </w:r>
      <w:r w:rsidR="00DA23F3">
        <w:t>,</w:t>
      </w:r>
      <w:r>
        <w:t xml:space="preserve"> 2019</w:t>
      </w:r>
    </w:p>
    <w:p w:rsidR="00272630" w:rsidRDefault="00272630" w:rsidP="00272630">
      <w:pPr>
        <w:jc w:val="both"/>
        <w:rPr>
          <w:rFonts w:eastAsia="Times"/>
          <w:szCs w:val="20"/>
        </w:rPr>
      </w:pPr>
    </w:p>
    <w:p w:rsidR="00272630" w:rsidRDefault="00E2449B" w:rsidP="00272630">
      <w:pPr>
        <w:jc w:val="both"/>
      </w:pPr>
      <w:r>
        <w:t>Dr. Alisha DSouza</w:t>
      </w:r>
    </w:p>
    <w:p w:rsidR="00272630" w:rsidRDefault="00E2449B" w:rsidP="00272630">
      <w:pPr>
        <w:jc w:val="both"/>
      </w:pPr>
      <w:r>
        <w:t xml:space="preserve">Senior Review </w:t>
      </w:r>
      <w:r w:rsidR="001B0FC9">
        <w:t>Editor</w:t>
      </w:r>
    </w:p>
    <w:p w:rsidR="00272630" w:rsidRDefault="00E2449B" w:rsidP="00272630">
      <w:pPr>
        <w:jc w:val="both"/>
      </w:pPr>
      <w:proofErr w:type="spellStart"/>
      <w:r>
        <w:t>JoVE</w:t>
      </w:r>
      <w:proofErr w:type="spellEnd"/>
    </w:p>
    <w:p w:rsidR="00F64CF2" w:rsidRDefault="00F64CF2" w:rsidP="00272630">
      <w:pPr>
        <w:jc w:val="both"/>
      </w:pPr>
    </w:p>
    <w:p w:rsidR="001B0FC9" w:rsidRDefault="00E2449B" w:rsidP="001B0FC9">
      <w:r>
        <w:t>Dear Dr. DSouza</w:t>
      </w:r>
      <w:r w:rsidR="001B0FC9">
        <w:t>,</w:t>
      </w:r>
    </w:p>
    <w:p w:rsidR="001B0FC9" w:rsidRDefault="001B0FC9" w:rsidP="001B0FC9">
      <w:pPr>
        <w:jc w:val="both"/>
      </w:pPr>
    </w:p>
    <w:p w:rsidR="006676D5" w:rsidRPr="00E2449B" w:rsidRDefault="001B0FC9" w:rsidP="00E2449B">
      <w:pPr>
        <w:rPr>
          <w:color w:val="000000" w:themeColor="text1"/>
        </w:rPr>
      </w:pPr>
      <w:r w:rsidRPr="00E2449B">
        <w:t>We are resubmitting a revise</w:t>
      </w:r>
      <w:r w:rsidR="00D836B5" w:rsidRPr="00E2449B">
        <w:t>d ve</w:t>
      </w:r>
      <w:r w:rsidR="00E2449B" w:rsidRPr="00E2449B">
        <w:t>rsion of manuscript JoVE59868</w:t>
      </w:r>
      <w:r w:rsidRPr="00E2449B">
        <w:t xml:space="preserve"> entitled “</w:t>
      </w:r>
      <w:r w:rsidR="00E2449B" w:rsidRPr="00E2449B">
        <w:rPr>
          <w:color w:val="000000" w:themeColor="text1"/>
        </w:rPr>
        <w:t xml:space="preserve">Isolation of salivary epithelial cells from human salivary glands for in vitro growth as </w:t>
      </w:r>
      <w:proofErr w:type="spellStart"/>
      <w:r w:rsidR="00E2449B" w:rsidRPr="00E2449B">
        <w:rPr>
          <w:color w:val="000000" w:themeColor="text1"/>
        </w:rPr>
        <w:t>salispheres</w:t>
      </w:r>
      <w:proofErr w:type="spellEnd"/>
      <w:r w:rsidR="00E2449B" w:rsidRPr="00E2449B">
        <w:rPr>
          <w:color w:val="000000" w:themeColor="text1"/>
        </w:rPr>
        <w:t xml:space="preserve"> or monolayers</w:t>
      </w:r>
      <w:r w:rsidR="009E768E" w:rsidRPr="00E2449B">
        <w:t xml:space="preserve">”. </w:t>
      </w:r>
      <w:r w:rsidR="00D836B5" w:rsidRPr="00E2449B">
        <w:t xml:space="preserve">We have made all of the changes suggested by the </w:t>
      </w:r>
      <w:r w:rsidR="00E2449B">
        <w:t xml:space="preserve">editors and </w:t>
      </w:r>
      <w:r w:rsidR="00D836B5" w:rsidRPr="00E2449B">
        <w:t>review</w:t>
      </w:r>
      <w:r w:rsidR="00E2449B">
        <w:t>ers</w:t>
      </w:r>
      <w:r w:rsidR="00D836B5" w:rsidRPr="00E2449B">
        <w:t xml:space="preserve"> </w:t>
      </w:r>
    </w:p>
    <w:p w:rsidR="00053890" w:rsidRPr="00E2449B" w:rsidRDefault="00053890" w:rsidP="00446771">
      <w:pPr>
        <w:contextualSpacing/>
        <w:jc w:val="both"/>
      </w:pPr>
    </w:p>
    <w:p w:rsidR="001B0FC9" w:rsidRPr="00E2449B" w:rsidRDefault="001E21DD" w:rsidP="00446771">
      <w:pPr>
        <w:contextualSpacing/>
        <w:jc w:val="both"/>
      </w:pPr>
      <w:r w:rsidRPr="00E2449B">
        <w:t>A detailed response</w:t>
      </w:r>
      <w:r w:rsidR="00286019" w:rsidRPr="00E2449B">
        <w:t xml:space="preserve"> to</w:t>
      </w:r>
      <w:r w:rsidR="00FF2E75" w:rsidRPr="00E2449B">
        <w:t xml:space="preserve"> </w:t>
      </w:r>
      <w:r w:rsidR="00053890" w:rsidRPr="00E2449B">
        <w:t xml:space="preserve">the </w:t>
      </w:r>
      <w:r w:rsidR="00FF2E75" w:rsidRPr="00E2449B">
        <w:t>R</w:t>
      </w:r>
      <w:r w:rsidR="00053890" w:rsidRPr="00E2449B">
        <w:t>eviewer</w:t>
      </w:r>
      <w:r w:rsidR="0060344D" w:rsidRPr="00E2449B">
        <w:t>s</w:t>
      </w:r>
      <w:r w:rsidR="00286019" w:rsidRPr="00E2449B">
        <w:t xml:space="preserve"> </w:t>
      </w:r>
      <w:r w:rsidR="00053890" w:rsidRPr="00E2449B">
        <w:t>comment</w:t>
      </w:r>
      <w:r w:rsidR="00BA67CA" w:rsidRPr="00E2449B">
        <w:t>s</w:t>
      </w:r>
      <w:r w:rsidR="00F730E0" w:rsidRPr="00E2449B">
        <w:t xml:space="preserve"> is appended below</w:t>
      </w:r>
      <w:r w:rsidR="00286019" w:rsidRPr="00E2449B">
        <w:t xml:space="preserve">. </w:t>
      </w:r>
      <w:r w:rsidR="00F20117" w:rsidRPr="00E2449B">
        <w:t xml:space="preserve">Also, we include a marked up version of the manuscript in which all changes to the manuscript are tracked to facilitate review of changes made. </w:t>
      </w:r>
      <w:r w:rsidR="001B0FC9" w:rsidRPr="00E2449B">
        <w:t>Thank you for y</w:t>
      </w:r>
      <w:r w:rsidR="00FF2E75" w:rsidRPr="00E2449B">
        <w:t>our willingness to consider the</w:t>
      </w:r>
      <w:r w:rsidRPr="00E2449B">
        <w:t xml:space="preserve"> revised manuscript</w:t>
      </w:r>
      <w:r w:rsidR="001B0FC9" w:rsidRPr="00E2449B">
        <w:t xml:space="preserve"> an</w:t>
      </w:r>
      <w:r w:rsidR="00D836B5" w:rsidRPr="00E2449B">
        <w:t>d we hope that our revised manuscript will now be acceptable for public</w:t>
      </w:r>
      <w:r w:rsidR="00E2449B">
        <w:t xml:space="preserve">ation in </w:t>
      </w:r>
      <w:proofErr w:type="spellStart"/>
      <w:r w:rsidR="00E2449B">
        <w:t>JoVE</w:t>
      </w:r>
      <w:proofErr w:type="spellEnd"/>
      <w:r w:rsidR="00D836B5" w:rsidRPr="00E2449B">
        <w:t>.</w:t>
      </w:r>
    </w:p>
    <w:p w:rsidR="001B0FC9" w:rsidRDefault="001B0FC9" w:rsidP="00272630">
      <w:pPr>
        <w:jc w:val="both"/>
      </w:pPr>
    </w:p>
    <w:p w:rsidR="00272630" w:rsidRDefault="00272630" w:rsidP="00272630">
      <w:pPr>
        <w:jc w:val="both"/>
        <w:rPr>
          <w:rFonts w:eastAsia="Times"/>
          <w:szCs w:val="20"/>
        </w:rPr>
      </w:pPr>
    </w:p>
    <w:p w:rsidR="00272630" w:rsidRDefault="00272630" w:rsidP="00272630">
      <w:pPr>
        <w:jc w:val="both"/>
        <w:rPr>
          <w:rFonts w:eastAsia="Times"/>
          <w:szCs w:val="20"/>
        </w:rPr>
      </w:pPr>
      <w:r>
        <w:t>Sincerely,</w:t>
      </w:r>
    </w:p>
    <w:p w:rsidR="00272630" w:rsidRDefault="00526F4B" w:rsidP="00272630">
      <w:pPr>
        <w:jc w:val="both"/>
        <w:rPr>
          <w:rFonts w:eastAsia="Times"/>
          <w:szCs w:val="20"/>
        </w:rPr>
      </w:pPr>
      <w:r>
        <w:rPr>
          <w:rFonts w:ascii="Arial" w:hAnsi="Arial" w:cs="Arial"/>
          <w:noProof/>
          <w:sz w:val="20"/>
        </w:rPr>
        <w:drawing>
          <wp:anchor distT="0" distB="0" distL="114300" distR="114300" simplePos="0" relativeHeight="251658240" behindDoc="0" locked="0" layoutInCell="1" allowOverlap="1">
            <wp:simplePos x="0" y="0"/>
            <wp:positionH relativeFrom="column">
              <wp:posOffset>-114300</wp:posOffset>
            </wp:positionH>
            <wp:positionV relativeFrom="paragraph">
              <wp:posOffset>58420</wp:posOffset>
            </wp:positionV>
            <wp:extent cx="2185670" cy="505460"/>
            <wp:effectExtent l="19050" t="0" r="5080" b="0"/>
            <wp:wrapTight wrapText="bothSides">
              <wp:wrapPolygon edited="0">
                <wp:start x="-188" y="0"/>
                <wp:lineTo x="-188" y="21166"/>
                <wp:lineTo x="21650" y="21166"/>
                <wp:lineTo x="21650" y="0"/>
                <wp:lineTo x="-188" y="0"/>
              </wp:wrapPolygon>
            </wp:wrapTight>
            <wp:docPr id="6" name="Picture 6" descr="signa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nature2"/>
                    <pic:cNvPicPr>
                      <a:picLocks noChangeAspect="1" noChangeArrowheads="1"/>
                    </pic:cNvPicPr>
                  </pic:nvPicPr>
                  <pic:blipFill>
                    <a:blip r:embed="rId8" cstate="print">
                      <a:lum bright="-10000" contrast="50000"/>
                    </a:blip>
                    <a:srcRect/>
                    <a:stretch>
                      <a:fillRect/>
                    </a:stretch>
                  </pic:blipFill>
                  <pic:spPr bwMode="auto">
                    <a:xfrm>
                      <a:off x="0" y="0"/>
                      <a:ext cx="2185670" cy="505460"/>
                    </a:xfrm>
                    <a:prstGeom prst="rect">
                      <a:avLst/>
                    </a:prstGeom>
                    <a:noFill/>
                    <a:ln w="9525">
                      <a:noFill/>
                      <a:miter lim="800000"/>
                      <a:headEnd/>
                      <a:tailEnd/>
                    </a:ln>
                  </pic:spPr>
                </pic:pic>
              </a:graphicData>
            </a:graphic>
          </wp:anchor>
        </w:drawing>
      </w:r>
    </w:p>
    <w:p w:rsidR="00272630" w:rsidRDefault="00272630" w:rsidP="00272630">
      <w:pPr>
        <w:jc w:val="both"/>
        <w:rPr>
          <w:rFonts w:eastAsia="Times"/>
          <w:szCs w:val="20"/>
        </w:rPr>
      </w:pPr>
    </w:p>
    <w:p w:rsidR="00272630" w:rsidRDefault="00272630" w:rsidP="00272630">
      <w:pPr>
        <w:jc w:val="both"/>
      </w:pPr>
    </w:p>
    <w:p w:rsidR="00272630" w:rsidRDefault="00272630" w:rsidP="00272630">
      <w:pPr>
        <w:jc w:val="both"/>
      </w:pPr>
    </w:p>
    <w:p w:rsidR="00272630" w:rsidRDefault="00880807" w:rsidP="00272630">
      <w:pPr>
        <w:jc w:val="both"/>
      </w:pPr>
      <w:r>
        <w:t>William E.</w:t>
      </w:r>
      <w:r w:rsidR="00272630">
        <w:t xml:space="preserve"> Miller, Ph.D.</w:t>
      </w:r>
    </w:p>
    <w:p w:rsidR="00272630" w:rsidRDefault="00272630" w:rsidP="00272630">
      <w:pPr>
        <w:jc w:val="both"/>
      </w:pPr>
      <w:r>
        <w:t>Professor</w:t>
      </w:r>
    </w:p>
    <w:p w:rsidR="00783E5A" w:rsidRDefault="00272630" w:rsidP="00752FBD">
      <w:pPr>
        <w:jc w:val="both"/>
      </w:pPr>
      <w:r>
        <w:t>Department of Molecular Genetics</w:t>
      </w:r>
    </w:p>
    <w:p w:rsidR="00851280" w:rsidRDefault="00851280" w:rsidP="00752FBD">
      <w:pPr>
        <w:jc w:val="both"/>
      </w:pPr>
    </w:p>
    <w:p w:rsidR="00A3590A" w:rsidRDefault="00A3590A">
      <w:pPr>
        <w:rPr>
          <w:rFonts w:ascii="Times" w:eastAsia="Times" w:hAnsi="Times"/>
          <w:szCs w:val="20"/>
        </w:rPr>
      </w:pPr>
    </w:p>
    <w:p w:rsidR="00A3590A" w:rsidRDefault="00A3590A">
      <w:pPr>
        <w:rPr>
          <w:rFonts w:ascii="Times" w:eastAsia="Times" w:hAnsi="Times"/>
          <w:szCs w:val="20"/>
        </w:rPr>
      </w:pPr>
    </w:p>
    <w:p w:rsidR="00FC69F7" w:rsidRDefault="00FC69F7" w:rsidP="00752FBD">
      <w:pPr>
        <w:jc w:val="both"/>
        <w:rPr>
          <w:rFonts w:ascii="Times" w:eastAsia="Times" w:hAnsi="Times"/>
          <w:szCs w:val="20"/>
        </w:rPr>
      </w:pPr>
    </w:p>
    <w:p w:rsidR="00FC69F7" w:rsidRDefault="00FC69F7">
      <w:pPr>
        <w:rPr>
          <w:rFonts w:ascii="Times" w:eastAsia="Times" w:hAnsi="Times"/>
          <w:szCs w:val="20"/>
        </w:rPr>
      </w:pPr>
      <w:r>
        <w:rPr>
          <w:rFonts w:ascii="Times" w:eastAsia="Times" w:hAnsi="Times"/>
          <w:szCs w:val="20"/>
        </w:rPr>
        <w:br w:type="page"/>
      </w:r>
    </w:p>
    <w:p w:rsidR="00FC69F7" w:rsidRPr="00E2449B" w:rsidRDefault="00E2449B" w:rsidP="00752FBD">
      <w:pPr>
        <w:jc w:val="both"/>
        <w:rPr>
          <w:rFonts w:ascii="Times" w:eastAsia="Times" w:hAnsi="Times"/>
          <w:b/>
          <w:szCs w:val="20"/>
          <w:u w:val="single"/>
        </w:rPr>
      </w:pPr>
      <w:r w:rsidRPr="00E2449B">
        <w:rPr>
          <w:rFonts w:ascii="Times" w:eastAsia="Times" w:hAnsi="Times"/>
          <w:b/>
          <w:szCs w:val="20"/>
          <w:u w:val="single"/>
        </w:rPr>
        <w:lastRenderedPageBreak/>
        <w:t>Response to Editorial C</w:t>
      </w:r>
      <w:r w:rsidR="00FC69F7" w:rsidRPr="00E2449B">
        <w:rPr>
          <w:rFonts w:ascii="Times" w:eastAsia="Times" w:hAnsi="Times"/>
          <w:b/>
          <w:szCs w:val="20"/>
          <w:u w:val="single"/>
        </w:rPr>
        <w:t>omments:</w:t>
      </w:r>
    </w:p>
    <w:p w:rsidR="00FC69F7" w:rsidRDefault="00FC69F7" w:rsidP="00752FBD">
      <w:pPr>
        <w:jc w:val="both"/>
        <w:rPr>
          <w:rFonts w:ascii="Times" w:eastAsia="Times" w:hAnsi="Times"/>
          <w:szCs w:val="20"/>
        </w:rPr>
      </w:pPr>
    </w:p>
    <w:p w:rsidR="00035C10" w:rsidRDefault="00035C10" w:rsidP="00752FBD">
      <w:pPr>
        <w:jc w:val="both"/>
        <w:rPr>
          <w:i/>
        </w:rPr>
      </w:pPr>
      <w:r w:rsidRPr="00035C10">
        <w:rPr>
          <w:i/>
        </w:rPr>
        <w:t>1. Please take this opportunity to thoroughly proofread</w:t>
      </w:r>
      <w:r>
        <w:rPr>
          <w:i/>
        </w:rPr>
        <w:t>……</w:t>
      </w:r>
    </w:p>
    <w:p w:rsidR="00035C10" w:rsidRPr="00035C10" w:rsidRDefault="00035C10" w:rsidP="00752FBD">
      <w:pPr>
        <w:jc w:val="both"/>
        <w:rPr>
          <w:rFonts w:ascii="Times" w:eastAsia="Times" w:hAnsi="Times"/>
          <w:szCs w:val="20"/>
        </w:rPr>
      </w:pPr>
      <w:r>
        <w:t>We have thoroughly checked for grammatical and spelling errors.</w:t>
      </w:r>
    </w:p>
    <w:p w:rsidR="00035C10" w:rsidRDefault="00035C10" w:rsidP="00752FBD">
      <w:pPr>
        <w:jc w:val="both"/>
        <w:rPr>
          <w:rFonts w:ascii="Times" w:eastAsia="Times" w:hAnsi="Times"/>
          <w:i/>
          <w:szCs w:val="20"/>
        </w:rPr>
      </w:pPr>
    </w:p>
    <w:p w:rsidR="00E2449B" w:rsidRDefault="00035C10" w:rsidP="00752FBD">
      <w:pPr>
        <w:jc w:val="both"/>
        <w:rPr>
          <w:rFonts w:ascii="Times" w:eastAsia="Times" w:hAnsi="Times"/>
          <w:i/>
          <w:szCs w:val="20"/>
        </w:rPr>
      </w:pPr>
      <w:r>
        <w:rPr>
          <w:rFonts w:ascii="Times" w:eastAsia="Times" w:hAnsi="Times"/>
          <w:i/>
          <w:szCs w:val="20"/>
        </w:rPr>
        <w:t xml:space="preserve">2. </w:t>
      </w:r>
      <w:r w:rsidRPr="00035C10">
        <w:rPr>
          <w:rFonts w:ascii="Times" w:eastAsia="Times" w:hAnsi="Times"/>
          <w:i/>
          <w:szCs w:val="20"/>
        </w:rPr>
        <w:t>Protocol Detail</w:t>
      </w:r>
      <w:r>
        <w:rPr>
          <w:rFonts w:ascii="Times" w:eastAsia="Times" w:hAnsi="Times"/>
          <w:i/>
          <w:szCs w:val="20"/>
        </w:rPr>
        <w:t>………</w:t>
      </w:r>
    </w:p>
    <w:p w:rsidR="00035C10" w:rsidRDefault="00035C10" w:rsidP="00752FBD">
      <w:pPr>
        <w:jc w:val="both"/>
        <w:rPr>
          <w:rFonts w:ascii="Times" w:eastAsia="Times" w:hAnsi="Times"/>
          <w:szCs w:val="20"/>
        </w:rPr>
      </w:pPr>
      <w:r>
        <w:rPr>
          <w:rFonts w:ascii="Times" w:eastAsia="Times" w:hAnsi="Times"/>
          <w:szCs w:val="20"/>
        </w:rPr>
        <w:t>We have added detailed comments on media and culture conditions as suggested.</w:t>
      </w:r>
    </w:p>
    <w:p w:rsidR="00035C10" w:rsidRDefault="00035C10" w:rsidP="00752FBD">
      <w:pPr>
        <w:jc w:val="both"/>
        <w:rPr>
          <w:rFonts w:ascii="Times" w:eastAsia="Times" w:hAnsi="Times"/>
          <w:szCs w:val="20"/>
        </w:rPr>
      </w:pPr>
    </w:p>
    <w:p w:rsidR="00035C10" w:rsidRPr="00035C10" w:rsidRDefault="00035C10" w:rsidP="00752FBD">
      <w:pPr>
        <w:jc w:val="both"/>
        <w:rPr>
          <w:rFonts w:ascii="Times" w:eastAsia="Times" w:hAnsi="Times"/>
          <w:i/>
          <w:szCs w:val="20"/>
        </w:rPr>
      </w:pPr>
      <w:r w:rsidRPr="00035C10">
        <w:rPr>
          <w:rFonts w:ascii="Times" w:eastAsia="Times" w:hAnsi="Times"/>
          <w:i/>
          <w:szCs w:val="20"/>
        </w:rPr>
        <w:t>3. Protocol Highlights………</w:t>
      </w:r>
    </w:p>
    <w:p w:rsidR="003F0C38" w:rsidRDefault="00035C10" w:rsidP="00752FBD">
      <w:pPr>
        <w:jc w:val="both"/>
        <w:rPr>
          <w:rFonts w:ascii="Times" w:eastAsia="Times" w:hAnsi="Times"/>
          <w:szCs w:val="20"/>
        </w:rPr>
      </w:pPr>
      <w:r>
        <w:rPr>
          <w:rFonts w:ascii="Times" w:eastAsia="Times" w:hAnsi="Times"/>
          <w:szCs w:val="20"/>
        </w:rPr>
        <w:t xml:space="preserve">We have highlighted </w:t>
      </w:r>
      <w:r w:rsidR="003F0C38">
        <w:rPr>
          <w:rFonts w:ascii="Times" w:eastAsia="Times" w:hAnsi="Times"/>
          <w:szCs w:val="20"/>
        </w:rPr>
        <w:t>~2.5 pages of the text to identify which steps should be visualized.</w:t>
      </w:r>
    </w:p>
    <w:p w:rsidR="003F0C38" w:rsidRDefault="003F0C38" w:rsidP="00752FBD">
      <w:pPr>
        <w:jc w:val="both"/>
        <w:rPr>
          <w:rFonts w:ascii="Times" w:eastAsia="Times" w:hAnsi="Times"/>
          <w:szCs w:val="20"/>
        </w:rPr>
      </w:pPr>
    </w:p>
    <w:p w:rsidR="003F0C38" w:rsidRPr="003F0C38" w:rsidRDefault="003F0C38" w:rsidP="00752FBD">
      <w:pPr>
        <w:jc w:val="both"/>
        <w:rPr>
          <w:rFonts w:ascii="Times" w:eastAsia="Times" w:hAnsi="Times"/>
          <w:i/>
          <w:szCs w:val="20"/>
        </w:rPr>
      </w:pPr>
      <w:r w:rsidRPr="003F0C38">
        <w:rPr>
          <w:rFonts w:ascii="Times" w:eastAsia="Times" w:hAnsi="Times"/>
          <w:i/>
          <w:szCs w:val="20"/>
        </w:rPr>
        <w:t>4. Discussion……</w:t>
      </w:r>
    </w:p>
    <w:p w:rsidR="00E2449B" w:rsidRDefault="003F0C38" w:rsidP="00752FBD">
      <w:pPr>
        <w:jc w:val="both"/>
        <w:rPr>
          <w:rFonts w:ascii="Times" w:eastAsia="Times" w:hAnsi="Times"/>
          <w:szCs w:val="20"/>
        </w:rPr>
      </w:pPr>
      <w:r>
        <w:rPr>
          <w:rFonts w:ascii="Times" w:eastAsia="Times" w:hAnsi="Times"/>
          <w:szCs w:val="20"/>
        </w:rPr>
        <w:t>We have revised the discussion in several places to ensure that the discussion addresses each of the 5 points raised by the editor.</w:t>
      </w:r>
    </w:p>
    <w:p w:rsidR="003F0C38" w:rsidRDefault="003F0C38" w:rsidP="00752FBD">
      <w:pPr>
        <w:jc w:val="both"/>
        <w:rPr>
          <w:rFonts w:ascii="Times" w:eastAsia="Times" w:hAnsi="Times"/>
          <w:szCs w:val="20"/>
        </w:rPr>
      </w:pPr>
    </w:p>
    <w:p w:rsidR="003F0C38" w:rsidRPr="003F0C38" w:rsidRDefault="003F0C38" w:rsidP="00752FBD">
      <w:pPr>
        <w:jc w:val="both"/>
        <w:rPr>
          <w:rFonts w:ascii="Times" w:eastAsia="Times" w:hAnsi="Times"/>
          <w:i/>
          <w:szCs w:val="20"/>
        </w:rPr>
      </w:pPr>
      <w:r w:rsidRPr="003F0C38">
        <w:rPr>
          <w:rFonts w:ascii="Times" w:eastAsia="Times" w:hAnsi="Times"/>
          <w:i/>
          <w:szCs w:val="20"/>
        </w:rPr>
        <w:t>5. Figures….Add scale bars to the right panels…….</w:t>
      </w:r>
    </w:p>
    <w:p w:rsidR="003F0C38" w:rsidRDefault="003F0C38" w:rsidP="00752FBD">
      <w:pPr>
        <w:jc w:val="both"/>
        <w:rPr>
          <w:rFonts w:ascii="Times" w:eastAsia="Times" w:hAnsi="Times"/>
          <w:szCs w:val="20"/>
        </w:rPr>
      </w:pPr>
      <w:r>
        <w:rPr>
          <w:rFonts w:ascii="Times" w:eastAsia="Times" w:hAnsi="Times"/>
          <w:szCs w:val="20"/>
        </w:rPr>
        <w:t>We have added scale bars to the right panels.</w:t>
      </w:r>
    </w:p>
    <w:p w:rsidR="003F0C38" w:rsidRDefault="003F0C38" w:rsidP="00752FBD">
      <w:pPr>
        <w:jc w:val="both"/>
        <w:rPr>
          <w:rFonts w:ascii="Times" w:eastAsia="Times" w:hAnsi="Times"/>
          <w:szCs w:val="20"/>
        </w:rPr>
      </w:pPr>
    </w:p>
    <w:p w:rsidR="003F0C38" w:rsidRPr="003F0C38" w:rsidRDefault="003F0C38" w:rsidP="00752FBD">
      <w:pPr>
        <w:jc w:val="both"/>
        <w:rPr>
          <w:rFonts w:ascii="Times" w:eastAsia="Times" w:hAnsi="Times"/>
          <w:i/>
          <w:szCs w:val="20"/>
        </w:rPr>
      </w:pPr>
      <w:r w:rsidRPr="003F0C38">
        <w:rPr>
          <w:rFonts w:ascii="Times" w:eastAsia="Times" w:hAnsi="Times"/>
          <w:i/>
          <w:szCs w:val="20"/>
        </w:rPr>
        <w:t>6. Commercial language…….</w:t>
      </w:r>
    </w:p>
    <w:p w:rsidR="003F0C38" w:rsidRDefault="003F0C38" w:rsidP="00752FBD">
      <w:pPr>
        <w:jc w:val="both"/>
        <w:rPr>
          <w:rFonts w:ascii="Times" w:eastAsia="Times" w:hAnsi="Times"/>
          <w:szCs w:val="20"/>
        </w:rPr>
      </w:pPr>
      <w:r>
        <w:rPr>
          <w:rFonts w:ascii="Times" w:eastAsia="Times" w:hAnsi="Times"/>
          <w:szCs w:val="20"/>
        </w:rPr>
        <w:t xml:space="preserve">We have replaced all commercial sounding language with generic names that </w:t>
      </w:r>
      <w:r w:rsidR="00D00335">
        <w:rPr>
          <w:rFonts w:ascii="Times" w:eastAsia="Times" w:hAnsi="Times"/>
          <w:szCs w:val="20"/>
        </w:rPr>
        <w:t>a</w:t>
      </w:r>
      <w:r>
        <w:rPr>
          <w:rFonts w:ascii="Times" w:eastAsia="Times" w:hAnsi="Times"/>
          <w:szCs w:val="20"/>
        </w:rPr>
        <w:t>re not company specific.</w:t>
      </w:r>
    </w:p>
    <w:p w:rsidR="003F0C38" w:rsidRDefault="003F0C38" w:rsidP="00752FBD">
      <w:pPr>
        <w:jc w:val="both"/>
        <w:rPr>
          <w:rFonts w:ascii="Times" w:eastAsia="Times" w:hAnsi="Times"/>
          <w:szCs w:val="20"/>
        </w:rPr>
      </w:pPr>
    </w:p>
    <w:p w:rsidR="003F0C38" w:rsidRPr="003F0C38" w:rsidRDefault="003F0C38" w:rsidP="00752FBD">
      <w:pPr>
        <w:jc w:val="both"/>
        <w:rPr>
          <w:rFonts w:ascii="Times" w:eastAsia="Times" w:hAnsi="Times"/>
          <w:i/>
          <w:szCs w:val="20"/>
        </w:rPr>
      </w:pPr>
      <w:r w:rsidRPr="003F0C38">
        <w:rPr>
          <w:rFonts w:ascii="Times" w:eastAsia="Times" w:hAnsi="Times"/>
          <w:i/>
          <w:szCs w:val="20"/>
        </w:rPr>
        <w:t>7. Abbreviations……</w:t>
      </w:r>
    </w:p>
    <w:p w:rsidR="003F0C38" w:rsidRDefault="003F0C38" w:rsidP="00752FBD">
      <w:pPr>
        <w:jc w:val="both"/>
        <w:rPr>
          <w:rFonts w:ascii="Times" w:eastAsia="Times" w:hAnsi="Times"/>
          <w:szCs w:val="20"/>
        </w:rPr>
      </w:pPr>
      <w:r>
        <w:rPr>
          <w:rFonts w:ascii="Times" w:eastAsia="Times" w:hAnsi="Times"/>
          <w:szCs w:val="20"/>
        </w:rPr>
        <w:t xml:space="preserve">All abbreviations have been defined </w:t>
      </w:r>
    </w:p>
    <w:p w:rsidR="003F0C38" w:rsidRDefault="003F0C38" w:rsidP="00752FBD">
      <w:pPr>
        <w:jc w:val="both"/>
        <w:rPr>
          <w:rFonts w:ascii="Times" w:eastAsia="Times" w:hAnsi="Times"/>
          <w:szCs w:val="20"/>
        </w:rPr>
      </w:pPr>
    </w:p>
    <w:p w:rsidR="003F0C38" w:rsidRPr="003F0C38" w:rsidRDefault="003F0C38" w:rsidP="00752FBD">
      <w:pPr>
        <w:jc w:val="both"/>
        <w:rPr>
          <w:rFonts w:ascii="Times" w:eastAsia="Times" w:hAnsi="Times"/>
          <w:i/>
          <w:szCs w:val="20"/>
        </w:rPr>
      </w:pPr>
      <w:r w:rsidRPr="003F0C38">
        <w:rPr>
          <w:rFonts w:ascii="Times" w:eastAsia="Times" w:hAnsi="Times"/>
          <w:i/>
          <w:szCs w:val="20"/>
        </w:rPr>
        <w:t>8. If your tables and figure are not original……..</w:t>
      </w:r>
    </w:p>
    <w:p w:rsidR="003F0C38" w:rsidRDefault="003F0C38" w:rsidP="00752FBD">
      <w:pPr>
        <w:jc w:val="both"/>
        <w:rPr>
          <w:rFonts w:ascii="Times" w:eastAsia="Times" w:hAnsi="Times"/>
          <w:szCs w:val="20"/>
        </w:rPr>
      </w:pPr>
      <w:r>
        <w:rPr>
          <w:rFonts w:ascii="Times" w:eastAsia="Times" w:hAnsi="Times"/>
          <w:szCs w:val="20"/>
        </w:rPr>
        <w:t>All tables and figures are original and have not been published previously.</w:t>
      </w:r>
    </w:p>
    <w:p w:rsidR="003F0C38" w:rsidRDefault="003F0C38" w:rsidP="00752FBD">
      <w:pPr>
        <w:jc w:val="both"/>
        <w:rPr>
          <w:rFonts w:ascii="Times" w:eastAsia="Times" w:hAnsi="Times"/>
          <w:szCs w:val="20"/>
        </w:rPr>
      </w:pPr>
    </w:p>
    <w:p w:rsidR="00FC69F7" w:rsidRPr="00750EA7" w:rsidRDefault="00E2449B" w:rsidP="00752FBD">
      <w:pPr>
        <w:jc w:val="both"/>
        <w:rPr>
          <w:rFonts w:ascii="Times" w:eastAsia="Times" w:hAnsi="Times"/>
          <w:b/>
          <w:szCs w:val="20"/>
          <w:u w:val="single"/>
        </w:rPr>
      </w:pPr>
      <w:r>
        <w:rPr>
          <w:rFonts w:ascii="Times" w:eastAsia="Times" w:hAnsi="Times"/>
          <w:b/>
          <w:szCs w:val="20"/>
          <w:u w:val="single"/>
        </w:rPr>
        <w:t>Response to Comments from Peer-Reviewers</w:t>
      </w:r>
    </w:p>
    <w:p w:rsidR="00FC69F7" w:rsidRDefault="00FC69F7" w:rsidP="00752FBD">
      <w:pPr>
        <w:jc w:val="both"/>
        <w:rPr>
          <w:rFonts w:ascii="Times" w:eastAsia="Times" w:hAnsi="Times"/>
          <w:szCs w:val="20"/>
        </w:rPr>
      </w:pPr>
    </w:p>
    <w:p w:rsidR="00750EA7" w:rsidRDefault="00E2449B" w:rsidP="00752FBD">
      <w:pPr>
        <w:jc w:val="both"/>
        <w:rPr>
          <w:rFonts w:ascii="Times" w:eastAsia="Times" w:hAnsi="Times"/>
          <w:szCs w:val="20"/>
        </w:rPr>
      </w:pPr>
      <w:r>
        <w:rPr>
          <w:rFonts w:ascii="Times" w:eastAsia="Times" w:hAnsi="Times"/>
          <w:szCs w:val="20"/>
        </w:rPr>
        <w:t>Reviewer #1.</w:t>
      </w:r>
    </w:p>
    <w:p w:rsidR="00E2449B" w:rsidRDefault="00E2449B" w:rsidP="00752FBD">
      <w:pPr>
        <w:jc w:val="both"/>
        <w:rPr>
          <w:rFonts w:ascii="Times" w:eastAsia="Times" w:hAnsi="Times"/>
          <w:szCs w:val="20"/>
        </w:rPr>
      </w:pPr>
    </w:p>
    <w:p w:rsidR="00E2449B" w:rsidRDefault="00E2449B" w:rsidP="00752FBD">
      <w:pPr>
        <w:jc w:val="both"/>
        <w:rPr>
          <w:rFonts w:ascii="Times" w:eastAsia="Times" w:hAnsi="Times"/>
          <w:szCs w:val="20"/>
        </w:rPr>
      </w:pPr>
      <w:r>
        <w:rPr>
          <w:rFonts w:ascii="Times" w:eastAsia="Times" w:hAnsi="Times"/>
          <w:szCs w:val="20"/>
        </w:rPr>
        <w:t>Major Concern:</w:t>
      </w:r>
    </w:p>
    <w:p w:rsidR="00E2449B" w:rsidRDefault="005654E7" w:rsidP="00752FBD">
      <w:pPr>
        <w:jc w:val="both"/>
        <w:rPr>
          <w:i/>
        </w:rPr>
      </w:pPr>
      <w:r>
        <w:rPr>
          <w:i/>
        </w:rPr>
        <w:t xml:space="preserve">1. </w:t>
      </w:r>
      <w:r w:rsidR="00E2449B" w:rsidRPr="00E2449B">
        <w:rPr>
          <w:i/>
        </w:rPr>
        <w:t>The only real issue that I can point out is that there's no confirmation about the identity of cells isolated</w:t>
      </w:r>
      <w:r w:rsidR="00786750">
        <w:rPr>
          <w:i/>
        </w:rPr>
        <w:t>…</w:t>
      </w:r>
    </w:p>
    <w:p w:rsidR="00786750" w:rsidRDefault="00786750" w:rsidP="00752FBD">
      <w:pPr>
        <w:jc w:val="both"/>
      </w:pPr>
      <w:r>
        <w:t xml:space="preserve">In our recent publication in J. </w:t>
      </w:r>
      <w:proofErr w:type="spellStart"/>
      <w:r>
        <w:t>Virol</w:t>
      </w:r>
      <w:proofErr w:type="spellEnd"/>
      <w:r>
        <w:t>, we have demonstrated that these cells are of epithelial origin and express amylase and other markers of salivary acinar epithelial cells. We have</w:t>
      </w:r>
      <w:r w:rsidR="00D00335">
        <w:t xml:space="preserve"> added</w:t>
      </w:r>
      <w:r>
        <w:t xml:space="preserve"> a comment</w:t>
      </w:r>
      <w:r w:rsidR="00D00335">
        <w:t xml:space="preserve"> about these studies</w:t>
      </w:r>
      <w:r>
        <w:t xml:space="preserve"> to the introduction (lines 92-93 of the marked up version) and also make specific reference to our published paper. </w:t>
      </w:r>
      <w:r w:rsidR="00C1081B">
        <w:t xml:space="preserve"> We have also modified the language in the summary to clarify this point.</w:t>
      </w:r>
    </w:p>
    <w:p w:rsidR="00786750" w:rsidRDefault="00786750" w:rsidP="00752FBD">
      <w:pPr>
        <w:jc w:val="both"/>
      </w:pPr>
    </w:p>
    <w:p w:rsidR="00786750" w:rsidRDefault="00786750" w:rsidP="00752FBD">
      <w:pPr>
        <w:jc w:val="both"/>
      </w:pPr>
      <w:r>
        <w:t>Minor Concern</w:t>
      </w:r>
      <w:r w:rsidR="005654E7">
        <w:t>s</w:t>
      </w:r>
      <w:r>
        <w:t>:</w:t>
      </w:r>
    </w:p>
    <w:p w:rsidR="00786750" w:rsidRDefault="005654E7" w:rsidP="00752FBD">
      <w:pPr>
        <w:jc w:val="both"/>
        <w:rPr>
          <w:i/>
        </w:rPr>
      </w:pPr>
      <w:r>
        <w:rPr>
          <w:i/>
        </w:rPr>
        <w:t xml:space="preserve">1. </w:t>
      </w:r>
      <w:r w:rsidR="00786750" w:rsidRPr="005654E7">
        <w:rPr>
          <w:i/>
        </w:rPr>
        <w:t>Line 132 - "2.5 Repeat steps 1.3 and 1.4 two-three more</w:t>
      </w:r>
      <w:r>
        <w:rPr>
          <w:i/>
        </w:rPr>
        <w:t>………</w:t>
      </w:r>
    </w:p>
    <w:p w:rsidR="005654E7" w:rsidRDefault="005654E7" w:rsidP="00752FBD">
      <w:pPr>
        <w:jc w:val="both"/>
      </w:pPr>
      <w:r>
        <w:t>We have corrected this in the text to read steps 2.3 and 2.4 as suggested by the reviewer.</w:t>
      </w:r>
    </w:p>
    <w:p w:rsidR="005654E7" w:rsidRDefault="005654E7" w:rsidP="00752FBD">
      <w:pPr>
        <w:jc w:val="both"/>
      </w:pPr>
    </w:p>
    <w:p w:rsidR="005654E7" w:rsidRDefault="005654E7" w:rsidP="00752FBD">
      <w:pPr>
        <w:jc w:val="both"/>
        <w:rPr>
          <w:i/>
        </w:rPr>
      </w:pPr>
      <w:r>
        <w:rPr>
          <w:i/>
        </w:rPr>
        <w:t xml:space="preserve">2. </w:t>
      </w:r>
      <w:r w:rsidRPr="005654E7">
        <w:rPr>
          <w:i/>
        </w:rPr>
        <w:t>A little more discussion about what the functional assessment</w:t>
      </w:r>
      <w:r>
        <w:rPr>
          <w:i/>
        </w:rPr>
        <w:t>……</w:t>
      </w:r>
    </w:p>
    <w:p w:rsidR="005654E7" w:rsidRDefault="005654E7" w:rsidP="00752FBD">
      <w:pPr>
        <w:jc w:val="both"/>
        <w:rPr>
          <w:rFonts w:ascii="Times" w:eastAsia="Times" w:hAnsi="Times"/>
          <w:szCs w:val="20"/>
        </w:rPr>
      </w:pPr>
      <w:r>
        <w:rPr>
          <w:rFonts w:ascii="Times" w:eastAsia="Times" w:hAnsi="Times"/>
          <w:szCs w:val="20"/>
        </w:rPr>
        <w:lastRenderedPageBreak/>
        <w:t>We have added a couple of sentences to the discussion adding language about our function</w:t>
      </w:r>
      <w:r w:rsidR="00D67766">
        <w:rPr>
          <w:rFonts w:ascii="Times" w:eastAsia="Times" w:hAnsi="Times"/>
          <w:szCs w:val="20"/>
        </w:rPr>
        <w:t>al</w:t>
      </w:r>
      <w:r>
        <w:rPr>
          <w:rFonts w:ascii="Times" w:eastAsia="Times" w:hAnsi="Times"/>
          <w:szCs w:val="20"/>
        </w:rPr>
        <w:t xml:space="preserve"> assessment as suggested by the reviewer. This discussion is in lines 336-340 of the marked up version.</w:t>
      </w:r>
    </w:p>
    <w:p w:rsidR="005654E7" w:rsidRDefault="005654E7" w:rsidP="00752FBD">
      <w:pPr>
        <w:jc w:val="both"/>
        <w:rPr>
          <w:rFonts w:ascii="Times" w:eastAsia="Times" w:hAnsi="Times"/>
          <w:szCs w:val="20"/>
        </w:rPr>
      </w:pPr>
    </w:p>
    <w:p w:rsidR="005654E7" w:rsidRDefault="005654E7" w:rsidP="005654E7">
      <w:pPr>
        <w:jc w:val="both"/>
        <w:rPr>
          <w:rFonts w:ascii="Times" w:eastAsia="Times" w:hAnsi="Times"/>
          <w:szCs w:val="20"/>
        </w:rPr>
      </w:pPr>
      <w:r>
        <w:rPr>
          <w:rFonts w:ascii="Times" w:eastAsia="Times" w:hAnsi="Times"/>
          <w:szCs w:val="20"/>
        </w:rPr>
        <w:t>Reviewer #2.</w:t>
      </w:r>
    </w:p>
    <w:p w:rsidR="005654E7" w:rsidRDefault="005654E7" w:rsidP="005654E7">
      <w:pPr>
        <w:jc w:val="both"/>
        <w:rPr>
          <w:rFonts w:ascii="Times" w:eastAsia="Times" w:hAnsi="Times"/>
          <w:szCs w:val="20"/>
        </w:rPr>
      </w:pPr>
    </w:p>
    <w:p w:rsidR="005654E7" w:rsidRDefault="005654E7" w:rsidP="005654E7">
      <w:pPr>
        <w:jc w:val="both"/>
        <w:rPr>
          <w:rFonts w:ascii="Times" w:eastAsia="Times" w:hAnsi="Times"/>
          <w:szCs w:val="20"/>
        </w:rPr>
      </w:pPr>
      <w:r>
        <w:rPr>
          <w:rFonts w:ascii="Times" w:eastAsia="Times" w:hAnsi="Times"/>
          <w:szCs w:val="20"/>
        </w:rPr>
        <w:t>Major Concerns:</w:t>
      </w:r>
    </w:p>
    <w:p w:rsidR="005654E7" w:rsidRDefault="005654E7" w:rsidP="00752FBD">
      <w:pPr>
        <w:jc w:val="both"/>
        <w:rPr>
          <w:i/>
        </w:rPr>
      </w:pPr>
      <w:r w:rsidRPr="005654E7">
        <w:rPr>
          <w:i/>
        </w:rPr>
        <w:t>1. In several places the authors use the phras</w:t>
      </w:r>
      <w:r>
        <w:rPr>
          <w:i/>
        </w:rPr>
        <w:t>e "mostly epithelial……………”</w:t>
      </w:r>
    </w:p>
    <w:p w:rsidR="00D67766" w:rsidRDefault="00D67766" w:rsidP="00D67766">
      <w:pPr>
        <w:jc w:val="both"/>
      </w:pPr>
      <w:r>
        <w:t xml:space="preserve">In our recent publication in J. </w:t>
      </w:r>
      <w:proofErr w:type="spellStart"/>
      <w:r>
        <w:t>Virol</w:t>
      </w:r>
      <w:proofErr w:type="spellEnd"/>
      <w:r>
        <w:t xml:space="preserve">, we have demonstrated that these cells are of epithelial origin and express amylase and other markers of salivary acinar epithelial cells. We have added a comment about these studies to the introduction (lines 92-93 of the marked up version) and also make specific reference to our published paper. </w:t>
      </w:r>
      <w:r w:rsidR="00C1081B">
        <w:t xml:space="preserve"> </w:t>
      </w:r>
      <w:r w:rsidR="00C1081B">
        <w:t>We have also modified the language in the summary to clarify this point.</w:t>
      </w:r>
      <w:bookmarkStart w:id="0" w:name="_GoBack"/>
      <w:bookmarkEnd w:id="0"/>
    </w:p>
    <w:p w:rsidR="005654E7" w:rsidRDefault="005654E7" w:rsidP="005654E7">
      <w:pPr>
        <w:jc w:val="both"/>
      </w:pPr>
    </w:p>
    <w:p w:rsidR="005654E7" w:rsidRPr="005654E7" w:rsidRDefault="005654E7" w:rsidP="005654E7">
      <w:pPr>
        <w:jc w:val="both"/>
        <w:rPr>
          <w:i/>
        </w:rPr>
      </w:pPr>
      <w:r w:rsidRPr="005654E7">
        <w:rPr>
          <w:i/>
        </w:rPr>
        <w:t xml:space="preserve">2. </w:t>
      </w:r>
      <w:proofErr w:type="gramStart"/>
      <w:r w:rsidRPr="005654E7">
        <w:rPr>
          <w:i/>
        </w:rPr>
        <w:t>In</w:t>
      </w:r>
      <w:proofErr w:type="gramEnd"/>
      <w:r w:rsidRPr="005654E7">
        <w:rPr>
          <w:i/>
        </w:rPr>
        <w:t xml:space="preserve"> particular, since fibroblast</w:t>
      </w:r>
      <w:r>
        <w:rPr>
          <w:i/>
        </w:rPr>
        <w:t>s are highly permissive for CMV…………</w:t>
      </w:r>
    </w:p>
    <w:p w:rsidR="005654E7" w:rsidRPr="005654E7" w:rsidRDefault="005654E7" w:rsidP="00752FBD">
      <w:pPr>
        <w:jc w:val="both"/>
        <w:rPr>
          <w:rFonts w:ascii="Times" w:eastAsia="Times" w:hAnsi="Times"/>
          <w:szCs w:val="20"/>
        </w:rPr>
      </w:pPr>
      <w:r>
        <w:rPr>
          <w:rFonts w:ascii="Times" w:eastAsia="Times" w:hAnsi="Times"/>
          <w:szCs w:val="20"/>
        </w:rPr>
        <w:t>We know that our cultures contain little to know fibroblast contamination as fibroblast tropic strains of HCMV fail to replicate in our salivary cultures. We have added this language in lines 336-338 of the marked up version of the manuscript.</w:t>
      </w:r>
    </w:p>
    <w:sectPr w:rsidR="005654E7" w:rsidRPr="005654E7" w:rsidSect="00F64CF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AF9" w:rsidRDefault="00052AF9">
      <w:r>
        <w:separator/>
      </w:r>
    </w:p>
  </w:endnote>
  <w:endnote w:type="continuationSeparator" w:id="0">
    <w:p w:rsidR="00052AF9" w:rsidRDefault="0005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AB4" w:rsidRDefault="00730AB4">
    <w:pPr>
      <w:pStyle w:val="Footer"/>
      <w:jc w:val="center"/>
      <w:rPr>
        <w:rFonts w:ascii="Arial" w:hAnsi="Arial" w:cs="Arial"/>
        <w:color w:val="808080"/>
        <w:sz w:val="16"/>
      </w:rPr>
    </w:pPr>
    <w:r>
      <w:rPr>
        <w:rFonts w:ascii="Arial" w:hAnsi="Arial" w:cs="Arial"/>
        <w:color w:val="808080"/>
        <w:sz w:val="16"/>
      </w:rPr>
      <w:t xml:space="preserve">Patient Care </w:t>
    </w:r>
    <w:r>
      <w:rPr>
        <w:rFonts w:ascii="Arial" w:hAnsi="Arial" w:cs="Arial"/>
        <w:color w:val="808080"/>
        <w:sz w:val="20"/>
      </w:rPr>
      <w:t>·</w:t>
    </w:r>
    <w:r>
      <w:rPr>
        <w:rFonts w:ascii="Arial" w:hAnsi="Arial" w:cs="Arial"/>
        <w:color w:val="808080"/>
        <w:sz w:val="16"/>
      </w:rPr>
      <w:t xml:space="preserve"> Education </w:t>
    </w:r>
    <w:r>
      <w:rPr>
        <w:rFonts w:ascii="Arial" w:hAnsi="Arial" w:cs="Arial"/>
        <w:color w:val="808080"/>
        <w:sz w:val="20"/>
      </w:rPr>
      <w:t>·</w:t>
    </w:r>
    <w:r>
      <w:rPr>
        <w:rFonts w:ascii="Arial" w:hAnsi="Arial" w:cs="Arial"/>
        <w:color w:val="808080"/>
        <w:sz w:val="16"/>
      </w:rPr>
      <w:t xml:space="preserve"> Research </w:t>
    </w:r>
    <w:r>
      <w:rPr>
        <w:rFonts w:ascii="Arial" w:hAnsi="Arial" w:cs="Arial"/>
        <w:color w:val="808080"/>
        <w:sz w:val="20"/>
      </w:rPr>
      <w:t>·</w:t>
    </w:r>
    <w:r>
      <w:rPr>
        <w:rFonts w:ascii="Arial" w:hAnsi="Arial" w:cs="Arial"/>
        <w:color w:val="808080"/>
        <w:sz w:val="16"/>
      </w:rPr>
      <w:t xml:space="preserve"> Community </w:t>
    </w:r>
    <w:r>
      <w:rPr>
        <w:rFonts w:ascii="Arial" w:hAnsi="Arial" w:cs="Arial"/>
        <w:color w:val="808080"/>
        <w:sz w:val="20"/>
      </w:rPr>
      <w:t>·</w:t>
    </w:r>
    <w:r>
      <w:rPr>
        <w:rFonts w:ascii="Arial" w:hAnsi="Arial" w:cs="Arial"/>
        <w:color w:val="808080"/>
        <w:sz w:val="16"/>
      </w:rPr>
      <w:t xml:space="preserve"> Service</w:t>
    </w:r>
  </w:p>
  <w:p w:rsidR="00730AB4" w:rsidRDefault="002F595E">
    <w:pPr>
      <w:pStyle w:val="Footer"/>
      <w:jc w:val="center"/>
      <w:rPr>
        <w:rFonts w:ascii="Arial" w:hAnsi="Arial" w:cs="Arial"/>
        <w:i/>
        <w:iCs/>
        <w:sz w:val="16"/>
      </w:rPr>
    </w:pPr>
    <w:r>
      <w:rPr>
        <w:rFonts w:ascii="Arial" w:hAnsi="Arial" w:cs="Arial"/>
        <w:noProof/>
        <w:color w:val="808080"/>
        <w:sz w:val="20"/>
      </w:rPr>
      <mc:AlternateContent>
        <mc:Choice Requires="wps">
          <w:drawing>
            <wp:anchor distT="0" distB="0" distL="114300" distR="114300" simplePos="0" relativeHeight="251657728" behindDoc="0" locked="0" layoutInCell="1" allowOverlap="1">
              <wp:simplePos x="0" y="0"/>
              <wp:positionH relativeFrom="column">
                <wp:posOffset>4457700</wp:posOffset>
              </wp:positionH>
              <wp:positionV relativeFrom="paragraph">
                <wp:posOffset>2540</wp:posOffset>
              </wp:positionV>
              <wp:extent cx="365760" cy="82550"/>
              <wp:effectExtent l="9525" t="12065" r="5715" b="101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 cy="82550"/>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6A5BC" id="Rectangle 1" o:spid="_x0000_s1026" style="position:absolute;margin-left:351pt;margin-top:.2pt;width:28.8pt;height: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" fillcolor="red" strokecolor="red"/>
          </w:pict>
        </mc:Fallback>
      </mc:AlternateContent>
    </w:r>
    <w:r w:rsidR="00730AB4">
      <w:rPr>
        <w:rFonts w:ascii="Arial" w:hAnsi="Arial" w:cs="Arial"/>
        <w:color w:val="808080"/>
        <w:sz w:val="16"/>
      </w:rPr>
      <w:t xml:space="preserve">                </w:t>
    </w:r>
    <w:r w:rsidR="00730AB4">
      <w:rPr>
        <w:rFonts w:ascii="Arial" w:hAnsi="Arial" w:cs="Arial"/>
        <w:i/>
        <w:iCs/>
        <w:color w:val="808080"/>
        <w:sz w:val="16"/>
      </w:rPr>
      <w:t xml:space="preserve">An affirmative action/equal opportunity institution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AF9" w:rsidRDefault="00052AF9">
      <w:r>
        <w:separator/>
      </w:r>
    </w:p>
  </w:footnote>
  <w:footnote w:type="continuationSeparator" w:id="0">
    <w:p w:rsidR="00052AF9" w:rsidRDefault="00052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56E39"/>
    <w:multiLevelType w:val="hybridMultilevel"/>
    <w:tmpl w:val="E4ECE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D35FE"/>
    <w:multiLevelType w:val="hybridMultilevel"/>
    <w:tmpl w:val="E4ECE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30"/>
    <w:rsid w:val="000128BD"/>
    <w:rsid w:val="00034C83"/>
    <w:rsid w:val="00035C10"/>
    <w:rsid w:val="00052AF9"/>
    <w:rsid w:val="00053890"/>
    <w:rsid w:val="00054127"/>
    <w:rsid w:val="000C437E"/>
    <w:rsid w:val="000C5D04"/>
    <w:rsid w:val="000D03EA"/>
    <w:rsid w:val="000F0A70"/>
    <w:rsid w:val="00120EBC"/>
    <w:rsid w:val="0012406B"/>
    <w:rsid w:val="00132B13"/>
    <w:rsid w:val="00133B71"/>
    <w:rsid w:val="00141E07"/>
    <w:rsid w:val="00165198"/>
    <w:rsid w:val="001B0FC9"/>
    <w:rsid w:val="001D24C4"/>
    <w:rsid w:val="001E21DD"/>
    <w:rsid w:val="001E3476"/>
    <w:rsid w:val="00211BF9"/>
    <w:rsid w:val="00272630"/>
    <w:rsid w:val="00286019"/>
    <w:rsid w:val="002A5F9F"/>
    <w:rsid w:val="002C3306"/>
    <w:rsid w:val="002F595E"/>
    <w:rsid w:val="00322F6F"/>
    <w:rsid w:val="00341BFD"/>
    <w:rsid w:val="003430CF"/>
    <w:rsid w:val="00347BC9"/>
    <w:rsid w:val="003660FE"/>
    <w:rsid w:val="00373B58"/>
    <w:rsid w:val="00380AFC"/>
    <w:rsid w:val="00392863"/>
    <w:rsid w:val="003A0DDF"/>
    <w:rsid w:val="003C58A3"/>
    <w:rsid w:val="003D36DE"/>
    <w:rsid w:val="003F0C38"/>
    <w:rsid w:val="00401B46"/>
    <w:rsid w:val="00402650"/>
    <w:rsid w:val="0042408C"/>
    <w:rsid w:val="00426821"/>
    <w:rsid w:val="00446771"/>
    <w:rsid w:val="00482AFC"/>
    <w:rsid w:val="0049023A"/>
    <w:rsid w:val="00490918"/>
    <w:rsid w:val="004A5635"/>
    <w:rsid w:val="004E13D6"/>
    <w:rsid w:val="004F0F71"/>
    <w:rsid w:val="005042CA"/>
    <w:rsid w:val="005225B4"/>
    <w:rsid w:val="00523C2B"/>
    <w:rsid w:val="00526F4B"/>
    <w:rsid w:val="0055729E"/>
    <w:rsid w:val="005654E7"/>
    <w:rsid w:val="005736A4"/>
    <w:rsid w:val="005802E0"/>
    <w:rsid w:val="00592FDC"/>
    <w:rsid w:val="0059612D"/>
    <w:rsid w:val="005C28F8"/>
    <w:rsid w:val="005D2458"/>
    <w:rsid w:val="005D6DE0"/>
    <w:rsid w:val="005F250D"/>
    <w:rsid w:val="005F5810"/>
    <w:rsid w:val="0060344D"/>
    <w:rsid w:val="0061284A"/>
    <w:rsid w:val="00634A38"/>
    <w:rsid w:val="006370BF"/>
    <w:rsid w:val="00641759"/>
    <w:rsid w:val="00654E53"/>
    <w:rsid w:val="006676D5"/>
    <w:rsid w:val="00685A37"/>
    <w:rsid w:val="006965AE"/>
    <w:rsid w:val="006A1718"/>
    <w:rsid w:val="006A732C"/>
    <w:rsid w:val="006C65E3"/>
    <w:rsid w:val="0070779C"/>
    <w:rsid w:val="007237AF"/>
    <w:rsid w:val="00730AB4"/>
    <w:rsid w:val="007370C3"/>
    <w:rsid w:val="00750EA7"/>
    <w:rsid w:val="00752FBD"/>
    <w:rsid w:val="007626B1"/>
    <w:rsid w:val="00763A9A"/>
    <w:rsid w:val="00770C4F"/>
    <w:rsid w:val="00776D25"/>
    <w:rsid w:val="00783E5A"/>
    <w:rsid w:val="00786750"/>
    <w:rsid w:val="00791264"/>
    <w:rsid w:val="0079426E"/>
    <w:rsid w:val="0079645D"/>
    <w:rsid w:val="007B1C52"/>
    <w:rsid w:val="007D6778"/>
    <w:rsid w:val="007E0883"/>
    <w:rsid w:val="007E28F2"/>
    <w:rsid w:val="007F162E"/>
    <w:rsid w:val="008300B0"/>
    <w:rsid w:val="00833105"/>
    <w:rsid w:val="00834C34"/>
    <w:rsid w:val="00851280"/>
    <w:rsid w:val="008622ED"/>
    <w:rsid w:val="00880807"/>
    <w:rsid w:val="00894B21"/>
    <w:rsid w:val="008C7928"/>
    <w:rsid w:val="008D33F0"/>
    <w:rsid w:val="008D4E0A"/>
    <w:rsid w:val="008D787C"/>
    <w:rsid w:val="00907148"/>
    <w:rsid w:val="00913A21"/>
    <w:rsid w:val="00916652"/>
    <w:rsid w:val="00916EA2"/>
    <w:rsid w:val="009230AF"/>
    <w:rsid w:val="0094681B"/>
    <w:rsid w:val="00954FDA"/>
    <w:rsid w:val="0097368A"/>
    <w:rsid w:val="00976E48"/>
    <w:rsid w:val="009E1212"/>
    <w:rsid w:val="009E768E"/>
    <w:rsid w:val="00A00965"/>
    <w:rsid w:val="00A16039"/>
    <w:rsid w:val="00A3590A"/>
    <w:rsid w:val="00A6463F"/>
    <w:rsid w:val="00A73EAE"/>
    <w:rsid w:val="00A93B25"/>
    <w:rsid w:val="00AA319F"/>
    <w:rsid w:val="00AA3BF0"/>
    <w:rsid w:val="00AE2FF4"/>
    <w:rsid w:val="00AE672A"/>
    <w:rsid w:val="00B538C6"/>
    <w:rsid w:val="00B816B1"/>
    <w:rsid w:val="00B94ACE"/>
    <w:rsid w:val="00BA671C"/>
    <w:rsid w:val="00BA67CA"/>
    <w:rsid w:val="00BB19C2"/>
    <w:rsid w:val="00BC6ABB"/>
    <w:rsid w:val="00BD1B8D"/>
    <w:rsid w:val="00C1081B"/>
    <w:rsid w:val="00C523D5"/>
    <w:rsid w:val="00C63AED"/>
    <w:rsid w:val="00CA5D52"/>
    <w:rsid w:val="00CB653D"/>
    <w:rsid w:val="00CC12BF"/>
    <w:rsid w:val="00CC2E0F"/>
    <w:rsid w:val="00CD51BA"/>
    <w:rsid w:val="00D00335"/>
    <w:rsid w:val="00D05F49"/>
    <w:rsid w:val="00D154A8"/>
    <w:rsid w:val="00D2199D"/>
    <w:rsid w:val="00D4138E"/>
    <w:rsid w:val="00D556CD"/>
    <w:rsid w:val="00D67766"/>
    <w:rsid w:val="00D836B5"/>
    <w:rsid w:val="00DA23F3"/>
    <w:rsid w:val="00DA7FF4"/>
    <w:rsid w:val="00DE7343"/>
    <w:rsid w:val="00DF0C00"/>
    <w:rsid w:val="00DF2846"/>
    <w:rsid w:val="00DF2F5C"/>
    <w:rsid w:val="00E02180"/>
    <w:rsid w:val="00E2449B"/>
    <w:rsid w:val="00E31EE6"/>
    <w:rsid w:val="00E601FF"/>
    <w:rsid w:val="00E67442"/>
    <w:rsid w:val="00E76499"/>
    <w:rsid w:val="00EA16FB"/>
    <w:rsid w:val="00EB7D97"/>
    <w:rsid w:val="00EE0469"/>
    <w:rsid w:val="00F20117"/>
    <w:rsid w:val="00F3623E"/>
    <w:rsid w:val="00F57001"/>
    <w:rsid w:val="00F64CF2"/>
    <w:rsid w:val="00F730E0"/>
    <w:rsid w:val="00F81E65"/>
    <w:rsid w:val="00FA223A"/>
    <w:rsid w:val="00FC69F7"/>
    <w:rsid w:val="00FD6889"/>
    <w:rsid w:val="00FF2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F0A3E729-9502-4BD7-9066-B3C044F9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918"/>
    <w:rPr>
      <w:sz w:val="24"/>
      <w:szCs w:val="24"/>
    </w:rPr>
  </w:style>
  <w:style w:type="paragraph" w:styleId="Heading1">
    <w:name w:val="heading 1"/>
    <w:basedOn w:val="Normal"/>
    <w:next w:val="Normal"/>
    <w:qFormat/>
    <w:rsid w:val="00490918"/>
    <w:pPr>
      <w:keepNext/>
      <w:jc w:val="center"/>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18"/>
    <w:rPr>
      <w:rFonts w:ascii="Arial" w:hAnsi="Arial" w:cs="Arial"/>
      <w:sz w:val="22"/>
    </w:rPr>
  </w:style>
  <w:style w:type="paragraph" w:styleId="Header">
    <w:name w:val="header"/>
    <w:basedOn w:val="Normal"/>
    <w:rsid w:val="00490918"/>
    <w:pPr>
      <w:tabs>
        <w:tab w:val="center" w:pos="4320"/>
        <w:tab w:val="right" w:pos="8640"/>
      </w:tabs>
    </w:pPr>
  </w:style>
  <w:style w:type="paragraph" w:styleId="Footer">
    <w:name w:val="footer"/>
    <w:basedOn w:val="Normal"/>
    <w:rsid w:val="00490918"/>
    <w:pPr>
      <w:tabs>
        <w:tab w:val="center" w:pos="4320"/>
        <w:tab w:val="right" w:pos="8640"/>
      </w:tabs>
    </w:pPr>
  </w:style>
  <w:style w:type="paragraph" w:styleId="FootnoteText">
    <w:name w:val="footnote text"/>
    <w:basedOn w:val="Normal"/>
    <w:semiHidden/>
    <w:rsid w:val="00490918"/>
    <w:rPr>
      <w:sz w:val="20"/>
      <w:szCs w:val="20"/>
    </w:rPr>
  </w:style>
  <w:style w:type="character" w:styleId="FootnoteReference">
    <w:name w:val="footnote reference"/>
    <w:basedOn w:val="DefaultParagraphFont"/>
    <w:semiHidden/>
    <w:rsid w:val="00490918"/>
    <w:rPr>
      <w:vertAlign w:val="superscript"/>
    </w:rPr>
  </w:style>
  <w:style w:type="paragraph" w:styleId="BodyText2">
    <w:name w:val="Body Text 2"/>
    <w:basedOn w:val="Normal"/>
    <w:rsid w:val="00490918"/>
    <w:pPr>
      <w:jc w:val="both"/>
    </w:pPr>
    <w:rPr>
      <w:rFonts w:ascii="Arial" w:hAnsi="Arial" w:cs="Arial"/>
      <w:sz w:val="22"/>
    </w:rPr>
  </w:style>
  <w:style w:type="paragraph" w:styleId="BodyText3">
    <w:name w:val="Body Text 3"/>
    <w:basedOn w:val="Normal"/>
    <w:rsid w:val="00490918"/>
    <w:pPr>
      <w:jc w:val="both"/>
    </w:pPr>
    <w:rPr>
      <w:rFonts w:ascii="Arial" w:hAnsi="Arial" w:cs="Arial"/>
    </w:rPr>
  </w:style>
  <w:style w:type="paragraph" w:styleId="ListParagraph">
    <w:name w:val="List Paragraph"/>
    <w:basedOn w:val="Normal"/>
    <w:uiPriority w:val="34"/>
    <w:qFormat/>
    <w:rsid w:val="006676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 Molecular Genetics</Company>
  <LinksUpToDate>false</LinksUpToDate>
  <CharactersWithSpaces>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Miller</dc:creator>
  <cp:lastModifiedBy>Miller, William (millerwe)</cp:lastModifiedBy>
  <cp:revision>6</cp:revision>
  <cp:lastPrinted>2008-09-18T19:00:00Z</cp:lastPrinted>
  <dcterms:created xsi:type="dcterms:W3CDTF">2019-03-26T19:17:00Z</dcterms:created>
  <dcterms:modified xsi:type="dcterms:W3CDTF">2019-03-26T19:46:00Z</dcterms:modified>
</cp:coreProperties>
</file>