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C0B83" w14:textId="77777777"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TITLE:</w:t>
      </w:r>
    </w:p>
    <w:p w14:paraId="67C29121" w14:textId="099BECD6"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The </w:t>
      </w:r>
      <w:r w:rsidR="004C0633" w:rsidRPr="00685855">
        <w:rPr>
          <w:rFonts w:cstheme="minorHAnsi"/>
          <w:sz w:val="24"/>
          <w:szCs w:val="24"/>
          <w:lang w:val="en-US"/>
        </w:rPr>
        <w:t xml:space="preserve">Dyspepsia Educational Tool </w:t>
      </w:r>
      <w:r w:rsidR="004C0633">
        <w:rPr>
          <w:rFonts w:cstheme="minorHAnsi"/>
          <w:sz w:val="24"/>
          <w:szCs w:val="24"/>
          <w:lang w:val="en-US"/>
        </w:rPr>
        <w:t>a</w:t>
      </w:r>
      <w:r w:rsidR="004C0633" w:rsidRPr="00685855">
        <w:rPr>
          <w:rFonts w:cstheme="minorHAnsi"/>
          <w:sz w:val="24"/>
          <w:szCs w:val="24"/>
          <w:lang w:val="en-US"/>
        </w:rPr>
        <w:t xml:space="preserve">s </w:t>
      </w:r>
      <w:r w:rsidR="004C0633">
        <w:rPr>
          <w:rFonts w:cstheme="minorHAnsi"/>
          <w:sz w:val="24"/>
          <w:szCs w:val="24"/>
          <w:lang w:val="en-US"/>
        </w:rPr>
        <w:t>a</w:t>
      </w:r>
      <w:r w:rsidR="004C0633" w:rsidRPr="00685855">
        <w:rPr>
          <w:rFonts w:cstheme="minorHAnsi"/>
          <w:sz w:val="24"/>
          <w:szCs w:val="24"/>
          <w:lang w:val="en-US"/>
        </w:rPr>
        <w:t xml:space="preserve"> Novel Aid </w:t>
      </w:r>
      <w:r w:rsidR="004C0633">
        <w:rPr>
          <w:rFonts w:cstheme="minorHAnsi"/>
          <w:sz w:val="24"/>
          <w:szCs w:val="24"/>
          <w:lang w:val="en-US"/>
        </w:rPr>
        <w:t>i</w:t>
      </w:r>
      <w:r w:rsidR="004C0633" w:rsidRPr="00685855">
        <w:rPr>
          <w:rFonts w:cstheme="minorHAnsi"/>
          <w:sz w:val="24"/>
          <w:szCs w:val="24"/>
          <w:lang w:val="en-US"/>
        </w:rPr>
        <w:t>n Dyspepsia Management</w:t>
      </w:r>
    </w:p>
    <w:p w14:paraId="2E469873" w14:textId="77777777" w:rsidR="003F7A13" w:rsidRPr="00685855" w:rsidRDefault="003F7A13" w:rsidP="00DA50E4">
      <w:pPr>
        <w:pStyle w:val="NoSpacing"/>
        <w:jc w:val="both"/>
        <w:rPr>
          <w:rFonts w:cstheme="minorHAnsi"/>
          <w:sz w:val="24"/>
          <w:szCs w:val="24"/>
          <w:lang w:val="en-US"/>
        </w:rPr>
      </w:pPr>
    </w:p>
    <w:p w14:paraId="6553381C" w14:textId="77777777"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AUTHORS AND AFFILIATIONS:</w:t>
      </w:r>
    </w:p>
    <w:p w14:paraId="449C7D30" w14:textId="38506667" w:rsidR="003F7A13" w:rsidRPr="00685855" w:rsidRDefault="003F7A13" w:rsidP="00DA50E4">
      <w:pPr>
        <w:pStyle w:val="NoSpacing"/>
        <w:jc w:val="both"/>
        <w:rPr>
          <w:rFonts w:cstheme="minorHAnsi"/>
          <w:sz w:val="24"/>
          <w:szCs w:val="24"/>
          <w:lang w:val="en-US"/>
        </w:rPr>
      </w:pPr>
      <w:bookmarkStart w:id="0" w:name="_GoBack"/>
      <w:bookmarkEnd w:id="0"/>
      <w:r w:rsidRPr="00685855">
        <w:rPr>
          <w:rFonts w:cstheme="minorHAnsi"/>
          <w:sz w:val="24"/>
          <w:szCs w:val="24"/>
          <w:lang w:val="en-US"/>
        </w:rPr>
        <w:t>Judith J. de Jong</w:t>
      </w:r>
      <w:r w:rsidRPr="00685855">
        <w:rPr>
          <w:rFonts w:cstheme="minorHAnsi"/>
          <w:sz w:val="24"/>
          <w:szCs w:val="24"/>
          <w:vertAlign w:val="superscript"/>
          <w:lang w:val="en-US"/>
        </w:rPr>
        <w:t>1</w:t>
      </w:r>
      <w:r w:rsidRPr="00685855">
        <w:rPr>
          <w:rFonts w:cstheme="minorHAnsi"/>
          <w:sz w:val="24"/>
          <w:szCs w:val="24"/>
          <w:lang w:val="en-US"/>
        </w:rPr>
        <w:t>, Marten A. Lantinga</w:t>
      </w:r>
      <w:r w:rsidRPr="00685855">
        <w:rPr>
          <w:rFonts w:cstheme="minorHAnsi"/>
          <w:sz w:val="24"/>
          <w:szCs w:val="24"/>
          <w:vertAlign w:val="superscript"/>
          <w:lang w:val="en-US"/>
        </w:rPr>
        <w:t>1</w:t>
      </w:r>
      <w:r w:rsidRPr="00685855">
        <w:rPr>
          <w:rFonts w:cstheme="minorHAnsi"/>
          <w:sz w:val="24"/>
          <w:szCs w:val="24"/>
          <w:lang w:val="en-US"/>
        </w:rPr>
        <w:t>, Joost P.H. Drenth</w:t>
      </w:r>
      <w:r w:rsidRPr="00685855">
        <w:rPr>
          <w:rFonts w:cstheme="minorHAnsi"/>
          <w:sz w:val="24"/>
          <w:szCs w:val="24"/>
          <w:vertAlign w:val="superscript"/>
          <w:lang w:val="en-US"/>
        </w:rPr>
        <w:t>1</w:t>
      </w:r>
    </w:p>
    <w:p w14:paraId="44E9F5B3" w14:textId="77777777" w:rsidR="008230A5" w:rsidRDefault="008230A5" w:rsidP="00DA50E4">
      <w:pPr>
        <w:pStyle w:val="NoSpacing"/>
        <w:jc w:val="both"/>
        <w:rPr>
          <w:rFonts w:cstheme="minorHAnsi"/>
          <w:sz w:val="24"/>
          <w:szCs w:val="24"/>
          <w:lang w:val="en-US"/>
        </w:rPr>
      </w:pPr>
    </w:p>
    <w:p w14:paraId="427B6D4F" w14:textId="2E4FC29E" w:rsidR="003F7A13" w:rsidRPr="00685855" w:rsidRDefault="003F7A13" w:rsidP="00DA50E4">
      <w:pPr>
        <w:pStyle w:val="NoSpacing"/>
        <w:jc w:val="both"/>
        <w:rPr>
          <w:rFonts w:cstheme="minorHAnsi"/>
          <w:sz w:val="24"/>
          <w:szCs w:val="24"/>
          <w:lang w:val="en-US"/>
        </w:rPr>
      </w:pPr>
      <w:r w:rsidRPr="00685855">
        <w:rPr>
          <w:rFonts w:cstheme="minorHAnsi"/>
          <w:sz w:val="24"/>
          <w:szCs w:val="24"/>
          <w:vertAlign w:val="superscript"/>
          <w:lang w:val="en-US"/>
        </w:rPr>
        <w:t>1</w:t>
      </w:r>
      <w:r w:rsidRPr="00685855">
        <w:rPr>
          <w:rFonts w:cstheme="minorHAnsi"/>
          <w:sz w:val="24"/>
          <w:szCs w:val="24"/>
          <w:lang w:val="en-US"/>
        </w:rPr>
        <w:t xml:space="preserve">Department of Gastroenterology and Hepatology, Radboud </w:t>
      </w:r>
      <w:r w:rsidR="00493633" w:rsidRPr="00685855">
        <w:rPr>
          <w:rFonts w:cstheme="minorHAnsi"/>
          <w:sz w:val="24"/>
          <w:szCs w:val="24"/>
          <w:lang w:val="en-US"/>
        </w:rPr>
        <w:t>University Medical Center</w:t>
      </w:r>
      <w:r w:rsidRPr="00685855">
        <w:rPr>
          <w:rFonts w:cstheme="minorHAnsi"/>
          <w:sz w:val="24"/>
          <w:szCs w:val="24"/>
          <w:lang w:val="en-US"/>
        </w:rPr>
        <w:t>,</w:t>
      </w:r>
      <w:r w:rsidR="006B43BE" w:rsidRPr="006B43BE">
        <w:t xml:space="preserve"> </w:t>
      </w:r>
      <w:r w:rsidR="006B43BE" w:rsidRPr="006B43BE">
        <w:rPr>
          <w:rFonts w:cstheme="minorHAnsi"/>
          <w:sz w:val="24"/>
          <w:szCs w:val="24"/>
          <w:lang w:val="en-US"/>
        </w:rPr>
        <w:t>Nijmegen,</w:t>
      </w:r>
      <w:r w:rsidRPr="00685855">
        <w:rPr>
          <w:rFonts w:cstheme="minorHAnsi"/>
          <w:sz w:val="24"/>
          <w:szCs w:val="24"/>
          <w:lang w:val="en-US"/>
        </w:rPr>
        <w:t xml:space="preserve"> The Netherlands</w:t>
      </w:r>
    </w:p>
    <w:p w14:paraId="141D457F" w14:textId="77777777" w:rsidR="003F7A13" w:rsidRPr="00685855" w:rsidRDefault="003F7A13" w:rsidP="00DA50E4">
      <w:pPr>
        <w:pStyle w:val="NoSpacing"/>
        <w:jc w:val="both"/>
        <w:rPr>
          <w:rFonts w:cstheme="minorHAnsi"/>
          <w:sz w:val="24"/>
          <w:szCs w:val="24"/>
          <w:lang w:val="en-US"/>
        </w:rPr>
      </w:pPr>
    </w:p>
    <w:p w14:paraId="61A1AE79" w14:textId="77777777" w:rsidR="00621614" w:rsidRPr="00315C0B" w:rsidRDefault="00621614" w:rsidP="00DA50E4">
      <w:pPr>
        <w:pStyle w:val="NoSpacing"/>
        <w:jc w:val="both"/>
        <w:rPr>
          <w:rFonts w:cstheme="minorHAnsi"/>
          <w:sz w:val="24"/>
          <w:szCs w:val="24"/>
          <w:lang w:val="en-US"/>
        </w:rPr>
      </w:pPr>
      <w:r w:rsidRPr="00315C0B">
        <w:rPr>
          <w:rFonts w:cstheme="minorHAnsi"/>
          <w:sz w:val="24"/>
          <w:szCs w:val="24"/>
          <w:lang w:val="en-US"/>
        </w:rPr>
        <w:t>Corresponding author:</w:t>
      </w:r>
    </w:p>
    <w:p w14:paraId="12AF3938" w14:textId="0EAAD7DF" w:rsidR="00621614" w:rsidRDefault="00621614" w:rsidP="00DA50E4">
      <w:pPr>
        <w:pStyle w:val="NoSpacing"/>
        <w:jc w:val="both"/>
        <w:rPr>
          <w:rFonts w:cstheme="minorHAnsi"/>
          <w:sz w:val="24"/>
          <w:szCs w:val="24"/>
        </w:rPr>
      </w:pPr>
      <w:r w:rsidRPr="00685855">
        <w:rPr>
          <w:rFonts w:cstheme="minorHAnsi"/>
          <w:sz w:val="24"/>
          <w:szCs w:val="24"/>
        </w:rPr>
        <w:t>Judith J. de Jong</w:t>
      </w:r>
      <w:r w:rsidR="00315C0B">
        <w:rPr>
          <w:rFonts w:cstheme="minorHAnsi"/>
          <w:sz w:val="24"/>
          <w:szCs w:val="24"/>
        </w:rPr>
        <w:tab/>
      </w:r>
      <w:r w:rsidRPr="00685855">
        <w:rPr>
          <w:rFonts w:cstheme="minorHAnsi"/>
          <w:sz w:val="24"/>
          <w:szCs w:val="24"/>
        </w:rPr>
        <w:t>(</w:t>
      </w:r>
      <w:r w:rsidRPr="00C4685C">
        <w:rPr>
          <w:rFonts w:cstheme="minorHAnsi"/>
          <w:sz w:val="24"/>
          <w:szCs w:val="24"/>
        </w:rPr>
        <w:t>Judith.dejong@radboudumc.nl</w:t>
      </w:r>
      <w:r w:rsidRPr="00685855">
        <w:rPr>
          <w:rFonts w:cstheme="minorHAnsi"/>
          <w:sz w:val="24"/>
          <w:szCs w:val="24"/>
        </w:rPr>
        <w:t xml:space="preserve">) </w:t>
      </w:r>
    </w:p>
    <w:p w14:paraId="3D726E04" w14:textId="77777777" w:rsidR="00315C0B" w:rsidRPr="00685855" w:rsidRDefault="00315C0B" w:rsidP="00DA50E4">
      <w:pPr>
        <w:pStyle w:val="NoSpacing"/>
        <w:jc w:val="both"/>
        <w:rPr>
          <w:rFonts w:cstheme="minorHAnsi"/>
          <w:sz w:val="24"/>
          <w:szCs w:val="24"/>
        </w:rPr>
      </w:pPr>
    </w:p>
    <w:p w14:paraId="41FFCBCA" w14:textId="752B0A6C" w:rsidR="003F7A13" w:rsidRPr="00315C0B" w:rsidRDefault="003F7A13" w:rsidP="00DA50E4">
      <w:pPr>
        <w:pStyle w:val="NoSpacing"/>
        <w:jc w:val="both"/>
        <w:rPr>
          <w:rFonts w:cstheme="minorHAnsi"/>
          <w:sz w:val="24"/>
          <w:szCs w:val="24"/>
          <w:lang w:val="en-US"/>
        </w:rPr>
      </w:pPr>
      <w:r w:rsidRPr="00315C0B">
        <w:rPr>
          <w:rFonts w:cstheme="minorHAnsi"/>
          <w:sz w:val="24"/>
          <w:szCs w:val="24"/>
          <w:lang w:val="en-US"/>
        </w:rPr>
        <w:t>Email address</w:t>
      </w:r>
      <w:r w:rsidR="00315C0B">
        <w:rPr>
          <w:rFonts w:cstheme="minorHAnsi"/>
          <w:sz w:val="24"/>
          <w:szCs w:val="24"/>
          <w:lang w:val="en-US"/>
        </w:rPr>
        <w:t>es</w:t>
      </w:r>
      <w:r w:rsidRPr="00315C0B">
        <w:rPr>
          <w:rFonts w:cstheme="minorHAnsi"/>
          <w:sz w:val="24"/>
          <w:szCs w:val="24"/>
          <w:lang w:val="en-US"/>
        </w:rPr>
        <w:t xml:space="preserve"> of co-authors:</w:t>
      </w:r>
    </w:p>
    <w:p w14:paraId="0D39D622" w14:textId="76B0C592" w:rsidR="003F7A13" w:rsidRPr="00685855" w:rsidRDefault="003F7A13" w:rsidP="00DA50E4">
      <w:pPr>
        <w:pStyle w:val="NoSpacing"/>
        <w:jc w:val="both"/>
        <w:rPr>
          <w:rFonts w:cstheme="minorHAnsi"/>
          <w:sz w:val="24"/>
          <w:szCs w:val="24"/>
        </w:rPr>
      </w:pPr>
      <w:r w:rsidRPr="00685855">
        <w:rPr>
          <w:rFonts w:cstheme="minorHAnsi"/>
          <w:sz w:val="24"/>
          <w:szCs w:val="24"/>
        </w:rPr>
        <w:t>Marten A. Lantinga</w:t>
      </w:r>
      <w:r w:rsidR="0085261A">
        <w:rPr>
          <w:rFonts w:cstheme="minorHAnsi"/>
          <w:sz w:val="24"/>
          <w:szCs w:val="24"/>
        </w:rPr>
        <w:tab/>
      </w:r>
      <w:r w:rsidRPr="00685855">
        <w:rPr>
          <w:rFonts w:cstheme="minorHAnsi"/>
          <w:sz w:val="24"/>
          <w:szCs w:val="24"/>
        </w:rPr>
        <w:t>(</w:t>
      </w:r>
      <w:r w:rsidRPr="00C4685C">
        <w:rPr>
          <w:rFonts w:cstheme="minorHAnsi"/>
          <w:sz w:val="24"/>
          <w:szCs w:val="24"/>
        </w:rPr>
        <w:t>marten.lantinga@radboudumc.nl</w:t>
      </w:r>
      <w:r w:rsidRPr="00685855">
        <w:rPr>
          <w:rFonts w:cstheme="minorHAnsi"/>
          <w:sz w:val="24"/>
          <w:szCs w:val="24"/>
        </w:rPr>
        <w:t>)</w:t>
      </w:r>
    </w:p>
    <w:p w14:paraId="7ED89058" w14:textId="0040FD1F"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Joost P.H. </w:t>
      </w:r>
      <w:proofErr w:type="spellStart"/>
      <w:r w:rsidRPr="00685855">
        <w:rPr>
          <w:rFonts w:cstheme="minorHAnsi"/>
          <w:sz w:val="24"/>
          <w:szCs w:val="24"/>
          <w:lang w:val="en-US"/>
        </w:rPr>
        <w:t>Drenth</w:t>
      </w:r>
      <w:proofErr w:type="spellEnd"/>
      <w:r w:rsidR="0085261A">
        <w:rPr>
          <w:rFonts w:cstheme="minorHAnsi"/>
          <w:sz w:val="24"/>
          <w:szCs w:val="24"/>
          <w:lang w:val="en-US"/>
        </w:rPr>
        <w:tab/>
      </w:r>
      <w:r w:rsidRPr="00685855">
        <w:rPr>
          <w:rFonts w:cstheme="minorHAnsi"/>
          <w:sz w:val="24"/>
          <w:szCs w:val="24"/>
          <w:lang w:val="en-US"/>
        </w:rPr>
        <w:t>(</w:t>
      </w:r>
      <w:r w:rsidRPr="00C4685C">
        <w:rPr>
          <w:rFonts w:cstheme="minorHAnsi"/>
          <w:sz w:val="24"/>
          <w:szCs w:val="24"/>
          <w:lang w:val="en-US"/>
        </w:rPr>
        <w:t>Joost.drenth@radboudumc.nl</w:t>
      </w:r>
      <w:r w:rsidRPr="00685855">
        <w:rPr>
          <w:rFonts w:cstheme="minorHAnsi"/>
          <w:sz w:val="24"/>
          <w:szCs w:val="24"/>
          <w:lang w:val="en-US"/>
        </w:rPr>
        <w:t xml:space="preserve">) </w:t>
      </w:r>
    </w:p>
    <w:p w14:paraId="24C3AE41" w14:textId="77777777" w:rsidR="003F7A13" w:rsidRPr="00685855" w:rsidRDefault="003F7A13" w:rsidP="00DA50E4">
      <w:pPr>
        <w:pStyle w:val="NoSpacing"/>
        <w:jc w:val="both"/>
        <w:rPr>
          <w:rFonts w:cstheme="minorHAnsi"/>
          <w:sz w:val="24"/>
          <w:szCs w:val="24"/>
        </w:rPr>
      </w:pPr>
    </w:p>
    <w:p w14:paraId="0200BBC6" w14:textId="77777777"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KEYWORDS:</w:t>
      </w:r>
    </w:p>
    <w:p w14:paraId="71304B55" w14:textId="25E61C0B" w:rsidR="003F7A13" w:rsidRPr="00685855" w:rsidRDefault="0051008F" w:rsidP="00DA50E4">
      <w:pPr>
        <w:pStyle w:val="NoSpacing"/>
        <w:jc w:val="both"/>
        <w:rPr>
          <w:rFonts w:cstheme="minorHAnsi"/>
          <w:sz w:val="24"/>
          <w:szCs w:val="24"/>
          <w:lang w:val="en-US"/>
        </w:rPr>
      </w:pPr>
      <w:r>
        <w:rPr>
          <w:rFonts w:cstheme="minorHAnsi"/>
          <w:sz w:val="24"/>
          <w:szCs w:val="24"/>
          <w:lang w:val="en-US"/>
        </w:rPr>
        <w:t>d</w:t>
      </w:r>
      <w:r w:rsidR="003F7A13" w:rsidRPr="00685855">
        <w:rPr>
          <w:rFonts w:cstheme="minorHAnsi"/>
          <w:sz w:val="24"/>
          <w:szCs w:val="24"/>
          <w:lang w:val="en-US"/>
        </w:rPr>
        <w:t xml:space="preserve">yspepsia, </w:t>
      </w:r>
      <w:r>
        <w:rPr>
          <w:rFonts w:cstheme="minorHAnsi"/>
          <w:sz w:val="24"/>
          <w:szCs w:val="24"/>
          <w:lang w:val="en-US"/>
        </w:rPr>
        <w:t>p</w:t>
      </w:r>
      <w:r w:rsidR="003F7A13" w:rsidRPr="00685855">
        <w:rPr>
          <w:rFonts w:cstheme="minorHAnsi"/>
          <w:sz w:val="24"/>
          <w:szCs w:val="24"/>
          <w:lang w:val="en-US"/>
        </w:rPr>
        <w:t xml:space="preserve">atient education, E-learning, </w:t>
      </w:r>
      <w:r w:rsidRPr="00685855">
        <w:rPr>
          <w:rFonts w:cstheme="minorHAnsi"/>
          <w:sz w:val="24"/>
          <w:szCs w:val="24"/>
          <w:lang w:val="en-US"/>
        </w:rPr>
        <w:t>medical overuse, shared decision making, multimedia</w:t>
      </w:r>
    </w:p>
    <w:p w14:paraId="64C6E2C2" w14:textId="77777777" w:rsidR="003F7A13" w:rsidRPr="00685855" w:rsidRDefault="003F7A13" w:rsidP="00DA50E4">
      <w:pPr>
        <w:pStyle w:val="NoSpacing"/>
        <w:jc w:val="both"/>
        <w:rPr>
          <w:rFonts w:cstheme="minorHAnsi"/>
          <w:b/>
          <w:sz w:val="24"/>
          <w:szCs w:val="24"/>
          <w:lang w:val="en-US"/>
        </w:rPr>
      </w:pPr>
    </w:p>
    <w:p w14:paraId="3CF60604" w14:textId="77777777" w:rsidR="003F7A13" w:rsidRPr="00685855" w:rsidRDefault="003F7A13" w:rsidP="00DA50E4">
      <w:pPr>
        <w:pStyle w:val="NoSpacing"/>
        <w:jc w:val="both"/>
        <w:rPr>
          <w:rFonts w:cstheme="minorHAnsi"/>
          <w:sz w:val="24"/>
          <w:szCs w:val="24"/>
          <w:lang w:val="en-US"/>
        </w:rPr>
      </w:pPr>
      <w:r w:rsidRPr="00685855">
        <w:rPr>
          <w:rFonts w:cstheme="minorHAnsi"/>
          <w:b/>
          <w:sz w:val="24"/>
          <w:szCs w:val="24"/>
          <w:lang w:val="en-US"/>
        </w:rPr>
        <w:t>SUMMARY:</w:t>
      </w:r>
    </w:p>
    <w:p w14:paraId="4551A39D"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This protocol describes the development process of a digital dyspepsia educational tool. Assessment of unmet needs and literature, content development, and building of the tool are presented. The methodology can be used as a guide for future development of digital educational tools. </w:t>
      </w:r>
    </w:p>
    <w:p w14:paraId="67FEA7E8" w14:textId="77777777" w:rsidR="003F7A13" w:rsidRPr="00685855" w:rsidRDefault="003F7A13" w:rsidP="00DA50E4">
      <w:pPr>
        <w:pStyle w:val="NoSpacing"/>
        <w:jc w:val="both"/>
        <w:rPr>
          <w:rFonts w:cstheme="minorHAnsi"/>
          <w:b/>
          <w:sz w:val="24"/>
          <w:szCs w:val="24"/>
          <w:lang w:val="en-US"/>
        </w:rPr>
      </w:pPr>
    </w:p>
    <w:p w14:paraId="2F7C625F" w14:textId="77777777"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ABSTRACT:</w:t>
      </w:r>
    </w:p>
    <w:p w14:paraId="51D6B05A" w14:textId="2D9F9FE6"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Digital educational tools have a well-established role in current healthcare. In particular, disorders that are managed non-pharmacologically benefit from this development, as it enables patient engagement in self-management. Dyspepsia is a condition thought to arise from gastric and duodenal perturbations, brain-gut axis disturbances, and dietary factors. Behavioral interventions are a major part of dyspepsia treatment, hence patient engagement and motivation through education is essential. Protocols that describe the development process of such educational tools are scarce. We provide a methodology describing development of a dyspepsia educational tool. Assessment of users’ needs is the first step, followed by a literature search. The content is developed based on the main themes and entered into a </w:t>
      </w:r>
      <w:r w:rsidR="00057C44" w:rsidRPr="00685855">
        <w:rPr>
          <w:rFonts w:cstheme="minorHAnsi"/>
          <w:sz w:val="24"/>
          <w:szCs w:val="24"/>
          <w:lang w:val="en-US"/>
        </w:rPr>
        <w:t>content management system</w:t>
      </w:r>
      <w:r w:rsidRPr="00685855">
        <w:rPr>
          <w:rFonts w:cstheme="minorHAnsi"/>
          <w:sz w:val="24"/>
          <w:szCs w:val="24"/>
          <w:lang w:val="en-US"/>
        </w:rPr>
        <w:t>, to build the program. Final adjustments are made after a pilot test of the tool. The presented protocol can be used as a guide for development of a digital dyspepsia educational tool or as a tool for similar situations.</w:t>
      </w:r>
      <w:r w:rsidR="00222900" w:rsidRPr="00222900">
        <w:rPr>
          <w:rFonts w:cstheme="minorHAnsi"/>
          <w:sz w:val="24"/>
          <w:szCs w:val="24"/>
          <w:lang w:val="en-US"/>
        </w:rPr>
        <w:t xml:space="preserve"> </w:t>
      </w:r>
    </w:p>
    <w:p w14:paraId="34383E5E" w14:textId="77777777" w:rsidR="003F7A13" w:rsidRPr="00685855" w:rsidRDefault="003F7A13" w:rsidP="00DA50E4">
      <w:pPr>
        <w:spacing w:after="0" w:line="240" w:lineRule="auto"/>
        <w:jc w:val="both"/>
        <w:rPr>
          <w:rFonts w:cstheme="minorHAnsi"/>
          <w:sz w:val="24"/>
          <w:szCs w:val="24"/>
          <w:lang w:val="en-US"/>
        </w:rPr>
      </w:pPr>
    </w:p>
    <w:p w14:paraId="6CBD7589" w14:textId="77777777" w:rsidR="003F7A13" w:rsidRPr="00685855" w:rsidRDefault="003F7A13" w:rsidP="00DA50E4">
      <w:pPr>
        <w:pStyle w:val="NoSpacing"/>
        <w:jc w:val="both"/>
        <w:rPr>
          <w:rFonts w:cstheme="minorHAnsi"/>
          <w:sz w:val="24"/>
          <w:szCs w:val="24"/>
          <w:lang w:val="en-US"/>
        </w:rPr>
      </w:pPr>
      <w:r w:rsidRPr="00685855">
        <w:rPr>
          <w:rFonts w:cstheme="minorHAnsi"/>
          <w:b/>
          <w:sz w:val="24"/>
          <w:szCs w:val="24"/>
          <w:lang w:val="en-US"/>
        </w:rPr>
        <w:t>INTRODUCTION:</w:t>
      </w:r>
    </w:p>
    <w:p w14:paraId="3B52FD5C" w14:textId="426E3606" w:rsidR="003F7A13" w:rsidRDefault="003F7A13" w:rsidP="00DA50E4">
      <w:pPr>
        <w:pStyle w:val="NoSpacing"/>
        <w:jc w:val="both"/>
        <w:rPr>
          <w:rFonts w:cstheme="minorHAnsi"/>
          <w:sz w:val="24"/>
          <w:szCs w:val="24"/>
          <w:lang w:val="en-US"/>
        </w:rPr>
      </w:pPr>
      <w:r w:rsidRPr="00685855">
        <w:rPr>
          <w:rFonts w:cstheme="minorHAnsi"/>
          <w:sz w:val="24"/>
          <w:szCs w:val="24"/>
          <w:lang w:val="en-US"/>
        </w:rPr>
        <w:t>Patient education is an important component of healthcare, enabling active engagement of patients in responsible management of their health</w:t>
      </w:r>
      <w:r w:rsidRPr="00685855">
        <w:rPr>
          <w:rFonts w:cstheme="minorHAnsi"/>
          <w:noProof/>
          <w:sz w:val="24"/>
          <w:szCs w:val="24"/>
          <w:vertAlign w:val="superscript"/>
          <w:lang w:val="en-US"/>
        </w:rPr>
        <w:t>1</w:t>
      </w:r>
      <w:r w:rsidRPr="00685855">
        <w:rPr>
          <w:rFonts w:cstheme="minorHAnsi"/>
          <w:sz w:val="24"/>
          <w:szCs w:val="24"/>
          <w:lang w:val="en-US"/>
        </w:rPr>
        <w:t xml:space="preserve">. To improve efficacy and appropriate use of healthcare resources, contemporary and disease-specific measures are needed to facilitate patient engagement. </w:t>
      </w:r>
    </w:p>
    <w:p w14:paraId="191B5568" w14:textId="77777777" w:rsidR="00467751" w:rsidRPr="00685855" w:rsidRDefault="00467751" w:rsidP="00DA50E4">
      <w:pPr>
        <w:pStyle w:val="NoSpacing"/>
        <w:jc w:val="both"/>
        <w:rPr>
          <w:rFonts w:cstheme="minorHAnsi"/>
          <w:sz w:val="24"/>
          <w:szCs w:val="24"/>
          <w:lang w:val="en-US"/>
        </w:rPr>
      </w:pPr>
    </w:p>
    <w:p w14:paraId="79CE7E2C" w14:textId="0FBAA66B" w:rsidR="003F7A13" w:rsidRDefault="003F7A13" w:rsidP="00DA50E4">
      <w:pPr>
        <w:pStyle w:val="NoSpacing"/>
        <w:jc w:val="both"/>
        <w:rPr>
          <w:rFonts w:cstheme="minorHAnsi"/>
          <w:sz w:val="24"/>
          <w:szCs w:val="24"/>
          <w:lang w:val="en-US"/>
        </w:rPr>
      </w:pPr>
      <w:r w:rsidRPr="00685855">
        <w:rPr>
          <w:rFonts w:cstheme="minorHAnsi"/>
          <w:sz w:val="24"/>
          <w:szCs w:val="24"/>
          <w:lang w:val="en-US"/>
        </w:rPr>
        <w:lastRenderedPageBreak/>
        <w:t>Nowadays, digital tools increasingly replace paper versions of patient education, benefiting from their sustainability, effective distribution, and potential to visualize information. For chronic illnesses that lack curative treatment and biological substrate, education is essential for motivation of patients to engage in self-management</w:t>
      </w:r>
      <w:r w:rsidRPr="00685855">
        <w:rPr>
          <w:rFonts w:cstheme="minorHAnsi"/>
          <w:noProof/>
          <w:sz w:val="24"/>
          <w:szCs w:val="24"/>
          <w:vertAlign w:val="superscript"/>
          <w:lang w:val="en-US"/>
        </w:rPr>
        <w:t>2,3</w:t>
      </w:r>
      <w:r w:rsidRPr="00685855">
        <w:rPr>
          <w:rFonts w:cstheme="minorHAnsi"/>
          <w:sz w:val="24"/>
          <w:szCs w:val="24"/>
          <w:lang w:val="en-US"/>
        </w:rPr>
        <w:t xml:space="preserve">. Dyspepsia is </w:t>
      </w:r>
      <w:r w:rsidR="00013107">
        <w:rPr>
          <w:rFonts w:cstheme="minorHAnsi"/>
          <w:sz w:val="24"/>
          <w:szCs w:val="24"/>
          <w:lang w:val="en-US"/>
        </w:rPr>
        <w:t xml:space="preserve">a </w:t>
      </w:r>
      <w:r w:rsidRPr="00685855">
        <w:rPr>
          <w:rFonts w:cstheme="minorHAnsi"/>
          <w:sz w:val="24"/>
          <w:szCs w:val="24"/>
          <w:lang w:val="en-US"/>
        </w:rPr>
        <w:t>condition that often causes long-term complaints. Exact origin of symptoms remains unclear, although evidence indicates three main pathophysiological mechanisms, including 1) hypersensitivity to gastric distension, 2) impaired gastric accommodation, causing inadequate distension in reaction to a meal, and 3) delayed gastric emptying</w:t>
      </w:r>
      <w:r w:rsidRPr="00685855">
        <w:rPr>
          <w:rFonts w:cstheme="minorHAnsi"/>
          <w:noProof/>
          <w:sz w:val="24"/>
          <w:szCs w:val="24"/>
          <w:vertAlign w:val="superscript"/>
          <w:lang w:val="en-US"/>
        </w:rPr>
        <w:t>4</w:t>
      </w:r>
      <w:r w:rsidRPr="00685855">
        <w:rPr>
          <w:rFonts w:cstheme="minorHAnsi"/>
          <w:sz w:val="24"/>
          <w:szCs w:val="24"/>
          <w:lang w:val="en-US"/>
        </w:rPr>
        <w:t>. Additionally, duodenal perturbations, brain-gut disturbances, and dietary factors have been suggested to play a role</w:t>
      </w:r>
      <w:r w:rsidRPr="00685855">
        <w:rPr>
          <w:rFonts w:cstheme="minorHAnsi"/>
          <w:noProof/>
          <w:sz w:val="24"/>
          <w:szCs w:val="24"/>
          <w:vertAlign w:val="superscript"/>
          <w:lang w:val="en-US"/>
        </w:rPr>
        <w:t>5</w:t>
      </w:r>
      <w:r w:rsidRPr="00685855">
        <w:rPr>
          <w:rFonts w:cstheme="minorHAnsi"/>
          <w:sz w:val="24"/>
          <w:szCs w:val="24"/>
          <w:lang w:val="en-US"/>
        </w:rPr>
        <w:t>. Main symptoms comprise post-prandial fullness, epigastric pain, early satiety, and epigastric burning. Upper gastrointestinal (GI) endoscopy in dyspeptic patients reveals no cause of symptoms in over 70%; these cases are referred to as functional dyspepsia. Pharmacological treatment options for dyspepsia are limited, often inciting patients to resolve to complementary and alternative therapies</w:t>
      </w:r>
      <w:r w:rsidRPr="00685855">
        <w:rPr>
          <w:rFonts w:cstheme="minorHAnsi"/>
          <w:noProof/>
          <w:sz w:val="24"/>
          <w:szCs w:val="24"/>
          <w:vertAlign w:val="superscript"/>
          <w:lang w:val="en-US"/>
        </w:rPr>
        <w:t>6,7</w:t>
      </w:r>
      <w:r w:rsidRPr="00685855">
        <w:rPr>
          <w:rFonts w:cstheme="minorHAnsi"/>
          <w:sz w:val="24"/>
          <w:szCs w:val="24"/>
          <w:lang w:val="en-US"/>
        </w:rPr>
        <w:t>. Quality of life in dyspepsia patients is often reduced as dyspepsia is associated with concomitant issues, such as impaired sleep quality and loss of work productivity</w:t>
      </w:r>
      <w:r w:rsidRPr="00685855">
        <w:rPr>
          <w:rFonts w:cstheme="minorHAnsi"/>
          <w:noProof/>
          <w:sz w:val="24"/>
          <w:szCs w:val="24"/>
          <w:vertAlign w:val="superscript"/>
          <w:lang w:val="en-US"/>
        </w:rPr>
        <w:t>8</w:t>
      </w:r>
      <w:r w:rsidRPr="00685855">
        <w:rPr>
          <w:rFonts w:cstheme="minorHAnsi"/>
          <w:sz w:val="24"/>
          <w:szCs w:val="24"/>
          <w:lang w:val="en-US"/>
        </w:rPr>
        <w:t>. Dyspepsia management benefits from active patient engagement, as behavioral interventions are a main component of dyspepsia treatment</w:t>
      </w:r>
      <w:r w:rsidRPr="00685855">
        <w:rPr>
          <w:rFonts w:cstheme="minorHAnsi"/>
          <w:noProof/>
          <w:sz w:val="24"/>
          <w:szCs w:val="24"/>
          <w:vertAlign w:val="superscript"/>
          <w:lang w:val="en-US"/>
        </w:rPr>
        <w:t>9,10</w:t>
      </w:r>
      <w:r w:rsidRPr="00685855">
        <w:rPr>
          <w:rFonts w:cstheme="minorHAnsi"/>
          <w:sz w:val="24"/>
          <w:szCs w:val="24"/>
          <w:lang w:val="en-US"/>
        </w:rPr>
        <w:t xml:space="preserve">. These interventions require a significant effort from patients, which may be facilitated by personalized and interactive support. </w:t>
      </w:r>
    </w:p>
    <w:p w14:paraId="20E37323" w14:textId="77777777" w:rsidR="00467751" w:rsidRPr="00685855" w:rsidRDefault="00467751" w:rsidP="00DA50E4">
      <w:pPr>
        <w:pStyle w:val="NoSpacing"/>
        <w:jc w:val="both"/>
        <w:rPr>
          <w:rFonts w:cstheme="minorHAnsi"/>
          <w:sz w:val="24"/>
          <w:szCs w:val="24"/>
          <w:lang w:val="en-US"/>
        </w:rPr>
      </w:pPr>
    </w:p>
    <w:p w14:paraId="01CB5054" w14:textId="3592C763" w:rsidR="003F7A13" w:rsidRDefault="003F7A13" w:rsidP="00DA50E4">
      <w:pPr>
        <w:pStyle w:val="NoSpacing"/>
        <w:jc w:val="both"/>
        <w:rPr>
          <w:rFonts w:cstheme="minorHAnsi"/>
          <w:sz w:val="24"/>
          <w:szCs w:val="24"/>
          <w:lang w:val="en-US"/>
        </w:rPr>
      </w:pPr>
      <w:r w:rsidRPr="00685855">
        <w:rPr>
          <w:rFonts w:cstheme="minorHAnsi"/>
          <w:sz w:val="24"/>
          <w:szCs w:val="24"/>
          <w:lang w:val="en-US"/>
        </w:rPr>
        <w:t>Correct management of dyspepsia is essential to improve healthcare outcomes and prevent overuse of medical resources. Upper gastrointestinal (GI) endoscopy for dyspepsia is a well-known form of overuse as its diagnostic yield is limited</w:t>
      </w:r>
      <w:r w:rsidRPr="00685855">
        <w:rPr>
          <w:rFonts w:cstheme="minorHAnsi"/>
          <w:noProof/>
          <w:sz w:val="24"/>
          <w:szCs w:val="24"/>
          <w:vertAlign w:val="superscript"/>
          <w:lang w:val="en-US"/>
        </w:rPr>
        <w:t>11</w:t>
      </w:r>
      <w:r w:rsidRPr="00685855">
        <w:rPr>
          <w:rFonts w:cstheme="minorHAnsi"/>
          <w:sz w:val="24"/>
          <w:szCs w:val="24"/>
          <w:lang w:val="en-US"/>
        </w:rPr>
        <w:t>. Several methods have been proposed to reduce the number of upper GI endoscopies, mostly focused on physician education or drug-based symptom reduction</w:t>
      </w:r>
      <w:r w:rsidRPr="00685855">
        <w:rPr>
          <w:rFonts w:cstheme="minorHAnsi"/>
          <w:noProof/>
          <w:sz w:val="24"/>
          <w:szCs w:val="24"/>
          <w:vertAlign w:val="superscript"/>
          <w:lang w:val="en-US"/>
        </w:rPr>
        <w:t>12</w:t>
      </w:r>
      <w:r w:rsidRPr="00685855">
        <w:rPr>
          <w:rFonts w:cstheme="minorHAnsi"/>
          <w:sz w:val="24"/>
          <w:szCs w:val="24"/>
          <w:lang w:val="en-US"/>
        </w:rPr>
        <w:t xml:space="preserve">. Uncertainty about the cause of dyspepsia is often unsatisfactory for patients, and diagnostic tests may be performed in excess as a consequence. Consequently, education of patients about pathogenesis, treatment options, and conservative management would be an effective strategy to reduce the number of upper GI endoscopies. </w:t>
      </w:r>
    </w:p>
    <w:p w14:paraId="5AF7F27C" w14:textId="77777777" w:rsidR="00467751" w:rsidRPr="00685855" w:rsidRDefault="00467751" w:rsidP="00DA50E4">
      <w:pPr>
        <w:pStyle w:val="NoSpacing"/>
        <w:jc w:val="both"/>
        <w:rPr>
          <w:rFonts w:cstheme="minorHAnsi"/>
          <w:sz w:val="24"/>
          <w:szCs w:val="24"/>
          <w:lang w:val="en-US"/>
        </w:rPr>
      </w:pPr>
    </w:p>
    <w:p w14:paraId="6FD5612F" w14:textId="0EF783E9" w:rsidR="003F7A13" w:rsidRDefault="003F7A13" w:rsidP="00DA50E4">
      <w:pPr>
        <w:pStyle w:val="NoSpacing"/>
        <w:jc w:val="both"/>
        <w:rPr>
          <w:rFonts w:cstheme="minorHAnsi"/>
          <w:sz w:val="24"/>
          <w:szCs w:val="24"/>
          <w:lang w:val="en-US"/>
        </w:rPr>
      </w:pPr>
      <w:r w:rsidRPr="00685855">
        <w:rPr>
          <w:rFonts w:cstheme="minorHAnsi"/>
          <w:sz w:val="24"/>
          <w:szCs w:val="24"/>
          <w:lang w:val="en-US"/>
        </w:rPr>
        <w:t>While digital tools potentially provide an excellent platform for patient education, several functionalities of a digital tool are required, in order to maximize patient adoption and subsequent patient engagement in disease management</w:t>
      </w:r>
      <w:r w:rsidRPr="00685855">
        <w:rPr>
          <w:rFonts w:cstheme="minorHAnsi"/>
          <w:noProof/>
          <w:sz w:val="24"/>
          <w:szCs w:val="24"/>
          <w:vertAlign w:val="superscript"/>
          <w:lang w:val="en-US"/>
        </w:rPr>
        <w:t>13</w:t>
      </w:r>
      <w:r w:rsidRPr="00685855">
        <w:rPr>
          <w:rFonts w:cstheme="minorHAnsi"/>
          <w:sz w:val="24"/>
          <w:szCs w:val="24"/>
          <w:lang w:val="en-US"/>
        </w:rPr>
        <w:t>. The expected success of digital education mainly depends on its development process and measures taken to optimize information transfer. However, development processes of digital educational tools are infrequently published, impairing reproduction, progression, and evaluation of the validity and safety</w:t>
      </w:r>
      <w:r w:rsidRPr="00685855">
        <w:rPr>
          <w:rFonts w:cstheme="minorHAnsi"/>
          <w:noProof/>
          <w:sz w:val="24"/>
          <w:szCs w:val="24"/>
          <w:vertAlign w:val="superscript"/>
          <w:lang w:val="en-US"/>
        </w:rPr>
        <w:t>1,14</w:t>
      </w:r>
      <w:r w:rsidRPr="00685855">
        <w:rPr>
          <w:rFonts w:cstheme="minorHAnsi"/>
          <w:sz w:val="24"/>
          <w:szCs w:val="24"/>
          <w:lang w:val="en-US"/>
        </w:rPr>
        <w:t>.</w:t>
      </w:r>
    </w:p>
    <w:p w14:paraId="488C34BF" w14:textId="77777777" w:rsidR="00467751" w:rsidRPr="00685855" w:rsidRDefault="00467751" w:rsidP="00DA50E4">
      <w:pPr>
        <w:pStyle w:val="NoSpacing"/>
        <w:jc w:val="both"/>
        <w:rPr>
          <w:rFonts w:cstheme="minorHAnsi"/>
          <w:sz w:val="24"/>
          <w:szCs w:val="24"/>
          <w:lang w:val="en-US"/>
        </w:rPr>
      </w:pPr>
    </w:p>
    <w:p w14:paraId="67FE2A88" w14:textId="77777777" w:rsidR="003F7A13" w:rsidRPr="00685855" w:rsidRDefault="003F7A13" w:rsidP="00DA50E4">
      <w:pPr>
        <w:spacing w:after="0" w:line="240" w:lineRule="auto"/>
        <w:jc w:val="both"/>
        <w:rPr>
          <w:rFonts w:cstheme="minorHAnsi"/>
          <w:sz w:val="24"/>
          <w:szCs w:val="24"/>
          <w:lang w:val="en-US"/>
        </w:rPr>
      </w:pPr>
      <w:r w:rsidRPr="00685855">
        <w:rPr>
          <w:rFonts w:cstheme="minorHAnsi"/>
          <w:sz w:val="24"/>
          <w:szCs w:val="24"/>
          <w:lang w:val="en-US"/>
        </w:rPr>
        <w:t>There is need for a detailed description and evaluation of development of a patient-centered digital educational tool. We describe the development of our dyspepsia educational tool, to serve as a template for future educational tool development.</w:t>
      </w:r>
    </w:p>
    <w:p w14:paraId="1CB287E3" w14:textId="77777777" w:rsidR="003F7A13" w:rsidRPr="00685855" w:rsidRDefault="003F7A13" w:rsidP="00DA50E4">
      <w:pPr>
        <w:spacing w:after="0" w:line="240" w:lineRule="auto"/>
        <w:jc w:val="both"/>
        <w:rPr>
          <w:rFonts w:cstheme="minorHAnsi"/>
          <w:sz w:val="24"/>
          <w:szCs w:val="24"/>
          <w:lang w:val="en-US"/>
        </w:rPr>
      </w:pPr>
    </w:p>
    <w:p w14:paraId="0813D933" w14:textId="77777777"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PROTOCOL:</w:t>
      </w:r>
    </w:p>
    <w:p w14:paraId="7C8022CF" w14:textId="5A52E9B8" w:rsidR="003F7A13" w:rsidRDefault="003F7A13" w:rsidP="00DA50E4">
      <w:pPr>
        <w:pStyle w:val="NoSpacing"/>
        <w:jc w:val="both"/>
        <w:rPr>
          <w:rFonts w:cstheme="minorHAnsi"/>
          <w:sz w:val="24"/>
          <w:szCs w:val="24"/>
          <w:lang w:val="en-US"/>
        </w:rPr>
      </w:pPr>
      <w:r w:rsidRPr="00685855">
        <w:rPr>
          <w:rFonts w:cstheme="minorHAnsi"/>
          <w:sz w:val="24"/>
          <w:szCs w:val="24"/>
          <w:lang w:val="en-US"/>
        </w:rPr>
        <w:t>All procedures described in this protocol were approved by the Radboud university medical center Institutional Review Board (file no. 2016-3074).</w:t>
      </w:r>
      <w:r w:rsidR="00222900" w:rsidRPr="00222900">
        <w:rPr>
          <w:rFonts w:cstheme="minorHAnsi"/>
          <w:sz w:val="24"/>
          <w:szCs w:val="24"/>
          <w:lang w:val="en-US"/>
        </w:rPr>
        <w:t xml:space="preserve"> </w:t>
      </w:r>
    </w:p>
    <w:p w14:paraId="6FD04E10" w14:textId="77777777" w:rsidR="00467751" w:rsidRPr="00685855" w:rsidRDefault="00467751" w:rsidP="00DA50E4">
      <w:pPr>
        <w:pStyle w:val="NoSpacing"/>
        <w:jc w:val="both"/>
        <w:rPr>
          <w:rFonts w:cstheme="minorHAnsi"/>
          <w:sz w:val="24"/>
          <w:szCs w:val="24"/>
          <w:lang w:val="en-US"/>
        </w:rPr>
      </w:pPr>
    </w:p>
    <w:p w14:paraId="5AC4629F" w14:textId="77777777" w:rsidR="003F7A13" w:rsidRPr="00685855" w:rsidRDefault="003F7A13" w:rsidP="00DA50E4">
      <w:pPr>
        <w:pStyle w:val="NoSpacing"/>
        <w:numPr>
          <w:ilvl w:val="0"/>
          <w:numId w:val="10"/>
        </w:numPr>
        <w:jc w:val="both"/>
        <w:rPr>
          <w:rFonts w:cstheme="minorHAnsi"/>
          <w:b/>
          <w:sz w:val="24"/>
          <w:szCs w:val="24"/>
          <w:lang w:val="en-US"/>
        </w:rPr>
      </w:pPr>
      <w:r w:rsidRPr="00685855">
        <w:rPr>
          <w:rFonts w:cstheme="minorHAnsi"/>
          <w:b/>
          <w:sz w:val="24"/>
          <w:szCs w:val="24"/>
          <w:lang w:val="en-US"/>
        </w:rPr>
        <w:t xml:space="preserve">Preliminary research </w:t>
      </w:r>
    </w:p>
    <w:p w14:paraId="3B085EAE" w14:textId="77777777" w:rsidR="003F7A13" w:rsidRPr="00685855" w:rsidRDefault="003F7A13" w:rsidP="00DA50E4">
      <w:pPr>
        <w:pStyle w:val="NoSpacing"/>
        <w:jc w:val="both"/>
        <w:rPr>
          <w:rFonts w:cstheme="minorHAnsi"/>
          <w:b/>
          <w:sz w:val="24"/>
          <w:szCs w:val="24"/>
          <w:lang w:val="en-US"/>
        </w:rPr>
      </w:pPr>
    </w:p>
    <w:p w14:paraId="4B2508C9" w14:textId="77777777" w:rsidR="003F7A13" w:rsidRPr="00013107" w:rsidRDefault="003F7A13" w:rsidP="00DA50E4">
      <w:pPr>
        <w:pStyle w:val="NoSpacing"/>
        <w:numPr>
          <w:ilvl w:val="1"/>
          <w:numId w:val="14"/>
        </w:numPr>
        <w:jc w:val="both"/>
        <w:rPr>
          <w:rFonts w:cstheme="minorHAnsi"/>
          <w:sz w:val="24"/>
          <w:szCs w:val="24"/>
          <w:lang w:val="en-US"/>
        </w:rPr>
      </w:pPr>
      <w:r w:rsidRPr="00013107">
        <w:rPr>
          <w:rFonts w:cstheme="minorHAnsi"/>
          <w:sz w:val="24"/>
          <w:szCs w:val="24"/>
          <w:lang w:val="en-US"/>
        </w:rPr>
        <w:t>Focus groups to assess unmet needs in dyspepsia management</w:t>
      </w:r>
    </w:p>
    <w:p w14:paraId="66CEDD1C" w14:textId="77777777" w:rsidR="003F7A13" w:rsidRPr="00685855" w:rsidRDefault="003F7A13" w:rsidP="00DA50E4">
      <w:pPr>
        <w:pStyle w:val="NoSpacing"/>
        <w:jc w:val="both"/>
        <w:rPr>
          <w:rFonts w:cstheme="minorHAnsi"/>
          <w:b/>
          <w:sz w:val="24"/>
          <w:szCs w:val="24"/>
          <w:lang w:val="en-US"/>
        </w:rPr>
      </w:pPr>
    </w:p>
    <w:p w14:paraId="29057010" w14:textId="77777777" w:rsidR="003F7A13" w:rsidRPr="00685855" w:rsidRDefault="003F7A13" w:rsidP="00DA50E4">
      <w:pPr>
        <w:pStyle w:val="NoSpacing"/>
        <w:numPr>
          <w:ilvl w:val="2"/>
          <w:numId w:val="14"/>
        </w:numPr>
        <w:jc w:val="both"/>
        <w:rPr>
          <w:rFonts w:cstheme="minorHAnsi"/>
          <w:sz w:val="24"/>
          <w:szCs w:val="24"/>
          <w:lang w:val="en-US"/>
        </w:rPr>
      </w:pPr>
      <w:r w:rsidRPr="00685855">
        <w:rPr>
          <w:rFonts w:cstheme="minorHAnsi"/>
          <w:sz w:val="24"/>
          <w:szCs w:val="24"/>
          <w:lang w:val="en-US"/>
        </w:rPr>
        <w:t xml:space="preserve">Create a structure for a focus group with dyspeptic patients and with general practitioners. </w:t>
      </w:r>
    </w:p>
    <w:p w14:paraId="50A8D713" w14:textId="77777777" w:rsidR="003F7A13" w:rsidRPr="00685855" w:rsidRDefault="003F7A13" w:rsidP="00DA50E4">
      <w:pPr>
        <w:pStyle w:val="NoSpacing"/>
        <w:jc w:val="both"/>
        <w:rPr>
          <w:rFonts w:cstheme="minorHAnsi"/>
          <w:sz w:val="24"/>
          <w:szCs w:val="24"/>
          <w:lang w:val="en-US"/>
        </w:rPr>
      </w:pPr>
    </w:p>
    <w:p w14:paraId="784FD5C1" w14:textId="3FFA153D" w:rsidR="003F7A13" w:rsidRPr="00685855" w:rsidRDefault="003F7A13" w:rsidP="00DA50E4">
      <w:pPr>
        <w:pStyle w:val="NoSpacing"/>
        <w:numPr>
          <w:ilvl w:val="2"/>
          <w:numId w:val="14"/>
        </w:numPr>
        <w:jc w:val="both"/>
        <w:rPr>
          <w:rFonts w:cstheme="minorHAnsi"/>
          <w:sz w:val="24"/>
          <w:szCs w:val="24"/>
          <w:lang w:val="en-US"/>
        </w:rPr>
      </w:pPr>
      <w:r w:rsidRPr="00685855">
        <w:rPr>
          <w:rFonts w:cstheme="minorHAnsi"/>
          <w:sz w:val="24"/>
          <w:szCs w:val="24"/>
          <w:lang w:val="en-US"/>
        </w:rPr>
        <w:t xml:space="preserve">Conduct a focus </w:t>
      </w:r>
      <w:r w:rsidR="00330BC5" w:rsidRPr="00685855">
        <w:rPr>
          <w:rFonts w:cstheme="minorHAnsi"/>
          <w:sz w:val="24"/>
          <w:szCs w:val="24"/>
          <w:lang w:val="en-US"/>
        </w:rPr>
        <w:t>group</w:t>
      </w:r>
      <w:r w:rsidRPr="00685855">
        <w:rPr>
          <w:rFonts w:cstheme="minorHAnsi"/>
          <w:sz w:val="24"/>
          <w:szCs w:val="24"/>
          <w:lang w:val="en-US"/>
        </w:rPr>
        <w:t>. Keep conducting additional focus groups until saturation of information i</w:t>
      </w:r>
      <w:r w:rsidR="00330BC5">
        <w:rPr>
          <w:rFonts w:cstheme="minorHAnsi"/>
          <w:sz w:val="24"/>
          <w:szCs w:val="24"/>
          <w:lang w:val="en-US"/>
        </w:rPr>
        <w:t>s</w:t>
      </w:r>
      <w:r w:rsidRPr="00685855">
        <w:rPr>
          <w:rFonts w:cstheme="minorHAnsi"/>
          <w:sz w:val="24"/>
          <w:szCs w:val="24"/>
          <w:lang w:val="en-US"/>
        </w:rPr>
        <w:t xml:space="preserve"> reached. </w:t>
      </w:r>
    </w:p>
    <w:p w14:paraId="5D683FB2" w14:textId="77777777" w:rsidR="00467751" w:rsidRDefault="00467751" w:rsidP="00DA50E4">
      <w:pPr>
        <w:pStyle w:val="NoSpacing"/>
        <w:jc w:val="both"/>
        <w:rPr>
          <w:rFonts w:cstheme="minorHAnsi"/>
          <w:sz w:val="24"/>
          <w:szCs w:val="24"/>
          <w:lang w:val="en-US"/>
        </w:rPr>
      </w:pPr>
    </w:p>
    <w:p w14:paraId="29C855DC" w14:textId="5139ABA7" w:rsidR="003F7A13" w:rsidRDefault="003F7A13" w:rsidP="00DA50E4">
      <w:pPr>
        <w:pStyle w:val="NoSpacing"/>
        <w:jc w:val="both"/>
        <w:rPr>
          <w:rFonts w:cstheme="minorHAnsi"/>
          <w:sz w:val="24"/>
          <w:szCs w:val="24"/>
          <w:lang w:val="en-US"/>
        </w:rPr>
      </w:pPr>
      <w:r w:rsidRPr="00685855">
        <w:rPr>
          <w:rFonts w:cstheme="minorHAnsi"/>
          <w:sz w:val="24"/>
          <w:szCs w:val="24"/>
          <w:lang w:val="en-US"/>
        </w:rPr>
        <w:t xml:space="preserve">NOTE: </w:t>
      </w:r>
      <w:r w:rsidR="00330BC5">
        <w:rPr>
          <w:rFonts w:cstheme="minorHAnsi"/>
          <w:sz w:val="24"/>
          <w:szCs w:val="24"/>
          <w:lang w:val="en-US"/>
        </w:rPr>
        <w:t>F</w:t>
      </w:r>
      <w:r w:rsidRPr="00685855">
        <w:rPr>
          <w:rFonts w:cstheme="minorHAnsi"/>
          <w:sz w:val="24"/>
          <w:szCs w:val="24"/>
          <w:lang w:val="en-US"/>
        </w:rPr>
        <w:t xml:space="preserve">or this study two focus groups were conducted. </w:t>
      </w:r>
    </w:p>
    <w:p w14:paraId="654DDD36" w14:textId="77777777" w:rsidR="00467751" w:rsidRPr="00685855" w:rsidRDefault="00467751" w:rsidP="00DA50E4">
      <w:pPr>
        <w:pStyle w:val="NoSpacing"/>
        <w:jc w:val="both"/>
        <w:rPr>
          <w:rFonts w:cstheme="minorHAnsi"/>
          <w:sz w:val="24"/>
          <w:szCs w:val="24"/>
          <w:lang w:val="en-US"/>
        </w:rPr>
      </w:pPr>
    </w:p>
    <w:p w14:paraId="05929F6F" w14:textId="03F8D5C2"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1.1.2.1</w:t>
      </w:r>
      <w:r w:rsidR="00467751">
        <w:rPr>
          <w:rFonts w:cstheme="minorHAnsi"/>
          <w:sz w:val="24"/>
          <w:szCs w:val="24"/>
          <w:lang w:val="en-US"/>
        </w:rPr>
        <w:t>.</w:t>
      </w:r>
      <w:r w:rsidRPr="00685855">
        <w:rPr>
          <w:rFonts w:cstheme="minorHAnsi"/>
          <w:sz w:val="24"/>
          <w:szCs w:val="24"/>
          <w:lang w:val="en-US"/>
        </w:rPr>
        <w:t xml:space="preserve"> Recruit participants from patient organization platforms and the gastroenterology outpatient clinic.</w:t>
      </w:r>
    </w:p>
    <w:p w14:paraId="64FB15E0" w14:textId="77777777" w:rsidR="003F7A13" w:rsidRPr="00685855" w:rsidRDefault="003F7A13" w:rsidP="00DA50E4">
      <w:pPr>
        <w:pStyle w:val="NoSpacing"/>
        <w:jc w:val="both"/>
        <w:rPr>
          <w:rFonts w:cstheme="minorHAnsi"/>
          <w:sz w:val="24"/>
          <w:szCs w:val="24"/>
          <w:lang w:val="en-US"/>
        </w:rPr>
      </w:pPr>
    </w:p>
    <w:p w14:paraId="0F832731" w14:textId="0CEF45BF"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1.1.2.2. Recruit general practitioners through local general practitioner networks. </w:t>
      </w:r>
    </w:p>
    <w:p w14:paraId="35833D19" w14:textId="77777777" w:rsidR="003F7A13" w:rsidRPr="00685855" w:rsidRDefault="003F7A13" w:rsidP="00DA50E4">
      <w:pPr>
        <w:pStyle w:val="NoSpacing"/>
        <w:jc w:val="both"/>
        <w:rPr>
          <w:rFonts w:cstheme="minorHAnsi"/>
          <w:sz w:val="24"/>
          <w:szCs w:val="24"/>
          <w:lang w:val="en-US"/>
        </w:rPr>
      </w:pPr>
    </w:p>
    <w:p w14:paraId="06CBA7B3"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1.1.2.3. Provide all participants with a patient information form, explaining the concept and goal of the focus group. Do not present the questions of the focus group in the information form.</w:t>
      </w:r>
    </w:p>
    <w:p w14:paraId="4DED39AB" w14:textId="77777777" w:rsidR="003F7A13" w:rsidRPr="00685855" w:rsidRDefault="003F7A13" w:rsidP="00DA50E4">
      <w:pPr>
        <w:pStyle w:val="NoSpacing"/>
        <w:jc w:val="both"/>
        <w:rPr>
          <w:rFonts w:cstheme="minorHAnsi"/>
          <w:sz w:val="24"/>
          <w:szCs w:val="24"/>
          <w:lang w:val="en-US"/>
        </w:rPr>
      </w:pPr>
    </w:p>
    <w:p w14:paraId="20CA4571"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1.1.2.4. Obtain written informed consent from all participants. </w:t>
      </w:r>
    </w:p>
    <w:p w14:paraId="32C06B8F" w14:textId="77777777" w:rsidR="00330BC5" w:rsidRDefault="00330BC5" w:rsidP="00DA50E4">
      <w:pPr>
        <w:pStyle w:val="NoSpacing"/>
        <w:jc w:val="both"/>
        <w:rPr>
          <w:rFonts w:cstheme="minorHAnsi"/>
          <w:sz w:val="24"/>
          <w:szCs w:val="24"/>
          <w:lang w:val="en-US"/>
        </w:rPr>
      </w:pPr>
    </w:p>
    <w:p w14:paraId="0AD6BE3F" w14:textId="78CBDDB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NOTE: </w:t>
      </w:r>
      <w:r w:rsidR="00330BC5">
        <w:rPr>
          <w:rFonts w:cstheme="minorHAnsi"/>
          <w:sz w:val="24"/>
          <w:szCs w:val="24"/>
          <w:lang w:val="en-US"/>
        </w:rPr>
        <w:t>I</w:t>
      </w:r>
      <w:r w:rsidRPr="00685855">
        <w:rPr>
          <w:rFonts w:cstheme="minorHAnsi"/>
          <w:sz w:val="24"/>
          <w:szCs w:val="24"/>
          <w:lang w:val="en-US"/>
        </w:rPr>
        <w:t>nformed consent was obtained from all participants in this study.</w:t>
      </w:r>
    </w:p>
    <w:p w14:paraId="6B4D2138" w14:textId="77777777" w:rsidR="003F7A13" w:rsidRPr="00685855" w:rsidRDefault="003F7A13" w:rsidP="00DA50E4">
      <w:pPr>
        <w:pStyle w:val="NoSpacing"/>
        <w:jc w:val="both"/>
        <w:rPr>
          <w:rFonts w:cstheme="minorHAnsi"/>
          <w:sz w:val="24"/>
          <w:szCs w:val="24"/>
          <w:lang w:val="en-US"/>
        </w:rPr>
      </w:pPr>
    </w:p>
    <w:p w14:paraId="0900533D"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1.1.2.5. Conduct the focus groups with two researchers. Appoint a moderator and an observer. As a moderator, emphasize that there are no wrong answers, ensure all participants have the opportunity to express their views, and monitor the time. As an observer, observe and take notes of the group dynamics and body language of participants.</w:t>
      </w:r>
    </w:p>
    <w:p w14:paraId="6C86023B" w14:textId="77777777" w:rsidR="003F7A13" w:rsidRPr="00685855" w:rsidRDefault="003F7A13" w:rsidP="00DA50E4">
      <w:pPr>
        <w:pStyle w:val="NoSpacing"/>
        <w:jc w:val="both"/>
        <w:rPr>
          <w:rFonts w:cstheme="minorHAnsi"/>
          <w:sz w:val="24"/>
          <w:szCs w:val="24"/>
          <w:lang w:val="en-US"/>
        </w:rPr>
      </w:pPr>
    </w:p>
    <w:p w14:paraId="6C107EAD"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1.1.2.6. Start the recording of the session using a voice recorder. </w:t>
      </w:r>
    </w:p>
    <w:p w14:paraId="4FD8ACC1" w14:textId="77777777" w:rsidR="003F7A13" w:rsidRPr="00685855" w:rsidRDefault="003F7A13" w:rsidP="00DA50E4">
      <w:pPr>
        <w:pStyle w:val="NoSpacing"/>
        <w:jc w:val="both"/>
        <w:rPr>
          <w:rFonts w:cstheme="minorHAnsi"/>
          <w:sz w:val="24"/>
          <w:szCs w:val="24"/>
          <w:lang w:val="en-US"/>
        </w:rPr>
      </w:pPr>
    </w:p>
    <w:p w14:paraId="46685655" w14:textId="58A1040C"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1.1.2.7. Present each question to the group and encourage discussion about varying views. Ask the following questions; ‘Could you describe the symptoms you feel?’, ‘How do the symptoms influence your day-to-day life?’, ‘What measures have you taken yourself to relieve your symptoms?’, ‘Where did you get most information about your disease?’, </w:t>
      </w:r>
      <w:r w:rsidR="00330BC5">
        <w:rPr>
          <w:rFonts w:cstheme="minorHAnsi"/>
          <w:sz w:val="24"/>
          <w:szCs w:val="24"/>
          <w:lang w:val="en-US"/>
        </w:rPr>
        <w:t xml:space="preserve">and </w:t>
      </w:r>
      <w:r w:rsidRPr="00685855">
        <w:rPr>
          <w:rFonts w:cstheme="minorHAnsi"/>
          <w:sz w:val="24"/>
          <w:szCs w:val="24"/>
          <w:lang w:val="en-US"/>
        </w:rPr>
        <w:t>‘Which elements lacked in the management of your disease?’.</w:t>
      </w:r>
    </w:p>
    <w:p w14:paraId="2BC4DC23" w14:textId="77777777" w:rsidR="003F7A13" w:rsidRPr="00685855" w:rsidRDefault="003F7A13" w:rsidP="00DA50E4">
      <w:pPr>
        <w:pStyle w:val="NoSpacing"/>
        <w:jc w:val="both"/>
        <w:rPr>
          <w:rFonts w:cstheme="minorHAnsi"/>
          <w:sz w:val="24"/>
          <w:szCs w:val="24"/>
          <w:lang w:val="en-US"/>
        </w:rPr>
      </w:pPr>
    </w:p>
    <w:p w14:paraId="3A3DFBB7" w14:textId="2351613D"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1.1.2.8. Transcribe the voice recording. Process the focus groups and interviews using the qualitative data analysis software </w:t>
      </w:r>
      <w:r w:rsidR="00E844AF">
        <w:rPr>
          <w:rFonts w:cstheme="minorHAnsi"/>
          <w:sz w:val="24"/>
          <w:szCs w:val="24"/>
          <w:lang w:val="en-US"/>
        </w:rPr>
        <w:t>(</w:t>
      </w:r>
      <w:r w:rsidR="00CD730B" w:rsidRPr="00CD730B">
        <w:rPr>
          <w:rFonts w:cstheme="minorHAnsi"/>
          <w:sz w:val="24"/>
          <w:szCs w:val="24"/>
          <w:lang w:val="en-US"/>
        </w:rPr>
        <w:t xml:space="preserve">e.g., </w:t>
      </w:r>
      <w:proofErr w:type="spellStart"/>
      <w:r w:rsidRPr="00685855">
        <w:rPr>
          <w:rFonts w:cstheme="minorHAnsi"/>
          <w:sz w:val="24"/>
          <w:szCs w:val="24"/>
          <w:lang w:val="en-US"/>
        </w:rPr>
        <w:t>ATLAS.ti</w:t>
      </w:r>
      <w:proofErr w:type="spellEnd"/>
      <w:r w:rsidRPr="00685855">
        <w:rPr>
          <w:rFonts w:cstheme="minorHAnsi"/>
          <w:sz w:val="24"/>
          <w:szCs w:val="24"/>
          <w:lang w:val="en-US"/>
        </w:rPr>
        <w:t xml:space="preserve"> version 8.3.16). </w:t>
      </w:r>
    </w:p>
    <w:p w14:paraId="76EE5C84" w14:textId="77777777" w:rsidR="003F7A13" w:rsidRPr="00685855" w:rsidRDefault="003F7A13" w:rsidP="00DA50E4">
      <w:pPr>
        <w:pStyle w:val="NoSpacing"/>
        <w:jc w:val="both"/>
        <w:rPr>
          <w:rFonts w:cstheme="minorHAnsi"/>
          <w:sz w:val="24"/>
          <w:szCs w:val="24"/>
          <w:lang w:val="en-US"/>
        </w:rPr>
      </w:pPr>
    </w:p>
    <w:p w14:paraId="31602745" w14:textId="311204B5"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1.1.2.9. Highlight and connect topics and views that overlap. Use the observer notes for interpretation of discussion and opposite views of participants.</w:t>
      </w:r>
      <w:r w:rsidR="00222900" w:rsidRPr="00222900">
        <w:rPr>
          <w:rFonts w:cstheme="minorHAnsi"/>
          <w:sz w:val="24"/>
          <w:szCs w:val="24"/>
          <w:lang w:val="en-US"/>
        </w:rPr>
        <w:t xml:space="preserve"> </w:t>
      </w:r>
    </w:p>
    <w:p w14:paraId="50CF4A85" w14:textId="77777777" w:rsidR="003F7A13" w:rsidRPr="00685855" w:rsidRDefault="003F7A13" w:rsidP="00DA50E4">
      <w:pPr>
        <w:pStyle w:val="NoSpacing"/>
        <w:jc w:val="both"/>
        <w:rPr>
          <w:rFonts w:cstheme="minorHAnsi"/>
          <w:sz w:val="24"/>
          <w:szCs w:val="24"/>
          <w:lang w:val="en-US"/>
        </w:rPr>
      </w:pPr>
    </w:p>
    <w:p w14:paraId="3B6AC2F5" w14:textId="36C6BCC1"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1.1.2.10. Extract the main themes resulting from the focus group to form the structure of the tool.</w:t>
      </w:r>
      <w:r w:rsidR="00222900" w:rsidRPr="00222900">
        <w:rPr>
          <w:rFonts w:cstheme="minorHAnsi"/>
          <w:sz w:val="24"/>
          <w:szCs w:val="24"/>
          <w:lang w:val="en-US"/>
        </w:rPr>
        <w:t xml:space="preserve"> </w:t>
      </w:r>
    </w:p>
    <w:p w14:paraId="09C60766" w14:textId="77777777" w:rsidR="003F7A13" w:rsidRPr="00685855" w:rsidRDefault="003F7A13" w:rsidP="00DA50E4">
      <w:pPr>
        <w:pStyle w:val="NoSpacing"/>
        <w:jc w:val="both"/>
        <w:rPr>
          <w:rFonts w:cstheme="minorHAnsi"/>
          <w:sz w:val="24"/>
          <w:szCs w:val="24"/>
          <w:lang w:val="en-US"/>
        </w:rPr>
      </w:pPr>
    </w:p>
    <w:p w14:paraId="0D169818" w14:textId="77777777" w:rsidR="003F7A13" w:rsidRPr="00DA50E4" w:rsidRDefault="003F7A13" w:rsidP="00DA50E4">
      <w:pPr>
        <w:pStyle w:val="NoSpacing"/>
        <w:jc w:val="both"/>
        <w:rPr>
          <w:rFonts w:cstheme="minorHAnsi"/>
          <w:sz w:val="24"/>
          <w:szCs w:val="24"/>
          <w:lang w:val="en-US"/>
        </w:rPr>
      </w:pPr>
      <w:r w:rsidRPr="00DA50E4">
        <w:rPr>
          <w:rFonts w:cstheme="minorHAnsi"/>
          <w:sz w:val="24"/>
          <w:szCs w:val="24"/>
          <w:lang w:val="en-US"/>
        </w:rPr>
        <w:t xml:space="preserve">1.2. Existing scientific evidence </w:t>
      </w:r>
    </w:p>
    <w:p w14:paraId="36D5817F" w14:textId="77777777" w:rsidR="003F7A13" w:rsidRPr="00685855" w:rsidRDefault="003F7A13" w:rsidP="00DA50E4">
      <w:pPr>
        <w:pStyle w:val="NoSpacing"/>
        <w:jc w:val="both"/>
        <w:rPr>
          <w:rFonts w:cstheme="minorHAnsi"/>
          <w:b/>
          <w:sz w:val="24"/>
          <w:szCs w:val="24"/>
          <w:lang w:val="en-US"/>
        </w:rPr>
      </w:pPr>
    </w:p>
    <w:p w14:paraId="37D5C87E" w14:textId="6177954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1.2.1</w:t>
      </w:r>
      <w:r w:rsidR="00467751">
        <w:rPr>
          <w:rFonts w:cstheme="minorHAnsi"/>
          <w:sz w:val="24"/>
          <w:szCs w:val="24"/>
          <w:lang w:val="en-US"/>
        </w:rPr>
        <w:t>.</w:t>
      </w:r>
      <w:r w:rsidRPr="00685855">
        <w:rPr>
          <w:rFonts w:cstheme="minorHAnsi"/>
          <w:sz w:val="24"/>
          <w:szCs w:val="24"/>
          <w:lang w:val="en-US"/>
        </w:rPr>
        <w:t xml:space="preserve"> Based on the main outlines that resulted from assessment of needs, make an overview of the topics that should be supported by literature. Examples are pathophysiology of dyspepsia, dietary interventions, pharmacological treatment, and (the value of) diagnostics. </w:t>
      </w:r>
    </w:p>
    <w:p w14:paraId="1F795E12" w14:textId="77777777" w:rsidR="003F7A13" w:rsidRPr="00685855" w:rsidRDefault="003F7A13" w:rsidP="00DA50E4">
      <w:pPr>
        <w:pStyle w:val="NoSpacing"/>
        <w:jc w:val="both"/>
        <w:rPr>
          <w:rFonts w:cstheme="minorHAnsi"/>
          <w:sz w:val="24"/>
          <w:szCs w:val="24"/>
          <w:lang w:val="en-US"/>
        </w:rPr>
      </w:pPr>
    </w:p>
    <w:p w14:paraId="0E1A9948"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1.2.2. Use the online databases Medline and EMBASE to search for recent literature. To build a search, MeSH terms (Medline) or Emtree terms (EMBASE) should be combined with free text words. </w:t>
      </w:r>
    </w:p>
    <w:p w14:paraId="2D77103C" w14:textId="77777777" w:rsidR="003F7A13" w:rsidRPr="00685855" w:rsidRDefault="003F7A13" w:rsidP="00DA50E4">
      <w:pPr>
        <w:pStyle w:val="NoSpacing"/>
        <w:jc w:val="both"/>
        <w:rPr>
          <w:rFonts w:cstheme="minorHAnsi"/>
          <w:sz w:val="24"/>
          <w:szCs w:val="24"/>
          <w:lang w:val="en-US"/>
        </w:rPr>
      </w:pPr>
    </w:p>
    <w:p w14:paraId="4BB6A6A9"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1.2.3. Select the most relevant articles to use as scientific background in the tool. </w:t>
      </w:r>
    </w:p>
    <w:p w14:paraId="39248B92" w14:textId="77777777" w:rsidR="003F7A13" w:rsidRPr="00685855" w:rsidRDefault="003F7A13" w:rsidP="00DA50E4">
      <w:pPr>
        <w:pStyle w:val="NoSpacing"/>
        <w:jc w:val="both"/>
        <w:rPr>
          <w:rFonts w:cstheme="minorHAnsi"/>
          <w:sz w:val="24"/>
          <w:szCs w:val="24"/>
          <w:lang w:val="en-US"/>
        </w:rPr>
      </w:pPr>
    </w:p>
    <w:p w14:paraId="4A0B2246" w14:textId="2B82CE8A"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1.2.4. Find local and national guidelines related to dyspepsia management. </w:t>
      </w:r>
      <w:proofErr w:type="gramStart"/>
      <w:r w:rsidRPr="00685855">
        <w:rPr>
          <w:rFonts w:cstheme="minorHAnsi"/>
          <w:sz w:val="24"/>
          <w:szCs w:val="24"/>
          <w:lang w:val="en-US"/>
        </w:rPr>
        <w:t>Make a selection of</w:t>
      </w:r>
      <w:proofErr w:type="gramEnd"/>
      <w:r w:rsidRPr="00685855">
        <w:rPr>
          <w:rFonts w:cstheme="minorHAnsi"/>
          <w:sz w:val="24"/>
          <w:szCs w:val="24"/>
          <w:lang w:val="en-US"/>
        </w:rPr>
        <w:t xml:space="preserve"> recommendations most relevant to the target audience.</w:t>
      </w:r>
      <w:r w:rsidR="00222900" w:rsidRPr="00222900">
        <w:rPr>
          <w:rFonts w:cstheme="minorHAnsi"/>
          <w:sz w:val="24"/>
          <w:szCs w:val="24"/>
          <w:lang w:val="en-US"/>
        </w:rPr>
        <w:t xml:space="preserve"> </w:t>
      </w:r>
    </w:p>
    <w:p w14:paraId="282EC726" w14:textId="77777777" w:rsidR="003F7A13" w:rsidRPr="00685855" w:rsidRDefault="003F7A13" w:rsidP="00DA50E4">
      <w:pPr>
        <w:pStyle w:val="NoSpacing"/>
        <w:jc w:val="both"/>
        <w:rPr>
          <w:rFonts w:cstheme="minorHAnsi"/>
          <w:sz w:val="24"/>
          <w:szCs w:val="24"/>
          <w:lang w:val="en-US"/>
        </w:rPr>
      </w:pPr>
    </w:p>
    <w:p w14:paraId="259ACFFA"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1.2.5. Summarize existing national patient information on dyspepsia. Use approved primary and secondary care information, as well as government supported web-based information. </w:t>
      </w:r>
    </w:p>
    <w:p w14:paraId="3F297520" w14:textId="77777777" w:rsidR="003F7A13" w:rsidRPr="00685855" w:rsidRDefault="003F7A13" w:rsidP="00DA50E4">
      <w:pPr>
        <w:pStyle w:val="NoSpacing"/>
        <w:jc w:val="both"/>
        <w:rPr>
          <w:rFonts w:cstheme="minorHAnsi"/>
          <w:sz w:val="24"/>
          <w:szCs w:val="24"/>
          <w:lang w:val="en-US"/>
        </w:rPr>
      </w:pPr>
    </w:p>
    <w:p w14:paraId="347F1528" w14:textId="77777777"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2. Content development</w:t>
      </w:r>
    </w:p>
    <w:p w14:paraId="0A5B72C8" w14:textId="77777777" w:rsidR="003F7A13" w:rsidRPr="00685855" w:rsidRDefault="003F7A13" w:rsidP="00DA50E4">
      <w:pPr>
        <w:pStyle w:val="NoSpacing"/>
        <w:jc w:val="both"/>
        <w:rPr>
          <w:rFonts w:cstheme="minorHAnsi"/>
          <w:b/>
          <w:sz w:val="24"/>
          <w:szCs w:val="24"/>
          <w:lang w:val="en-US"/>
        </w:rPr>
      </w:pPr>
    </w:p>
    <w:p w14:paraId="714F0E90" w14:textId="77777777" w:rsidR="003F7A13" w:rsidRPr="006C1A33" w:rsidRDefault="003F7A13" w:rsidP="00DA50E4">
      <w:pPr>
        <w:pStyle w:val="NoSpacing"/>
        <w:numPr>
          <w:ilvl w:val="1"/>
          <w:numId w:val="11"/>
        </w:numPr>
        <w:jc w:val="both"/>
        <w:rPr>
          <w:rFonts w:cstheme="minorHAnsi"/>
          <w:sz w:val="24"/>
          <w:szCs w:val="24"/>
          <w:lang w:val="en-US"/>
        </w:rPr>
      </w:pPr>
      <w:r w:rsidRPr="006C1A33">
        <w:rPr>
          <w:rFonts w:cstheme="minorHAnsi"/>
          <w:sz w:val="24"/>
          <w:szCs w:val="24"/>
          <w:lang w:val="en-US"/>
        </w:rPr>
        <w:t xml:space="preserve">Software development partner </w:t>
      </w:r>
    </w:p>
    <w:p w14:paraId="00EE9517" w14:textId="77777777" w:rsidR="003F7A13" w:rsidRPr="00685855" w:rsidRDefault="003F7A13" w:rsidP="00DA50E4">
      <w:pPr>
        <w:pStyle w:val="NoSpacing"/>
        <w:jc w:val="both"/>
        <w:rPr>
          <w:rFonts w:cstheme="minorHAnsi"/>
          <w:b/>
          <w:sz w:val="24"/>
          <w:szCs w:val="24"/>
          <w:lang w:val="en-US"/>
        </w:rPr>
      </w:pPr>
    </w:p>
    <w:p w14:paraId="5BDA40B0" w14:textId="43056E18"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2.1.1</w:t>
      </w:r>
      <w:r w:rsidR="00467751">
        <w:rPr>
          <w:rFonts w:cstheme="minorHAnsi"/>
          <w:sz w:val="24"/>
          <w:szCs w:val="24"/>
          <w:lang w:val="en-US"/>
        </w:rPr>
        <w:t>.</w:t>
      </w:r>
      <w:r w:rsidRPr="00685855">
        <w:rPr>
          <w:rFonts w:cstheme="minorHAnsi"/>
          <w:sz w:val="24"/>
          <w:szCs w:val="24"/>
          <w:lang w:val="en-US"/>
        </w:rPr>
        <w:t xml:space="preserve"> Select a partner for software production to involve in the development. </w:t>
      </w:r>
      <w:proofErr w:type="gramStart"/>
      <w:r w:rsidRPr="00685855">
        <w:rPr>
          <w:rFonts w:cstheme="minorHAnsi"/>
          <w:sz w:val="24"/>
          <w:szCs w:val="24"/>
          <w:lang w:val="en-US"/>
        </w:rPr>
        <w:t>Make a selection</w:t>
      </w:r>
      <w:proofErr w:type="gramEnd"/>
      <w:r w:rsidRPr="00685855">
        <w:rPr>
          <w:rFonts w:cstheme="minorHAnsi"/>
          <w:sz w:val="24"/>
          <w:szCs w:val="24"/>
          <w:lang w:val="en-US"/>
        </w:rPr>
        <w:t xml:space="preserve"> based on available products, such as 3D visualization, video recording, user friendly content management system, and possibilities to do adjustments after pilot test.</w:t>
      </w:r>
    </w:p>
    <w:p w14:paraId="3EEF7334" w14:textId="77777777" w:rsidR="006C1A33" w:rsidRDefault="006C1A33" w:rsidP="00DA50E4">
      <w:pPr>
        <w:pStyle w:val="NoSpacing"/>
        <w:jc w:val="both"/>
        <w:rPr>
          <w:rFonts w:cstheme="minorHAnsi"/>
          <w:sz w:val="24"/>
          <w:szCs w:val="24"/>
          <w:lang w:val="en-US"/>
        </w:rPr>
      </w:pPr>
    </w:p>
    <w:p w14:paraId="5EF075A8" w14:textId="21177EA3"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NOTE: </w:t>
      </w:r>
      <w:r w:rsidR="006C1A33">
        <w:rPr>
          <w:rFonts w:cstheme="minorHAnsi"/>
          <w:sz w:val="24"/>
          <w:szCs w:val="24"/>
          <w:lang w:val="en-US"/>
        </w:rPr>
        <w:t>F</w:t>
      </w:r>
      <w:r w:rsidRPr="00685855">
        <w:rPr>
          <w:rFonts w:cstheme="minorHAnsi"/>
          <w:sz w:val="24"/>
          <w:szCs w:val="24"/>
          <w:lang w:val="en-US"/>
        </w:rPr>
        <w:t xml:space="preserve">or this study, Medify Media B.V. was contracted for software development. </w:t>
      </w:r>
    </w:p>
    <w:p w14:paraId="49DE8B8B" w14:textId="77777777" w:rsidR="003F7A13" w:rsidRPr="00685855" w:rsidRDefault="003F7A13" w:rsidP="00DA50E4">
      <w:pPr>
        <w:pStyle w:val="NoSpacing"/>
        <w:jc w:val="both"/>
        <w:rPr>
          <w:rFonts w:cstheme="minorHAnsi"/>
          <w:sz w:val="24"/>
          <w:szCs w:val="24"/>
          <w:lang w:val="en-US"/>
        </w:rPr>
      </w:pPr>
    </w:p>
    <w:p w14:paraId="799C2158" w14:textId="77777777" w:rsidR="003F7A13" w:rsidRPr="006C1A33" w:rsidRDefault="003F7A13" w:rsidP="00DA50E4">
      <w:pPr>
        <w:pStyle w:val="NoSpacing"/>
        <w:numPr>
          <w:ilvl w:val="1"/>
          <w:numId w:val="11"/>
        </w:numPr>
        <w:jc w:val="both"/>
        <w:rPr>
          <w:rFonts w:cstheme="minorHAnsi"/>
          <w:sz w:val="24"/>
          <w:szCs w:val="24"/>
          <w:lang w:val="en-US"/>
        </w:rPr>
      </w:pPr>
      <w:r w:rsidRPr="006C1A33">
        <w:rPr>
          <w:rFonts w:cstheme="minorHAnsi"/>
          <w:sz w:val="24"/>
          <w:szCs w:val="24"/>
          <w:lang w:val="en-US"/>
        </w:rPr>
        <w:t>Organization of data</w:t>
      </w:r>
    </w:p>
    <w:p w14:paraId="75B8229A" w14:textId="77777777" w:rsidR="003F7A13" w:rsidRPr="00685855" w:rsidRDefault="003F7A13" w:rsidP="00DA50E4">
      <w:pPr>
        <w:pStyle w:val="NoSpacing"/>
        <w:jc w:val="both"/>
        <w:rPr>
          <w:rFonts w:cstheme="minorHAnsi"/>
          <w:b/>
          <w:sz w:val="24"/>
          <w:szCs w:val="24"/>
          <w:lang w:val="en-US"/>
        </w:rPr>
      </w:pPr>
    </w:p>
    <w:p w14:paraId="3414750B"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2.2.1. Combine all collected data in one file and merge related topics. Create a clear overview of all items that should be addressed in the tool. </w:t>
      </w:r>
    </w:p>
    <w:p w14:paraId="0FDAEDA8" w14:textId="77777777" w:rsidR="003F7A13" w:rsidRPr="00685855" w:rsidRDefault="003F7A13" w:rsidP="00DA50E4">
      <w:pPr>
        <w:pStyle w:val="NoSpacing"/>
        <w:jc w:val="both"/>
        <w:rPr>
          <w:rFonts w:cstheme="minorHAnsi"/>
          <w:sz w:val="24"/>
          <w:szCs w:val="24"/>
          <w:lang w:val="en-US"/>
        </w:rPr>
      </w:pPr>
    </w:p>
    <w:p w14:paraId="5CDC0485"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2.2.2. Categorize the information into manageable chapters. </w:t>
      </w:r>
    </w:p>
    <w:p w14:paraId="7FA64EE2" w14:textId="77777777" w:rsidR="003F7A13" w:rsidRPr="00685855" w:rsidRDefault="003F7A13" w:rsidP="00DA50E4">
      <w:pPr>
        <w:pStyle w:val="NoSpacing"/>
        <w:jc w:val="both"/>
        <w:rPr>
          <w:rFonts w:cstheme="minorHAnsi"/>
          <w:sz w:val="24"/>
          <w:szCs w:val="24"/>
          <w:lang w:val="en-US"/>
        </w:rPr>
      </w:pPr>
    </w:p>
    <w:p w14:paraId="2A2D3BE0"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2.2.3. Organize the items into a logical flow that will be maintained in the tool, for example by drawing up a flowchart illustrating the flow and content of each chapter and interconnection between chapters.</w:t>
      </w:r>
    </w:p>
    <w:p w14:paraId="245EB8F3" w14:textId="77777777" w:rsidR="003F7A13" w:rsidRPr="00685855" w:rsidRDefault="003F7A13" w:rsidP="00DA50E4">
      <w:pPr>
        <w:pStyle w:val="NoSpacing"/>
        <w:jc w:val="both"/>
        <w:rPr>
          <w:rFonts w:cstheme="minorHAnsi"/>
          <w:sz w:val="24"/>
          <w:szCs w:val="24"/>
          <w:lang w:val="en-US"/>
        </w:rPr>
      </w:pPr>
    </w:p>
    <w:p w14:paraId="60E9FB12" w14:textId="75299F23"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2.2.4. Organize the chapters in a nonlinear structure, allowing completion of chapters in random order.</w:t>
      </w:r>
      <w:r w:rsidR="00222900" w:rsidRPr="00222900">
        <w:rPr>
          <w:rFonts w:cstheme="minorHAnsi"/>
          <w:sz w:val="24"/>
          <w:szCs w:val="24"/>
          <w:lang w:val="en-US"/>
        </w:rPr>
        <w:t xml:space="preserve"> </w:t>
      </w:r>
    </w:p>
    <w:p w14:paraId="0B51D59B" w14:textId="77777777" w:rsidR="003F7A13" w:rsidRPr="00685855" w:rsidRDefault="003F7A13" w:rsidP="00DA50E4">
      <w:pPr>
        <w:pStyle w:val="NoSpacing"/>
        <w:jc w:val="both"/>
        <w:rPr>
          <w:rFonts w:cstheme="minorHAnsi"/>
          <w:sz w:val="24"/>
          <w:szCs w:val="24"/>
          <w:lang w:val="en-US"/>
        </w:rPr>
      </w:pPr>
    </w:p>
    <w:p w14:paraId="5D7C5CA5" w14:textId="77777777" w:rsidR="003F7A13" w:rsidRPr="009A0FA4" w:rsidRDefault="003F7A13" w:rsidP="00DA50E4">
      <w:pPr>
        <w:pStyle w:val="NoSpacing"/>
        <w:numPr>
          <w:ilvl w:val="1"/>
          <w:numId w:val="11"/>
        </w:numPr>
        <w:jc w:val="both"/>
        <w:rPr>
          <w:rFonts w:cstheme="minorHAnsi"/>
          <w:sz w:val="24"/>
          <w:szCs w:val="24"/>
          <w:lang w:val="en-US"/>
        </w:rPr>
      </w:pPr>
      <w:r w:rsidRPr="009A0FA4">
        <w:rPr>
          <w:rFonts w:cstheme="minorHAnsi"/>
          <w:sz w:val="24"/>
          <w:szCs w:val="24"/>
          <w:lang w:val="en-US"/>
        </w:rPr>
        <w:t>Process session</w:t>
      </w:r>
    </w:p>
    <w:p w14:paraId="06FB0EC5" w14:textId="77777777" w:rsidR="003F7A13" w:rsidRPr="00685855" w:rsidRDefault="003F7A13" w:rsidP="00DA50E4">
      <w:pPr>
        <w:pStyle w:val="NoSpacing"/>
        <w:jc w:val="both"/>
        <w:rPr>
          <w:rFonts w:cstheme="minorHAnsi"/>
          <w:b/>
          <w:sz w:val="24"/>
          <w:szCs w:val="24"/>
          <w:lang w:val="en-US"/>
        </w:rPr>
      </w:pPr>
    </w:p>
    <w:p w14:paraId="68725376"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2.3.1. Organize a process session with all stakeholders, including involved researchers, doctors, software developers, and visual designers. </w:t>
      </w:r>
    </w:p>
    <w:p w14:paraId="04F8C30B" w14:textId="77777777" w:rsidR="003F7A13" w:rsidRPr="00685855" w:rsidRDefault="003F7A13" w:rsidP="00DA50E4">
      <w:pPr>
        <w:pStyle w:val="NoSpacing"/>
        <w:jc w:val="both"/>
        <w:rPr>
          <w:rFonts w:cstheme="minorHAnsi"/>
          <w:sz w:val="24"/>
          <w:szCs w:val="24"/>
          <w:lang w:val="en-US"/>
        </w:rPr>
      </w:pPr>
    </w:p>
    <w:p w14:paraId="565F230F" w14:textId="0004639F"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lastRenderedPageBreak/>
        <w:t>2.3.2. Within the process session, identify all elements that can be visualized through real-life videos or animation or should appear as text.</w:t>
      </w:r>
      <w:r w:rsidR="00222900" w:rsidRPr="00222900">
        <w:rPr>
          <w:rFonts w:cstheme="minorHAnsi"/>
          <w:sz w:val="24"/>
          <w:szCs w:val="24"/>
          <w:lang w:val="en-US"/>
        </w:rPr>
        <w:t xml:space="preserve"> </w:t>
      </w:r>
    </w:p>
    <w:p w14:paraId="1AD0DAC8" w14:textId="77777777" w:rsidR="003F7A13" w:rsidRPr="00685855" w:rsidRDefault="003F7A13" w:rsidP="00DA50E4">
      <w:pPr>
        <w:pStyle w:val="NoSpacing"/>
        <w:jc w:val="both"/>
        <w:rPr>
          <w:rFonts w:cstheme="minorHAnsi"/>
          <w:sz w:val="24"/>
          <w:szCs w:val="24"/>
          <w:lang w:val="en-US"/>
        </w:rPr>
      </w:pPr>
    </w:p>
    <w:p w14:paraId="5965E673" w14:textId="77777777" w:rsidR="003F7A13" w:rsidRPr="009A0FA4" w:rsidRDefault="003F7A13" w:rsidP="00DA50E4">
      <w:pPr>
        <w:pStyle w:val="NoSpacing"/>
        <w:numPr>
          <w:ilvl w:val="1"/>
          <w:numId w:val="11"/>
        </w:numPr>
        <w:jc w:val="both"/>
        <w:rPr>
          <w:rFonts w:cstheme="minorHAnsi"/>
          <w:sz w:val="24"/>
          <w:szCs w:val="24"/>
          <w:lang w:val="en-US"/>
        </w:rPr>
      </w:pPr>
      <w:r w:rsidRPr="009A0FA4">
        <w:rPr>
          <w:rFonts w:cstheme="minorHAnsi"/>
          <w:sz w:val="24"/>
          <w:szCs w:val="24"/>
          <w:lang w:val="en-US"/>
        </w:rPr>
        <w:t>Creation of content</w:t>
      </w:r>
    </w:p>
    <w:p w14:paraId="3546A1AB" w14:textId="77777777" w:rsidR="003F7A13" w:rsidRPr="00685855" w:rsidRDefault="003F7A13" w:rsidP="00DA50E4">
      <w:pPr>
        <w:pStyle w:val="NoSpacing"/>
        <w:jc w:val="both"/>
        <w:rPr>
          <w:rFonts w:cstheme="minorHAnsi"/>
          <w:b/>
          <w:sz w:val="24"/>
          <w:szCs w:val="24"/>
          <w:lang w:val="en-US"/>
        </w:rPr>
      </w:pPr>
    </w:p>
    <w:p w14:paraId="71B4F96E"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2.4.1. Start every chapter with an overview of the chapter, introduce important items and terms. </w:t>
      </w:r>
    </w:p>
    <w:p w14:paraId="46D1E8C5" w14:textId="77777777" w:rsidR="003F7A13" w:rsidRPr="00685855" w:rsidRDefault="003F7A13" w:rsidP="00DA50E4">
      <w:pPr>
        <w:pStyle w:val="NoSpacing"/>
        <w:jc w:val="both"/>
        <w:rPr>
          <w:rFonts w:cstheme="minorHAnsi"/>
          <w:sz w:val="24"/>
          <w:szCs w:val="24"/>
          <w:lang w:val="en-US"/>
        </w:rPr>
      </w:pPr>
    </w:p>
    <w:p w14:paraId="7DDBB87C"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2.4.2. At the end of every chapter, give a chapter summary. Refrain from giving redundant information that may distract attention. </w:t>
      </w:r>
    </w:p>
    <w:p w14:paraId="714174F7" w14:textId="77777777" w:rsidR="003F7A13" w:rsidRPr="00685855" w:rsidRDefault="003F7A13" w:rsidP="00DA50E4">
      <w:pPr>
        <w:pStyle w:val="NoSpacing"/>
        <w:jc w:val="both"/>
        <w:rPr>
          <w:rFonts w:cstheme="minorHAnsi"/>
          <w:sz w:val="24"/>
          <w:szCs w:val="24"/>
          <w:lang w:val="en-US"/>
        </w:rPr>
      </w:pPr>
    </w:p>
    <w:p w14:paraId="773114C0"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2.4.3. Highlight essential information using bullet points and/or bold text. </w:t>
      </w:r>
    </w:p>
    <w:p w14:paraId="30F5EEAE" w14:textId="77777777" w:rsidR="003F7A13" w:rsidRPr="00685855" w:rsidRDefault="003F7A13" w:rsidP="00DA50E4">
      <w:pPr>
        <w:pStyle w:val="NoSpacing"/>
        <w:jc w:val="both"/>
        <w:rPr>
          <w:rFonts w:cstheme="minorHAnsi"/>
          <w:sz w:val="24"/>
          <w:szCs w:val="24"/>
          <w:lang w:val="en-US"/>
        </w:rPr>
      </w:pPr>
    </w:p>
    <w:p w14:paraId="65D25676"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2.4.4. Use plain language writing when writing texts.</w:t>
      </w:r>
    </w:p>
    <w:p w14:paraId="514BD11F" w14:textId="77777777" w:rsidR="003F7A13" w:rsidRPr="00685855" w:rsidRDefault="003F7A13" w:rsidP="00DA50E4">
      <w:pPr>
        <w:pStyle w:val="NoSpacing"/>
        <w:jc w:val="both"/>
        <w:rPr>
          <w:rFonts w:cstheme="minorHAnsi"/>
          <w:sz w:val="24"/>
          <w:szCs w:val="24"/>
          <w:lang w:val="en-US"/>
        </w:rPr>
      </w:pPr>
    </w:p>
    <w:p w14:paraId="64A26D73"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2.4.4.1. Clearly consider the target audience and write from that perspective. </w:t>
      </w:r>
    </w:p>
    <w:p w14:paraId="464DB0CA" w14:textId="77777777" w:rsidR="003F7A13" w:rsidRPr="00685855" w:rsidRDefault="003F7A13" w:rsidP="00DA50E4">
      <w:pPr>
        <w:pStyle w:val="NoSpacing"/>
        <w:jc w:val="both"/>
        <w:rPr>
          <w:rFonts w:cstheme="minorHAnsi"/>
          <w:sz w:val="24"/>
          <w:szCs w:val="24"/>
          <w:lang w:val="en-US"/>
        </w:rPr>
      </w:pPr>
    </w:p>
    <w:p w14:paraId="2D841152"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2.4.4.2. Maintain a 7</w:t>
      </w:r>
      <w:r w:rsidRPr="00685855">
        <w:rPr>
          <w:rFonts w:cstheme="minorHAnsi"/>
          <w:sz w:val="24"/>
          <w:szCs w:val="24"/>
          <w:vertAlign w:val="superscript"/>
          <w:lang w:val="en-US"/>
        </w:rPr>
        <w:t>th</w:t>
      </w:r>
      <w:r w:rsidRPr="00685855">
        <w:rPr>
          <w:rFonts w:cstheme="minorHAnsi"/>
          <w:sz w:val="24"/>
          <w:szCs w:val="24"/>
          <w:lang w:val="en-US"/>
        </w:rPr>
        <w:t xml:space="preserve"> to 8</w:t>
      </w:r>
      <w:r w:rsidRPr="00685855">
        <w:rPr>
          <w:rFonts w:cstheme="minorHAnsi"/>
          <w:sz w:val="24"/>
          <w:szCs w:val="24"/>
          <w:vertAlign w:val="superscript"/>
          <w:lang w:val="en-US"/>
        </w:rPr>
        <w:t>th</w:t>
      </w:r>
      <w:r w:rsidRPr="00685855">
        <w:rPr>
          <w:rFonts w:cstheme="minorHAnsi"/>
          <w:sz w:val="24"/>
          <w:szCs w:val="24"/>
          <w:lang w:val="en-US"/>
        </w:rPr>
        <w:t xml:space="preserve"> grade reading level. </w:t>
      </w:r>
    </w:p>
    <w:p w14:paraId="3E994BC2" w14:textId="77777777" w:rsidR="003F7A13" w:rsidRPr="00685855" w:rsidRDefault="003F7A13" w:rsidP="00DA50E4">
      <w:pPr>
        <w:pStyle w:val="NoSpacing"/>
        <w:jc w:val="both"/>
        <w:rPr>
          <w:rFonts w:cstheme="minorHAnsi"/>
          <w:sz w:val="24"/>
          <w:szCs w:val="24"/>
          <w:lang w:val="en-US"/>
        </w:rPr>
      </w:pPr>
    </w:p>
    <w:p w14:paraId="19FC2A92" w14:textId="070C99D1"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2.4.4.3. Use active rather than passive sentences, writing in a conversational style, including the frequent use of questions and personal pronouns (</w:t>
      </w:r>
      <w:r w:rsidR="00CD730B" w:rsidRPr="00CD730B">
        <w:rPr>
          <w:rFonts w:cstheme="minorHAnsi"/>
          <w:sz w:val="24"/>
          <w:szCs w:val="24"/>
          <w:lang w:val="en-US"/>
        </w:rPr>
        <w:t xml:space="preserve">e.g., </w:t>
      </w:r>
      <w:r w:rsidRPr="00685855">
        <w:rPr>
          <w:rFonts w:cstheme="minorHAnsi"/>
          <w:sz w:val="24"/>
          <w:szCs w:val="24"/>
          <w:lang w:val="en-US"/>
        </w:rPr>
        <w:t>‘do you regularly feel full after a normal sized meal? Try to avoid fatty foods.’, rather than ‘if a full feeling after a normal sized meal is regularly encountered, avoiding fatty foods may be tried.’).</w:t>
      </w:r>
    </w:p>
    <w:p w14:paraId="79F9D563" w14:textId="77777777" w:rsidR="003F7A13" w:rsidRPr="00685855" w:rsidRDefault="003F7A13" w:rsidP="00DA50E4">
      <w:pPr>
        <w:pStyle w:val="NoSpacing"/>
        <w:jc w:val="both"/>
        <w:rPr>
          <w:rFonts w:cstheme="minorHAnsi"/>
          <w:sz w:val="24"/>
          <w:szCs w:val="24"/>
          <w:lang w:val="en-US"/>
        </w:rPr>
      </w:pPr>
      <w:r w:rsidRPr="00685855">
        <w:rPr>
          <w:rFonts w:cstheme="minorHAnsi"/>
          <w:i/>
          <w:sz w:val="24"/>
          <w:szCs w:val="24"/>
          <w:lang w:val="en-US"/>
        </w:rPr>
        <w:t xml:space="preserve"> </w:t>
      </w:r>
    </w:p>
    <w:p w14:paraId="007C3992"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2.4.4.4. Limit the amount of text per paragraph to a maximum of 10 sentences. </w:t>
      </w:r>
    </w:p>
    <w:p w14:paraId="38B93A3B" w14:textId="77777777" w:rsidR="003F7A13" w:rsidRPr="00685855" w:rsidRDefault="003F7A13" w:rsidP="00DA50E4">
      <w:pPr>
        <w:pStyle w:val="NoSpacing"/>
        <w:jc w:val="both"/>
        <w:rPr>
          <w:rFonts w:cstheme="minorHAnsi"/>
          <w:sz w:val="24"/>
          <w:szCs w:val="24"/>
          <w:lang w:val="en-US"/>
        </w:rPr>
      </w:pPr>
    </w:p>
    <w:p w14:paraId="34FBB902"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2.4.5. For the videos:</w:t>
      </w:r>
    </w:p>
    <w:p w14:paraId="37F56349" w14:textId="77777777" w:rsidR="003F7A13" w:rsidRPr="00685855" w:rsidRDefault="003F7A13" w:rsidP="00DA50E4">
      <w:pPr>
        <w:pStyle w:val="NoSpacing"/>
        <w:jc w:val="both"/>
        <w:rPr>
          <w:rFonts w:cstheme="minorHAnsi"/>
          <w:sz w:val="24"/>
          <w:szCs w:val="24"/>
          <w:lang w:val="en-US"/>
        </w:rPr>
      </w:pPr>
    </w:p>
    <w:p w14:paraId="5BEEAE07" w14:textId="7EFEFB1B"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2.4.5.1. Make a list of people needed for the real-life videos (</w:t>
      </w:r>
      <w:r w:rsidR="00CD730B" w:rsidRPr="00CD730B">
        <w:rPr>
          <w:rFonts w:cstheme="minorHAnsi"/>
          <w:sz w:val="24"/>
          <w:szCs w:val="24"/>
          <w:lang w:val="en-US"/>
        </w:rPr>
        <w:t xml:space="preserve">e.g., </w:t>
      </w:r>
      <w:r w:rsidRPr="00685855">
        <w:rPr>
          <w:rFonts w:cstheme="minorHAnsi"/>
          <w:sz w:val="24"/>
          <w:szCs w:val="24"/>
          <w:lang w:val="en-US"/>
        </w:rPr>
        <w:t>patients, doctors, dieticians).</w:t>
      </w:r>
    </w:p>
    <w:p w14:paraId="6E971975" w14:textId="77777777" w:rsidR="003F7A13" w:rsidRPr="00685855" w:rsidRDefault="003F7A13" w:rsidP="00DA50E4">
      <w:pPr>
        <w:pStyle w:val="NoSpacing"/>
        <w:jc w:val="both"/>
        <w:rPr>
          <w:rFonts w:cstheme="minorHAnsi"/>
          <w:sz w:val="24"/>
          <w:szCs w:val="24"/>
          <w:lang w:val="en-US"/>
        </w:rPr>
      </w:pPr>
    </w:p>
    <w:p w14:paraId="35B89251" w14:textId="7E38FAFF"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2.4.5.2. Write detailed scripts and log files for all videos.</w:t>
      </w:r>
      <w:r w:rsidR="00222900" w:rsidRPr="00222900">
        <w:rPr>
          <w:rFonts w:cstheme="minorHAnsi"/>
          <w:sz w:val="24"/>
          <w:szCs w:val="24"/>
          <w:lang w:val="en-US"/>
        </w:rPr>
        <w:t xml:space="preserve"> </w:t>
      </w:r>
    </w:p>
    <w:p w14:paraId="04D20E2A" w14:textId="77777777" w:rsidR="003F7A13" w:rsidRPr="00685855" w:rsidRDefault="003F7A13" w:rsidP="00DA50E4">
      <w:pPr>
        <w:pStyle w:val="NoSpacing"/>
        <w:jc w:val="both"/>
        <w:rPr>
          <w:rFonts w:cstheme="minorHAnsi"/>
          <w:sz w:val="24"/>
          <w:szCs w:val="24"/>
          <w:lang w:val="en-US"/>
        </w:rPr>
      </w:pPr>
    </w:p>
    <w:p w14:paraId="0976017B"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2.4.5.3. Select an entourage for shooting of the videos, appropriate to the subject of the video, and with reduced noise level. </w:t>
      </w:r>
    </w:p>
    <w:p w14:paraId="0F238335" w14:textId="77777777" w:rsidR="003F7A13" w:rsidRPr="00685855" w:rsidRDefault="003F7A13" w:rsidP="00DA50E4">
      <w:pPr>
        <w:pStyle w:val="NoSpacing"/>
        <w:jc w:val="both"/>
        <w:rPr>
          <w:rFonts w:cstheme="minorHAnsi"/>
          <w:sz w:val="24"/>
          <w:szCs w:val="24"/>
          <w:lang w:val="en-US"/>
        </w:rPr>
      </w:pPr>
    </w:p>
    <w:p w14:paraId="606D5295"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2.4.6. For 3D visualization of elements of the content: </w:t>
      </w:r>
    </w:p>
    <w:p w14:paraId="5D05FF29" w14:textId="77777777" w:rsidR="003F7A13" w:rsidRPr="00685855" w:rsidRDefault="003F7A13" w:rsidP="00DA50E4">
      <w:pPr>
        <w:pStyle w:val="NoSpacing"/>
        <w:jc w:val="both"/>
        <w:rPr>
          <w:rFonts w:cstheme="minorHAnsi"/>
          <w:sz w:val="24"/>
          <w:szCs w:val="24"/>
          <w:lang w:val="en-US"/>
        </w:rPr>
      </w:pPr>
    </w:p>
    <w:p w14:paraId="4A1AAA5A"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2.4.6.1. Use visual references for each step of the desired 3D animation.</w:t>
      </w:r>
    </w:p>
    <w:p w14:paraId="7C060C18" w14:textId="77777777" w:rsidR="003F7A13" w:rsidRPr="00685855" w:rsidRDefault="003F7A13" w:rsidP="00DA50E4">
      <w:pPr>
        <w:pStyle w:val="NoSpacing"/>
        <w:jc w:val="both"/>
        <w:rPr>
          <w:rFonts w:cstheme="minorHAnsi"/>
          <w:sz w:val="24"/>
          <w:szCs w:val="24"/>
          <w:lang w:val="en-US"/>
        </w:rPr>
      </w:pPr>
    </w:p>
    <w:p w14:paraId="0F0AE6EA" w14:textId="52E21425"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2.4.6.</w:t>
      </w:r>
      <w:r w:rsidR="00CD730B">
        <w:rPr>
          <w:rFonts w:cstheme="minorHAnsi"/>
          <w:sz w:val="24"/>
          <w:szCs w:val="24"/>
          <w:lang w:val="en-US"/>
        </w:rPr>
        <w:t>2</w:t>
      </w:r>
      <w:r w:rsidRPr="00685855">
        <w:rPr>
          <w:rFonts w:cstheme="minorHAnsi"/>
          <w:sz w:val="24"/>
          <w:szCs w:val="24"/>
          <w:lang w:val="en-US"/>
        </w:rPr>
        <w:t>. Split animations into clips of 8</w:t>
      </w:r>
      <w:r w:rsidR="00CD730B">
        <w:rPr>
          <w:rFonts w:cstheme="minorHAnsi"/>
          <w:sz w:val="24"/>
          <w:szCs w:val="24"/>
          <w:lang w:val="en-US"/>
        </w:rPr>
        <w:t>−</w:t>
      </w:r>
      <w:r w:rsidRPr="00685855">
        <w:rPr>
          <w:rFonts w:cstheme="minorHAnsi"/>
          <w:sz w:val="24"/>
          <w:szCs w:val="24"/>
          <w:lang w:val="en-US"/>
        </w:rPr>
        <w:t>12 s. Before and after a clip</w:t>
      </w:r>
      <w:r w:rsidR="006D6701">
        <w:rPr>
          <w:rFonts w:cstheme="minorHAnsi"/>
          <w:sz w:val="24"/>
          <w:szCs w:val="24"/>
          <w:lang w:val="en-US"/>
        </w:rPr>
        <w:t>,</w:t>
      </w:r>
      <w:r w:rsidRPr="00685855">
        <w:rPr>
          <w:rFonts w:cstheme="minorHAnsi"/>
          <w:sz w:val="24"/>
          <w:szCs w:val="24"/>
          <w:lang w:val="en-US"/>
        </w:rPr>
        <w:t xml:space="preserve"> provide text blocks with information about the clip. </w:t>
      </w:r>
    </w:p>
    <w:p w14:paraId="30494B97" w14:textId="77777777" w:rsidR="003F7A13" w:rsidRPr="00685855" w:rsidRDefault="003F7A13" w:rsidP="00DA50E4">
      <w:pPr>
        <w:pStyle w:val="NoSpacing"/>
        <w:jc w:val="both"/>
        <w:rPr>
          <w:rFonts w:cstheme="minorHAnsi"/>
          <w:b/>
          <w:sz w:val="24"/>
          <w:szCs w:val="24"/>
          <w:lang w:val="en-US"/>
        </w:rPr>
      </w:pPr>
    </w:p>
    <w:p w14:paraId="06E5BC9F" w14:textId="77777777"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3. Building the digital educational tool</w:t>
      </w:r>
    </w:p>
    <w:p w14:paraId="3681CE4B" w14:textId="77777777" w:rsidR="003F7A13" w:rsidRPr="00685855" w:rsidRDefault="003F7A13" w:rsidP="00DA50E4">
      <w:pPr>
        <w:pStyle w:val="NoSpacing"/>
        <w:jc w:val="both"/>
        <w:rPr>
          <w:rFonts w:cstheme="minorHAnsi"/>
          <w:sz w:val="24"/>
          <w:szCs w:val="24"/>
          <w:lang w:val="en-US"/>
        </w:rPr>
      </w:pPr>
    </w:p>
    <w:p w14:paraId="2CD3E55E" w14:textId="51E31634"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3.1. Add all the content to a </w:t>
      </w:r>
      <w:r w:rsidR="00715747" w:rsidRPr="00685855">
        <w:rPr>
          <w:rFonts w:cstheme="minorHAnsi"/>
          <w:sz w:val="24"/>
          <w:szCs w:val="24"/>
          <w:lang w:val="en-US"/>
        </w:rPr>
        <w:t xml:space="preserve">content management system </w:t>
      </w:r>
      <w:r w:rsidRPr="00685855">
        <w:rPr>
          <w:rFonts w:cstheme="minorHAnsi"/>
          <w:sz w:val="24"/>
          <w:szCs w:val="24"/>
          <w:lang w:val="en-US"/>
        </w:rPr>
        <w:t>to adjust the order and appearance.</w:t>
      </w:r>
    </w:p>
    <w:p w14:paraId="68A9DCA9" w14:textId="77777777" w:rsidR="00467751" w:rsidRDefault="00467751" w:rsidP="00DA50E4">
      <w:pPr>
        <w:pStyle w:val="NoSpacing"/>
        <w:jc w:val="both"/>
        <w:rPr>
          <w:rFonts w:cstheme="minorHAnsi"/>
          <w:sz w:val="24"/>
          <w:szCs w:val="24"/>
          <w:lang w:val="en-US"/>
        </w:rPr>
      </w:pPr>
    </w:p>
    <w:p w14:paraId="581323FC" w14:textId="3ED316D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NOTE: </w:t>
      </w:r>
      <w:r w:rsidR="00715747">
        <w:rPr>
          <w:rFonts w:cstheme="minorHAnsi"/>
          <w:sz w:val="24"/>
          <w:szCs w:val="24"/>
          <w:lang w:val="en-US"/>
        </w:rPr>
        <w:t>I</w:t>
      </w:r>
      <w:r w:rsidRPr="00685855">
        <w:rPr>
          <w:rFonts w:cstheme="minorHAnsi"/>
          <w:sz w:val="24"/>
          <w:szCs w:val="24"/>
          <w:lang w:val="en-US"/>
        </w:rPr>
        <w:t xml:space="preserve">n this study, the </w:t>
      </w:r>
      <w:proofErr w:type="spellStart"/>
      <w:r w:rsidRPr="00685855">
        <w:rPr>
          <w:rFonts w:cstheme="minorHAnsi"/>
          <w:sz w:val="24"/>
          <w:szCs w:val="24"/>
          <w:lang w:val="en-US"/>
        </w:rPr>
        <w:t>Medify</w:t>
      </w:r>
      <w:proofErr w:type="spellEnd"/>
      <w:r w:rsidRPr="00685855">
        <w:rPr>
          <w:rFonts w:cstheme="minorHAnsi"/>
          <w:sz w:val="24"/>
          <w:szCs w:val="24"/>
          <w:lang w:val="en-US"/>
        </w:rPr>
        <w:t xml:space="preserve"> B.V. </w:t>
      </w:r>
      <w:r w:rsidR="00715747" w:rsidRPr="00685855">
        <w:rPr>
          <w:rFonts w:cstheme="minorHAnsi"/>
          <w:sz w:val="24"/>
          <w:szCs w:val="24"/>
          <w:lang w:val="en-US"/>
        </w:rPr>
        <w:t xml:space="preserve">content management system </w:t>
      </w:r>
      <w:r w:rsidRPr="00685855">
        <w:rPr>
          <w:rFonts w:cstheme="minorHAnsi"/>
          <w:sz w:val="24"/>
          <w:szCs w:val="24"/>
          <w:lang w:val="en-US"/>
        </w:rPr>
        <w:t>was used.</w:t>
      </w:r>
    </w:p>
    <w:p w14:paraId="71585668" w14:textId="77777777" w:rsidR="003F7A13" w:rsidRPr="00685855" w:rsidRDefault="003F7A13" w:rsidP="00DA50E4">
      <w:pPr>
        <w:pStyle w:val="NoSpacing"/>
        <w:jc w:val="both"/>
        <w:rPr>
          <w:rFonts w:cstheme="minorHAnsi"/>
          <w:sz w:val="24"/>
          <w:szCs w:val="24"/>
          <w:lang w:val="en-US"/>
        </w:rPr>
      </w:pPr>
    </w:p>
    <w:p w14:paraId="64F7C825"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3.2. Add all the text and the videos to panels. Choose a background image or a 3D visualization. Add customized questionnaires.</w:t>
      </w:r>
    </w:p>
    <w:p w14:paraId="10C610BB" w14:textId="77777777" w:rsidR="003F7A13" w:rsidRPr="00685855" w:rsidRDefault="003F7A13" w:rsidP="00DA50E4">
      <w:pPr>
        <w:pStyle w:val="NoSpacing"/>
        <w:jc w:val="both"/>
        <w:rPr>
          <w:rFonts w:cstheme="minorHAnsi"/>
          <w:sz w:val="24"/>
          <w:szCs w:val="24"/>
          <w:lang w:val="en-US"/>
        </w:rPr>
      </w:pPr>
    </w:p>
    <w:p w14:paraId="197C8EE2"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3.3. Check whether everything is correctly incorporated in the tool.</w:t>
      </w:r>
    </w:p>
    <w:p w14:paraId="5A822960" w14:textId="77777777" w:rsidR="003F7A13" w:rsidRPr="00685855" w:rsidRDefault="003F7A13" w:rsidP="00DA50E4">
      <w:pPr>
        <w:pStyle w:val="NoSpacing"/>
        <w:jc w:val="both"/>
        <w:rPr>
          <w:rFonts w:cstheme="minorHAnsi"/>
          <w:sz w:val="24"/>
          <w:szCs w:val="24"/>
          <w:lang w:val="en-US"/>
        </w:rPr>
      </w:pPr>
    </w:p>
    <w:p w14:paraId="4E7A2755"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3.4. When all content is built into the content management system, create a pilot version of the educational tool. </w:t>
      </w:r>
    </w:p>
    <w:p w14:paraId="3F43D174" w14:textId="77777777" w:rsidR="003F7A13" w:rsidRPr="00685855" w:rsidRDefault="003F7A13" w:rsidP="00DA50E4">
      <w:pPr>
        <w:pStyle w:val="NoSpacing"/>
        <w:jc w:val="both"/>
        <w:rPr>
          <w:rFonts w:cstheme="minorHAnsi"/>
          <w:sz w:val="24"/>
          <w:szCs w:val="24"/>
          <w:lang w:val="en-US"/>
        </w:rPr>
      </w:pPr>
    </w:p>
    <w:p w14:paraId="27C7265C" w14:textId="77777777"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 xml:space="preserve">4. User experience and validation </w:t>
      </w:r>
    </w:p>
    <w:p w14:paraId="1E175B62" w14:textId="77777777" w:rsidR="003F7A13" w:rsidRPr="00685855" w:rsidRDefault="003F7A13" w:rsidP="00DA50E4">
      <w:pPr>
        <w:pStyle w:val="NoSpacing"/>
        <w:jc w:val="both"/>
        <w:rPr>
          <w:rFonts w:cstheme="minorHAnsi"/>
          <w:sz w:val="24"/>
          <w:szCs w:val="24"/>
          <w:lang w:val="en-US"/>
        </w:rPr>
      </w:pPr>
    </w:p>
    <w:p w14:paraId="01198EC7"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4.1. Administer the pilot educational tool to two patients and two general practitioners and ask for feedback on lay-out, content, and user friendliness. </w:t>
      </w:r>
    </w:p>
    <w:p w14:paraId="4C872968" w14:textId="77777777" w:rsidR="003F7A13" w:rsidRPr="00685855" w:rsidRDefault="003F7A13" w:rsidP="00DA50E4">
      <w:pPr>
        <w:pStyle w:val="NoSpacing"/>
        <w:jc w:val="both"/>
        <w:rPr>
          <w:rFonts w:cstheme="minorHAnsi"/>
          <w:sz w:val="24"/>
          <w:szCs w:val="24"/>
          <w:lang w:val="en-US"/>
        </w:rPr>
      </w:pPr>
    </w:p>
    <w:p w14:paraId="784C4EB3"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4.2. Adjust the tool based on the test comments. </w:t>
      </w:r>
    </w:p>
    <w:p w14:paraId="22741F1E" w14:textId="77777777" w:rsidR="003F7A13" w:rsidRPr="00685855" w:rsidRDefault="003F7A13" w:rsidP="00DA50E4">
      <w:pPr>
        <w:pStyle w:val="NoSpacing"/>
        <w:jc w:val="both"/>
        <w:rPr>
          <w:rFonts w:cstheme="minorHAnsi"/>
          <w:sz w:val="24"/>
          <w:szCs w:val="24"/>
          <w:lang w:val="en-US"/>
        </w:rPr>
      </w:pPr>
    </w:p>
    <w:p w14:paraId="5BDA7F90"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4.3. Validate the efficacy and usability of the educational tool in a randomized controlled trial. </w:t>
      </w:r>
    </w:p>
    <w:p w14:paraId="685CA3F5" w14:textId="77777777" w:rsidR="003F7A13" w:rsidRPr="00685855" w:rsidRDefault="003F7A13" w:rsidP="00DA50E4">
      <w:pPr>
        <w:spacing w:after="0" w:line="240" w:lineRule="auto"/>
        <w:jc w:val="both"/>
        <w:rPr>
          <w:rFonts w:cstheme="minorHAnsi"/>
          <w:b/>
          <w:sz w:val="24"/>
          <w:szCs w:val="24"/>
          <w:lang w:val="en-US"/>
        </w:rPr>
      </w:pPr>
    </w:p>
    <w:p w14:paraId="450AD661" w14:textId="77777777" w:rsidR="003F7A13" w:rsidRPr="00685855" w:rsidRDefault="003F7A13" w:rsidP="00DA50E4">
      <w:pPr>
        <w:spacing w:after="0" w:line="240" w:lineRule="auto"/>
        <w:jc w:val="both"/>
        <w:rPr>
          <w:rFonts w:cstheme="minorHAnsi"/>
          <w:b/>
          <w:sz w:val="24"/>
          <w:szCs w:val="24"/>
          <w:lang w:val="en-US"/>
        </w:rPr>
      </w:pPr>
      <w:r w:rsidRPr="00685855">
        <w:rPr>
          <w:rFonts w:cstheme="minorHAnsi"/>
          <w:b/>
          <w:sz w:val="24"/>
          <w:szCs w:val="24"/>
          <w:lang w:val="en-US"/>
        </w:rPr>
        <w:t>REPRESENTATIVE RESULTS:</w:t>
      </w:r>
    </w:p>
    <w:p w14:paraId="4404B1FA" w14:textId="77777777" w:rsidR="00715747" w:rsidRDefault="00715747" w:rsidP="00DA50E4">
      <w:pPr>
        <w:pStyle w:val="NoSpacing"/>
        <w:jc w:val="both"/>
        <w:rPr>
          <w:rFonts w:cstheme="minorHAnsi"/>
          <w:b/>
          <w:sz w:val="24"/>
          <w:szCs w:val="24"/>
          <w:lang w:val="en-US"/>
        </w:rPr>
      </w:pPr>
    </w:p>
    <w:p w14:paraId="4BCF220D" w14:textId="7E6D5938"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Results of focus groups</w:t>
      </w:r>
    </w:p>
    <w:p w14:paraId="27641CB4" w14:textId="77777777" w:rsidR="00715747" w:rsidRDefault="00715747" w:rsidP="00DA50E4">
      <w:pPr>
        <w:pStyle w:val="NoSpacing"/>
        <w:jc w:val="both"/>
        <w:rPr>
          <w:rFonts w:cstheme="minorHAnsi"/>
          <w:sz w:val="24"/>
          <w:szCs w:val="24"/>
          <w:lang w:val="en-US"/>
        </w:rPr>
      </w:pPr>
    </w:p>
    <w:p w14:paraId="0DF720DA" w14:textId="77777777" w:rsidR="00715747" w:rsidRDefault="003F7A13" w:rsidP="00DA50E4">
      <w:pPr>
        <w:pStyle w:val="NoSpacing"/>
        <w:jc w:val="both"/>
        <w:rPr>
          <w:rFonts w:cstheme="minorHAnsi"/>
          <w:sz w:val="24"/>
          <w:szCs w:val="24"/>
          <w:lang w:val="en-US"/>
        </w:rPr>
      </w:pPr>
      <w:r w:rsidRPr="00685855">
        <w:rPr>
          <w:rFonts w:cstheme="minorHAnsi"/>
          <w:sz w:val="24"/>
          <w:szCs w:val="24"/>
          <w:lang w:val="en-US"/>
        </w:rPr>
        <w:t>Five patients, recruited through patient networks (n</w:t>
      </w:r>
      <w:r w:rsidR="00715747" w:rsidRPr="00715747">
        <w:rPr>
          <w:rFonts w:cstheme="minorHAnsi"/>
          <w:sz w:val="24"/>
          <w:szCs w:val="24"/>
          <w:lang w:val="en-US"/>
        </w:rPr>
        <w:t xml:space="preserve"> = </w:t>
      </w:r>
      <w:r w:rsidRPr="00685855">
        <w:rPr>
          <w:rFonts w:cstheme="minorHAnsi"/>
          <w:sz w:val="24"/>
          <w:szCs w:val="24"/>
          <w:lang w:val="en-US"/>
        </w:rPr>
        <w:t>2) or at the outpatient clinic (n</w:t>
      </w:r>
      <w:r w:rsidR="00715747" w:rsidRPr="00715747">
        <w:rPr>
          <w:rFonts w:cstheme="minorHAnsi"/>
          <w:sz w:val="24"/>
          <w:szCs w:val="24"/>
          <w:lang w:val="en-US"/>
        </w:rPr>
        <w:t xml:space="preserve"> = </w:t>
      </w:r>
      <w:r w:rsidRPr="00685855">
        <w:rPr>
          <w:rFonts w:cstheme="minorHAnsi"/>
          <w:sz w:val="24"/>
          <w:szCs w:val="24"/>
          <w:lang w:val="en-US"/>
        </w:rPr>
        <w:t xml:space="preserve">3), were invited to join a focus group. All focus group patients were diagnosed with dyspepsia based on the opinion of a gastroenterologist. Characteristics of included patients are presented in </w:t>
      </w:r>
      <w:r w:rsidR="00715747" w:rsidRPr="00715747">
        <w:rPr>
          <w:rFonts w:cstheme="minorHAnsi"/>
          <w:b/>
          <w:sz w:val="24"/>
          <w:szCs w:val="24"/>
          <w:lang w:val="en-US"/>
        </w:rPr>
        <w:t>T</w:t>
      </w:r>
      <w:r w:rsidRPr="00715747">
        <w:rPr>
          <w:rFonts w:cstheme="minorHAnsi"/>
          <w:b/>
          <w:sz w:val="24"/>
          <w:szCs w:val="24"/>
          <w:lang w:val="en-US"/>
        </w:rPr>
        <w:t>able 1</w:t>
      </w:r>
      <w:r w:rsidRPr="00685855">
        <w:rPr>
          <w:rFonts w:cstheme="minorHAnsi"/>
          <w:sz w:val="24"/>
          <w:szCs w:val="24"/>
          <w:lang w:val="en-US"/>
        </w:rPr>
        <w:t>.</w:t>
      </w:r>
    </w:p>
    <w:p w14:paraId="645A2C41" w14:textId="5601611B"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 </w:t>
      </w:r>
    </w:p>
    <w:p w14:paraId="7260AA27" w14:textId="337AE227" w:rsidR="003F7A13" w:rsidRDefault="003F7A13" w:rsidP="00DA50E4">
      <w:pPr>
        <w:pStyle w:val="NoSpacing"/>
        <w:jc w:val="both"/>
        <w:rPr>
          <w:rFonts w:cstheme="minorHAnsi"/>
          <w:sz w:val="24"/>
          <w:szCs w:val="24"/>
          <w:lang w:val="en-US"/>
        </w:rPr>
      </w:pPr>
      <w:r w:rsidRPr="00685855">
        <w:rPr>
          <w:rFonts w:cstheme="minorHAnsi"/>
          <w:sz w:val="24"/>
          <w:szCs w:val="24"/>
          <w:lang w:val="en-US"/>
        </w:rPr>
        <w:t xml:space="preserve">Most participants agreed that uncertainty about the cause and origin of symptoms is a major issue. Participants agreed that it would have helped if they had received more information, such as prevalence of dyspepsia. Symptoms were related to diet for nearly all patients. Extensive dietary advice was missed by several participants. Two views on upper GI endoscopies were expressed; most considered upper GI endoscopies useful to rule out serious disease and reduce worries, and few thought upper GI endoscopies would be redundant for their symptoms. Sources of information used by participants were private web-pages, online patient networks, general practitioners, dieticians, and friends and family with similar complaints. </w:t>
      </w:r>
    </w:p>
    <w:p w14:paraId="0C42CCE9" w14:textId="77777777" w:rsidR="007E5772" w:rsidRPr="00685855" w:rsidRDefault="007E5772" w:rsidP="00DA50E4">
      <w:pPr>
        <w:pStyle w:val="NoSpacing"/>
        <w:jc w:val="both"/>
        <w:rPr>
          <w:rFonts w:cstheme="minorHAnsi"/>
          <w:sz w:val="24"/>
          <w:szCs w:val="24"/>
          <w:lang w:val="en-US"/>
        </w:rPr>
      </w:pPr>
    </w:p>
    <w:p w14:paraId="016C93A2" w14:textId="77777777"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Five general practitioners agreed to participate in the focus group. All were currently practice-based in the Nijmegen (the Netherlands) area. Main issues participants encountered with dyspeptic patients were fear of disease (patients as well as doctors), and uncertainty about cause and origin of symptoms. All agreed they have a desire to offer patients ‘something’, but that options are limited. Often, upper GI endoscopy is used as a step in the management process, even though no abnormalities are expected. Arguments </w:t>
      </w:r>
      <w:r w:rsidRPr="00685855">
        <w:rPr>
          <w:rFonts w:cstheme="minorHAnsi"/>
          <w:sz w:val="24"/>
          <w:szCs w:val="24"/>
          <w:lang w:val="en-US"/>
        </w:rPr>
        <w:lastRenderedPageBreak/>
        <w:t xml:space="preserve">were reassurance, and use as a ‘final part’ of the management process. Experiences with the effect of acid-reducing drugs were varied. </w:t>
      </w:r>
    </w:p>
    <w:p w14:paraId="3D684BE6" w14:textId="77777777" w:rsidR="003F7A13" w:rsidRPr="00685855" w:rsidRDefault="003F7A13" w:rsidP="00DA50E4">
      <w:pPr>
        <w:pStyle w:val="NoSpacing"/>
        <w:jc w:val="both"/>
        <w:rPr>
          <w:rFonts w:cstheme="minorHAnsi"/>
          <w:sz w:val="24"/>
          <w:szCs w:val="24"/>
          <w:lang w:val="en-US"/>
        </w:rPr>
      </w:pPr>
    </w:p>
    <w:p w14:paraId="65348A2D" w14:textId="653345C2"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 xml:space="preserve">Themes extracted from both focus groups were 1) </w:t>
      </w:r>
      <w:r w:rsidR="007E5772">
        <w:rPr>
          <w:rFonts w:cstheme="minorHAnsi"/>
          <w:sz w:val="24"/>
          <w:szCs w:val="24"/>
          <w:lang w:val="en-US"/>
        </w:rPr>
        <w:t>r</w:t>
      </w:r>
      <w:r w:rsidRPr="00685855">
        <w:rPr>
          <w:rFonts w:cstheme="minorHAnsi"/>
          <w:sz w:val="24"/>
          <w:szCs w:val="24"/>
          <w:lang w:val="en-US"/>
        </w:rPr>
        <w:t xml:space="preserve">eassurance; 2) </w:t>
      </w:r>
      <w:r w:rsidR="007E5772">
        <w:rPr>
          <w:rFonts w:cstheme="minorHAnsi"/>
          <w:sz w:val="24"/>
          <w:szCs w:val="24"/>
          <w:lang w:val="en-US"/>
        </w:rPr>
        <w:t>p</w:t>
      </w:r>
      <w:r w:rsidRPr="00685855">
        <w:rPr>
          <w:rFonts w:cstheme="minorHAnsi"/>
          <w:sz w:val="24"/>
          <w:szCs w:val="24"/>
          <w:lang w:val="en-US"/>
        </w:rPr>
        <w:t xml:space="preserve">athophysiology of dyspepsia; 3) </w:t>
      </w:r>
      <w:r w:rsidR="007E5772">
        <w:rPr>
          <w:rFonts w:cstheme="minorHAnsi"/>
          <w:sz w:val="24"/>
          <w:szCs w:val="24"/>
          <w:lang w:val="en-US"/>
        </w:rPr>
        <w:t>p</w:t>
      </w:r>
      <w:r w:rsidRPr="00685855">
        <w:rPr>
          <w:rFonts w:cstheme="minorHAnsi"/>
          <w:sz w:val="24"/>
          <w:szCs w:val="24"/>
          <w:lang w:val="en-US"/>
        </w:rPr>
        <w:t xml:space="preserve">revalence, symptoms, and prognosis of dyspepsia; 4) </w:t>
      </w:r>
      <w:r w:rsidR="007E5772">
        <w:rPr>
          <w:rFonts w:cstheme="minorHAnsi"/>
          <w:sz w:val="24"/>
          <w:szCs w:val="24"/>
          <w:lang w:val="en-US"/>
        </w:rPr>
        <w:t>l</w:t>
      </w:r>
      <w:r w:rsidRPr="00685855">
        <w:rPr>
          <w:rFonts w:cstheme="minorHAnsi"/>
          <w:sz w:val="24"/>
          <w:szCs w:val="24"/>
          <w:lang w:val="en-US"/>
        </w:rPr>
        <w:t xml:space="preserve">ifestyle interventions; 5) </w:t>
      </w:r>
      <w:r w:rsidR="007E5772">
        <w:rPr>
          <w:rFonts w:cstheme="minorHAnsi"/>
          <w:sz w:val="24"/>
          <w:szCs w:val="24"/>
          <w:lang w:val="en-US"/>
        </w:rPr>
        <w:t>a</w:t>
      </w:r>
      <w:r w:rsidRPr="00685855">
        <w:rPr>
          <w:rFonts w:cstheme="minorHAnsi"/>
          <w:sz w:val="24"/>
          <w:szCs w:val="24"/>
          <w:lang w:val="en-US"/>
        </w:rPr>
        <w:t xml:space="preserve">vailability and value of therapy and diagnostics; 6) </w:t>
      </w:r>
      <w:r w:rsidR="007E5772">
        <w:rPr>
          <w:rFonts w:cstheme="minorHAnsi"/>
          <w:sz w:val="24"/>
          <w:szCs w:val="24"/>
          <w:lang w:val="en-US"/>
        </w:rPr>
        <w:t>p</w:t>
      </w:r>
      <w:r w:rsidRPr="00685855">
        <w:rPr>
          <w:rFonts w:cstheme="minorHAnsi"/>
          <w:sz w:val="24"/>
          <w:szCs w:val="24"/>
          <w:lang w:val="en-US"/>
        </w:rPr>
        <w:t xml:space="preserve">sychosocial factors in dyspepsia; and 7) </w:t>
      </w:r>
      <w:r w:rsidR="007E5772">
        <w:rPr>
          <w:rFonts w:cstheme="minorHAnsi"/>
          <w:sz w:val="24"/>
          <w:szCs w:val="24"/>
          <w:lang w:val="en-US"/>
        </w:rPr>
        <w:t>e</w:t>
      </w:r>
      <w:r w:rsidRPr="00685855">
        <w:rPr>
          <w:rFonts w:cstheme="minorHAnsi"/>
          <w:sz w:val="24"/>
          <w:szCs w:val="24"/>
          <w:lang w:val="en-US"/>
        </w:rPr>
        <w:t xml:space="preserve">xperiences of other dyspeptic patients with symptoms and treatments. For all </w:t>
      </w:r>
      <w:proofErr w:type="gramStart"/>
      <w:r w:rsidRPr="00685855">
        <w:rPr>
          <w:rFonts w:cstheme="minorHAnsi"/>
          <w:sz w:val="24"/>
          <w:szCs w:val="24"/>
          <w:lang w:val="en-US"/>
        </w:rPr>
        <w:t>themes</w:t>
      </w:r>
      <w:proofErr w:type="gramEnd"/>
      <w:r w:rsidRPr="00685855">
        <w:rPr>
          <w:rFonts w:cstheme="minorHAnsi"/>
          <w:sz w:val="24"/>
          <w:szCs w:val="24"/>
          <w:lang w:val="en-US"/>
        </w:rPr>
        <w:t xml:space="preserve"> literature searches were performed and data obtained was distributed across five chapters. Every chapter was arranged with an overview of the content, followed by multimedia information, and final summary statement. All text blocks were given a title representing the core message of the text below. Text blocks were organized to appear at alternating locations on the screen, creating a dynamic flow. If applicable, illustrations were inserted as a background. Within each chapter, several self-tests were incorporated. The self-tests contained three to four questions and answers. Videos were kept to a minimum length, with a maximum of one minute. </w:t>
      </w:r>
    </w:p>
    <w:p w14:paraId="2BA5BA90" w14:textId="77777777" w:rsidR="003F7A13" w:rsidRPr="00685855" w:rsidRDefault="003F7A13" w:rsidP="00DA50E4">
      <w:pPr>
        <w:pStyle w:val="NoSpacing"/>
        <w:jc w:val="both"/>
        <w:rPr>
          <w:rFonts w:cstheme="minorHAnsi"/>
          <w:sz w:val="24"/>
          <w:szCs w:val="24"/>
          <w:lang w:val="en-US"/>
        </w:rPr>
      </w:pPr>
    </w:p>
    <w:p w14:paraId="0FF2F477" w14:textId="77777777"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Overview of the digital dyspepsia educational tool per chapter</w:t>
      </w:r>
    </w:p>
    <w:p w14:paraId="1A516D67" w14:textId="77777777" w:rsidR="007E5772" w:rsidRDefault="007E5772" w:rsidP="00DA50E4">
      <w:pPr>
        <w:pStyle w:val="NoSpacing"/>
        <w:jc w:val="both"/>
        <w:rPr>
          <w:rFonts w:cstheme="minorHAnsi"/>
          <w:i/>
          <w:sz w:val="24"/>
          <w:szCs w:val="24"/>
          <w:lang w:val="en-US"/>
        </w:rPr>
      </w:pPr>
    </w:p>
    <w:p w14:paraId="76993E03" w14:textId="1A2BB87E" w:rsidR="003F7A13" w:rsidRPr="007E5772" w:rsidRDefault="003F7A13" w:rsidP="00DA50E4">
      <w:pPr>
        <w:pStyle w:val="NoSpacing"/>
        <w:jc w:val="both"/>
        <w:rPr>
          <w:rFonts w:cstheme="minorHAnsi"/>
          <w:sz w:val="24"/>
          <w:szCs w:val="24"/>
          <w:lang w:val="en-US"/>
        </w:rPr>
      </w:pPr>
      <w:r w:rsidRPr="007E5772">
        <w:rPr>
          <w:rFonts w:cstheme="minorHAnsi"/>
          <w:sz w:val="24"/>
          <w:szCs w:val="24"/>
          <w:lang w:val="en-US"/>
        </w:rPr>
        <w:t xml:space="preserve">Chapter 1. Upper gastrointestinal endoscopy for dyspepsia. </w:t>
      </w:r>
    </w:p>
    <w:p w14:paraId="5597B969" w14:textId="77777777" w:rsidR="007E5772" w:rsidRDefault="007E5772" w:rsidP="00DA50E4">
      <w:pPr>
        <w:pStyle w:val="NoSpacing"/>
        <w:jc w:val="both"/>
        <w:rPr>
          <w:rFonts w:cstheme="minorHAnsi"/>
          <w:sz w:val="24"/>
          <w:szCs w:val="24"/>
          <w:lang w:val="en-US"/>
        </w:rPr>
      </w:pPr>
    </w:p>
    <w:p w14:paraId="6FECEF8D" w14:textId="513C7FD6"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Chapter 1 provides information on prevalence and different types of symptoms. The prevalence is explained through 3D animation (</w:t>
      </w:r>
      <w:r w:rsidR="007E5772" w:rsidRPr="007E5772">
        <w:rPr>
          <w:rFonts w:cstheme="minorHAnsi"/>
          <w:b/>
          <w:sz w:val="24"/>
          <w:szCs w:val="24"/>
          <w:lang w:val="en-US"/>
        </w:rPr>
        <w:t xml:space="preserve">Figure </w:t>
      </w:r>
      <w:r w:rsidR="007E5772">
        <w:rPr>
          <w:rFonts w:cstheme="minorHAnsi"/>
          <w:b/>
          <w:sz w:val="24"/>
          <w:szCs w:val="24"/>
          <w:lang w:val="en-US"/>
        </w:rPr>
        <w:t>1</w:t>
      </w:r>
      <w:r w:rsidRPr="00685855">
        <w:rPr>
          <w:rFonts w:cstheme="minorHAnsi"/>
          <w:sz w:val="24"/>
          <w:szCs w:val="24"/>
          <w:lang w:val="en-US"/>
        </w:rPr>
        <w:t>) and text. Reassurance about the usually benign nature of symptoms and acknowledgement of the impact on quality of life is given in several short text blocks. The value and capabilities of upper GI endoscopy is explained in text, and 3D animation illustrates an endoscopy procedure (</w:t>
      </w:r>
      <w:r w:rsidR="007E5772" w:rsidRPr="007E5772">
        <w:rPr>
          <w:rFonts w:cstheme="minorHAnsi"/>
          <w:b/>
          <w:sz w:val="24"/>
          <w:szCs w:val="24"/>
          <w:lang w:val="en-US"/>
        </w:rPr>
        <w:t>Figure</w:t>
      </w:r>
      <w:r w:rsidR="00BD5E45">
        <w:rPr>
          <w:rFonts w:cstheme="minorHAnsi"/>
          <w:b/>
          <w:sz w:val="24"/>
          <w:szCs w:val="24"/>
          <w:lang w:val="en-US"/>
        </w:rPr>
        <w:t xml:space="preserve"> 2</w:t>
      </w:r>
      <w:r w:rsidRPr="00685855">
        <w:rPr>
          <w:rFonts w:cstheme="minorHAnsi"/>
          <w:sz w:val="24"/>
          <w:szCs w:val="24"/>
          <w:lang w:val="en-US"/>
        </w:rPr>
        <w:t>). Outcomes of upper GI endoscopy are depicted in a pie chart. The chapter concludes with several experiences of patients with dyspepsia, one of which includes a video clip of a patient.</w:t>
      </w:r>
    </w:p>
    <w:p w14:paraId="6FAED4CD" w14:textId="77777777" w:rsidR="003F7A13" w:rsidRPr="00685855" w:rsidRDefault="003F7A13" w:rsidP="00DA50E4">
      <w:pPr>
        <w:pStyle w:val="NoSpacing"/>
        <w:jc w:val="both"/>
        <w:rPr>
          <w:rFonts w:cstheme="minorHAnsi"/>
          <w:sz w:val="24"/>
          <w:szCs w:val="24"/>
          <w:lang w:val="en-US"/>
        </w:rPr>
      </w:pPr>
    </w:p>
    <w:p w14:paraId="2126C1EC" w14:textId="77777777" w:rsidR="003F7A13" w:rsidRPr="00BD5E45" w:rsidRDefault="003F7A13" w:rsidP="00DA50E4">
      <w:pPr>
        <w:pStyle w:val="NoSpacing"/>
        <w:jc w:val="both"/>
        <w:rPr>
          <w:rFonts w:cstheme="minorHAnsi"/>
          <w:sz w:val="24"/>
          <w:szCs w:val="24"/>
          <w:lang w:val="en-US"/>
        </w:rPr>
      </w:pPr>
      <w:r w:rsidRPr="00BD5E45">
        <w:rPr>
          <w:rFonts w:cstheme="minorHAnsi"/>
          <w:sz w:val="24"/>
          <w:szCs w:val="24"/>
          <w:lang w:val="en-US"/>
        </w:rPr>
        <w:t>Chapter 2. Information about symptoms and potential causes</w:t>
      </w:r>
    </w:p>
    <w:p w14:paraId="3887384C" w14:textId="77777777" w:rsidR="00BD5E45" w:rsidRDefault="00BD5E45" w:rsidP="00DA50E4">
      <w:pPr>
        <w:pStyle w:val="NoSpacing"/>
        <w:jc w:val="both"/>
        <w:rPr>
          <w:rFonts w:cstheme="minorHAnsi"/>
          <w:sz w:val="24"/>
          <w:szCs w:val="24"/>
          <w:lang w:val="en-US"/>
        </w:rPr>
      </w:pPr>
    </w:p>
    <w:p w14:paraId="66EA418A" w14:textId="4754DDDD"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In chapter 2, normal gastric function is explained. In a video, a gastroenterologist elucidates on this function. After t</w:t>
      </w:r>
      <w:r w:rsidR="00A00AA7" w:rsidRPr="00685855">
        <w:rPr>
          <w:rFonts w:cstheme="minorHAnsi"/>
          <w:sz w:val="24"/>
          <w:szCs w:val="24"/>
          <w:lang w:val="en-US"/>
        </w:rPr>
        <w:t>he video, 3D animation (</w:t>
      </w:r>
      <w:r w:rsidR="007E5772" w:rsidRPr="007E5772">
        <w:rPr>
          <w:rFonts w:cstheme="minorHAnsi"/>
          <w:b/>
          <w:sz w:val="24"/>
          <w:szCs w:val="24"/>
          <w:lang w:val="en-US"/>
        </w:rPr>
        <w:t>Figure</w:t>
      </w:r>
      <w:r w:rsidR="005D2E54">
        <w:rPr>
          <w:rFonts w:cstheme="minorHAnsi"/>
          <w:b/>
          <w:sz w:val="24"/>
          <w:szCs w:val="24"/>
          <w:lang w:val="en-US"/>
        </w:rPr>
        <w:t xml:space="preserve"> 3</w:t>
      </w:r>
      <w:r w:rsidRPr="00685855">
        <w:rPr>
          <w:rFonts w:cstheme="minorHAnsi"/>
          <w:sz w:val="24"/>
          <w:szCs w:val="24"/>
          <w:lang w:val="en-US"/>
        </w:rPr>
        <w:t>), accompanied by text, depicts the anatomy of the stomach and natural food processing in the stomach. After this natural function, it is explained how several disturbances of the stomach can cause symptoms. These are alternatingly explained in text and b</w:t>
      </w:r>
      <w:r w:rsidR="00A00AA7" w:rsidRPr="00685855">
        <w:rPr>
          <w:rFonts w:cstheme="minorHAnsi"/>
          <w:sz w:val="24"/>
          <w:szCs w:val="24"/>
          <w:lang w:val="en-US"/>
        </w:rPr>
        <w:t>ackground illustration (</w:t>
      </w:r>
      <w:r w:rsidR="007E5772" w:rsidRPr="007E5772">
        <w:rPr>
          <w:rFonts w:cstheme="minorHAnsi"/>
          <w:b/>
          <w:sz w:val="24"/>
          <w:szCs w:val="24"/>
          <w:lang w:val="en-US"/>
        </w:rPr>
        <w:t>Figure</w:t>
      </w:r>
      <w:r w:rsidR="005D2E54">
        <w:rPr>
          <w:rFonts w:cstheme="minorHAnsi"/>
          <w:b/>
          <w:sz w:val="24"/>
          <w:szCs w:val="24"/>
          <w:lang w:val="en-US"/>
        </w:rPr>
        <w:t xml:space="preserve"> 4</w:t>
      </w:r>
      <w:r w:rsidRPr="00685855">
        <w:rPr>
          <w:rFonts w:cstheme="minorHAnsi"/>
          <w:sz w:val="24"/>
          <w:szCs w:val="24"/>
          <w:lang w:val="en-US"/>
        </w:rPr>
        <w:t>), or</w:t>
      </w:r>
      <w:r w:rsidR="00A00AA7" w:rsidRPr="00685855">
        <w:rPr>
          <w:rFonts w:cstheme="minorHAnsi"/>
          <w:sz w:val="24"/>
          <w:szCs w:val="24"/>
          <w:lang w:val="en-US"/>
        </w:rPr>
        <w:t xml:space="preserve"> text and 3D animation (</w:t>
      </w:r>
      <w:r w:rsidR="007E5772" w:rsidRPr="007E5772">
        <w:rPr>
          <w:rFonts w:cstheme="minorHAnsi"/>
          <w:b/>
          <w:sz w:val="24"/>
          <w:szCs w:val="24"/>
          <w:lang w:val="en-US"/>
        </w:rPr>
        <w:t>Figure</w:t>
      </w:r>
      <w:r w:rsidR="005D2E54">
        <w:rPr>
          <w:rFonts w:cstheme="minorHAnsi"/>
          <w:b/>
          <w:sz w:val="24"/>
          <w:szCs w:val="24"/>
          <w:lang w:val="en-US"/>
        </w:rPr>
        <w:t xml:space="preserve"> 5</w:t>
      </w:r>
      <w:r w:rsidRPr="00685855">
        <w:rPr>
          <w:rFonts w:cstheme="minorHAnsi"/>
          <w:sz w:val="24"/>
          <w:szCs w:val="24"/>
          <w:lang w:val="en-US"/>
        </w:rPr>
        <w:t xml:space="preserve">). </w:t>
      </w:r>
    </w:p>
    <w:p w14:paraId="43E13DEC" w14:textId="77777777" w:rsidR="003F7A13" w:rsidRPr="00685855" w:rsidRDefault="003F7A13" w:rsidP="00DA50E4">
      <w:pPr>
        <w:pStyle w:val="NoSpacing"/>
        <w:jc w:val="both"/>
        <w:rPr>
          <w:rFonts w:cstheme="minorHAnsi"/>
          <w:i/>
          <w:sz w:val="24"/>
          <w:szCs w:val="24"/>
          <w:lang w:val="en-US"/>
        </w:rPr>
      </w:pPr>
    </w:p>
    <w:p w14:paraId="33116B11" w14:textId="77777777" w:rsidR="003F7A13" w:rsidRPr="005D2E54" w:rsidRDefault="003F7A13" w:rsidP="00DA50E4">
      <w:pPr>
        <w:pStyle w:val="NoSpacing"/>
        <w:jc w:val="both"/>
        <w:rPr>
          <w:rFonts w:cstheme="minorHAnsi"/>
          <w:sz w:val="24"/>
          <w:szCs w:val="24"/>
          <w:lang w:val="en-US"/>
        </w:rPr>
      </w:pPr>
      <w:r w:rsidRPr="005D2E54">
        <w:rPr>
          <w:rFonts w:cstheme="minorHAnsi"/>
          <w:sz w:val="24"/>
          <w:szCs w:val="24"/>
          <w:lang w:val="en-US"/>
        </w:rPr>
        <w:t>Chapter 3. Symptoms due to inflammation of the stomach</w:t>
      </w:r>
    </w:p>
    <w:p w14:paraId="3315DA20" w14:textId="77777777" w:rsidR="005D2E54" w:rsidRDefault="005D2E54" w:rsidP="00DA50E4">
      <w:pPr>
        <w:spacing w:after="0" w:line="240" w:lineRule="auto"/>
        <w:jc w:val="both"/>
        <w:rPr>
          <w:rFonts w:cstheme="minorHAnsi"/>
          <w:sz w:val="24"/>
          <w:szCs w:val="24"/>
          <w:lang w:val="en-US"/>
        </w:rPr>
      </w:pPr>
    </w:p>
    <w:p w14:paraId="3E4526F8" w14:textId="3D194EAF" w:rsidR="003F7A13" w:rsidRPr="00685855" w:rsidRDefault="003F7A13" w:rsidP="00DA50E4">
      <w:pPr>
        <w:spacing w:after="0" w:line="240" w:lineRule="auto"/>
        <w:jc w:val="both"/>
        <w:rPr>
          <w:rFonts w:cstheme="minorHAnsi"/>
          <w:sz w:val="24"/>
          <w:szCs w:val="24"/>
          <w:lang w:val="en-US"/>
        </w:rPr>
      </w:pPr>
      <w:r w:rsidRPr="00685855">
        <w:rPr>
          <w:rFonts w:cstheme="minorHAnsi"/>
          <w:sz w:val="24"/>
          <w:szCs w:val="24"/>
          <w:lang w:val="en-US"/>
        </w:rPr>
        <w:t>The third chapter starts with a video of a gastroenterologist explainin</w:t>
      </w:r>
      <w:r w:rsidR="00A00AA7" w:rsidRPr="00685855">
        <w:rPr>
          <w:rFonts w:cstheme="minorHAnsi"/>
          <w:sz w:val="24"/>
          <w:szCs w:val="24"/>
          <w:lang w:val="en-US"/>
        </w:rPr>
        <w:t>g gastric inflammation (</w:t>
      </w:r>
      <w:r w:rsidR="007E5772" w:rsidRPr="007E5772">
        <w:rPr>
          <w:rFonts w:cstheme="minorHAnsi"/>
          <w:b/>
          <w:sz w:val="24"/>
          <w:szCs w:val="24"/>
          <w:lang w:val="en-US"/>
        </w:rPr>
        <w:t>Figure</w:t>
      </w:r>
      <w:r w:rsidR="005D2E54">
        <w:rPr>
          <w:rFonts w:cstheme="minorHAnsi"/>
          <w:b/>
          <w:sz w:val="24"/>
          <w:szCs w:val="24"/>
          <w:lang w:val="en-US"/>
        </w:rPr>
        <w:t xml:space="preserve"> 6</w:t>
      </w:r>
      <w:r w:rsidRPr="00685855">
        <w:rPr>
          <w:rFonts w:cstheme="minorHAnsi"/>
          <w:sz w:val="24"/>
          <w:szCs w:val="24"/>
          <w:lang w:val="en-US"/>
        </w:rPr>
        <w:t>). 3D animations (</w:t>
      </w:r>
      <w:r w:rsidR="007E5772" w:rsidRPr="007E5772">
        <w:rPr>
          <w:rFonts w:cstheme="minorHAnsi"/>
          <w:b/>
          <w:sz w:val="24"/>
          <w:szCs w:val="24"/>
          <w:lang w:val="en-US"/>
        </w:rPr>
        <w:t>Figure</w:t>
      </w:r>
      <w:r w:rsidR="005D2E54">
        <w:rPr>
          <w:rFonts w:cstheme="minorHAnsi"/>
          <w:b/>
          <w:sz w:val="24"/>
          <w:szCs w:val="24"/>
          <w:lang w:val="en-US"/>
        </w:rPr>
        <w:t xml:space="preserve"> 7</w:t>
      </w:r>
      <w:r w:rsidRPr="00685855">
        <w:rPr>
          <w:rFonts w:cstheme="minorHAnsi"/>
          <w:sz w:val="24"/>
          <w:szCs w:val="24"/>
          <w:lang w:val="en-US"/>
        </w:rPr>
        <w:t xml:space="preserve">) and text illustrate how alcohol, medication, smoking, and Helicobacter pylori affect the stomach. </w:t>
      </w:r>
    </w:p>
    <w:p w14:paraId="03B453CB" w14:textId="77777777" w:rsidR="005D2E54" w:rsidRDefault="005D2E54" w:rsidP="00DA50E4">
      <w:pPr>
        <w:pStyle w:val="NoSpacing"/>
        <w:jc w:val="both"/>
        <w:rPr>
          <w:rFonts w:cstheme="minorHAnsi"/>
          <w:sz w:val="24"/>
          <w:szCs w:val="24"/>
          <w:lang w:val="en-US"/>
        </w:rPr>
      </w:pPr>
    </w:p>
    <w:p w14:paraId="7DF4CFFB" w14:textId="4BFEA95E" w:rsidR="003F7A13" w:rsidRPr="005D2E54" w:rsidRDefault="003F7A13" w:rsidP="00DA50E4">
      <w:pPr>
        <w:pStyle w:val="NoSpacing"/>
        <w:jc w:val="both"/>
        <w:rPr>
          <w:rFonts w:cstheme="minorHAnsi"/>
          <w:sz w:val="24"/>
          <w:szCs w:val="24"/>
          <w:lang w:val="en-US"/>
        </w:rPr>
      </w:pPr>
      <w:r w:rsidRPr="005D2E54">
        <w:rPr>
          <w:rFonts w:cstheme="minorHAnsi"/>
          <w:sz w:val="24"/>
          <w:szCs w:val="24"/>
          <w:lang w:val="en-US"/>
        </w:rPr>
        <w:t>Chapter 4. What measures can you take against the symptoms?</w:t>
      </w:r>
    </w:p>
    <w:p w14:paraId="7853C0A0" w14:textId="77777777" w:rsidR="005D2E54" w:rsidRDefault="005D2E54" w:rsidP="00DA50E4">
      <w:pPr>
        <w:spacing w:after="0" w:line="240" w:lineRule="auto"/>
        <w:jc w:val="both"/>
        <w:rPr>
          <w:rFonts w:cstheme="minorHAnsi"/>
          <w:sz w:val="24"/>
          <w:szCs w:val="24"/>
          <w:lang w:val="en-US"/>
        </w:rPr>
      </w:pPr>
    </w:p>
    <w:p w14:paraId="33DBD2DC" w14:textId="6C2F327A" w:rsidR="003F7A13" w:rsidRDefault="003F7A13" w:rsidP="00DA50E4">
      <w:pPr>
        <w:spacing w:after="0" w:line="240" w:lineRule="auto"/>
        <w:jc w:val="both"/>
        <w:rPr>
          <w:rFonts w:cstheme="minorHAnsi"/>
          <w:sz w:val="24"/>
          <w:szCs w:val="24"/>
          <w:lang w:val="en-US"/>
        </w:rPr>
      </w:pPr>
      <w:r w:rsidRPr="00685855">
        <w:rPr>
          <w:rFonts w:cstheme="minorHAnsi"/>
          <w:sz w:val="24"/>
          <w:szCs w:val="24"/>
          <w:lang w:val="en-US"/>
        </w:rPr>
        <w:t>In chapter 4, the role of diet is explained. A hyperlink to a food diary is provided (</w:t>
      </w:r>
      <w:r w:rsidR="007E5772" w:rsidRPr="007E5772">
        <w:rPr>
          <w:rFonts w:cstheme="minorHAnsi"/>
          <w:b/>
          <w:sz w:val="24"/>
          <w:szCs w:val="24"/>
          <w:lang w:val="en-US"/>
        </w:rPr>
        <w:t>Figure</w:t>
      </w:r>
      <w:r w:rsidR="005D2E54">
        <w:rPr>
          <w:rFonts w:cstheme="minorHAnsi"/>
          <w:b/>
          <w:sz w:val="24"/>
          <w:szCs w:val="24"/>
          <w:lang w:val="en-US"/>
        </w:rPr>
        <w:t xml:space="preserve"> 8</w:t>
      </w:r>
      <w:r w:rsidRPr="00685855">
        <w:rPr>
          <w:rFonts w:cstheme="minorHAnsi"/>
          <w:sz w:val="24"/>
          <w:szCs w:val="24"/>
          <w:lang w:val="en-US"/>
        </w:rPr>
        <w:t xml:space="preserve">). In this diary, patients are encouraged to keep track of their diet and report their complaints. A </w:t>
      </w:r>
      <w:r w:rsidRPr="00685855">
        <w:rPr>
          <w:rFonts w:cstheme="minorHAnsi"/>
          <w:sz w:val="24"/>
          <w:szCs w:val="24"/>
          <w:lang w:val="en-US"/>
        </w:rPr>
        <w:lastRenderedPageBreak/>
        <w:t xml:space="preserve">dietician gives dietary advice in two videos, including a list of foods known to cause symptoms. The text explains how stress reduction may reduce symptoms and which role a therapist can play. The relevance of general health is explained, including a healthy weight, regular physical activity, and sufficient sleep. </w:t>
      </w:r>
    </w:p>
    <w:p w14:paraId="69B05AB1" w14:textId="77777777" w:rsidR="005D2E54" w:rsidRPr="00685855" w:rsidRDefault="005D2E54" w:rsidP="00DA50E4">
      <w:pPr>
        <w:spacing w:after="0" w:line="240" w:lineRule="auto"/>
        <w:jc w:val="both"/>
        <w:rPr>
          <w:rFonts w:cstheme="minorHAnsi"/>
          <w:sz w:val="24"/>
          <w:szCs w:val="24"/>
          <w:lang w:val="en-US"/>
        </w:rPr>
      </w:pPr>
    </w:p>
    <w:p w14:paraId="1335135F" w14:textId="77777777" w:rsidR="003F7A13" w:rsidRPr="005D2E54" w:rsidRDefault="003F7A13" w:rsidP="00DA50E4">
      <w:pPr>
        <w:spacing w:after="0" w:line="240" w:lineRule="auto"/>
        <w:jc w:val="both"/>
        <w:rPr>
          <w:rFonts w:cstheme="minorHAnsi"/>
          <w:sz w:val="24"/>
          <w:szCs w:val="24"/>
          <w:lang w:val="en-US"/>
        </w:rPr>
      </w:pPr>
      <w:r w:rsidRPr="005D2E54">
        <w:rPr>
          <w:rFonts w:cstheme="minorHAnsi"/>
          <w:sz w:val="24"/>
          <w:szCs w:val="24"/>
          <w:lang w:val="en-US"/>
        </w:rPr>
        <w:t>Chapter 5. What can the doctor do to mitigate symptoms?</w:t>
      </w:r>
    </w:p>
    <w:p w14:paraId="3578EAC0" w14:textId="77777777" w:rsidR="005D2E54" w:rsidRDefault="005D2E54" w:rsidP="00DA50E4">
      <w:pPr>
        <w:spacing w:after="0" w:line="240" w:lineRule="auto"/>
        <w:jc w:val="both"/>
        <w:rPr>
          <w:rFonts w:cstheme="minorHAnsi"/>
          <w:sz w:val="24"/>
          <w:szCs w:val="24"/>
          <w:lang w:val="en-US"/>
        </w:rPr>
      </w:pPr>
    </w:p>
    <w:p w14:paraId="7634E7FE" w14:textId="4978A213" w:rsidR="003F7A13" w:rsidRPr="00685855" w:rsidRDefault="003F7A13" w:rsidP="00DA50E4">
      <w:pPr>
        <w:spacing w:after="0" w:line="240" w:lineRule="auto"/>
        <w:jc w:val="both"/>
        <w:rPr>
          <w:rFonts w:cstheme="minorHAnsi"/>
          <w:sz w:val="24"/>
          <w:szCs w:val="24"/>
          <w:lang w:val="en-US"/>
        </w:rPr>
      </w:pPr>
      <w:r w:rsidRPr="00685855">
        <w:rPr>
          <w:rFonts w:cstheme="minorHAnsi"/>
          <w:sz w:val="24"/>
          <w:szCs w:val="24"/>
          <w:lang w:val="en-US"/>
        </w:rPr>
        <w:t>In chapter 5, the pharmacological mechanisms of proton pump inhibitors, histamin2-receptor antagonists, and anti-acids are illustrated by 3D animations (</w:t>
      </w:r>
      <w:r w:rsidR="007E5772" w:rsidRPr="007E5772">
        <w:rPr>
          <w:rFonts w:cstheme="minorHAnsi"/>
          <w:b/>
          <w:sz w:val="24"/>
          <w:szCs w:val="24"/>
          <w:lang w:val="en-US"/>
        </w:rPr>
        <w:t>Figure</w:t>
      </w:r>
      <w:r w:rsidR="005D2E54">
        <w:rPr>
          <w:rFonts w:cstheme="minorHAnsi"/>
          <w:b/>
          <w:sz w:val="24"/>
          <w:szCs w:val="24"/>
          <w:lang w:val="en-US"/>
        </w:rPr>
        <w:t xml:space="preserve"> 9</w:t>
      </w:r>
      <w:r w:rsidRPr="00685855">
        <w:rPr>
          <w:rFonts w:cstheme="minorHAnsi"/>
          <w:sz w:val="24"/>
          <w:szCs w:val="24"/>
          <w:lang w:val="en-US"/>
        </w:rPr>
        <w:t xml:space="preserve">), accompanied by text. It is also explained in text that several other drugs exist, such as prokinetics and antidepressants, although indications are more stringent. In text, information is also given about which therapists the general practitioner can potentially refer to, </w:t>
      </w:r>
      <w:r w:rsidR="00220925" w:rsidRPr="00220925">
        <w:rPr>
          <w:rFonts w:cstheme="minorHAnsi"/>
          <w:sz w:val="24"/>
          <w:szCs w:val="24"/>
          <w:lang w:val="en-US"/>
        </w:rPr>
        <w:t xml:space="preserve">i.e., </w:t>
      </w:r>
      <w:r w:rsidRPr="00685855">
        <w:rPr>
          <w:rFonts w:cstheme="minorHAnsi"/>
          <w:sz w:val="24"/>
          <w:szCs w:val="24"/>
          <w:lang w:val="en-US"/>
        </w:rPr>
        <w:t>a dietician, psychologist, or a therapist focusing on stress reduction.</w:t>
      </w:r>
      <w:r w:rsidR="00222900" w:rsidRPr="00222900">
        <w:rPr>
          <w:rFonts w:cstheme="minorHAnsi"/>
          <w:sz w:val="24"/>
          <w:szCs w:val="24"/>
          <w:lang w:val="en-US"/>
        </w:rPr>
        <w:t xml:space="preserve"> </w:t>
      </w:r>
    </w:p>
    <w:p w14:paraId="66B4FC39" w14:textId="77777777" w:rsidR="003F7A13" w:rsidRPr="00685855" w:rsidRDefault="003F7A13" w:rsidP="00DA50E4">
      <w:pPr>
        <w:spacing w:after="0" w:line="240" w:lineRule="auto"/>
        <w:jc w:val="both"/>
        <w:rPr>
          <w:rFonts w:cstheme="minorHAnsi"/>
          <w:b/>
          <w:sz w:val="24"/>
          <w:szCs w:val="24"/>
          <w:lang w:val="en-US"/>
        </w:rPr>
      </w:pPr>
    </w:p>
    <w:p w14:paraId="483D07C6" w14:textId="0D128F13" w:rsidR="003F7A13" w:rsidRPr="00685855" w:rsidRDefault="007E5772" w:rsidP="00DA50E4">
      <w:pPr>
        <w:spacing w:after="0" w:line="240" w:lineRule="auto"/>
        <w:jc w:val="both"/>
        <w:rPr>
          <w:rFonts w:cstheme="minorHAnsi"/>
          <w:b/>
          <w:sz w:val="24"/>
          <w:szCs w:val="24"/>
          <w:lang w:val="en-US"/>
        </w:rPr>
      </w:pPr>
      <w:r w:rsidRPr="007E5772">
        <w:rPr>
          <w:rFonts w:cstheme="minorHAnsi"/>
          <w:b/>
          <w:sz w:val="24"/>
          <w:szCs w:val="24"/>
          <w:lang w:val="en-US"/>
        </w:rPr>
        <w:t xml:space="preserve">FIGURE </w:t>
      </w:r>
      <w:r w:rsidR="003F7A13" w:rsidRPr="00685855">
        <w:rPr>
          <w:rFonts w:cstheme="minorHAnsi"/>
          <w:b/>
          <w:sz w:val="24"/>
          <w:szCs w:val="24"/>
          <w:lang w:val="en-US"/>
        </w:rPr>
        <w:t>AND TABLE LEGENDS:</w:t>
      </w:r>
    </w:p>
    <w:p w14:paraId="14ABE916" w14:textId="77777777" w:rsidR="00220925" w:rsidRPr="00685855" w:rsidRDefault="00220925" w:rsidP="00DA50E4">
      <w:pPr>
        <w:spacing w:after="0" w:line="240" w:lineRule="auto"/>
        <w:jc w:val="both"/>
        <w:rPr>
          <w:rFonts w:cstheme="minorHAnsi"/>
          <w:sz w:val="24"/>
          <w:szCs w:val="24"/>
          <w:lang w:val="en-US"/>
        </w:rPr>
      </w:pPr>
    </w:p>
    <w:p w14:paraId="5A6446D6" w14:textId="77777777" w:rsidR="009D0457" w:rsidRDefault="007E5772" w:rsidP="00DA50E4">
      <w:pPr>
        <w:spacing w:after="0" w:line="240" w:lineRule="auto"/>
        <w:jc w:val="both"/>
        <w:rPr>
          <w:rFonts w:cstheme="minorHAnsi"/>
          <w:sz w:val="24"/>
          <w:szCs w:val="24"/>
          <w:lang w:val="en-US"/>
        </w:rPr>
      </w:pPr>
      <w:r w:rsidRPr="007E5772">
        <w:rPr>
          <w:rFonts w:cstheme="minorHAnsi"/>
          <w:b/>
          <w:sz w:val="24"/>
          <w:szCs w:val="24"/>
          <w:lang w:val="en-US"/>
        </w:rPr>
        <w:t>Figure</w:t>
      </w:r>
      <w:r w:rsidR="00220925">
        <w:rPr>
          <w:rFonts w:cstheme="minorHAnsi"/>
          <w:b/>
          <w:sz w:val="24"/>
          <w:szCs w:val="24"/>
          <w:lang w:val="en-US"/>
        </w:rPr>
        <w:t xml:space="preserve"> 1: </w:t>
      </w:r>
      <w:r w:rsidR="003F7A13" w:rsidRPr="00685855">
        <w:rPr>
          <w:rFonts w:cstheme="minorHAnsi"/>
          <w:b/>
          <w:sz w:val="24"/>
          <w:szCs w:val="24"/>
          <w:lang w:val="en-US"/>
        </w:rPr>
        <w:t>3D illustration of dyspepsia prevalence.</w:t>
      </w:r>
      <w:r w:rsidR="003F7A13" w:rsidRPr="00685855">
        <w:rPr>
          <w:rFonts w:cstheme="minorHAnsi"/>
          <w:sz w:val="24"/>
          <w:szCs w:val="24"/>
          <w:lang w:val="en-US"/>
        </w:rPr>
        <w:t xml:space="preserve"> As dyspepsia prevalence is 40%, 4 out of 10 people are highlighted.</w:t>
      </w:r>
    </w:p>
    <w:p w14:paraId="48FD00E7" w14:textId="00F88DCB" w:rsidR="003F7A13" w:rsidRPr="00685855" w:rsidRDefault="003F7A13" w:rsidP="00DA50E4">
      <w:pPr>
        <w:spacing w:after="0" w:line="240" w:lineRule="auto"/>
        <w:jc w:val="both"/>
        <w:rPr>
          <w:rFonts w:cstheme="minorHAnsi"/>
          <w:sz w:val="24"/>
          <w:szCs w:val="24"/>
          <w:lang w:val="en-US"/>
        </w:rPr>
      </w:pPr>
      <w:r w:rsidRPr="00685855">
        <w:rPr>
          <w:rFonts w:cstheme="minorHAnsi"/>
          <w:sz w:val="24"/>
          <w:szCs w:val="24"/>
          <w:lang w:val="en-US"/>
        </w:rPr>
        <w:t xml:space="preserve"> </w:t>
      </w:r>
    </w:p>
    <w:p w14:paraId="2D186D32" w14:textId="4CC6667C" w:rsidR="003F7A13" w:rsidRDefault="007E5772" w:rsidP="00DA50E4">
      <w:pPr>
        <w:spacing w:after="0" w:line="240" w:lineRule="auto"/>
        <w:jc w:val="both"/>
        <w:rPr>
          <w:rFonts w:cstheme="minorHAnsi"/>
          <w:sz w:val="24"/>
          <w:szCs w:val="24"/>
          <w:lang w:val="en-US"/>
        </w:rPr>
      </w:pPr>
      <w:r w:rsidRPr="007E5772">
        <w:rPr>
          <w:rFonts w:cstheme="minorHAnsi"/>
          <w:b/>
          <w:sz w:val="24"/>
          <w:szCs w:val="24"/>
          <w:lang w:val="en-US"/>
        </w:rPr>
        <w:t>Figure</w:t>
      </w:r>
      <w:r w:rsidR="009D0457">
        <w:rPr>
          <w:rFonts w:cstheme="minorHAnsi"/>
          <w:b/>
          <w:sz w:val="24"/>
          <w:szCs w:val="24"/>
          <w:lang w:val="en-US"/>
        </w:rPr>
        <w:t xml:space="preserve"> 2: </w:t>
      </w:r>
      <w:r w:rsidR="003F7A13" w:rsidRPr="00685855">
        <w:rPr>
          <w:rFonts w:cstheme="minorHAnsi"/>
          <w:b/>
          <w:sz w:val="24"/>
          <w:szCs w:val="24"/>
          <w:lang w:val="en-US"/>
        </w:rPr>
        <w:t>3D animation of endoscopy procedure.</w:t>
      </w:r>
      <w:r w:rsidR="003F7A13" w:rsidRPr="00685855">
        <w:rPr>
          <w:rFonts w:cstheme="minorHAnsi"/>
          <w:sz w:val="24"/>
          <w:szCs w:val="24"/>
          <w:lang w:val="en-US"/>
        </w:rPr>
        <w:t xml:space="preserve"> The endoscope passes through the esophagus and stomach, displayed transparently.</w:t>
      </w:r>
    </w:p>
    <w:p w14:paraId="72567863" w14:textId="77777777" w:rsidR="00B808EA" w:rsidRPr="00685855" w:rsidRDefault="00B808EA" w:rsidP="00DA50E4">
      <w:pPr>
        <w:spacing w:after="0" w:line="240" w:lineRule="auto"/>
        <w:jc w:val="both"/>
        <w:rPr>
          <w:rFonts w:cstheme="minorHAnsi"/>
          <w:sz w:val="24"/>
          <w:szCs w:val="24"/>
          <w:lang w:val="en-US"/>
        </w:rPr>
      </w:pPr>
    </w:p>
    <w:p w14:paraId="26741A4D" w14:textId="77777777" w:rsidR="00AE17C9" w:rsidRDefault="007E5772" w:rsidP="00DA50E4">
      <w:pPr>
        <w:spacing w:after="0" w:line="240" w:lineRule="auto"/>
        <w:jc w:val="both"/>
        <w:rPr>
          <w:rFonts w:cstheme="minorHAnsi"/>
          <w:sz w:val="24"/>
          <w:szCs w:val="24"/>
          <w:lang w:val="en-US"/>
        </w:rPr>
      </w:pPr>
      <w:r w:rsidRPr="007E5772">
        <w:rPr>
          <w:rFonts w:cstheme="minorHAnsi"/>
          <w:b/>
          <w:sz w:val="24"/>
          <w:szCs w:val="24"/>
          <w:lang w:val="en-US"/>
        </w:rPr>
        <w:t>Figure</w:t>
      </w:r>
      <w:r w:rsidR="00B808EA">
        <w:rPr>
          <w:rFonts w:cstheme="minorHAnsi"/>
          <w:b/>
          <w:sz w:val="24"/>
          <w:szCs w:val="24"/>
          <w:lang w:val="en-US"/>
        </w:rPr>
        <w:t xml:space="preserve"> 3: </w:t>
      </w:r>
      <w:r w:rsidR="003F7A13" w:rsidRPr="00685855">
        <w:rPr>
          <w:rFonts w:cstheme="minorHAnsi"/>
          <w:b/>
          <w:sz w:val="24"/>
          <w:szCs w:val="24"/>
          <w:lang w:val="en-US"/>
        </w:rPr>
        <w:t xml:space="preserve">3D animation of natural food processing. </w:t>
      </w:r>
      <w:r w:rsidR="003F7A13" w:rsidRPr="00685855">
        <w:rPr>
          <w:rFonts w:cstheme="minorHAnsi"/>
          <w:sz w:val="24"/>
          <w:szCs w:val="24"/>
          <w:lang w:val="en-US"/>
        </w:rPr>
        <w:t>Food enters the stomach and the stomach contracts for food processing. Gastric acid is present in the stomach.</w:t>
      </w:r>
    </w:p>
    <w:p w14:paraId="1D21D163" w14:textId="61FBE24C" w:rsidR="003F7A13" w:rsidRPr="00685855" w:rsidRDefault="00222900" w:rsidP="00DA50E4">
      <w:pPr>
        <w:spacing w:after="0" w:line="240" w:lineRule="auto"/>
        <w:jc w:val="both"/>
        <w:rPr>
          <w:rFonts w:cstheme="minorHAnsi"/>
          <w:sz w:val="24"/>
          <w:szCs w:val="24"/>
          <w:lang w:val="en-US"/>
        </w:rPr>
      </w:pPr>
      <w:r w:rsidRPr="00222900">
        <w:rPr>
          <w:rFonts w:cstheme="minorHAnsi"/>
          <w:sz w:val="24"/>
          <w:szCs w:val="24"/>
          <w:lang w:val="en-US"/>
        </w:rPr>
        <w:t xml:space="preserve"> </w:t>
      </w:r>
    </w:p>
    <w:p w14:paraId="356A7B9D" w14:textId="730943AC" w:rsidR="003F7A13" w:rsidRDefault="007E5772" w:rsidP="00DA50E4">
      <w:pPr>
        <w:spacing w:after="0" w:line="240" w:lineRule="auto"/>
        <w:jc w:val="both"/>
        <w:rPr>
          <w:rFonts w:cstheme="minorHAnsi"/>
          <w:sz w:val="24"/>
          <w:szCs w:val="24"/>
          <w:lang w:val="en-US"/>
        </w:rPr>
      </w:pPr>
      <w:r w:rsidRPr="007E5772">
        <w:rPr>
          <w:rFonts w:cstheme="minorHAnsi"/>
          <w:b/>
          <w:sz w:val="24"/>
          <w:szCs w:val="24"/>
          <w:lang w:val="en-US"/>
        </w:rPr>
        <w:t>Figure</w:t>
      </w:r>
      <w:r w:rsidR="00AE17C9">
        <w:rPr>
          <w:rFonts w:cstheme="minorHAnsi"/>
          <w:b/>
          <w:sz w:val="24"/>
          <w:szCs w:val="24"/>
          <w:lang w:val="en-US"/>
        </w:rPr>
        <w:t xml:space="preserve"> 4: </w:t>
      </w:r>
      <w:r w:rsidR="003F7A13" w:rsidRPr="00685855">
        <w:rPr>
          <w:rFonts w:cstheme="minorHAnsi"/>
          <w:b/>
          <w:sz w:val="24"/>
          <w:szCs w:val="24"/>
          <w:lang w:val="en-US"/>
        </w:rPr>
        <w:t xml:space="preserve">Text block and background illustration of gastric irritants. </w:t>
      </w:r>
      <w:r w:rsidR="003F7A13" w:rsidRPr="00685855">
        <w:rPr>
          <w:rFonts w:cstheme="minorHAnsi"/>
          <w:sz w:val="24"/>
          <w:szCs w:val="24"/>
          <w:lang w:val="en-US"/>
        </w:rPr>
        <w:t>A text block explains the effect of spicy food. The background image shows a variety of spices.</w:t>
      </w:r>
    </w:p>
    <w:p w14:paraId="45761658" w14:textId="77777777" w:rsidR="00442899" w:rsidRPr="00685855" w:rsidRDefault="00442899" w:rsidP="00DA50E4">
      <w:pPr>
        <w:spacing w:after="0" w:line="240" w:lineRule="auto"/>
        <w:jc w:val="both"/>
        <w:rPr>
          <w:rFonts w:cstheme="minorHAnsi"/>
          <w:sz w:val="24"/>
          <w:szCs w:val="24"/>
          <w:lang w:val="en-US"/>
        </w:rPr>
      </w:pPr>
    </w:p>
    <w:p w14:paraId="55651693" w14:textId="77777777" w:rsidR="00544428" w:rsidRDefault="007E5772" w:rsidP="00DA50E4">
      <w:pPr>
        <w:spacing w:after="0" w:line="240" w:lineRule="auto"/>
        <w:jc w:val="both"/>
        <w:rPr>
          <w:rFonts w:cstheme="minorHAnsi"/>
          <w:sz w:val="24"/>
          <w:szCs w:val="24"/>
          <w:lang w:val="en-US"/>
        </w:rPr>
      </w:pPr>
      <w:r w:rsidRPr="007E5772">
        <w:rPr>
          <w:rFonts w:cstheme="minorHAnsi"/>
          <w:b/>
          <w:sz w:val="24"/>
          <w:szCs w:val="24"/>
          <w:lang w:val="en-US"/>
        </w:rPr>
        <w:t>Figure</w:t>
      </w:r>
      <w:r w:rsidR="00244615">
        <w:rPr>
          <w:rFonts w:cstheme="minorHAnsi"/>
          <w:b/>
          <w:sz w:val="24"/>
          <w:szCs w:val="24"/>
          <w:lang w:val="en-US"/>
        </w:rPr>
        <w:t xml:space="preserve"> 5: </w:t>
      </w:r>
      <w:r w:rsidR="003F7A13" w:rsidRPr="00685855">
        <w:rPr>
          <w:rFonts w:cstheme="minorHAnsi"/>
          <w:b/>
          <w:sz w:val="24"/>
          <w:szCs w:val="24"/>
          <w:lang w:val="en-US"/>
        </w:rPr>
        <w:t xml:space="preserve">3D animation of natural gastric function disturbance. </w:t>
      </w:r>
      <w:r w:rsidR="003F7A13" w:rsidRPr="00685855">
        <w:rPr>
          <w:rFonts w:cstheme="minorHAnsi"/>
          <w:sz w:val="24"/>
          <w:szCs w:val="24"/>
          <w:lang w:val="en-US"/>
        </w:rPr>
        <w:t>Stress, shown as blue lines, influences the stomach, by delaying gastric emptying. This is depicted by food stagnated in the stomach.</w:t>
      </w:r>
    </w:p>
    <w:p w14:paraId="5114F5CC" w14:textId="10871235" w:rsidR="003F7A13" w:rsidRPr="00685855" w:rsidRDefault="00222900" w:rsidP="00DA50E4">
      <w:pPr>
        <w:spacing w:after="0" w:line="240" w:lineRule="auto"/>
        <w:jc w:val="both"/>
        <w:rPr>
          <w:rFonts w:cstheme="minorHAnsi"/>
          <w:sz w:val="24"/>
          <w:szCs w:val="24"/>
          <w:lang w:val="en-US"/>
        </w:rPr>
      </w:pPr>
      <w:r w:rsidRPr="00222900">
        <w:rPr>
          <w:rFonts w:cstheme="minorHAnsi"/>
          <w:sz w:val="24"/>
          <w:szCs w:val="24"/>
          <w:lang w:val="en-US"/>
        </w:rPr>
        <w:t xml:space="preserve"> </w:t>
      </w:r>
    </w:p>
    <w:p w14:paraId="2C26830E" w14:textId="017F7AD6" w:rsidR="003F7A13" w:rsidRDefault="007E5772" w:rsidP="00DA50E4">
      <w:pPr>
        <w:spacing w:after="0" w:line="240" w:lineRule="auto"/>
        <w:jc w:val="both"/>
        <w:rPr>
          <w:rFonts w:cstheme="minorHAnsi"/>
          <w:sz w:val="24"/>
          <w:szCs w:val="24"/>
          <w:lang w:val="en-US"/>
        </w:rPr>
      </w:pPr>
      <w:r w:rsidRPr="007E5772">
        <w:rPr>
          <w:rFonts w:cstheme="minorHAnsi"/>
          <w:b/>
          <w:sz w:val="24"/>
          <w:szCs w:val="24"/>
          <w:lang w:val="en-US"/>
        </w:rPr>
        <w:t>Figure</w:t>
      </w:r>
      <w:r w:rsidR="00596C0A">
        <w:rPr>
          <w:rFonts w:cstheme="minorHAnsi"/>
          <w:b/>
          <w:sz w:val="24"/>
          <w:szCs w:val="24"/>
          <w:lang w:val="en-US"/>
        </w:rPr>
        <w:t xml:space="preserve"> 6: </w:t>
      </w:r>
      <w:r w:rsidR="003F7A13" w:rsidRPr="00685855">
        <w:rPr>
          <w:rFonts w:cstheme="minorHAnsi"/>
          <w:b/>
          <w:sz w:val="24"/>
          <w:szCs w:val="24"/>
          <w:lang w:val="en-US"/>
        </w:rPr>
        <w:t xml:space="preserve">Video of a gastroenterologist explaining inflammation of the stomach. </w:t>
      </w:r>
      <w:r w:rsidR="003F7A13" w:rsidRPr="00685855">
        <w:rPr>
          <w:rFonts w:cstheme="minorHAnsi"/>
          <w:sz w:val="24"/>
          <w:szCs w:val="24"/>
          <w:lang w:val="en-US"/>
        </w:rPr>
        <w:t>In a video, a gastroenterologist explains how several factors can irritate the stomach. In text, a summary of the explanation is given.</w:t>
      </w:r>
    </w:p>
    <w:p w14:paraId="129804DC" w14:textId="77777777" w:rsidR="00DF05A7" w:rsidRPr="00685855" w:rsidRDefault="00DF05A7" w:rsidP="00DA50E4">
      <w:pPr>
        <w:spacing w:after="0" w:line="240" w:lineRule="auto"/>
        <w:jc w:val="both"/>
        <w:rPr>
          <w:rFonts w:cstheme="minorHAnsi"/>
          <w:sz w:val="24"/>
          <w:szCs w:val="24"/>
          <w:lang w:val="en-US"/>
        </w:rPr>
      </w:pPr>
    </w:p>
    <w:p w14:paraId="5C7E71CC" w14:textId="43AAAA9D" w:rsidR="003F7A13" w:rsidRDefault="007E5772" w:rsidP="00DA50E4">
      <w:pPr>
        <w:spacing w:after="0" w:line="240" w:lineRule="auto"/>
        <w:jc w:val="both"/>
        <w:rPr>
          <w:rFonts w:cstheme="minorHAnsi"/>
          <w:sz w:val="24"/>
          <w:szCs w:val="24"/>
          <w:lang w:val="en-US"/>
        </w:rPr>
      </w:pPr>
      <w:r w:rsidRPr="007E5772">
        <w:rPr>
          <w:rFonts w:cstheme="minorHAnsi"/>
          <w:b/>
          <w:sz w:val="24"/>
          <w:szCs w:val="24"/>
          <w:lang w:val="en-US"/>
        </w:rPr>
        <w:t>Figure</w:t>
      </w:r>
      <w:r w:rsidR="00DF05A7">
        <w:rPr>
          <w:rFonts w:cstheme="minorHAnsi"/>
          <w:b/>
          <w:sz w:val="24"/>
          <w:szCs w:val="24"/>
          <w:lang w:val="en-US"/>
        </w:rPr>
        <w:t xml:space="preserve"> 7: </w:t>
      </w:r>
      <w:r w:rsidR="003F7A13" w:rsidRPr="00685855">
        <w:rPr>
          <w:rFonts w:cstheme="minorHAnsi"/>
          <w:b/>
          <w:sz w:val="24"/>
          <w:szCs w:val="24"/>
          <w:lang w:val="en-US"/>
        </w:rPr>
        <w:t xml:space="preserve">3D animation of mucosal damage in the stomach. </w:t>
      </w:r>
      <w:r w:rsidR="003F7A13" w:rsidRPr="00685855">
        <w:rPr>
          <w:rFonts w:cstheme="minorHAnsi"/>
          <w:sz w:val="24"/>
          <w:szCs w:val="24"/>
          <w:lang w:val="en-US"/>
        </w:rPr>
        <w:t xml:space="preserve">Several ulcers are shown in the gastric mucosa. </w:t>
      </w:r>
    </w:p>
    <w:p w14:paraId="05601C49" w14:textId="77777777" w:rsidR="00DF05A7" w:rsidRPr="00685855" w:rsidRDefault="00DF05A7" w:rsidP="00DA50E4">
      <w:pPr>
        <w:spacing w:after="0" w:line="240" w:lineRule="auto"/>
        <w:jc w:val="both"/>
        <w:rPr>
          <w:rFonts w:cstheme="minorHAnsi"/>
          <w:sz w:val="24"/>
          <w:szCs w:val="24"/>
          <w:lang w:val="en-US"/>
        </w:rPr>
      </w:pPr>
    </w:p>
    <w:p w14:paraId="79E08469" w14:textId="448FE1BD" w:rsidR="003F7A13" w:rsidRDefault="007E5772" w:rsidP="00DA50E4">
      <w:pPr>
        <w:spacing w:after="0" w:line="240" w:lineRule="auto"/>
        <w:jc w:val="both"/>
        <w:rPr>
          <w:rFonts w:cstheme="minorHAnsi"/>
          <w:sz w:val="24"/>
          <w:szCs w:val="24"/>
          <w:lang w:val="en-US"/>
        </w:rPr>
      </w:pPr>
      <w:r w:rsidRPr="007E5772">
        <w:rPr>
          <w:rFonts w:cstheme="minorHAnsi"/>
          <w:b/>
          <w:sz w:val="24"/>
          <w:szCs w:val="24"/>
          <w:lang w:val="en-US"/>
        </w:rPr>
        <w:t>Figure</w:t>
      </w:r>
      <w:r w:rsidR="00DF05A7">
        <w:rPr>
          <w:rFonts w:cstheme="minorHAnsi"/>
          <w:b/>
          <w:sz w:val="24"/>
          <w:szCs w:val="24"/>
          <w:lang w:val="en-US"/>
        </w:rPr>
        <w:t xml:space="preserve"> 8: </w:t>
      </w:r>
      <w:r w:rsidR="003F7A13" w:rsidRPr="00685855">
        <w:rPr>
          <w:rFonts w:cstheme="minorHAnsi"/>
          <w:b/>
          <w:sz w:val="24"/>
          <w:szCs w:val="24"/>
          <w:lang w:val="en-US"/>
        </w:rPr>
        <w:t xml:space="preserve">Food diary. </w:t>
      </w:r>
      <w:r w:rsidR="003F7A13" w:rsidRPr="00685855">
        <w:rPr>
          <w:rFonts w:cstheme="minorHAnsi"/>
          <w:sz w:val="24"/>
          <w:szCs w:val="24"/>
          <w:lang w:val="en-US"/>
        </w:rPr>
        <w:t xml:space="preserve">In a food diary, patients can fill in day, time of food consumption, description of the food, amount of food, description of symptoms, duration of symptoms, measures taken against symptoms, and whether measures were effective. </w:t>
      </w:r>
    </w:p>
    <w:p w14:paraId="5ED3DE8F" w14:textId="77777777" w:rsidR="00E36738" w:rsidRPr="00685855" w:rsidRDefault="00E36738" w:rsidP="00DA50E4">
      <w:pPr>
        <w:spacing w:after="0" w:line="240" w:lineRule="auto"/>
        <w:jc w:val="both"/>
        <w:rPr>
          <w:rFonts w:cstheme="minorHAnsi"/>
          <w:sz w:val="24"/>
          <w:szCs w:val="24"/>
          <w:lang w:val="en-US"/>
        </w:rPr>
      </w:pPr>
    </w:p>
    <w:p w14:paraId="3544A02A" w14:textId="6B589F1E" w:rsidR="003F7A13" w:rsidRPr="00685855" w:rsidRDefault="007E5772" w:rsidP="00DA50E4">
      <w:pPr>
        <w:spacing w:after="0" w:line="240" w:lineRule="auto"/>
        <w:jc w:val="both"/>
        <w:rPr>
          <w:rFonts w:cstheme="minorHAnsi"/>
          <w:sz w:val="24"/>
          <w:szCs w:val="24"/>
          <w:lang w:val="en-US"/>
        </w:rPr>
      </w:pPr>
      <w:r w:rsidRPr="007E5772">
        <w:rPr>
          <w:rFonts w:cstheme="minorHAnsi"/>
          <w:b/>
          <w:sz w:val="24"/>
          <w:szCs w:val="24"/>
          <w:lang w:val="en-US"/>
        </w:rPr>
        <w:t>Figure</w:t>
      </w:r>
      <w:r w:rsidR="00267F2B">
        <w:rPr>
          <w:rFonts w:cstheme="minorHAnsi"/>
          <w:b/>
          <w:sz w:val="24"/>
          <w:szCs w:val="24"/>
          <w:lang w:val="en-US"/>
        </w:rPr>
        <w:t xml:space="preserve"> 9: </w:t>
      </w:r>
      <w:r w:rsidR="003F7A13" w:rsidRPr="00685855">
        <w:rPr>
          <w:rFonts w:cstheme="minorHAnsi"/>
          <w:b/>
          <w:sz w:val="24"/>
          <w:szCs w:val="24"/>
          <w:lang w:val="en-US"/>
        </w:rPr>
        <w:t xml:space="preserve">3D animation of pharmacological mechanism of anti-acids. </w:t>
      </w:r>
      <w:r w:rsidR="003F7A13" w:rsidRPr="00685855">
        <w:rPr>
          <w:rFonts w:cstheme="minorHAnsi"/>
          <w:sz w:val="24"/>
          <w:szCs w:val="24"/>
          <w:lang w:val="en-US"/>
        </w:rPr>
        <w:t xml:space="preserve">A </w:t>
      </w:r>
      <w:r w:rsidR="00CC30E6" w:rsidRPr="00685855">
        <w:rPr>
          <w:rFonts w:cstheme="minorHAnsi"/>
          <w:sz w:val="24"/>
          <w:szCs w:val="24"/>
          <w:lang w:val="en-US"/>
        </w:rPr>
        <w:t>broken-down</w:t>
      </w:r>
      <w:r w:rsidR="003F7A13" w:rsidRPr="00685855">
        <w:rPr>
          <w:rFonts w:cstheme="minorHAnsi"/>
          <w:sz w:val="24"/>
          <w:szCs w:val="24"/>
          <w:lang w:val="en-US"/>
        </w:rPr>
        <w:t xml:space="preserve"> tablet is shown to reach the gastric lining. </w:t>
      </w:r>
    </w:p>
    <w:p w14:paraId="1B590641" w14:textId="77777777" w:rsidR="002002A2" w:rsidRDefault="002002A2" w:rsidP="002002A2">
      <w:pPr>
        <w:spacing w:after="0" w:line="240" w:lineRule="auto"/>
        <w:jc w:val="both"/>
        <w:rPr>
          <w:rFonts w:cstheme="minorHAnsi"/>
          <w:sz w:val="24"/>
          <w:szCs w:val="24"/>
          <w:lang w:val="en-US"/>
        </w:rPr>
      </w:pPr>
    </w:p>
    <w:p w14:paraId="4151AA07" w14:textId="77777777" w:rsidR="002002A2" w:rsidRDefault="002002A2" w:rsidP="002002A2">
      <w:pPr>
        <w:spacing w:after="0" w:line="240" w:lineRule="auto"/>
        <w:jc w:val="both"/>
        <w:rPr>
          <w:rFonts w:cstheme="minorHAnsi"/>
          <w:sz w:val="24"/>
          <w:szCs w:val="24"/>
          <w:lang w:val="en-US"/>
        </w:rPr>
      </w:pPr>
      <w:r w:rsidRPr="00220925">
        <w:rPr>
          <w:rFonts w:cstheme="minorHAnsi"/>
          <w:b/>
          <w:sz w:val="24"/>
          <w:szCs w:val="24"/>
          <w:lang w:val="en-US"/>
        </w:rPr>
        <w:lastRenderedPageBreak/>
        <w:t>Table 1: Characteristics of (patient) focus group participants.</w:t>
      </w:r>
      <w:r w:rsidRPr="00685855">
        <w:rPr>
          <w:rFonts w:cstheme="minorHAnsi"/>
          <w:b/>
          <w:sz w:val="24"/>
          <w:szCs w:val="24"/>
          <w:lang w:val="en-US"/>
        </w:rPr>
        <w:t xml:space="preserve"> </w:t>
      </w:r>
      <w:r w:rsidRPr="00685855">
        <w:rPr>
          <w:rFonts w:cstheme="minorHAnsi"/>
          <w:sz w:val="24"/>
          <w:szCs w:val="24"/>
          <w:lang w:val="en-US"/>
        </w:rPr>
        <w:t xml:space="preserve">Five patients were invited to a focus group to assess unmet needs in dyspepsia management. </w:t>
      </w:r>
    </w:p>
    <w:p w14:paraId="24C13404" w14:textId="77777777" w:rsidR="003F7A13" w:rsidRPr="00685855" w:rsidRDefault="003F7A13" w:rsidP="00DA50E4">
      <w:pPr>
        <w:pStyle w:val="NoSpacing"/>
        <w:jc w:val="both"/>
        <w:rPr>
          <w:rFonts w:cstheme="minorHAnsi"/>
          <w:b/>
          <w:sz w:val="24"/>
          <w:szCs w:val="24"/>
          <w:lang w:val="en-US"/>
        </w:rPr>
      </w:pPr>
    </w:p>
    <w:p w14:paraId="22F53F3E" w14:textId="3F8157DC"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DISCUSSION</w:t>
      </w:r>
      <w:r w:rsidR="00E64BE2">
        <w:rPr>
          <w:rFonts w:cstheme="minorHAnsi"/>
          <w:b/>
          <w:sz w:val="24"/>
          <w:szCs w:val="24"/>
          <w:lang w:val="en-US"/>
        </w:rPr>
        <w:t>:</w:t>
      </w:r>
    </w:p>
    <w:p w14:paraId="3587F36F" w14:textId="53DFA6AB" w:rsidR="003F7A13" w:rsidRDefault="003F7A13" w:rsidP="00DA50E4">
      <w:pPr>
        <w:pStyle w:val="NoSpacing"/>
        <w:jc w:val="both"/>
        <w:rPr>
          <w:rFonts w:cstheme="minorHAnsi"/>
          <w:sz w:val="24"/>
          <w:szCs w:val="24"/>
          <w:lang w:val="en-US"/>
        </w:rPr>
      </w:pPr>
      <w:r w:rsidRPr="00685855">
        <w:rPr>
          <w:rFonts w:cstheme="minorHAnsi"/>
          <w:sz w:val="24"/>
          <w:szCs w:val="24"/>
          <w:lang w:val="en-US"/>
        </w:rPr>
        <w:t xml:space="preserve">The digital dyspepsia educational tool, developed using the abovementioned protocol, is a novel multimedia educational tool to assist patients and physicians in management of dyspepsia. This tool may be deployed to stimulate patient engagement, and improve health outcomes while curtailing inappropriate use of medical resources. </w:t>
      </w:r>
    </w:p>
    <w:p w14:paraId="4609D080" w14:textId="77777777" w:rsidR="00CE152E" w:rsidRPr="00685855" w:rsidRDefault="00CE152E" w:rsidP="00DA50E4">
      <w:pPr>
        <w:pStyle w:val="NoSpacing"/>
        <w:jc w:val="both"/>
        <w:rPr>
          <w:rFonts w:cstheme="minorHAnsi"/>
          <w:sz w:val="24"/>
          <w:szCs w:val="24"/>
          <w:lang w:val="en-US"/>
        </w:rPr>
      </w:pPr>
    </w:p>
    <w:p w14:paraId="3B92AEDC" w14:textId="2DC44BA7" w:rsidR="003F7A13" w:rsidRDefault="003F7A13" w:rsidP="00DA50E4">
      <w:pPr>
        <w:pStyle w:val="NoSpacing"/>
        <w:jc w:val="both"/>
        <w:rPr>
          <w:rFonts w:cstheme="minorHAnsi"/>
          <w:sz w:val="24"/>
          <w:szCs w:val="24"/>
          <w:lang w:val="en-US"/>
        </w:rPr>
      </w:pPr>
      <w:r w:rsidRPr="00685855">
        <w:rPr>
          <w:rFonts w:cstheme="minorHAnsi"/>
          <w:sz w:val="24"/>
          <w:szCs w:val="24"/>
          <w:lang w:val="en-US"/>
        </w:rPr>
        <w:t>A similar procedure has been described for development of a fibromyalgia app</w:t>
      </w:r>
      <w:r w:rsidRPr="00685855">
        <w:rPr>
          <w:rFonts w:cstheme="minorHAnsi"/>
          <w:noProof/>
          <w:sz w:val="24"/>
          <w:szCs w:val="24"/>
          <w:vertAlign w:val="superscript"/>
          <w:lang w:val="en-US"/>
        </w:rPr>
        <w:t>15</w:t>
      </w:r>
      <w:r w:rsidRPr="00685855">
        <w:rPr>
          <w:rFonts w:cstheme="minorHAnsi"/>
          <w:sz w:val="24"/>
          <w:szCs w:val="24"/>
          <w:lang w:val="en-US"/>
        </w:rPr>
        <w:t>. As with dyspepsia, management of fibromyalgia focuses initially on non-pharmacological therapy, emphasizing the importance of patient engagement. Preliminary research for this app used a different approach, and was based on semi-structured interviews rather than focus groups. As a result, there is a risk of missing information through discussion. Questions for interviews for the fibromyalgia app were based on a literature search. Our literature search was based on focus group results, and themes were not restricted by availability of literature. Similar to our educational tool, patients and clinicians were involved in development of the tool. Involving clinicians is important for validity and safety of the tool</w:t>
      </w:r>
      <w:r w:rsidRPr="00685855">
        <w:rPr>
          <w:rFonts w:cstheme="minorHAnsi"/>
          <w:noProof/>
          <w:sz w:val="24"/>
          <w:szCs w:val="24"/>
          <w:vertAlign w:val="superscript"/>
          <w:lang w:val="en-US"/>
        </w:rPr>
        <w:t>14,16</w:t>
      </w:r>
      <w:r w:rsidRPr="00685855">
        <w:rPr>
          <w:rFonts w:cstheme="minorHAnsi"/>
          <w:sz w:val="24"/>
          <w:szCs w:val="24"/>
          <w:lang w:val="en-US"/>
        </w:rPr>
        <w:t>. This is not always the case as a review of 112 available digital tools for chronic respiratory diseases revealed that only 18% of the apps involved medical staff in the development process</w:t>
      </w:r>
      <w:r w:rsidRPr="00685855">
        <w:rPr>
          <w:rFonts w:cstheme="minorHAnsi"/>
          <w:noProof/>
          <w:sz w:val="24"/>
          <w:szCs w:val="24"/>
          <w:vertAlign w:val="superscript"/>
          <w:lang w:val="en-US"/>
        </w:rPr>
        <w:t>14</w:t>
      </w:r>
      <w:r w:rsidRPr="00685855">
        <w:rPr>
          <w:rFonts w:cstheme="minorHAnsi"/>
          <w:sz w:val="24"/>
          <w:szCs w:val="24"/>
          <w:lang w:val="en-US"/>
        </w:rPr>
        <w:t xml:space="preserve">. </w:t>
      </w:r>
    </w:p>
    <w:p w14:paraId="5E970F9F" w14:textId="77777777" w:rsidR="00CE152E" w:rsidRPr="00685855" w:rsidRDefault="00CE152E" w:rsidP="00DA50E4">
      <w:pPr>
        <w:pStyle w:val="NoSpacing"/>
        <w:jc w:val="both"/>
        <w:rPr>
          <w:rFonts w:cstheme="minorHAnsi"/>
          <w:sz w:val="24"/>
          <w:szCs w:val="24"/>
          <w:lang w:val="en-US"/>
        </w:rPr>
      </w:pPr>
    </w:p>
    <w:p w14:paraId="054AF6FB" w14:textId="22BA65E6" w:rsidR="003F7A13" w:rsidRDefault="003F7A13" w:rsidP="00DA50E4">
      <w:pPr>
        <w:pStyle w:val="NoSpacing"/>
        <w:jc w:val="both"/>
        <w:rPr>
          <w:rFonts w:cstheme="minorHAnsi"/>
          <w:sz w:val="24"/>
          <w:szCs w:val="24"/>
          <w:lang w:val="en-US"/>
        </w:rPr>
      </w:pPr>
      <w:r w:rsidRPr="00685855">
        <w:rPr>
          <w:rFonts w:cstheme="minorHAnsi"/>
          <w:sz w:val="24"/>
          <w:szCs w:val="24"/>
          <w:lang w:val="en-US"/>
        </w:rPr>
        <w:t>Using multimedia for educational purposes has a substantial advantage over information in printed text, as information can be delivered interactively and visualized in detail. When applied inappropriately, multimedia education also has several pitfalls. Principles for the design of multimedia instruction have been described, including pitfalls and correct application of multimedia</w:t>
      </w:r>
      <w:r w:rsidRPr="00685855">
        <w:rPr>
          <w:rFonts w:cstheme="minorHAnsi"/>
          <w:noProof/>
          <w:sz w:val="24"/>
          <w:szCs w:val="24"/>
          <w:vertAlign w:val="superscript"/>
          <w:lang w:val="en-US"/>
        </w:rPr>
        <w:t>17</w:t>
      </w:r>
      <w:r w:rsidRPr="00685855">
        <w:rPr>
          <w:rFonts w:cstheme="minorHAnsi"/>
          <w:sz w:val="24"/>
          <w:szCs w:val="24"/>
          <w:lang w:val="en-US"/>
        </w:rPr>
        <w:t xml:space="preserve">. Main principles for effective multimedia education are ‘reduction of extraneous processing’, </w:t>
      </w:r>
      <w:r w:rsidR="00220925" w:rsidRPr="00220925">
        <w:rPr>
          <w:rFonts w:cstheme="minorHAnsi"/>
          <w:sz w:val="24"/>
          <w:szCs w:val="24"/>
          <w:lang w:val="en-US"/>
        </w:rPr>
        <w:t xml:space="preserve">i.e., </w:t>
      </w:r>
      <w:r w:rsidRPr="00685855">
        <w:rPr>
          <w:rFonts w:cstheme="minorHAnsi"/>
          <w:sz w:val="24"/>
          <w:szCs w:val="24"/>
          <w:lang w:val="en-US"/>
        </w:rPr>
        <w:t xml:space="preserve">minimizing stimulants distracting focus; ‘managing essential processing’, </w:t>
      </w:r>
      <w:r w:rsidR="00220925" w:rsidRPr="00220925">
        <w:rPr>
          <w:rFonts w:cstheme="minorHAnsi"/>
          <w:sz w:val="24"/>
          <w:szCs w:val="24"/>
          <w:lang w:val="en-US"/>
        </w:rPr>
        <w:t xml:space="preserve">i.e., </w:t>
      </w:r>
      <w:r w:rsidRPr="00685855">
        <w:rPr>
          <w:rFonts w:cstheme="minorHAnsi"/>
          <w:sz w:val="24"/>
          <w:szCs w:val="24"/>
          <w:lang w:val="en-US"/>
        </w:rPr>
        <w:t xml:space="preserve">guiding learners through complex and large quantities of information; and ‘fostering generative processing’, </w:t>
      </w:r>
      <w:r w:rsidR="00220925" w:rsidRPr="00220925">
        <w:rPr>
          <w:rFonts w:cstheme="minorHAnsi"/>
          <w:sz w:val="24"/>
          <w:szCs w:val="24"/>
          <w:lang w:val="en-US"/>
        </w:rPr>
        <w:t xml:space="preserve">i.e., </w:t>
      </w:r>
      <w:r w:rsidRPr="00685855">
        <w:rPr>
          <w:rFonts w:cstheme="minorHAnsi"/>
          <w:sz w:val="24"/>
          <w:szCs w:val="24"/>
          <w:lang w:val="en-US"/>
        </w:rPr>
        <w:t>stimulating learners to process the presented information. In the dyspepsia educational tool, a selection of these principles is implemented. First, extraneous processing was reduced by only displaying essential information, highlighting important information, and adding frequent overviews. Secondly, essential processing was managed by refraining from showing text during animations, to avoid split attentions. Also, animations were segmented, rather than continuous. Subsequent information could be accessed through a ‘next-button’, enabling users to control the pace of information processing</w:t>
      </w:r>
      <w:r w:rsidRPr="00685855">
        <w:rPr>
          <w:rFonts w:cstheme="minorHAnsi"/>
          <w:noProof/>
          <w:sz w:val="24"/>
          <w:szCs w:val="24"/>
          <w:vertAlign w:val="superscript"/>
          <w:lang w:val="en-US"/>
        </w:rPr>
        <w:t>18</w:t>
      </w:r>
      <w:r w:rsidRPr="00685855">
        <w:rPr>
          <w:rFonts w:cstheme="minorHAnsi"/>
          <w:sz w:val="24"/>
          <w:szCs w:val="24"/>
          <w:lang w:val="en-US"/>
        </w:rPr>
        <w:t>. Chapter</w:t>
      </w:r>
      <w:r w:rsidR="00F04430">
        <w:rPr>
          <w:rFonts w:cstheme="minorHAnsi"/>
          <w:sz w:val="24"/>
          <w:szCs w:val="24"/>
          <w:lang w:val="en-US"/>
        </w:rPr>
        <w:t>s</w:t>
      </w:r>
      <w:r w:rsidRPr="00685855">
        <w:rPr>
          <w:rFonts w:cstheme="minorHAnsi"/>
          <w:sz w:val="24"/>
          <w:szCs w:val="24"/>
          <w:lang w:val="en-US"/>
        </w:rPr>
        <w:t xml:space="preserve"> were available in random order, allowing for selecting or bypassing information, based on patients’ own needs. While this also imposes the risk that potentially relevant information is missed, it is an important component that contributed to user satisfaction. Lastly, generative processing was fostered by alternately using text, videos, and 3D animations. Text was written according to the personalization principle, entailing the use of a conversational writing style, with frequent use of personal pronouns. </w:t>
      </w:r>
    </w:p>
    <w:p w14:paraId="73B455C4" w14:textId="77777777" w:rsidR="00CE152E" w:rsidRPr="00685855" w:rsidRDefault="00CE152E" w:rsidP="00DA50E4">
      <w:pPr>
        <w:pStyle w:val="NoSpacing"/>
        <w:jc w:val="both"/>
        <w:rPr>
          <w:rFonts w:cstheme="minorHAnsi"/>
          <w:sz w:val="24"/>
          <w:szCs w:val="24"/>
          <w:lang w:val="en-US"/>
        </w:rPr>
      </w:pPr>
    </w:p>
    <w:p w14:paraId="27F1B27C" w14:textId="6265B98E" w:rsidR="003F7A13" w:rsidRDefault="003F7A13" w:rsidP="00DA50E4">
      <w:pPr>
        <w:pStyle w:val="NoSpacing"/>
        <w:jc w:val="both"/>
        <w:rPr>
          <w:rFonts w:cstheme="minorHAnsi"/>
          <w:sz w:val="24"/>
          <w:szCs w:val="24"/>
          <w:lang w:val="en-US"/>
        </w:rPr>
      </w:pPr>
      <w:r w:rsidRPr="00685855">
        <w:rPr>
          <w:rFonts w:cstheme="minorHAnsi"/>
          <w:sz w:val="24"/>
          <w:szCs w:val="24"/>
          <w:lang w:val="en-US"/>
        </w:rPr>
        <w:t>In addition to the multimedia principles, interactivity was found to be positively correlated with learner performance</w:t>
      </w:r>
      <w:r w:rsidRPr="00685855">
        <w:rPr>
          <w:rFonts w:cstheme="minorHAnsi"/>
          <w:noProof/>
          <w:sz w:val="24"/>
          <w:szCs w:val="24"/>
          <w:vertAlign w:val="superscript"/>
          <w:lang w:val="en-US"/>
        </w:rPr>
        <w:t>19</w:t>
      </w:r>
      <w:r w:rsidRPr="00685855">
        <w:rPr>
          <w:rFonts w:cstheme="minorHAnsi"/>
          <w:sz w:val="24"/>
          <w:szCs w:val="24"/>
          <w:lang w:val="en-US"/>
        </w:rPr>
        <w:t xml:space="preserve">. In our protocol, interactivity was introduced by intermittently posing questions reflecting on the content, with direct feedback on the answers. </w:t>
      </w:r>
    </w:p>
    <w:p w14:paraId="738C65B5" w14:textId="77777777" w:rsidR="00CE152E" w:rsidRPr="00685855" w:rsidRDefault="00CE152E" w:rsidP="00DA50E4">
      <w:pPr>
        <w:pStyle w:val="NoSpacing"/>
        <w:jc w:val="both"/>
        <w:rPr>
          <w:rFonts w:cstheme="minorHAnsi"/>
          <w:sz w:val="24"/>
          <w:szCs w:val="24"/>
          <w:lang w:val="en-US"/>
        </w:rPr>
      </w:pPr>
    </w:p>
    <w:p w14:paraId="7E58F478" w14:textId="2548ABB9" w:rsidR="003F7A13" w:rsidRDefault="003F7A13" w:rsidP="00DA50E4">
      <w:pPr>
        <w:pStyle w:val="NoSpacing"/>
        <w:jc w:val="both"/>
        <w:rPr>
          <w:rFonts w:cstheme="minorHAnsi"/>
          <w:sz w:val="24"/>
          <w:szCs w:val="24"/>
          <w:lang w:val="en-US"/>
        </w:rPr>
      </w:pPr>
      <w:r w:rsidRPr="00685855">
        <w:rPr>
          <w:rFonts w:cstheme="minorHAnsi"/>
          <w:sz w:val="24"/>
          <w:szCs w:val="24"/>
          <w:lang w:val="en-US"/>
        </w:rPr>
        <w:lastRenderedPageBreak/>
        <w:t>This protocol also has several limitations. No strict guidelines exist for focus group size, but six to eight participants</w:t>
      </w:r>
      <w:r w:rsidR="00222900" w:rsidRPr="00222900">
        <w:rPr>
          <w:rFonts w:cstheme="minorHAnsi"/>
          <w:sz w:val="24"/>
          <w:szCs w:val="24"/>
          <w:lang w:val="en-US"/>
        </w:rPr>
        <w:t xml:space="preserve"> </w:t>
      </w:r>
      <w:r w:rsidRPr="00685855">
        <w:rPr>
          <w:rFonts w:cstheme="minorHAnsi"/>
          <w:sz w:val="24"/>
          <w:szCs w:val="24"/>
          <w:lang w:val="en-US"/>
        </w:rPr>
        <w:t>allow for sufficient varying opinions and equal speaking chance, without the risk of group formation</w:t>
      </w:r>
      <w:r w:rsidRPr="00685855">
        <w:rPr>
          <w:rFonts w:cstheme="minorHAnsi"/>
          <w:noProof/>
          <w:sz w:val="24"/>
          <w:szCs w:val="24"/>
          <w:vertAlign w:val="superscript"/>
          <w:lang w:val="en-US"/>
        </w:rPr>
        <w:t>20</w:t>
      </w:r>
      <w:r w:rsidRPr="00685855">
        <w:rPr>
          <w:rFonts w:cstheme="minorHAnsi"/>
          <w:sz w:val="24"/>
          <w:szCs w:val="24"/>
          <w:lang w:val="en-US"/>
        </w:rPr>
        <w:t xml:space="preserve">. We included five participants for both focus groups, imposing a risk of achieving limited overview of perspectives. In addition, while a single focus group exercise provides important information, optimal assessment of unmet needs is done by conducting focus groups until information saturation is achieved. Collecting information from a broader range of stakeholders through focus groups, </w:t>
      </w:r>
      <w:r w:rsidR="00220925" w:rsidRPr="00220925">
        <w:rPr>
          <w:rFonts w:cstheme="minorHAnsi"/>
          <w:sz w:val="24"/>
          <w:szCs w:val="24"/>
          <w:lang w:val="en-US"/>
        </w:rPr>
        <w:t xml:space="preserve">i.e., </w:t>
      </w:r>
      <w:r w:rsidRPr="00685855">
        <w:rPr>
          <w:rFonts w:cstheme="minorHAnsi"/>
          <w:sz w:val="24"/>
          <w:szCs w:val="24"/>
          <w:lang w:val="en-US"/>
        </w:rPr>
        <w:t xml:space="preserve">gastroenterologists, may also be an asset. Furthermore, a still greater element of interactivity could be introduced to further stimulate patient engagement, such as direct or indirect contact with a healthcare provider or peers, or adding a game aspect. Lastly, the information provided was equal for all patients. Patient adoption may have been further enhanced by using pre-entered symptoms to create personalized information and feedback. </w:t>
      </w:r>
    </w:p>
    <w:p w14:paraId="65D90450" w14:textId="77777777" w:rsidR="00CE152E" w:rsidRPr="00685855" w:rsidRDefault="00CE152E" w:rsidP="00DA50E4">
      <w:pPr>
        <w:pStyle w:val="NoSpacing"/>
        <w:jc w:val="both"/>
        <w:rPr>
          <w:rFonts w:cstheme="minorHAnsi"/>
          <w:sz w:val="24"/>
          <w:szCs w:val="24"/>
          <w:lang w:val="en-US"/>
        </w:rPr>
      </w:pPr>
    </w:p>
    <w:p w14:paraId="35A78CFD" w14:textId="66985C91" w:rsidR="003F7A13" w:rsidRDefault="003F7A13" w:rsidP="00DA50E4">
      <w:pPr>
        <w:pStyle w:val="NoSpacing"/>
        <w:jc w:val="both"/>
        <w:rPr>
          <w:rFonts w:cstheme="minorHAnsi"/>
          <w:sz w:val="24"/>
          <w:szCs w:val="24"/>
          <w:lang w:val="en-US"/>
        </w:rPr>
      </w:pPr>
      <w:r w:rsidRPr="00685855">
        <w:rPr>
          <w:rFonts w:cstheme="minorHAnsi"/>
          <w:sz w:val="24"/>
          <w:szCs w:val="24"/>
          <w:lang w:val="en-US"/>
        </w:rPr>
        <w:t xml:space="preserve">Validation of the educational tool is in progress. Currently, a trial is being conducted with the dyspepsia educational tool for validation, and to determine whether it can be used to prevent inappropriate upper GI endoscopies (ClinicalTrials.gov Identifier NCT03205319). </w:t>
      </w:r>
    </w:p>
    <w:p w14:paraId="7E240E13" w14:textId="77777777" w:rsidR="001E15B6" w:rsidRPr="00685855" w:rsidRDefault="001E15B6" w:rsidP="00DA50E4">
      <w:pPr>
        <w:pStyle w:val="NoSpacing"/>
        <w:jc w:val="both"/>
        <w:rPr>
          <w:rFonts w:cstheme="minorHAnsi"/>
          <w:sz w:val="24"/>
          <w:szCs w:val="24"/>
          <w:lang w:val="en-US"/>
        </w:rPr>
      </w:pPr>
    </w:p>
    <w:p w14:paraId="77D8A73D" w14:textId="2571B213" w:rsidR="003F7A13" w:rsidRPr="00685855" w:rsidRDefault="003F7A13" w:rsidP="00DA50E4">
      <w:pPr>
        <w:pStyle w:val="NoSpacing"/>
        <w:jc w:val="both"/>
        <w:rPr>
          <w:rFonts w:cstheme="minorHAnsi"/>
          <w:sz w:val="24"/>
          <w:szCs w:val="24"/>
          <w:lang w:val="en-US"/>
        </w:rPr>
      </w:pPr>
      <w:r w:rsidRPr="00685855">
        <w:rPr>
          <w:rFonts w:cstheme="minorHAnsi"/>
          <w:sz w:val="24"/>
          <w:szCs w:val="24"/>
          <w:lang w:val="en-US"/>
        </w:rPr>
        <w:t>In this study</w:t>
      </w:r>
      <w:r w:rsidR="001E15B6">
        <w:rPr>
          <w:rFonts w:cstheme="minorHAnsi"/>
          <w:sz w:val="24"/>
          <w:szCs w:val="24"/>
          <w:lang w:val="en-US"/>
        </w:rPr>
        <w:t>,</w:t>
      </w:r>
      <w:r w:rsidRPr="00685855">
        <w:rPr>
          <w:rFonts w:cstheme="minorHAnsi"/>
          <w:sz w:val="24"/>
          <w:szCs w:val="24"/>
          <w:lang w:val="en-US"/>
        </w:rPr>
        <w:t xml:space="preserve"> we presented and evaluated a protocol for development of a dyspepsia educational tool. This protocol can be adopted to create similar dyspepsia tools, as well as tools for diseases with a similar management strategy, in order to improve health outcomes and efficient use of healthcare. </w:t>
      </w:r>
    </w:p>
    <w:p w14:paraId="4D94CD7D" w14:textId="77777777" w:rsidR="003F7A13" w:rsidRPr="00685855" w:rsidRDefault="003F7A13" w:rsidP="00DA50E4">
      <w:pPr>
        <w:spacing w:after="0" w:line="240" w:lineRule="auto"/>
        <w:jc w:val="both"/>
        <w:rPr>
          <w:rFonts w:cstheme="minorHAnsi"/>
          <w:b/>
          <w:sz w:val="24"/>
          <w:szCs w:val="24"/>
          <w:lang w:val="en-US"/>
        </w:rPr>
      </w:pPr>
    </w:p>
    <w:p w14:paraId="09439CCF" w14:textId="70A97567" w:rsidR="003F7A13" w:rsidRPr="00685855" w:rsidRDefault="003F7A13" w:rsidP="00DA50E4">
      <w:pPr>
        <w:spacing w:after="0" w:line="240" w:lineRule="auto"/>
        <w:jc w:val="both"/>
        <w:rPr>
          <w:rFonts w:cstheme="minorHAnsi"/>
          <w:b/>
          <w:noProof/>
          <w:sz w:val="24"/>
          <w:szCs w:val="24"/>
          <w:lang w:val="en-US"/>
        </w:rPr>
      </w:pPr>
      <w:r w:rsidRPr="00685855">
        <w:rPr>
          <w:rFonts w:cstheme="minorHAnsi"/>
          <w:b/>
          <w:noProof/>
          <w:sz w:val="24"/>
          <w:szCs w:val="24"/>
          <w:lang w:val="en-US"/>
        </w:rPr>
        <w:t>ACKNOWLEDGEMENTS</w:t>
      </w:r>
      <w:r w:rsidR="00482BEF">
        <w:rPr>
          <w:rFonts w:cstheme="minorHAnsi"/>
          <w:b/>
          <w:noProof/>
          <w:sz w:val="24"/>
          <w:szCs w:val="24"/>
          <w:lang w:val="en-US"/>
        </w:rPr>
        <w:t>:</w:t>
      </w:r>
    </w:p>
    <w:p w14:paraId="01E3602F" w14:textId="77777777" w:rsidR="003F7A13" w:rsidRPr="00685855" w:rsidRDefault="003F7A13" w:rsidP="00DA50E4">
      <w:pPr>
        <w:spacing w:after="0" w:line="240" w:lineRule="auto"/>
        <w:jc w:val="both"/>
        <w:rPr>
          <w:rFonts w:cstheme="minorHAnsi"/>
          <w:noProof/>
          <w:sz w:val="24"/>
          <w:szCs w:val="24"/>
          <w:lang w:val="en-US"/>
        </w:rPr>
      </w:pPr>
      <w:r w:rsidRPr="00685855">
        <w:rPr>
          <w:rFonts w:cstheme="minorHAnsi"/>
          <w:noProof/>
          <w:sz w:val="24"/>
          <w:szCs w:val="24"/>
          <w:lang w:val="en-US"/>
        </w:rPr>
        <w:t>Development of the dyspepsia educational tool was funded by a grant received from The Netherlands Organization for Health Research and Development (</w:t>
      </w:r>
      <w:r w:rsidRPr="00685855">
        <w:rPr>
          <w:rFonts w:cstheme="minorHAnsi"/>
          <w:bCs/>
          <w:noProof/>
          <w:sz w:val="24"/>
          <w:szCs w:val="24"/>
          <w:lang w:val="en-US"/>
        </w:rPr>
        <w:t>ZonMw</w:t>
      </w:r>
      <w:r w:rsidRPr="00685855">
        <w:rPr>
          <w:rFonts w:cstheme="minorHAnsi"/>
          <w:noProof/>
          <w:sz w:val="24"/>
          <w:szCs w:val="24"/>
          <w:lang w:val="en-US"/>
        </w:rPr>
        <w:t xml:space="preserve">), in the context of the ‘to do or not to do’ program by the Netherlands Federation of University Medical Centers (NFU). We also would like to thank all the staff from Medify bv. for support, equipment, and expertise. In addition we would like to thank all our participants. </w:t>
      </w:r>
    </w:p>
    <w:p w14:paraId="0AED9A48" w14:textId="293D819C" w:rsidR="003F7A13" w:rsidRDefault="003F7A13" w:rsidP="00DA50E4">
      <w:pPr>
        <w:spacing w:after="0" w:line="240" w:lineRule="auto"/>
        <w:jc w:val="both"/>
        <w:rPr>
          <w:rFonts w:cstheme="minorHAnsi"/>
          <w:noProof/>
          <w:sz w:val="24"/>
          <w:szCs w:val="24"/>
          <w:lang w:val="en-US"/>
        </w:rPr>
      </w:pPr>
    </w:p>
    <w:p w14:paraId="773FF786" w14:textId="77777777" w:rsidR="001F7311" w:rsidRPr="00685855" w:rsidRDefault="001F7311" w:rsidP="00DA50E4">
      <w:pPr>
        <w:spacing w:after="0" w:line="240" w:lineRule="auto"/>
        <w:jc w:val="both"/>
        <w:rPr>
          <w:rFonts w:cstheme="minorHAnsi"/>
          <w:b/>
          <w:sz w:val="24"/>
          <w:szCs w:val="24"/>
          <w:lang w:val="en-US"/>
        </w:rPr>
      </w:pPr>
      <w:r w:rsidRPr="00685855">
        <w:rPr>
          <w:rFonts w:cstheme="minorHAnsi"/>
          <w:b/>
          <w:sz w:val="24"/>
          <w:szCs w:val="24"/>
          <w:lang w:val="en-US"/>
        </w:rPr>
        <w:t>DISCLOSURES</w:t>
      </w:r>
      <w:r>
        <w:rPr>
          <w:rFonts w:cstheme="minorHAnsi"/>
          <w:b/>
          <w:sz w:val="24"/>
          <w:szCs w:val="24"/>
          <w:lang w:val="en-US"/>
        </w:rPr>
        <w:t>:</w:t>
      </w:r>
    </w:p>
    <w:p w14:paraId="6C07D161" w14:textId="77777777" w:rsidR="001F7311" w:rsidRPr="00685855" w:rsidRDefault="001F7311" w:rsidP="00DA50E4">
      <w:pPr>
        <w:pStyle w:val="NoSpacing"/>
        <w:jc w:val="both"/>
        <w:rPr>
          <w:rFonts w:cstheme="minorHAnsi"/>
          <w:sz w:val="24"/>
          <w:szCs w:val="24"/>
          <w:lang w:val="en-US"/>
        </w:rPr>
      </w:pPr>
      <w:r>
        <w:rPr>
          <w:rFonts w:cstheme="minorHAnsi"/>
          <w:sz w:val="24"/>
          <w:szCs w:val="24"/>
          <w:lang w:val="en-US"/>
        </w:rPr>
        <w:t>The a</w:t>
      </w:r>
      <w:r w:rsidRPr="00685855">
        <w:rPr>
          <w:rFonts w:cstheme="minorHAnsi"/>
          <w:sz w:val="24"/>
          <w:szCs w:val="24"/>
          <w:lang w:val="en-US"/>
        </w:rPr>
        <w:t xml:space="preserve">uthors </w:t>
      </w:r>
      <w:r>
        <w:rPr>
          <w:rFonts w:cstheme="minorHAnsi"/>
          <w:sz w:val="24"/>
          <w:szCs w:val="24"/>
          <w:lang w:val="en-US"/>
        </w:rPr>
        <w:t>have nothing to disclose</w:t>
      </w:r>
      <w:r w:rsidRPr="00685855">
        <w:rPr>
          <w:rFonts w:cstheme="minorHAnsi"/>
          <w:sz w:val="24"/>
          <w:szCs w:val="24"/>
          <w:lang w:val="en-US"/>
        </w:rPr>
        <w:t xml:space="preserve">. </w:t>
      </w:r>
    </w:p>
    <w:p w14:paraId="37A21171" w14:textId="77777777" w:rsidR="001F7311" w:rsidRPr="00685855" w:rsidRDefault="001F7311" w:rsidP="00DA50E4">
      <w:pPr>
        <w:spacing w:after="0" w:line="240" w:lineRule="auto"/>
        <w:jc w:val="both"/>
        <w:rPr>
          <w:rFonts w:cstheme="minorHAnsi"/>
          <w:noProof/>
          <w:sz w:val="24"/>
          <w:szCs w:val="24"/>
          <w:lang w:val="en-US"/>
        </w:rPr>
      </w:pPr>
    </w:p>
    <w:p w14:paraId="58448044" w14:textId="22138773" w:rsidR="003F7A13" w:rsidRPr="00685855" w:rsidRDefault="003F7A13" w:rsidP="00DA50E4">
      <w:pPr>
        <w:pStyle w:val="NoSpacing"/>
        <w:jc w:val="both"/>
        <w:rPr>
          <w:rFonts w:cstheme="minorHAnsi"/>
          <w:b/>
          <w:sz w:val="24"/>
          <w:szCs w:val="24"/>
          <w:lang w:val="en-US"/>
        </w:rPr>
      </w:pPr>
      <w:r w:rsidRPr="00685855">
        <w:rPr>
          <w:rFonts w:cstheme="minorHAnsi"/>
          <w:b/>
          <w:sz w:val="24"/>
          <w:szCs w:val="24"/>
          <w:lang w:val="en-US"/>
        </w:rPr>
        <w:t>REFERENCES</w:t>
      </w:r>
      <w:r w:rsidR="001F7311">
        <w:rPr>
          <w:rFonts w:cstheme="minorHAnsi"/>
          <w:b/>
          <w:sz w:val="24"/>
          <w:szCs w:val="24"/>
          <w:lang w:val="en-US"/>
        </w:rPr>
        <w:t>:</w:t>
      </w:r>
    </w:p>
    <w:p w14:paraId="56F9A5CE" w14:textId="396E66FC"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1</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Barello, S.</w:t>
      </w:r>
      <w:r w:rsidRPr="00685855">
        <w:rPr>
          <w:rFonts w:asciiTheme="minorHAnsi" w:hAnsiTheme="minorHAnsi" w:cstheme="minorHAnsi"/>
          <w:i/>
          <w:sz w:val="24"/>
          <w:szCs w:val="24"/>
        </w:rPr>
        <w:t xml:space="preserve"> </w:t>
      </w:r>
      <w:r w:rsidR="00CE152E" w:rsidRPr="00CE152E">
        <w:rPr>
          <w:rFonts w:asciiTheme="minorHAnsi" w:hAnsiTheme="minorHAnsi" w:cstheme="minorHAnsi"/>
          <w:sz w:val="24"/>
          <w:szCs w:val="24"/>
        </w:rPr>
        <w:t>et al.</w:t>
      </w:r>
      <w:r w:rsidRPr="00685855">
        <w:rPr>
          <w:rFonts w:asciiTheme="minorHAnsi" w:hAnsiTheme="minorHAnsi" w:cstheme="minorHAnsi"/>
          <w:sz w:val="24"/>
          <w:szCs w:val="24"/>
        </w:rPr>
        <w:t xml:space="preserve"> eHealth for Patient Engagement: A Systematic Review. </w:t>
      </w:r>
      <w:r w:rsidRPr="00685855">
        <w:rPr>
          <w:rFonts w:asciiTheme="minorHAnsi" w:hAnsiTheme="minorHAnsi" w:cstheme="minorHAnsi"/>
          <w:i/>
          <w:sz w:val="24"/>
          <w:szCs w:val="24"/>
        </w:rPr>
        <w:t>Front</w:t>
      </w:r>
      <w:r w:rsidR="00AE53D2" w:rsidRPr="00685855">
        <w:rPr>
          <w:rFonts w:asciiTheme="minorHAnsi" w:hAnsiTheme="minorHAnsi" w:cstheme="minorHAnsi"/>
          <w:i/>
          <w:sz w:val="24"/>
          <w:szCs w:val="24"/>
        </w:rPr>
        <w:t>iers in</w:t>
      </w:r>
      <w:r w:rsidRPr="00685855">
        <w:rPr>
          <w:rFonts w:asciiTheme="minorHAnsi" w:hAnsiTheme="minorHAnsi" w:cstheme="minorHAnsi"/>
          <w:i/>
          <w:sz w:val="24"/>
          <w:szCs w:val="24"/>
        </w:rPr>
        <w:t xml:space="preserve"> Psychol</w:t>
      </w:r>
      <w:r w:rsidR="00AE53D2" w:rsidRPr="00685855">
        <w:rPr>
          <w:rFonts w:asciiTheme="minorHAnsi" w:hAnsiTheme="minorHAnsi" w:cstheme="minorHAnsi"/>
          <w:i/>
          <w:sz w:val="24"/>
          <w:szCs w:val="24"/>
        </w:rPr>
        <w:t>ogy</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6</w:t>
      </w:r>
      <w:r w:rsidR="00B434CC" w:rsidRPr="00685855">
        <w:rPr>
          <w:rFonts w:asciiTheme="minorHAnsi" w:hAnsiTheme="minorHAnsi" w:cstheme="minorHAnsi"/>
          <w:sz w:val="24"/>
          <w:szCs w:val="24"/>
        </w:rPr>
        <w:t>,</w:t>
      </w:r>
      <w:r w:rsidRPr="00685855">
        <w:rPr>
          <w:rFonts w:asciiTheme="minorHAnsi" w:hAnsiTheme="minorHAnsi" w:cstheme="minorHAnsi"/>
          <w:sz w:val="24"/>
          <w:szCs w:val="24"/>
        </w:rPr>
        <w:t xml:space="preserve"> 2013, (2015).</w:t>
      </w:r>
    </w:p>
    <w:p w14:paraId="425ABD15" w14:textId="55A30673"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2</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 xml:space="preserve">Halpert, A. Irritable Bowel Syndrome: Patient-Provider Interaction and Patient Education. </w:t>
      </w:r>
      <w:r w:rsidRPr="00685855">
        <w:rPr>
          <w:rFonts w:asciiTheme="minorHAnsi" w:hAnsiTheme="minorHAnsi" w:cstheme="minorHAnsi"/>
          <w:i/>
          <w:sz w:val="24"/>
          <w:szCs w:val="24"/>
        </w:rPr>
        <w:t>J</w:t>
      </w:r>
      <w:r w:rsidR="00AE53D2" w:rsidRPr="00685855">
        <w:rPr>
          <w:rFonts w:asciiTheme="minorHAnsi" w:hAnsiTheme="minorHAnsi" w:cstheme="minorHAnsi"/>
          <w:i/>
          <w:sz w:val="24"/>
          <w:szCs w:val="24"/>
        </w:rPr>
        <w:t>ournal of</w:t>
      </w:r>
      <w:r w:rsidRPr="00685855">
        <w:rPr>
          <w:rFonts w:asciiTheme="minorHAnsi" w:hAnsiTheme="minorHAnsi" w:cstheme="minorHAnsi"/>
          <w:i/>
          <w:sz w:val="24"/>
          <w:szCs w:val="24"/>
        </w:rPr>
        <w:t xml:space="preserve"> Clin</w:t>
      </w:r>
      <w:r w:rsidR="00AE53D2" w:rsidRPr="00685855">
        <w:rPr>
          <w:rFonts w:asciiTheme="minorHAnsi" w:hAnsiTheme="minorHAnsi" w:cstheme="minorHAnsi"/>
          <w:i/>
          <w:sz w:val="24"/>
          <w:szCs w:val="24"/>
        </w:rPr>
        <w:t>ical</w:t>
      </w:r>
      <w:r w:rsidRPr="00685855">
        <w:rPr>
          <w:rFonts w:asciiTheme="minorHAnsi" w:hAnsiTheme="minorHAnsi" w:cstheme="minorHAnsi"/>
          <w:i/>
          <w:sz w:val="24"/>
          <w:szCs w:val="24"/>
        </w:rPr>
        <w:t xml:space="preserve"> Med</w:t>
      </w:r>
      <w:r w:rsidR="00AE53D2" w:rsidRPr="00685855">
        <w:rPr>
          <w:rFonts w:asciiTheme="minorHAnsi" w:hAnsiTheme="minorHAnsi" w:cstheme="minorHAnsi"/>
          <w:i/>
          <w:sz w:val="24"/>
          <w:szCs w:val="24"/>
        </w:rPr>
        <w:t>icine</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7</w:t>
      </w:r>
      <w:r w:rsidRPr="00685855">
        <w:rPr>
          <w:rFonts w:asciiTheme="minorHAnsi" w:hAnsiTheme="minorHAnsi" w:cstheme="minorHAnsi"/>
          <w:sz w:val="24"/>
          <w:szCs w:val="24"/>
        </w:rPr>
        <w:t xml:space="preserve"> (1), (2018).</w:t>
      </w:r>
    </w:p>
    <w:p w14:paraId="2E14A207" w14:textId="46CCDC0F"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3</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Schulz, P. J., Rubinelli, S., Zufferey, M. C.</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Hartung, U. Coping With Chronic Lower Back Pain: Designing and Testing the Online Tool ONESELF. </w:t>
      </w:r>
      <w:r w:rsidRPr="00685855">
        <w:rPr>
          <w:rFonts w:asciiTheme="minorHAnsi" w:hAnsiTheme="minorHAnsi" w:cstheme="minorHAnsi"/>
          <w:i/>
          <w:sz w:val="24"/>
          <w:szCs w:val="24"/>
        </w:rPr>
        <w:t>Journal of Computer-Mediated Communication.</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15</w:t>
      </w:r>
      <w:r w:rsidRPr="00685855">
        <w:rPr>
          <w:rFonts w:asciiTheme="minorHAnsi" w:hAnsiTheme="minorHAnsi" w:cstheme="minorHAnsi"/>
          <w:sz w:val="24"/>
          <w:szCs w:val="24"/>
        </w:rPr>
        <w:t xml:space="preserve"> (4), 625-645</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2010).</w:t>
      </w:r>
    </w:p>
    <w:p w14:paraId="6898A063" w14:textId="350BA5D8"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4</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Tack, J., Bisschops, R.</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Sarnelli, G. Pathophysiology and treatment of functional dyspepsia. </w:t>
      </w:r>
      <w:r w:rsidRPr="00685855">
        <w:rPr>
          <w:rFonts w:asciiTheme="minorHAnsi" w:hAnsiTheme="minorHAnsi" w:cstheme="minorHAnsi"/>
          <w:i/>
          <w:sz w:val="24"/>
          <w:szCs w:val="24"/>
        </w:rPr>
        <w:t>Gastroenterology.</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127</w:t>
      </w:r>
      <w:r w:rsidRPr="00685855">
        <w:rPr>
          <w:rFonts w:asciiTheme="minorHAnsi" w:hAnsiTheme="minorHAnsi" w:cstheme="minorHAnsi"/>
          <w:sz w:val="24"/>
          <w:szCs w:val="24"/>
        </w:rPr>
        <w:t xml:space="preserve"> (4), 1239-1255</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2004).</w:t>
      </w:r>
    </w:p>
    <w:p w14:paraId="424DD87F" w14:textId="7088DF8A"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5</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 xml:space="preserve">Talley, N. J. Functional dyspepsia: new insights into pathogenesis and therapy. </w:t>
      </w:r>
      <w:r w:rsidRPr="00685855">
        <w:rPr>
          <w:rFonts w:asciiTheme="minorHAnsi" w:hAnsiTheme="minorHAnsi" w:cstheme="minorHAnsi"/>
          <w:i/>
          <w:sz w:val="24"/>
          <w:szCs w:val="24"/>
        </w:rPr>
        <w:t>Korean J</w:t>
      </w:r>
      <w:r w:rsidR="00AE53D2" w:rsidRPr="00685855">
        <w:rPr>
          <w:rFonts w:asciiTheme="minorHAnsi" w:hAnsiTheme="minorHAnsi" w:cstheme="minorHAnsi"/>
          <w:i/>
          <w:sz w:val="24"/>
          <w:szCs w:val="24"/>
        </w:rPr>
        <w:t>ournal of</w:t>
      </w:r>
      <w:r w:rsidRPr="00685855">
        <w:rPr>
          <w:rFonts w:asciiTheme="minorHAnsi" w:hAnsiTheme="minorHAnsi" w:cstheme="minorHAnsi"/>
          <w:i/>
          <w:sz w:val="24"/>
          <w:szCs w:val="24"/>
        </w:rPr>
        <w:t xml:space="preserve"> Intern</w:t>
      </w:r>
      <w:r w:rsidR="00AE53D2" w:rsidRPr="00685855">
        <w:rPr>
          <w:rFonts w:asciiTheme="minorHAnsi" w:hAnsiTheme="minorHAnsi" w:cstheme="minorHAnsi"/>
          <w:i/>
          <w:sz w:val="24"/>
          <w:szCs w:val="24"/>
        </w:rPr>
        <w:t>al</w:t>
      </w:r>
      <w:r w:rsidRPr="00685855">
        <w:rPr>
          <w:rFonts w:asciiTheme="minorHAnsi" w:hAnsiTheme="minorHAnsi" w:cstheme="minorHAnsi"/>
          <w:i/>
          <w:sz w:val="24"/>
          <w:szCs w:val="24"/>
        </w:rPr>
        <w:t xml:space="preserve"> Med</w:t>
      </w:r>
      <w:r w:rsidR="00AE53D2" w:rsidRPr="00685855">
        <w:rPr>
          <w:rFonts w:asciiTheme="minorHAnsi" w:hAnsiTheme="minorHAnsi" w:cstheme="minorHAnsi"/>
          <w:i/>
          <w:sz w:val="24"/>
          <w:szCs w:val="24"/>
        </w:rPr>
        <w:t>icine</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31</w:t>
      </w:r>
      <w:r w:rsidRPr="00685855">
        <w:rPr>
          <w:rFonts w:asciiTheme="minorHAnsi" w:hAnsiTheme="minorHAnsi" w:cstheme="minorHAnsi"/>
          <w:sz w:val="24"/>
          <w:szCs w:val="24"/>
        </w:rPr>
        <w:t xml:space="preserve"> (3), 444-456</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2016).</w:t>
      </w:r>
    </w:p>
    <w:p w14:paraId="3F775482" w14:textId="32065D78"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6</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Chiarioni, G., Pesce, M., Fantin, A.</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Sarnelli, G. Complementary and alternative treatment in functional dyspepsia. </w:t>
      </w:r>
      <w:r w:rsidRPr="00685855">
        <w:rPr>
          <w:rFonts w:asciiTheme="minorHAnsi" w:hAnsiTheme="minorHAnsi" w:cstheme="minorHAnsi"/>
          <w:i/>
          <w:sz w:val="24"/>
          <w:szCs w:val="24"/>
        </w:rPr>
        <w:t>United European Gastroenterol</w:t>
      </w:r>
      <w:r w:rsidR="00AE53D2" w:rsidRPr="00685855">
        <w:rPr>
          <w:rFonts w:asciiTheme="minorHAnsi" w:hAnsiTheme="minorHAnsi" w:cstheme="minorHAnsi"/>
          <w:i/>
          <w:sz w:val="24"/>
          <w:szCs w:val="24"/>
        </w:rPr>
        <w:t>ogy</w:t>
      </w:r>
      <w:r w:rsidRPr="00685855">
        <w:rPr>
          <w:rFonts w:asciiTheme="minorHAnsi" w:hAnsiTheme="minorHAnsi" w:cstheme="minorHAnsi"/>
          <w:i/>
          <w:sz w:val="24"/>
          <w:szCs w:val="24"/>
        </w:rPr>
        <w:t xml:space="preserve"> J</w:t>
      </w:r>
      <w:r w:rsidR="00AE53D2" w:rsidRPr="00685855">
        <w:rPr>
          <w:rFonts w:asciiTheme="minorHAnsi" w:hAnsiTheme="minorHAnsi" w:cstheme="minorHAnsi"/>
          <w:i/>
          <w:sz w:val="24"/>
          <w:szCs w:val="24"/>
        </w:rPr>
        <w:t>ournal</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6</w:t>
      </w:r>
      <w:r w:rsidRPr="00685855">
        <w:rPr>
          <w:rFonts w:asciiTheme="minorHAnsi" w:hAnsiTheme="minorHAnsi" w:cstheme="minorHAnsi"/>
          <w:sz w:val="24"/>
          <w:szCs w:val="24"/>
        </w:rPr>
        <w:t xml:space="preserve"> (1), 5-12</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2018).</w:t>
      </w:r>
    </w:p>
    <w:p w14:paraId="5FF1C6EE" w14:textId="3491F23A"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lastRenderedPageBreak/>
        <w:t>7</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Ford, A. C., Marwaha, A., Lim, A.</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Moayyedi, P. What is the prevalence of clinically significant endoscopic findings in subjects with dyspepsia? Systematic review and meta-analysis. </w:t>
      </w:r>
      <w:r w:rsidRPr="00685855">
        <w:rPr>
          <w:rFonts w:asciiTheme="minorHAnsi" w:hAnsiTheme="minorHAnsi" w:cstheme="minorHAnsi"/>
          <w:i/>
          <w:sz w:val="24"/>
          <w:szCs w:val="24"/>
        </w:rPr>
        <w:t>Clin</w:t>
      </w:r>
      <w:r w:rsidR="00AE53D2" w:rsidRPr="00685855">
        <w:rPr>
          <w:rFonts w:asciiTheme="minorHAnsi" w:hAnsiTheme="minorHAnsi" w:cstheme="minorHAnsi"/>
          <w:i/>
          <w:sz w:val="24"/>
          <w:szCs w:val="24"/>
        </w:rPr>
        <w:t>ical</w:t>
      </w:r>
      <w:r w:rsidRPr="00685855">
        <w:rPr>
          <w:rFonts w:asciiTheme="minorHAnsi" w:hAnsiTheme="minorHAnsi" w:cstheme="minorHAnsi"/>
          <w:i/>
          <w:sz w:val="24"/>
          <w:szCs w:val="24"/>
        </w:rPr>
        <w:t xml:space="preserve"> Gastroenterol</w:t>
      </w:r>
      <w:r w:rsidR="00AE53D2" w:rsidRPr="00685855">
        <w:rPr>
          <w:rFonts w:asciiTheme="minorHAnsi" w:hAnsiTheme="minorHAnsi" w:cstheme="minorHAnsi"/>
          <w:i/>
          <w:sz w:val="24"/>
          <w:szCs w:val="24"/>
        </w:rPr>
        <w:t>ogy and</w:t>
      </w:r>
      <w:r w:rsidRPr="00685855">
        <w:rPr>
          <w:rFonts w:asciiTheme="minorHAnsi" w:hAnsiTheme="minorHAnsi" w:cstheme="minorHAnsi"/>
          <w:i/>
          <w:sz w:val="24"/>
          <w:szCs w:val="24"/>
        </w:rPr>
        <w:t xml:space="preserve"> Hepatol</w:t>
      </w:r>
      <w:r w:rsidR="00AE53D2" w:rsidRPr="00685855">
        <w:rPr>
          <w:rFonts w:asciiTheme="minorHAnsi" w:hAnsiTheme="minorHAnsi" w:cstheme="minorHAnsi"/>
          <w:i/>
          <w:sz w:val="24"/>
          <w:szCs w:val="24"/>
        </w:rPr>
        <w:t>ogy</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8</w:t>
      </w:r>
      <w:r w:rsidRPr="00685855">
        <w:rPr>
          <w:rFonts w:asciiTheme="minorHAnsi" w:hAnsiTheme="minorHAnsi" w:cstheme="minorHAnsi"/>
          <w:sz w:val="24"/>
          <w:szCs w:val="24"/>
        </w:rPr>
        <w:t xml:space="preserve"> (10), 830-837</w:t>
      </w:r>
      <w:r w:rsidR="001E15B6">
        <w:rPr>
          <w:rFonts w:asciiTheme="minorHAnsi" w:hAnsiTheme="minorHAnsi" w:cstheme="minorHAnsi"/>
          <w:sz w:val="24"/>
          <w:szCs w:val="24"/>
        </w:rPr>
        <w:t>.e2</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2010).</w:t>
      </w:r>
    </w:p>
    <w:p w14:paraId="59699225" w14:textId="5AF7D323"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8</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Matsuzaki, J.</w:t>
      </w:r>
      <w:r w:rsidRPr="00685855">
        <w:rPr>
          <w:rFonts w:asciiTheme="minorHAnsi" w:hAnsiTheme="minorHAnsi" w:cstheme="minorHAnsi"/>
          <w:i/>
          <w:sz w:val="24"/>
          <w:szCs w:val="24"/>
        </w:rPr>
        <w:t xml:space="preserve"> </w:t>
      </w:r>
      <w:r w:rsidR="00CE152E" w:rsidRPr="00CE152E">
        <w:rPr>
          <w:rFonts w:asciiTheme="minorHAnsi" w:hAnsiTheme="minorHAnsi" w:cstheme="minorHAnsi"/>
          <w:sz w:val="24"/>
          <w:szCs w:val="24"/>
        </w:rPr>
        <w:t>et al.</w:t>
      </w:r>
      <w:r w:rsidRPr="00685855">
        <w:rPr>
          <w:rFonts w:asciiTheme="minorHAnsi" w:hAnsiTheme="minorHAnsi" w:cstheme="minorHAnsi"/>
          <w:sz w:val="24"/>
          <w:szCs w:val="24"/>
        </w:rPr>
        <w:t xml:space="preserve"> Burden of impaired sleep quality on work productivity in functional dyspepsia. </w:t>
      </w:r>
      <w:r w:rsidRPr="00685855">
        <w:rPr>
          <w:rFonts w:asciiTheme="minorHAnsi" w:hAnsiTheme="minorHAnsi" w:cstheme="minorHAnsi"/>
          <w:i/>
          <w:sz w:val="24"/>
          <w:szCs w:val="24"/>
        </w:rPr>
        <w:t>United European Gastroenterol</w:t>
      </w:r>
      <w:r w:rsidR="00AE53D2" w:rsidRPr="00685855">
        <w:rPr>
          <w:rFonts w:asciiTheme="minorHAnsi" w:hAnsiTheme="minorHAnsi" w:cstheme="minorHAnsi"/>
          <w:i/>
          <w:sz w:val="24"/>
          <w:szCs w:val="24"/>
        </w:rPr>
        <w:t>ogy</w:t>
      </w:r>
      <w:r w:rsidRPr="00685855">
        <w:rPr>
          <w:rFonts w:asciiTheme="minorHAnsi" w:hAnsiTheme="minorHAnsi" w:cstheme="minorHAnsi"/>
          <w:i/>
          <w:sz w:val="24"/>
          <w:szCs w:val="24"/>
        </w:rPr>
        <w:t xml:space="preserve"> J</w:t>
      </w:r>
      <w:r w:rsidR="00AE53D2" w:rsidRPr="00685855">
        <w:rPr>
          <w:rFonts w:asciiTheme="minorHAnsi" w:hAnsiTheme="minorHAnsi" w:cstheme="minorHAnsi"/>
          <w:i/>
          <w:sz w:val="24"/>
          <w:szCs w:val="24"/>
        </w:rPr>
        <w:t>ournal</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6</w:t>
      </w:r>
      <w:r w:rsidRPr="00685855">
        <w:rPr>
          <w:rFonts w:asciiTheme="minorHAnsi" w:hAnsiTheme="minorHAnsi" w:cstheme="minorHAnsi"/>
          <w:sz w:val="24"/>
          <w:szCs w:val="24"/>
        </w:rPr>
        <w:t xml:space="preserve"> (3), 398-406</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2018).</w:t>
      </w:r>
    </w:p>
    <w:p w14:paraId="42186EAE" w14:textId="42075881"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9</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Keefer, L., Palsson, O. S.</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Pandolfino, J. E. Best Practice Update: Incorporating Psychogastroenterology Into Management of Digestive Disorders. </w:t>
      </w:r>
      <w:r w:rsidRPr="00685855">
        <w:rPr>
          <w:rFonts w:asciiTheme="minorHAnsi" w:hAnsiTheme="minorHAnsi" w:cstheme="minorHAnsi"/>
          <w:i/>
          <w:sz w:val="24"/>
          <w:szCs w:val="24"/>
        </w:rPr>
        <w:t>Gastroenterology.</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154</w:t>
      </w:r>
      <w:r w:rsidRPr="00685855">
        <w:rPr>
          <w:rFonts w:asciiTheme="minorHAnsi" w:hAnsiTheme="minorHAnsi" w:cstheme="minorHAnsi"/>
          <w:sz w:val="24"/>
          <w:szCs w:val="24"/>
        </w:rPr>
        <w:t xml:space="preserve"> (5), 1249-1257</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2018).</w:t>
      </w:r>
    </w:p>
    <w:p w14:paraId="3E5AEFDD" w14:textId="1B0556C9"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10</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Feinle-Bisset, C.</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Azpiroz, F. Dietary and lifestyle factors in functional dyspepsia. </w:t>
      </w:r>
      <w:r w:rsidRPr="00685855">
        <w:rPr>
          <w:rFonts w:asciiTheme="minorHAnsi" w:hAnsiTheme="minorHAnsi" w:cstheme="minorHAnsi"/>
          <w:i/>
          <w:sz w:val="24"/>
          <w:szCs w:val="24"/>
        </w:rPr>
        <w:t>Nat</w:t>
      </w:r>
      <w:r w:rsidR="00AE53D2" w:rsidRPr="00685855">
        <w:rPr>
          <w:rFonts w:asciiTheme="minorHAnsi" w:hAnsiTheme="minorHAnsi" w:cstheme="minorHAnsi"/>
          <w:i/>
          <w:sz w:val="24"/>
          <w:szCs w:val="24"/>
        </w:rPr>
        <w:t>ure</w:t>
      </w:r>
      <w:r w:rsidRPr="00685855">
        <w:rPr>
          <w:rFonts w:asciiTheme="minorHAnsi" w:hAnsiTheme="minorHAnsi" w:cstheme="minorHAnsi"/>
          <w:i/>
          <w:sz w:val="24"/>
          <w:szCs w:val="24"/>
        </w:rPr>
        <w:t xml:space="preserve"> Rev</w:t>
      </w:r>
      <w:r w:rsidR="00AE53D2" w:rsidRPr="00685855">
        <w:rPr>
          <w:rFonts w:asciiTheme="minorHAnsi" w:hAnsiTheme="minorHAnsi" w:cstheme="minorHAnsi"/>
          <w:i/>
          <w:sz w:val="24"/>
          <w:szCs w:val="24"/>
        </w:rPr>
        <w:t>iews</w:t>
      </w:r>
      <w:r w:rsidRPr="00685855">
        <w:rPr>
          <w:rFonts w:asciiTheme="minorHAnsi" w:hAnsiTheme="minorHAnsi" w:cstheme="minorHAnsi"/>
          <w:i/>
          <w:sz w:val="24"/>
          <w:szCs w:val="24"/>
        </w:rPr>
        <w:t xml:space="preserve"> Gastroenterol</w:t>
      </w:r>
      <w:r w:rsidR="00AE53D2" w:rsidRPr="00685855">
        <w:rPr>
          <w:rFonts w:asciiTheme="minorHAnsi" w:hAnsiTheme="minorHAnsi" w:cstheme="minorHAnsi"/>
          <w:i/>
          <w:sz w:val="24"/>
          <w:szCs w:val="24"/>
        </w:rPr>
        <w:t>ogy &amp;</w:t>
      </w:r>
      <w:r w:rsidRPr="00685855">
        <w:rPr>
          <w:rFonts w:asciiTheme="minorHAnsi" w:hAnsiTheme="minorHAnsi" w:cstheme="minorHAnsi"/>
          <w:i/>
          <w:sz w:val="24"/>
          <w:szCs w:val="24"/>
        </w:rPr>
        <w:t xml:space="preserve"> Hepatol</w:t>
      </w:r>
      <w:r w:rsidR="00AE53D2" w:rsidRPr="00685855">
        <w:rPr>
          <w:rFonts w:asciiTheme="minorHAnsi" w:hAnsiTheme="minorHAnsi" w:cstheme="minorHAnsi"/>
          <w:i/>
          <w:sz w:val="24"/>
          <w:szCs w:val="24"/>
        </w:rPr>
        <w:t>ogy</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10</w:t>
      </w:r>
      <w:r w:rsidRPr="00685855">
        <w:rPr>
          <w:rFonts w:asciiTheme="minorHAnsi" w:hAnsiTheme="minorHAnsi" w:cstheme="minorHAnsi"/>
          <w:sz w:val="24"/>
          <w:szCs w:val="24"/>
        </w:rPr>
        <w:t xml:space="preserve"> (3), 150-157</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2013).</w:t>
      </w:r>
    </w:p>
    <w:p w14:paraId="41B0C548" w14:textId="2B1FFA8C"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11</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Manes, G., Balzano, A., Marone, P., Lioniello, M.</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Mosca, S. Appropriateness and diagnostic yield of upper gastrointestinal endoscopy in an open-access endoscopy system: a prospective observational study based on the Maastricht guidelines. </w:t>
      </w:r>
      <w:r w:rsidRPr="00685855">
        <w:rPr>
          <w:rFonts w:asciiTheme="minorHAnsi" w:hAnsiTheme="minorHAnsi" w:cstheme="minorHAnsi"/>
          <w:i/>
          <w:sz w:val="24"/>
          <w:szCs w:val="24"/>
        </w:rPr>
        <w:t>Aliment</w:t>
      </w:r>
      <w:r w:rsidR="00AE53D2" w:rsidRPr="00685855">
        <w:rPr>
          <w:rFonts w:asciiTheme="minorHAnsi" w:hAnsiTheme="minorHAnsi" w:cstheme="minorHAnsi"/>
          <w:i/>
          <w:sz w:val="24"/>
          <w:szCs w:val="24"/>
        </w:rPr>
        <w:t>ary</w:t>
      </w:r>
      <w:r w:rsidRPr="00685855">
        <w:rPr>
          <w:rFonts w:asciiTheme="minorHAnsi" w:hAnsiTheme="minorHAnsi" w:cstheme="minorHAnsi"/>
          <w:i/>
          <w:sz w:val="24"/>
          <w:szCs w:val="24"/>
        </w:rPr>
        <w:t xml:space="preserve"> Pharmacol</w:t>
      </w:r>
      <w:r w:rsidR="00AE53D2" w:rsidRPr="00685855">
        <w:rPr>
          <w:rFonts w:asciiTheme="minorHAnsi" w:hAnsiTheme="minorHAnsi" w:cstheme="minorHAnsi"/>
          <w:i/>
          <w:sz w:val="24"/>
          <w:szCs w:val="24"/>
        </w:rPr>
        <w:t xml:space="preserve">ogy &amp; </w:t>
      </w:r>
      <w:r w:rsidRPr="00685855">
        <w:rPr>
          <w:rFonts w:asciiTheme="minorHAnsi" w:hAnsiTheme="minorHAnsi" w:cstheme="minorHAnsi"/>
          <w:i/>
          <w:sz w:val="24"/>
          <w:szCs w:val="24"/>
        </w:rPr>
        <w:t>Ther</w:t>
      </w:r>
      <w:r w:rsidR="00AE53D2" w:rsidRPr="00685855">
        <w:rPr>
          <w:rFonts w:asciiTheme="minorHAnsi" w:hAnsiTheme="minorHAnsi" w:cstheme="minorHAnsi"/>
          <w:i/>
          <w:sz w:val="24"/>
          <w:szCs w:val="24"/>
        </w:rPr>
        <w:t>apeutics</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16</w:t>
      </w:r>
      <w:r w:rsidRPr="00685855">
        <w:rPr>
          <w:rFonts w:asciiTheme="minorHAnsi" w:hAnsiTheme="minorHAnsi" w:cstheme="minorHAnsi"/>
          <w:sz w:val="24"/>
          <w:szCs w:val="24"/>
        </w:rPr>
        <w:t xml:space="preserve"> (1), 105-110</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2002).</w:t>
      </w:r>
    </w:p>
    <w:p w14:paraId="358D2663" w14:textId="75D7A61B"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12</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de Jong, J. J., Lantinga, M. A.</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Drenth, J. P. Prevention of overuse: A view on upper gastrointestinal endoscopy. </w:t>
      </w:r>
      <w:r w:rsidRPr="00685855">
        <w:rPr>
          <w:rFonts w:asciiTheme="minorHAnsi" w:hAnsiTheme="minorHAnsi" w:cstheme="minorHAnsi"/>
          <w:i/>
          <w:sz w:val="24"/>
          <w:szCs w:val="24"/>
        </w:rPr>
        <w:t>World J</w:t>
      </w:r>
      <w:r w:rsidR="00AE53D2" w:rsidRPr="00685855">
        <w:rPr>
          <w:rFonts w:asciiTheme="minorHAnsi" w:hAnsiTheme="minorHAnsi" w:cstheme="minorHAnsi"/>
          <w:i/>
          <w:sz w:val="24"/>
          <w:szCs w:val="24"/>
        </w:rPr>
        <w:t>ournal of</w:t>
      </w:r>
      <w:r w:rsidRPr="00685855">
        <w:rPr>
          <w:rFonts w:asciiTheme="minorHAnsi" w:hAnsiTheme="minorHAnsi" w:cstheme="minorHAnsi"/>
          <w:i/>
          <w:sz w:val="24"/>
          <w:szCs w:val="24"/>
        </w:rPr>
        <w:t xml:space="preserve"> Gastroenterol</w:t>
      </w:r>
      <w:r w:rsidR="00AE53D2" w:rsidRPr="00685855">
        <w:rPr>
          <w:rFonts w:asciiTheme="minorHAnsi" w:hAnsiTheme="minorHAnsi" w:cstheme="minorHAnsi"/>
          <w:i/>
          <w:sz w:val="24"/>
          <w:szCs w:val="24"/>
        </w:rPr>
        <w:t>ogy</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25</w:t>
      </w:r>
      <w:r w:rsidRPr="00685855">
        <w:rPr>
          <w:rFonts w:asciiTheme="minorHAnsi" w:hAnsiTheme="minorHAnsi" w:cstheme="minorHAnsi"/>
          <w:sz w:val="24"/>
          <w:szCs w:val="24"/>
        </w:rPr>
        <w:t xml:space="preserve"> (2), 178-189</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2019).</w:t>
      </w:r>
    </w:p>
    <w:p w14:paraId="03066588" w14:textId="4B385526"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13</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Baldwin, J. L., Singh, H., Sittig, D. F.</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Giardina, T. D. Patient portals and health apps: Pitfalls, promises, and what one might learn from the other. </w:t>
      </w:r>
      <w:r w:rsidRPr="00685855">
        <w:rPr>
          <w:rFonts w:asciiTheme="minorHAnsi" w:hAnsiTheme="minorHAnsi" w:cstheme="minorHAnsi"/>
          <w:i/>
          <w:sz w:val="24"/>
          <w:szCs w:val="24"/>
        </w:rPr>
        <w:t>Healthc</w:t>
      </w:r>
      <w:r w:rsidR="00AE53D2" w:rsidRPr="00685855">
        <w:rPr>
          <w:rFonts w:asciiTheme="minorHAnsi" w:hAnsiTheme="minorHAnsi" w:cstheme="minorHAnsi"/>
          <w:i/>
          <w:sz w:val="24"/>
          <w:szCs w:val="24"/>
        </w:rPr>
        <w:t>are</w:t>
      </w:r>
      <w:r w:rsidRPr="00685855">
        <w:rPr>
          <w:rFonts w:asciiTheme="minorHAnsi" w:hAnsiTheme="minorHAnsi" w:cstheme="minorHAnsi"/>
          <w:i/>
          <w:sz w:val="24"/>
          <w:szCs w:val="24"/>
        </w:rPr>
        <w:t xml:space="preserve"> (Amst</w:t>
      </w:r>
      <w:r w:rsidR="00AE53D2" w:rsidRPr="00685855">
        <w:rPr>
          <w:rFonts w:asciiTheme="minorHAnsi" w:hAnsiTheme="minorHAnsi" w:cstheme="minorHAnsi"/>
          <w:i/>
          <w:sz w:val="24"/>
          <w:szCs w:val="24"/>
        </w:rPr>
        <w:t>erdam</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5</w:t>
      </w:r>
      <w:r w:rsidRPr="00685855">
        <w:rPr>
          <w:rFonts w:asciiTheme="minorHAnsi" w:hAnsiTheme="minorHAnsi" w:cstheme="minorHAnsi"/>
          <w:sz w:val="24"/>
          <w:szCs w:val="24"/>
        </w:rPr>
        <w:t xml:space="preserve"> (3), 81-85</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2017).</w:t>
      </w:r>
    </w:p>
    <w:p w14:paraId="2771C369" w14:textId="75B6DFFF"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14</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Sleurs, K.</w:t>
      </w:r>
      <w:r w:rsidRPr="00685855">
        <w:rPr>
          <w:rFonts w:asciiTheme="minorHAnsi" w:hAnsiTheme="minorHAnsi" w:cstheme="minorHAnsi"/>
          <w:i/>
          <w:sz w:val="24"/>
          <w:szCs w:val="24"/>
        </w:rPr>
        <w:t xml:space="preserve"> </w:t>
      </w:r>
      <w:r w:rsidR="00CE152E" w:rsidRPr="00CE152E">
        <w:rPr>
          <w:rFonts w:asciiTheme="minorHAnsi" w:hAnsiTheme="minorHAnsi" w:cstheme="minorHAnsi"/>
          <w:sz w:val="24"/>
          <w:szCs w:val="24"/>
        </w:rPr>
        <w:t>et al.</w:t>
      </w:r>
      <w:r w:rsidRPr="00685855">
        <w:rPr>
          <w:rFonts w:asciiTheme="minorHAnsi" w:hAnsiTheme="minorHAnsi" w:cstheme="minorHAnsi"/>
          <w:sz w:val="24"/>
          <w:szCs w:val="24"/>
        </w:rPr>
        <w:t xml:space="preserve"> Mobile health tools for the management of chronic respiratory diseases. </w:t>
      </w:r>
      <w:r w:rsidRPr="00685855">
        <w:rPr>
          <w:rFonts w:asciiTheme="minorHAnsi" w:hAnsiTheme="minorHAnsi" w:cstheme="minorHAnsi"/>
          <w:i/>
          <w:sz w:val="24"/>
          <w:szCs w:val="24"/>
        </w:rPr>
        <w:t>Allergy.</w:t>
      </w:r>
      <w:r w:rsidRPr="00685855">
        <w:rPr>
          <w:rFonts w:asciiTheme="minorHAnsi" w:hAnsiTheme="minorHAnsi" w:cstheme="minorHAnsi"/>
          <w:sz w:val="24"/>
          <w:szCs w:val="24"/>
        </w:rPr>
        <w:t xml:space="preserve"> 10.1111/all.13720, (2019).</w:t>
      </w:r>
    </w:p>
    <w:p w14:paraId="5262650B" w14:textId="0D93A8F6"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15</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Yuan, S. L. K.</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Marques, A. P. Development of ProFibro - a mobile application to promote self-care in patients with fibromyalgia. </w:t>
      </w:r>
      <w:r w:rsidRPr="00685855">
        <w:rPr>
          <w:rFonts w:asciiTheme="minorHAnsi" w:hAnsiTheme="minorHAnsi" w:cstheme="minorHAnsi"/>
          <w:i/>
          <w:sz w:val="24"/>
          <w:szCs w:val="24"/>
        </w:rPr>
        <w:t>Physiotherapy.</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104</w:t>
      </w:r>
      <w:r w:rsidRPr="00685855">
        <w:rPr>
          <w:rFonts w:asciiTheme="minorHAnsi" w:hAnsiTheme="minorHAnsi" w:cstheme="minorHAnsi"/>
          <w:sz w:val="24"/>
          <w:szCs w:val="24"/>
        </w:rPr>
        <w:t xml:space="preserve"> (3), 311-317</w:t>
      </w:r>
      <w:r w:rsidR="00CD437D" w:rsidRPr="00CD437D">
        <w:rPr>
          <w:rFonts w:asciiTheme="minorHAnsi" w:hAnsiTheme="minorHAnsi" w:cstheme="minorHAnsi"/>
          <w:sz w:val="24"/>
          <w:szCs w:val="24"/>
        </w:rPr>
        <w:t xml:space="preserve"> (</w:t>
      </w:r>
      <w:r w:rsidRPr="00685855">
        <w:rPr>
          <w:rFonts w:asciiTheme="minorHAnsi" w:hAnsiTheme="minorHAnsi" w:cstheme="minorHAnsi"/>
          <w:sz w:val="24"/>
          <w:szCs w:val="24"/>
        </w:rPr>
        <w:t>2018).</w:t>
      </w:r>
    </w:p>
    <w:p w14:paraId="23CB35EF" w14:textId="766097DB"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16</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Huckvale, K., Morrison, C., Ouyang, J., Ghaghda, A.</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Car, J. The evolution of mobile apps for asthma: an updated systematic assessment of content and tools. </w:t>
      </w:r>
      <w:r w:rsidRPr="00685855">
        <w:rPr>
          <w:rFonts w:asciiTheme="minorHAnsi" w:hAnsiTheme="minorHAnsi" w:cstheme="minorHAnsi"/>
          <w:i/>
          <w:sz w:val="24"/>
          <w:szCs w:val="24"/>
        </w:rPr>
        <w:t>BMC Med</w:t>
      </w:r>
      <w:r w:rsidR="00AE53D2" w:rsidRPr="00685855">
        <w:rPr>
          <w:rFonts w:asciiTheme="minorHAnsi" w:hAnsiTheme="minorHAnsi" w:cstheme="minorHAnsi"/>
          <w:i/>
          <w:sz w:val="24"/>
          <w:szCs w:val="24"/>
        </w:rPr>
        <w:t>icine</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13</w:t>
      </w:r>
      <w:r w:rsidR="00CD437D" w:rsidRPr="00685855">
        <w:rPr>
          <w:rFonts w:asciiTheme="minorHAnsi" w:hAnsiTheme="minorHAnsi" w:cstheme="minorHAnsi"/>
          <w:sz w:val="24"/>
          <w:szCs w:val="24"/>
        </w:rPr>
        <w:t>,</w:t>
      </w:r>
      <w:r w:rsidRPr="00685855">
        <w:rPr>
          <w:rFonts w:asciiTheme="minorHAnsi" w:hAnsiTheme="minorHAnsi" w:cstheme="minorHAnsi"/>
          <w:sz w:val="24"/>
          <w:szCs w:val="24"/>
        </w:rPr>
        <w:t xml:space="preserve"> 58 (2015).</w:t>
      </w:r>
    </w:p>
    <w:p w14:paraId="45E0CA9F" w14:textId="72245279"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17</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 xml:space="preserve">Mayer, R. E. Applying the science of learning: evidence-based principles for the design of multimedia instruction. </w:t>
      </w:r>
      <w:r w:rsidRPr="00685855">
        <w:rPr>
          <w:rFonts w:asciiTheme="minorHAnsi" w:hAnsiTheme="minorHAnsi" w:cstheme="minorHAnsi"/>
          <w:i/>
          <w:sz w:val="24"/>
          <w:szCs w:val="24"/>
        </w:rPr>
        <w:t>Am</w:t>
      </w:r>
      <w:r w:rsidR="00AE53D2" w:rsidRPr="00685855">
        <w:rPr>
          <w:rFonts w:asciiTheme="minorHAnsi" w:hAnsiTheme="minorHAnsi" w:cstheme="minorHAnsi"/>
          <w:i/>
          <w:sz w:val="24"/>
          <w:szCs w:val="24"/>
        </w:rPr>
        <w:t>erican</w:t>
      </w:r>
      <w:r w:rsidRPr="00685855">
        <w:rPr>
          <w:rFonts w:asciiTheme="minorHAnsi" w:hAnsiTheme="minorHAnsi" w:cstheme="minorHAnsi"/>
          <w:i/>
          <w:sz w:val="24"/>
          <w:szCs w:val="24"/>
        </w:rPr>
        <w:t xml:space="preserve"> Psychol</w:t>
      </w:r>
      <w:r w:rsidR="00AE53D2" w:rsidRPr="00685855">
        <w:rPr>
          <w:rFonts w:asciiTheme="minorHAnsi" w:hAnsiTheme="minorHAnsi" w:cstheme="minorHAnsi"/>
          <w:i/>
          <w:sz w:val="24"/>
          <w:szCs w:val="24"/>
        </w:rPr>
        <w:t>ogist</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63</w:t>
      </w:r>
      <w:r w:rsidRPr="00685855">
        <w:rPr>
          <w:rFonts w:asciiTheme="minorHAnsi" w:hAnsiTheme="minorHAnsi" w:cstheme="minorHAnsi"/>
          <w:sz w:val="24"/>
          <w:szCs w:val="24"/>
        </w:rPr>
        <w:t xml:space="preserve"> (8), 760-769</w:t>
      </w:r>
      <w:r w:rsidR="00967123" w:rsidRPr="00967123">
        <w:rPr>
          <w:rFonts w:asciiTheme="minorHAnsi" w:hAnsiTheme="minorHAnsi" w:cstheme="minorHAnsi"/>
          <w:sz w:val="24"/>
          <w:szCs w:val="24"/>
        </w:rPr>
        <w:t xml:space="preserve"> (</w:t>
      </w:r>
      <w:r w:rsidRPr="00685855">
        <w:rPr>
          <w:rFonts w:asciiTheme="minorHAnsi" w:hAnsiTheme="minorHAnsi" w:cstheme="minorHAnsi"/>
          <w:sz w:val="24"/>
          <w:szCs w:val="24"/>
        </w:rPr>
        <w:t>2008).</w:t>
      </w:r>
    </w:p>
    <w:p w14:paraId="5BCA0376" w14:textId="11AC91FA"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18</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 xml:space="preserve">Zhang, D. Interactive Multimedia-Based E-Learning: A Study of Effectiveness. </w:t>
      </w:r>
      <w:r w:rsidRPr="00685855">
        <w:rPr>
          <w:rFonts w:asciiTheme="minorHAnsi" w:hAnsiTheme="minorHAnsi" w:cstheme="minorHAnsi"/>
          <w:i/>
          <w:sz w:val="24"/>
          <w:szCs w:val="24"/>
        </w:rPr>
        <w:t>American Journal of Distance Education.</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19</w:t>
      </w:r>
      <w:r w:rsidRPr="00685855">
        <w:rPr>
          <w:rFonts w:asciiTheme="minorHAnsi" w:hAnsiTheme="minorHAnsi" w:cstheme="minorHAnsi"/>
          <w:sz w:val="24"/>
          <w:szCs w:val="24"/>
        </w:rPr>
        <w:t xml:space="preserve"> (3), 149-162</w:t>
      </w:r>
      <w:r w:rsidR="00967123" w:rsidRPr="00967123">
        <w:rPr>
          <w:rFonts w:asciiTheme="minorHAnsi" w:hAnsiTheme="minorHAnsi" w:cstheme="minorHAnsi"/>
          <w:sz w:val="24"/>
          <w:szCs w:val="24"/>
        </w:rPr>
        <w:t xml:space="preserve"> (</w:t>
      </w:r>
      <w:r w:rsidRPr="00685855">
        <w:rPr>
          <w:rFonts w:asciiTheme="minorHAnsi" w:hAnsiTheme="minorHAnsi" w:cstheme="minorHAnsi"/>
          <w:sz w:val="24"/>
          <w:szCs w:val="24"/>
        </w:rPr>
        <w:t>2005).</w:t>
      </w:r>
    </w:p>
    <w:p w14:paraId="6FF3AD91" w14:textId="7A3418CC" w:rsidR="003F7A13" w:rsidRPr="00685855" w:rsidRDefault="003F7A13" w:rsidP="00DA50E4">
      <w:pPr>
        <w:pStyle w:val="EndNoteBibliography"/>
        <w:spacing w:after="0"/>
        <w:jc w:val="both"/>
        <w:rPr>
          <w:rFonts w:asciiTheme="minorHAnsi" w:hAnsiTheme="minorHAnsi" w:cstheme="minorHAnsi"/>
          <w:sz w:val="24"/>
          <w:szCs w:val="24"/>
        </w:rPr>
      </w:pPr>
      <w:r w:rsidRPr="00685855">
        <w:rPr>
          <w:rFonts w:asciiTheme="minorHAnsi" w:hAnsiTheme="minorHAnsi" w:cstheme="minorHAnsi"/>
          <w:sz w:val="24"/>
          <w:szCs w:val="24"/>
        </w:rPr>
        <w:t>19</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 xml:space="preserve">Northrup, P. A framework for designing interactivity intoWeb-based instruction. </w:t>
      </w:r>
      <w:r w:rsidRPr="00685855">
        <w:rPr>
          <w:rFonts w:asciiTheme="minorHAnsi" w:hAnsiTheme="minorHAnsi" w:cstheme="minorHAnsi"/>
          <w:i/>
          <w:sz w:val="24"/>
          <w:szCs w:val="24"/>
        </w:rPr>
        <w:t>Educational Technology.</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41</w:t>
      </w:r>
      <w:r w:rsidRPr="00685855">
        <w:rPr>
          <w:rFonts w:asciiTheme="minorHAnsi" w:hAnsiTheme="minorHAnsi" w:cstheme="minorHAnsi"/>
          <w:sz w:val="24"/>
          <w:szCs w:val="24"/>
        </w:rPr>
        <w:t xml:space="preserve"> (2), 31-39</w:t>
      </w:r>
      <w:r w:rsidR="00967123" w:rsidRPr="00967123">
        <w:rPr>
          <w:rFonts w:asciiTheme="minorHAnsi" w:hAnsiTheme="minorHAnsi" w:cstheme="minorHAnsi"/>
          <w:sz w:val="24"/>
          <w:szCs w:val="24"/>
        </w:rPr>
        <w:t xml:space="preserve"> (</w:t>
      </w:r>
      <w:r w:rsidRPr="00685855">
        <w:rPr>
          <w:rFonts w:asciiTheme="minorHAnsi" w:hAnsiTheme="minorHAnsi" w:cstheme="minorHAnsi"/>
          <w:sz w:val="24"/>
          <w:szCs w:val="24"/>
        </w:rPr>
        <w:t>2001).</w:t>
      </w:r>
    </w:p>
    <w:p w14:paraId="30B1AF3A" w14:textId="46E25CC3" w:rsidR="00AC3F99" w:rsidRPr="00685855" w:rsidRDefault="003F7A13" w:rsidP="007327DE">
      <w:pPr>
        <w:pStyle w:val="EndNoteBibliography"/>
        <w:spacing w:after="0"/>
        <w:jc w:val="both"/>
        <w:rPr>
          <w:rFonts w:cstheme="minorHAnsi"/>
          <w:sz w:val="24"/>
          <w:szCs w:val="24"/>
        </w:rPr>
      </w:pPr>
      <w:r w:rsidRPr="00685855">
        <w:rPr>
          <w:rFonts w:asciiTheme="minorHAnsi" w:hAnsiTheme="minorHAnsi" w:cstheme="minorHAnsi"/>
          <w:sz w:val="24"/>
          <w:szCs w:val="24"/>
        </w:rPr>
        <w:t>20</w:t>
      </w:r>
      <w:r w:rsidR="00CE152E">
        <w:rPr>
          <w:rFonts w:asciiTheme="minorHAnsi" w:hAnsiTheme="minorHAnsi" w:cstheme="minorHAnsi"/>
          <w:sz w:val="24"/>
          <w:szCs w:val="24"/>
        </w:rPr>
        <w:t xml:space="preserve">. </w:t>
      </w:r>
      <w:r w:rsidRPr="00685855">
        <w:rPr>
          <w:rFonts w:asciiTheme="minorHAnsi" w:hAnsiTheme="minorHAnsi" w:cstheme="minorHAnsi"/>
          <w:sz w:val="24"/>
          <w:szCs w:val="24"/>
        </w:rPr>
        <w:t>Stalmeijer, R. E., McNaughton, N.</w:t>
      </w:r>
      <w:r w:rsidR="009F5C08" w:rsidRPr="009F5C08">
        <w:rPr>
          <w:rFonts w:asciiTheme="minorHAnsi" w:hAnsiTheme="minorHAnsi" w:cstheme="minorHAnsi"/>
          <w:sz w:val="24"/>
          <w:szCs w:val="24"/>
        </w:rPr>
        <w:t>,</w:t>
      </w:r>
      <w:r w:rsidRPr="00685855">
        <w:rPr>
          <w:rFonts w:asciiTheme="minorHAnsi" w:hAnsiTheme="minorHAnsi" w:cstheme="minorHAnsi"/>
          <w:sz w:val="24"/>
          <w:szCs w:val="24"/>
        </w:rPr>
        <w:t xml:space="preserve"> Van Mook, W. N. Using focus groups in medical education research: AMEE Guide No. 91. </w:t>
      </w:r>
      <w:r w:rsidRPr="00685855">
        <w:rPr>
          <w:rFonts w:asciiTheme="minorHAnsi" w:hAnsiTheme="minorHAnsi" w:cstheme="minorHAnsi"/>
          <w:i/>
          <w:sz w:val="24"/>
          <w:szCs w:val="24"/>
        </w:rPr>
        <w:t>Med</w:t>
      </w:r>
      <w:r w:rsidR="00AE53D2" w:rsidRPr="00685855">
        <w:rPr>
          <w:rFonts w:asciiTheme="minorHAnsi" w:hAnsiTheme="minorHAnsi" w:cstheme="minorHAnsi"/>
          <w:i/>
          <w:sz w:val="24"/>
          <w:szCs w:val="24"/>
        </w:rPr>
        <w:t>ical</w:t>
      </w:r>
      <w:r w:rsidRPr="00685855">
        <w:rPr>
          <w:rFonts w:asciiTheme="minorHAnsi" w:hAnsiTheme="minorHAnsi" w:cstheme="minorHAnsi"/>
          <w:i/>
          <w:sz w:val="24"/>
          <w:szCs w:val="24"/>
        </w:rPr>
        <w:t xml:space="preserve"> Teach</w:t>
      </w:r>
      <w:r w:rsidR="00AE53D2" w:rsidRPr="00685855">
        <w:rPr>
          <w:rFonts w:asciiTheme="minorHAnsi" w:hAnsiTheme="minorHAnsi" w:cstheme="minorHAnsi"/>
          <w:i/>
          <w:sz w:val="24"/>
          <w:szCs w:val="24"/>
        </w:rPr>
        <w:t>er</w:t>
      </w:r>
      <w:r w:rsidRPr="00685855">
        <w:rPr>
          <w:rFonts w:asciiTheme="minorHAnsi" w:hAnsiTheme="minorHAnsi" w:cstheme="minorHAnsi"/>
          <w:i/>
          <w:sz w:val="24"/>
          <w:szCs w:val="24"/>
        </w:rPr>
        <w:t>.</w:t>
      </w:r>
      <w:r w:rsidRPr="00685855">
        <w:rPr>
          <w:rFonts w:asciiTheme="minorHAnsi" w:hAnsiTheme="minorHAnsi" w:cstheme="minorHAnsi"/>
          <w:sz w:val="24"/>
          <w:szCs w:val="24"/>
        </w:rPr>
        <w:t xml:space="preserve"> </w:t>
      </w:r>
      <w:r w:rsidRPr="00685855">
        <w:rPr>
          <w:rFonts w:asciiTheme="minorHAnsi" w:hAnsiTheme="minorHAnsi" w:cstheme="minorHAnsi"/>
          <w:b/>
          <w:sz w:val="24"/>
          <w:szCs w:val="24"/>
        </w:rPr>
        <w:t>36</w:t>
      </w:r>
      <w:r w:rsidRPr="00685855">
        <w:rPr>
          <w:rFonts w:asciiTheme="minorHAnsi" w:hAnsiTheme="minorHAnsi" w:cstheme="minorHAnsi"/>
          <w:sz w:val="24"/>
          <w:szCs w:val="24"/>
        </w:rPr>
        <w:t xml:space="preserve"> (11), 923-939</w:t>
      </w:r>
      <w:r w:rsidR="00967123" w:rsidRPr="00967123">
        <w:rPr>
          <w:rFonts w:asciiTheme="minorHAnsi" w:hAnsiTheme="minorHAnsi" w:cstheme="minorHAnsi"/>
          <w:sz w:val="24"/>
          <w:szCs w:val="24"/>
        </w:rPr>
        <w:t xml:space="preserve"> (</w:t>
      </w:r>
      <w:r w:rsidRPr="00685855">
        <w:rPr>
          <w:rFonts w:asciiTheme="minorHAnsi" w:hAnsiTheme="minorHAnsi" w:cstheme="minorHAnsi"/>
          <w:sz w:val="24"/>
          <w:szCs w:val="24"/>
        </w:rPr>
        <w:t>2014).</w:t>
      </w:r>
    </w:p>
    <w:sectPr w:rsidR="00AC3F99" w:rsidRPr="00685855" w:rsidSect="00986AF5">
      <w:footerReference w:type="default" r:id="rId7"/>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F127B" w14:textId="77777777" w:rsidR="00DF2C8C" w:rsidRDefault="00DF2C8C">
      <w:pPr>
        <w:spacing w:after="0" w:line="240" w:lineRule="auto"/>
      </w:pPr>
      <w:r>
        <w:separator/>
      </w:r>
    </w:p>
  </w:endnote>
  <w:endnote w:type="continuationSeparator" w:id="0">
    <w:p w14:paraId="4E7ADD6A" w14:textId="77777777" w:rsidR="00DF2C8C" w:rsidRDefault="00DF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7661"/>
      <w:docPartObj>
        <w:docPartGallery w:val="Page Numbers (Bottom of Page)"/>
        <w:docPartUnique/>
      </w:docPartObj>
    </w:sdtPr>
    <w:sdtEndPr/>
    <w:sdtContent>
      <w:p w14:paraId="068BBD22" w14:textId="77777777" w:rsidR="00A00AA7" w:rsidRDefault="00E37944">
        <w:pPr>
          <w:pStyle w:val="Footer"/>
          <w:jc w:val="right"/>
        </w:pPr>
        <w:r>
          <w:fldChar w:fldCharType="begin"/>
        </w:r>
        <w:r>
          <w:instrText xml:space="preserve"> PAGE   \* MERGEFORMAT </w:instrText>
        </w:r>
        <w:r>
          <w:fldChar w:fldCharType="separate"/>
        </w:r>
        <w:r w:rsidR="005B5A9D">
          <w:rPr>
            <w:noProof/>
          </w:rPr>
          <w:t>7</w:t>
        </w:r>
        <w:r>
          <w:rPr>
            <w:noProof/>
          </w:rPr>
          <w:fldChar w:fldCharType="end"/>
        </w:r>
      </w:p>
    </w:sdtContent>
  </w:sdt>
  <w:p w14:paraId="39E3762D" w14:textId="77777777" w:rsidR="00A00AA7" w:rsidRDefault="00A00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44C9A" w14:textId="77777777" w:rsidR="00DF2C8C" w:rsidRDefault="00DF2C8C">
      <w:pPr>
        <w:spacing w:after="0" w:line="240" w:lineRule="auto"/>
      </w:pPr>
      <w:r>
        <w:separator/>
      </w:r>
    </w:p>
  </w:footnote>
  <w:footnote w:type="continuationSeparator" w:id="0">
    <w:p w14:paraId="26E1E134" w14:textId="77777777" w:rsidR="00DF2C8C" w:rsidRDefault="00DF2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A246A"/>
    <w:multiLevelType w:val="multilevel"/>
    <w:tmpl w:val="1E0C12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D0A391A"/>
    <w:multiLevelType w:val="multilevel"/>
    <w:tmpl w:val="C406BEDA"/>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E717A1A"/>
    <w:multiLevelType w:val="multilevel"/>
    <w:tmpl w:val="3E6E74C0"/>
    <w:lvl w:ilvl="0">
      <w:start w:val="1"/>
      <w:numFmt w:val="decimal"/>
      <w:lvlText w:val="%1."/>
      <w:lvlJc w:val="left"/>
      <w:pPr>
        <w:ind w:left="720" w:hanging="360"/>
      </w:pPr>
      <w:rPr>
        <w:rFonts w:hint="default"/>
        <w:sz w:val="26"/>
      </w:rPr>
    </w:lvl>
    <w:lvl w:ilvl="1">
      <w:start w:val="1"/>
      <w:numFmt w:val="decimal"/>
      <w:isLgl/>
      <w:lvlText w:val="%1.%2"/>
      <w:lvlJc w:val="left"/>
      <w:pPr>
        <w:ind w:left="795" w:hanging="43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1F57929"/>
    <w:multiLevelType w:val="multilevel"/>
    <w:tmpl w:val="60867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325679"/>
    <w:multiLevelType w:val="multilevel"/>
    <w:tmpl w:val="ED92A004"/>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45C7513"/>
    <w:multiLevelType w:val="multilevel"/>
    <w:tmpl w:val="A4468C9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DC437C"/>
    <w:multiLevelType w:val="multilevel"/>
    <w:tmpl w:val="8CF61A2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468B0AA5"/>
    <w:multiLevelType w:val="hybridMultilevel"/>
    <w:tmpl w:val="A17202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C3726D"/>
    <w:multiLevelType w:val="multilevel"/>
    <w:tmpl w:val="16D08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E223AE"/>
    <w:multiLevelType w:val="hybridMultilevel"/>
    <w:tmpl w:val="788C2F94"/>
    <w:lvl w:ilvl="0" w:tplc="F0569D70">
      <w:start w:val="44"/>
      <w:numFmt w:val="bullet"/>
      <w:lvlText w:val=""/>
      <w:lvlJc w:val="left"/>
      <w:pPr>
        <w:ind w:left="1068" w:hanging="360"/>
      </w:pPr>
      <w:rPr>
        <w:rFonts w:ascii="Wingdings" w:eastAsiaTheme="minorHAnsi" w:hAnsi="Wingdings"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574D5E8E"/>
    <w:multiLevelType w:val="hybridMultilevel"/>
    <w:tmpl w:val="B44A269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702BFE"/>
    <w:multiLevelType w:val="multilevel"/>
    <w:tmpl w:val="7A8CB42E"/>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3D137E"/>
    <w:multiLevelType w:val="multilevel"/>
    <w:tmpl w:val="02885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F54B39"/>
    <w:multiLevelType w:val="hybridMultilevel"/>
    <w:tmpl w:val="6AAE378E"/>
    <w:lvl w:ilvl="0" w:tplc="0413000F">
      <w:start w:val="3"/>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CBA3FA6"/>
    <w:multiLevelType w:val="multilevel"/>
    <w:tmpl w:val="5BA2C25C"/>
    <w:lvl w:ilvl="0">
      <w:start w:val="1"/>
      <w:numFmt w:val="decimal"/>
      <w:suff w:val="space"/>
      <w:lvlText w:val="%1."/>
      <w:lvlJc w:val="left"/>
      <w:pPr>
        <w:ind w:left="0" w:firstLine="0"/>
      </w:pPr>
      <w:rPr>
        <w:rFonts w:asciiTheme="minorHAnsi" w:eastAsiaTheme="minorHAnsi" w:hAnsiTheme="minorHAnsi" w:cstheme="minorBidi" w:hint="default"/>
      </w:rPr>
    </w:lvl>
    <w:lvl w:ilvl="1">
      <w:start w:val="1"/>
      <w:numFmt w:val="decimal"/>
      <w:isLgl/>
      <w:lvlText w:val="%1.%2."/>
      <w:lvlJc w:val="left"/>
      <w:pPr>
        <w:ind w:left="0" w:firstLine="0"/>
      </w:pPr>
      <w:rPr>
        <w:rFonts w:hint="default"/>
      </w:rPr>
    </w:lvl>
    <w:lvl w:ilvl="2">
      <w:start w:val="6"/>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5"/>
  </w:num>
  <w:num w:numId="2">
    <w:abstractNumId w:val="11"/>
  </w:num>
  <w:num w:numId="3">
    <w:abstractNumId w:val="8"/>
  </w:num>
  <w:num w:numId="4">
    <w:abstractNumId w:val="12"/>
  </w:num>
  <w:num w:numId="5">
    <w:abstractNumId w:val="0"/>
  </w:num>
  <w:num w:numId="6">
    <w:abstractNumId w:val="7"/>
  </w:num>
  <w:num w:numId="7">
    <w:abstractNumId w:val="2"/>
  </w:num>
  <w:num w:numId="8">
    <w:abstractNumId w:val="4"/>
  </w:num>
  <w:num w:numId="9">
    <w:abstractNumId w:val="3"/>
  </w:num>
  <w:num w:numId="10">
    <w:abstractNumId w:val="14"/>
  </w:num>
  <w:num w:numId="11">
    <w:abstractNumId w:val="1"/>
  </w:num>
  <w:num w:numId="12">
    <w:abstractNumId w:val="10"/>
  </w:num>
  <w:num w:numId="13">
    <w:abstractNumId w:val="13"/>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F7A13"/>
    <w:rsid w:val="00013107"/>
    <w:rsid w:val="00041C86"/>
    <w:rsid w:val="00057C44"/>
    <w:rsid w:val="00062768"/>
    <w:rsid w:val="000F3FAA"/>
    <w:rsid w:val="0011387B"/>
    <w:rsid w:val="001564A1"/>
    <w:rsid w:val="001E15B6"/>
    <w:rsid w:val="001F7311"/>
    <w:rsid w:val="002002A2"/>
    <w:rsid w:val="00220925"/>
    <w:rsid w:val="00222900"/>
    <w:rsid w:val="00244615"/>
    <w:rsid w:val="00267F2B"/>
    <w:rsid w:val="002F7320"/>
    <w:rsid w:val="00315C0B"/>
    <w:rsid w:val="00330BC5"/>
    <w:rsid w:val="00343AB5"/>
    <w:rsid w:val="003764B7"/>
    <w:rsid w:val="003D271E"/>
    <w:rsid w:val="003F30F8"/>
    <w:rsid w:val="003F7A13"/>
    <w:rsid w:val="00442899"/>
    <w:rsid w:val="00446FD5"/>
    <w:rsid w:val="00464256"/>
    <w:rsid w:val="00467751"/>
    <w:rsid w:val="00482BEF"/>
    <w:rsid w:val="00484F22"/>
    <w:rsid w:val="00493633"/>
    <w:rsid w:val="004A1E0F"/>
    <w:rsid w:val="004C0633"/>
    <w:rsid w:val="004E3057"/>
    <w:rsid w:val="0051008F"/>
    <w:rsid w:val="00544428"/>
    <w:rsid w:val="005457D3"/>
    <w:rsid w:val="00596C0A"/>
    <w:rsid w:val="005A39D4"/>
    <w:rsid w:val="005B5A9D"/>
    <w:rsid w:val="005D2E54"/>
    <w:rsid w:val="005F45D7"/>
    <w:rsid w:val="00621614"/>
    <w:rsid w:val="00635648"/>
    <w:rsid w:val="0067625C"/>
    <w:rsid w:val="00685855"/>
    <w:rsid w:val="006B43BE"/>
    <w:rsid w:val="006C1A33"/>
    <w:rsid w:val="006D6701"/>
    <w:rsid w:val="006F7497"/>
    <w:rsid w:val="00715747"/>
    <w:rsid w:val="007264D5"/>
    <w:rsid w:val="007327DE"/>
    <w:rsid w:val="00736A9B"/>
    <w:rsid w:val="00752AC0"/>
    <w:rsid w:val="007B2909"/>
    <w:rsid w:val="007D4CE5"/>
    <w:rsid w:val="007E5772"/>
    <w:rsid w:val="008230A5"/>
    <w:rsid w:val="00830426"/>
    <w:rsid w:val="0085261A"/>
    <w:rsid w:val="00874354"/>
    <w:rsid w:val="008F7DBA"/>
    <w:rsid w:val="00963D93"/>
    <w:rsid w:val="00967123"/>
    <w:rsid w:val="00974922"/>
    <w:rsid w:val="00986AF5"/>
    <w:rsid w:val="009906F4"/>
    <w:rsid w:val="009A0FA4"/>
    <w:rsid w:val="009A7971"/>
    <w:rsid w:val="009D0457"/>
    <w:rsid w:val="009D1A1D"/>
    <w:rsid w:val="009E508D"/>
    <w:rsid w:val="009F5C08"/>
    <w:rsid w:val="00A00AA7"/>
    <w:rsid w:val="00A22B5E"/>
    <w:rsid w:val="00AB538F"/>
    <w:rsid w:val="00AC3F99"/>
    <w:rsid w:val="00AE17C9"/>
    <w:rsid w:val="00AE53D2"/>
    <w:rsid w:val="00B11877"/>
    <w:rsid w:val="00B16DE5"/>
    <w:rsid w:val="00B331A8"/>
    <w:rsid w:val="00B434CC"/>
    <w:rsid w:val="00B57A8E"/>
    <w:rsid w:val="00B808EA"/>
    <w:rsid w:val="00BD5E45"/>
    <w:rsid w:val="00C4685C"/>
    <w:rsid w:val="00C70BC1"/>
    <w:rsid w:val="00CC30E6"/>
    <w:rsid w:val="00CD437D"/>
    <w:rsid w:val="00CD730B"/>
    <w:rsid w:val="00CE152E"/>
    <w:rsid w:val="00CF1F1A"/>
    <w:rsid w:val="00CF5C16"/>
    <w:rsid w:val="00CF5D48"/>
    <w:rsid w:val="00D32C43"/>
    <w:rsid w:val="00D65002"/>
    <w:rsid w:val="00D73999"/>
    <w:rsid w:val="00D81574"/>
    <w:rsid w:val="00DA34D1"/>
    <w:rsid w:val="00DA50E4"/>
    <w:rsid w:val="00DE55A5"/>
    <w:rsid w:val="00DF05A7"/>
    <w:rsid w:val="00DF2C8C"/>
    <w:rsid w:val="00E3547A"/>
    <w:rsid w:val="00E36738"/>
    <w:rsid w:val="00E37944"/>
    <w:rsid w:val="00E44485"/>
    <w:rsid w:val="00E64BE2"/>
    <w:rsid w:val="00E72863"/>
    <w:rsid w:val="00E805D7"/>
    <w:rsid w:val="00E844AF"/>
    <w:rsid w:val="00EB51AF"/>
    <w:rsid w:val="00F04430"/>
    <w:rsid w:val="00F73AAC"/>
    <w:rsid w:val="00F75865"/>
    <w:rsid w:val="00F97E7F"/>
    <w:rsid w:val="00FA4F8B"/>
    <w:rsid w:val="00FB15B0"/>
    <w:rsid w:val="00FC0BDB"/>
    <w:rsid w:val="00FF2EC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206B"/>
  <w15:docId w15:val="{A6974EBB-CBEA-4116-8411-5494CA8C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A13"/>
    <w:rPr>
      <w:rFonts w:eastAsiaTheme="minorEastAsia"/>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7A13"/>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3F7A13"/>
    <w:rPr>
      <w:rFonts w:eastAsiaTheme="minorEastAsia"/>
      <w:lang w:eastAsia="nl-NL"/>
    </w:rPr>
  </w:style>
  <w:style w:type="paragraph" w:customStyle="1" w:styleId="EndNoteBibliography">
    <w:name w:val="EndNote Bibliography"/>
    <w:basedOn w:val="Normal"/>
    <w:link w:val="EndNoteBibliographyChar"/>
    <w:rsid w:val="003F7A1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F7A13"/>
    <w:rPr>
      <w:rFonts w:ascii="Calibri" w:eastAsiaTheme="minorEastAsia" w:hAnsi="Calibri"/>
      <w:noProof/>
      <w:lang w:val="en-US" w:eastAsia="nl-NL"/>
    </w:rPr>
  </w:style>
  <w:style w:type="character" w:styleId="Hyperlink">
    <w:name w:val="Hyperlink"/>
    <w:basedOn w:val="DefaultParagraphFont"/>
    <w:uiPriority w:val="99"/>
    <w:unhideWhenUsed/>
    <w:rsid w:val="003F7A13"/>
    <w:rPr>
      <w:color w:val="0000FF" w:themeColor="hyperlink"/>
      <w:u w:val="single"/>
    </w:rPr>
  </w:style>
  <w:style w:type="character" w:styleId="CommentReference">
    <w:name w:val="annotation reference"/>
    <w:basedOn w:val="DefaultParagraphFont"/>
    <w:uiPriority w:val="99"/>
    <w:semiHidden/>
    <w:unhideWhenUsed/>
    <w:rsid w:val="003F7A13"/>
    <w:rPr>
      <w:sz w:val="16"/>
      <w:szCs w:val="16"/>
    </w:rPr>
  </w:style>
  <w:style w:type="paragraph" w:styleId="CommentText">
    <w:name w:val="annotation text"/>
    <w:basedOn w:val="Normal"/>
    <w:link w:val="CommentTextChar"/>
    <w:uiPriority w:val="99"/>
    <w:semiHidden/>
    <w:unhideWhenUsed/>
    <w:rsid w:val="003F7A13"/>
    <w:pPr>
      <w:spacing w:line="240" w:lineRule="auto"/>
    </w:pPr>
    <w:rPr>
      <w:sz w:val="20"/>
      <w:szCs w:val="20"/>
    </w:rPr>
  </w:style>
  <w:style w:type="character" w:customStyle="1" w:styleId="CommentTextChar">
    <w:name w:val="Comment Text Char"/>
    <w:basedOn w:val="DefaultParagraphFont"/>
    <w:link w:val="CommentText"/>
    <w:uiPriority w:val="99"/>
    <w:semiHidden/>
    <w:rsid w:val="003F7A13"/>
    <w:rPr>
      <w:rFonts w:eastAsiaTheme="minorEastAsia"/>
      <w:sz w:val="20"/>
      <w:szCs w:val="20"/>
      <w:lang w:eastAsia="nl-NL"/>
    </w:rPr>
  </w:style>
  <w:style w:type="paragraph" w:customStyle="1" w:styleId="Titel1">
    <w:name w:val="Titel1"/>
    <w:basedOn w:val="Normal"/>
    <w:rsid w:val="003F7A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sc">
    <w:name w:val="desc"/>
    <w:basedOn w:val="Normal"/>
    <w:rsid w:val="003F7A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tails">
    <w:name w:val="details"/>
    <w:basedOn w:val="Normal"/>
    <w:rsid w:val="003F7A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jrnl">
    <w:name w:val="jrnl"/>
    <w:basedOn w:val="DefaultParagraphFont"/>
    <w:rsid w:val="003F7A13"/>
  </w:style>
  <w:style w:type="paragraph" w:customStyle="1" w:styleId="links">
    <w:name w:val="links"/>
    <w:basedOn w:val="Normal"/>
    <w:rsid w:val="003F7A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3F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A13"/>
    <w:rPr>
      <w:rFonts w:ascii="Tahoma" w:eastAsiaTheme="minorEastAsia" w:hAnsi="Tahoma" w:cs="Tahoma"/>
      <w:sz w:val="16"/>
      <w:szCs w:val="16"/>
      <w:lang w:eastAsia="nl-NL"/>
    </w:rPr>
  </w:style>
  <w:style w:type="character" w:styleId="FollowedHyperlink">
    <w:name w:val="FollowedHyperlink"/>
    <w:basedOn w:val="DefaultParagraphFont"/>
    <w:uiPriority w:val="99"/>
    <w:semiHidden/>
    <w:unhideWhenUsed/>
    <w:rsid w:val="003F7A13"/>
    <w:rPr>
      <w:color w:val="800080" w:themeColor="followedHyperlink"/>
      <w:u w:val="single"/>
    </w:rPr>
  </w:style>
  <w:style w:type="paragraph" w:customStyle="1" w:styleId="EndNoteBibliographyTitle">
    <w:name w:val="EndNote Bibliography Title"/>
    <w:basedOn w:val="Normal"/>
    <w:link w:val="EndNoteBibliographyTitleChar"/>
    <w:rsid w:val="003F7A1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F7A13"/>
    <w:rPr>
      <w:rFonts w:ascii="Calibri" w:eastAsiaTheme="minorEastAsia" w:hAnsi="Calibri"/>
      <w:noProof/>
      <w:lang w:eastAsia="nl-NL"/>
    </w:rPr>
  </w:style>
  <w:style w:type="paragraph" w:styleId="ListParagraph">
    <w:name w:val="List Paragraph"/>
    <w:basedOn w:val="Normal"/>
    <w:uiPriority w:val="34"/>
    <w:qFormat/>
    <w:rsid w:val="003F7A13"/>
    <w:pPr>
      <w:ind w:left="720"/>
      <w:contextualSpacing/>
    </w:pPr>
  </w:style>
  <w:style w:type="paragraph" w:styleId="Header">
    <w:name w:val="header"/>
    <w:basedOn w:val="Normal"/>
    <w:link w:val="HeaderChar"/>
    <w:uiPriority w:val="99"/>
    <w:unhideWhenUsed/>
    <w:rsid w:val="003F7A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7A13"/>
    <w:rPr>
      <w:rFonts w:eastAsiaTheme="minorEastAsia"/>
      <w:lang w:eastAsia="nl-NL"/>
    </w:rPr>
  </w:style>
  <w:style w:type="paragraph" w:styleId="Footer">
    <w:name w:val="footer"/>
    <w:basedOn w:val="Normal"/>
    <w:link w:val="FooterChar"/>
    <w:uiPriority w:val="99"/>
    <w:unhideWhenUsed/>
    <w:rsid w:val="003F7A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7A13"/>
    <w:rPr>
      <w:rFonts w:eastAsiaTheme="minorEastAsia"/>
      <w:lang w:eastAsia="nl-NL"/>
    </w:rPr>
  </w:style>
  <w:style w:type="character" w:styleId="LineNumber">
    <w:name w:val="line number"/>
    <w:basedOn w:val="DefaultParagraphFont"/>
    <w:uiPriority w:val="99"/>
    <w:semiHidden/>
    <w:unhideWhenUsed/>
    <w:rsid w:val="003F7A13"/>
  </w:style>
  <w:style w:type="table" w:styleId="TableGrid">
    <w:name w:val="Table Grid"/>
    <w:basedOn w:val="TableNormal"/>
    <w:uiPriority w:val="59"/>
    <w:unhideWhenUsed/>
    <w:rsid w:val="003F7A13"/>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F7A13"/>
    <w:rPr>
      <w:b/>
      <w:bCs/>
    </w:rPr>
  </w:style>
  <w:style w:type="character" w:customStyle="1" w:styleId="CommentSubjectChar">
    <w:name w:val="Comment Subject Char"/>
    <w:basedOn w:val="CommentTextChar"/>
    <w:link w:val="CommentSubject"/>
    <w:uiPriority w:val="99"/>
    <w:semiHidden/>
    <w:rsid w:val="003F7A13"/>
    <w:rPr>
      <w:rFonts w:eastAsiaTheme="minorEastAsia"/>
      <w:b/>
      <w:bCs/>
      <w:sz w:val="20"/>
      <w:szCs w:val="20"/>
      <w:lang w:eastAsia="nl-NL"/>
    </w:rPr>
  </w:style>
  <w:style w:type="table" w:customStyle="1" w:styleId="Lichtelijst1">
    <w:name w:val="Lichte lijst1"/>
    <w:basedOn w:val="TableNormal"/>
    <w:uiPriority w:val="61"/>
    <w:rsid w:val="003F7A13"/>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accent11">
    <w:name w:val="Lichte lijst - accent 11"/>
    <w:basedOn w:val="TableNormal"/>
    <w:uiPriority w:val="61"/>
    <w:rsid w:val="003F7A13"/>
    <w:pPr>
      <w:spacing w:after="0" w:line="240" w:lineRule="auto"/>
    </w:pPr>
    <w:rPr>
      <w:rFonts w:eastAsiaTheme="minorEastAsia"/>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4253</Words>
  <Characters>24246</Characters>
  <Application>Microsoft Office Word</Application>
  <DocSecurity>0</DocSecurity>
  <Lines>202</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UMC St Radboud</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Z404165</dc:creator>
  <cp:lastModifiedBy>Editor</cp:lastModifiedBy>
  <cp:revision>132</cp:revision>
  <dcterms:created xsi:type="dcterms:W3CDTF">2019-05-13T06:17:00Z</dcterms:created>
  <dcterms:modified xsi:type="dcterms:W3CDTF">2019-05-14T13:56:00Z</dcterms:modified>
</cp:coreProperties>
</file>