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581A1" w14:textId="2D4445F0" w:rsidR="00942E88" w:rsidRDefault="00C60D72" w:rsidP="00C16832">
      <w:pPr>
        <w:pStyle w:val="NormalWeb"/>
        <w:spacing w:beforeAutospacing="0" w:afterAutospacing="0" w:line="0" w:lineRule="atLeast"/>
      </w:pPr>
      <w:r>
        <w:rPr>
          <w:rFonts w:cstheme="minorHAnsi"/>
          <w:b/>
          <w:bCs/>
        </w:rPr>
        <w:t>TITLE:</w:t>
      </w:r>
      <w:r>
        <w:rPr>
          <w:rFonts w:cstheme="minorHAnsi"/>
        </w:rPr>
        <w:t xml:space="preserve"> </w:t>
      </w:r>
    </w:p>
    <w:p w14:paraId="6BEAF1D9" w14:textId="0567A7C7" w:rsidR="00942E88" w:rsidRPr="009A6357" w:rsidRDefault="0047474A" w:rsidP="00C16832">
      <w:pPr>
        <w:spacing w:line="0" w:lineRule="atLeast"/>
        <w:rPr>
          <w:b/>
        </w:rPr>
      </w:pPr>
      <w:r w:rsidRPr="009A6357">
        <w:rPr>
          <w:rFonts w:cstheme="minorHAnsi"/>
          <w:b/>
          <w:bCs/>
        </w:rPr>
        <w:t>Characterizing</w:t>
      </w:r>
      <w:r w:rsidR="00C742CA" w:rsidRPr="009A6357">
        <w:rPr>
          <w:rFonts w:cstheme="minorHAnsi"/>
          <w:b/>
          <w:bCs/>
        </w:rPr>
        <w:t xml:space="preserve"> </w:t>
      </w:r>
      <w:r w:rsidR="00AE02B3" w:rsidRPr="009A6357">
        <w:rPr>
          <w:rFonts w:cstheme="minorHAnsi"/>
          <w:b/>
          <w:bCs/>
        </w:rPr>
        <w:t>M</w:t>
      </w:r>
      <w:r w:rsidR="00C60D72" w:rsidRPr="009A6357">
        <w:rPr>
          <w:rFonts w:cstheme="minorHAnsi"/>
          <w:b/>
          <w:bCs/>
        </w:rPr>
        <w:t>utation</w:t>
      </w:r>
      <w:r w:rsidR="00C742CA" w:rsidRPr="009A6357">
        <w:rPr>
          <w:rFonts w:cstheme="minorHAnsi"/>
          <w:b/>
          <w:bCs/>
        </w:rPr>
        <w:t xml:space="preserve">al </w:t>
      </w:r>
      <w:r w:rsidR="00AE02B3" w:rsidRPr="009A6357">
        <w:rPr>
          <w:rFonts w:cstheme="minorHAnsi"/>
          <w:b/>
          <w:bCs/>
        </w:rPr>
        <w:t>L</w:t>
      </w:r>
      <w:r w:rsidR="00C742CA" w:rsidRPr="009A6357">
        <w:rPr>
          <w:rFonts w:cstheme="minorHAnsi"/>
          <w:b/>
          <w:bCs/>
        </w:rPr>
        <w:t>oad</w:t>
      </w:r>
      <w:r w:rsidR="00C60D72" w:rsidRPr="009A6357">
        <w:rPr>
          <w:rFonts w:cstheme="minorHAnsi"/>
          <w:b/>
          <w:bCs/>
        </w:rPr>
        <w:t xml:space="preserve"> and </w:t>
      </w:r>
      <w:r w:rsidR="00AE02B3" w:rsidRPr="009A6357">
        <w:rPr>
          <w:rFonts w:cstheme="minorHAnsi"/>
          <w:b/>
          <w:bCs/>
        </w:rPr>
        <w:t>C</w:t>
      </w:r>
      <w:r w:rsidR="00502877" w:rsidRPr="009A6357">
        <w:rPr>
          <w:rFonts w:cstheme="minorHAnsi"/>
          <w:b/>
          <w:bCs/>
        </w:rPr>
        <w:t>lonal</w:t>
      </w:r>
      <w:r w:rsidR="00376716" w:rsidRPr="009A6357">
        <w:rPr>
          <w:rFonts w:cstheme="minorHAnsi"/>
          <w:b/>
          <w:bCs/>
        </w:rPr>
        <w:t xml:space="preserve"> </w:t>
      </w:r>
      <w:r w:rsidR="00AE02B3" w:rsidRPr="009A6357">
        <w:rPr>
          <w:rFonts w:cstheme="minorHAnsi"/>
          <w:b/>
          <w:bCs/>
        </w:rPr>
        <w:t>C</w:t>
      </w:r>
      <w:r w:rsidR="00376716" w:rsidRPr="009A6357">
        <w:rPr>
          <w:rFonts w:cstheme="minorHAnsi"/>
          <w:b/>
          <w:bCs/>
        </w:rPr>
        <w:t xml:space="preserve">omposition of </w:t>
      </w:r>
      <w:r w:rsidR="00AE02B3" w:rsidRPr="009A6357">
        <w:rPr>
          <w:rFonts w:cstheme="minorHAnsi"/>
          <w:b/>
          <w:bCs/>
        </w:rPr>
        <w:t>H</w:t>
      </w:r>
      <w:r w:rsidR="00376716" w:rsidRPr="009A6357">
        <w:rPr>
          <w:rFonts w:cstheme="minorHAnsi"/>
          <w:b/>
          <w:bCs/>
        </w:rPr>
        <w:t xml:space="preserve">uman </w:t>
      </w:r>
      <w:r w:rsidR="00AE02B3" w:rsidRPr="009A6357">
        <w:rPr>
          <w:rFonts w:cstheme="minorHAnsi"/>
          <w:b/>
          <w:bCs/>
        </w:rPr>
        <w:t>B</w:t>
      </w:r>
      <w:r w:rsidR="00C60D72" w:rsidRPr="009A6357">
        <w:rPr>
          <w:rFonts w:cstheme="minorHAnsi"/>
          <w:b/>
          <w:bCs/>
        </w:rPr>
        <w:t xml:space="preserve">lood </w:t>
      </w:r>
    </w:p>
    <w:p w14:paraId="2F4D1568" w14:textId="77777777" w:rsidR="00942E88" w:rsidRDefault="00942E88" w:rsidP="00C16832">
      <w:pPr>
        <w:spacing w:line="0" w:lineRule="atLeast"/>
        <w:rPr>
          <w:rFonts w:asciiTheme="minorHAnsi" w:hAnsiTheme="minorHAnsi" w:cstheme="minorHAnsi"/>
          <w:b/>
          <w:bCs/>
        </w:rPr>
      </w:pPr>
    </w:p>
    <w:p w14:paraId="6F507F67" w14:textId="749C2A3F" w:rsidR="004D2639" w:rsidRDefault="00C60D72" w:rsidP="00C16832">
      <w:pPr>
        <w:spacing w:line="0" w:lineRule="atLeast"/>
      </w:pPr>
      <w:r>
        <w:rPr>
          <w:rFonts w:cstheme="minorHAnsi"/>
          <w:b/>
          <w:bCs/>
        </w:rPr>
        <w:t>AUTHORS AND AFFILIATIONS:</w:t>
      </w:r>
    </w:p>
    <w:p w14:paraId="4EEC5F18" w14:textId="5F248B06" w:rsidR="004D2639" w:rsidRPr="004D2639" w:rsidRDefault="004D2639" w:rsidP="00C16832">
      <w:pPr>
        <w:spacing w:line="0" w:lineRule="atLeast"/>
        <w:rPr>
          <w:vertAlign w:val="superscript"/>
        </w:rPr>
      </w:pPr>
      <w:r>
        <w:t>Axel Rosendahl Huber</w:t>
      </w:r>
      <w:r>
        <w:rPr>
          <w:vertAlign w:val="superscript"/>
        </w:rPr>
        <w:t>1</w:t>
      </w:r>
      <w:r>
        <w:t xml:space="preserve">, </w:t>
      </w:r>
      <w:proofErr w:type="spellStart"/>
      <w:r w:rsidR="0028026B">
        <w:t>Freek</w:t>
      </w:r>
      <w:proofErr w:type="spellEnd"/>
      <w:r w:rsidR="0028026B">
        <w:t xml:space="preserve"> Manders</w:t>
      </w:r>
      <w:r w:rsidR="0028026B">
        <w:rPr>
          <w:vertAlign w:val="superscript"/>
        </w:rPr>
        <w:t>1</w:t>
      </w:r>
      <w:r w:rsidR="0028026B">
        <w:t>,</w:t>
      </w:r>
      <w:r>
        <w:t xml:space="preserve"> </w:t>
      </w:r>
      <w:proofErr w:type="spellStart"/>
      <w:r w:rsidR="008729DE">
        <w:t>Rurika</w:t>
      </w:r>
      <w:proofErr w:type="spellEnd"/>
      <w:r w:rsidR="008729DE">
        <w:t xml:space="preserve"> Oka</w:t>
      </w:r>
      <w:r w:rsidR="008729DE">
        <w:rPr>
          <w:vertAlign w:val="superscript"/>
        </w:rPr>
        <w:t>1</w:t>
      </w:r>
      <w:r w:rsidR="008729DE">
        <w:t>,</w:t>
      </w:r>
      <w:r w:rsidR="008729DE">
        <w:rPr>
          <w:vertAlign w:val="superscript"/>
        </w:rPr>
        <w:t xml:space="preserve"> </w:t>
      </w:r>
      <w:r>
        <w:t>Ruben van Boxtel</w:t>
      </w:r>
      <w:r>
        <w:rPr>
          <w:vertAlign w:val="superscript"/>
        </w:rPr>
        <w:t>1</w:t>
      </w:r>
    </w:p>
    <w:p w14:paraId="246D147C" w14:textId="77777777" w:rsidR="00AE02B3" w:rsidRDefault="00AE02B3" w:rsidP="00C16832">
      <w:pPr>
        <w:spacing w:line="0" w:lineRule="atLeast"/>
        <w:rPr>
          <w:vertAlign w:val="superscript"/>
        </w:rPr>
      </w:pPr>
    </w:p>
    <w:p w14:paraId="2090D110" w14:textId="76854C22" w:rsidR="004D2639" w:rsidRPr="004D2639" w:rsidRDefault="004D2639" w:rsidP="00C16832">
      <w:pPr>
        <w:spacing w:line="0" w:lineRule="atLeast"/>
        <w:rPr>
          <w:vertAlign w:val="superscript"/>
        </w:rPr>
      </w:pPr>
      <w:r>
        <w:rPr>
          <w:vertAlign w:val="superscript"/>
        </w:rPr>
        <w:t>1</w:t>
      </w:r>
      <w:r w:rsidRPr="004D2639">
        <w:t xml:space="preserve">Princess </w:t>
      </w:r>
      <w:proofErr w:type="spellStart"/>
      <w:r w:rsidRPr="004D2639">
        <w:t>M</w:t>
      </w:r>
      <w:r>
        <w:t>á</w:t>
      </w:r>
      <w:r w:rsidRPr="004D2639">
        <w:t>xima</w:t>
      </w:r>
      <w:proofErr w:type="spellEnd"/>
      <w:r w:rsidRPr="004D2639">
        <w:t xml:space="preserve"> Center for Pediatric Oncology, Utrecht, the Netherlands</w:t>
      </w:r>
    </w:p>
    <w:p w14:paraId="15C93A40" w14:textId="668BBDA4" w:rsidR="004D2639" w:rsidRDefault="004D2639" w:rsidP="00C16832">
      <w:pPr>
        <w:spacing w:line="0" w:lineRule="atLeast"/>
      </w:pPr>
    </w:p>
    <w:p w14:paraId="19F73178" w14:textId="6A909977" w:rsidR="004D2639" w:rsidRPr="00C16832" w:rsidRDefault="004D2639" w:rsidP="00C16832">
      <w:pPr>
        <w:spacing w:line="0" w:lineRule="atLeast"/>
        <w:rPr>
          <w:b/>
        </w:rPr>
      </w:pPr>
      <w:r w:rsidRPr="00C16832">
        <w:rPr>
          <w:b/>
        </w:rPr>
        <w:t xml:space="preserve">Corresponding Author: </w:t>
      </w:r>
    </w:p>
    <w:p w14:paraId="2DA9130F" w14:textId="72C6B5AD" w:rsidR="004D2639" w:rsidRDefault="004D2639" w:rsidP="00C16832">
      <w:pPr>
        <w:spacing w:line="0" w:lineRule="atLeast"/>
      </w:pPr>
      <w:r>
        <w:t xml:space="preserve">Ruben van </w:t>
      </w:r>
      <w:proofErr w:type="spellStart"/>
      <w:r>
        <w:t>Boxtel</w:t>
      </w:r>
      <w:proofErr w:type="spellEnd"/>
      <w:r w:rsidR="00AE02B3">
        <w:tab/>
      </w:r>
      <w:r w:rsidR="00AE02B3">
        <w:tab/>
        <w:t>(</w:t>
      </w:r>
      <w:r w:rsidRPr="004D2639">
        <w:t>R.vanboxtel@prinsesmaximacentrum.nl</w:t>
      </w:r>
      <w:r w:rsidR="00AE02B3">
        <w:t>)</w:t>
      </w:r>
    </w:p>
    <w:p w14:paraId="5A671B80" w14:textId="1F8A8302" w:rsidR="004D2639" w:rsidRDefault="004D2639" w:rsidP="00C16832">
      <w:pPr>
        <w:spacing w:line="0" w:lineRule="atLeast"/>
      </w:pPr>
    </w:p>
    <w:p w14:paraId="1FD0A8AA" w14:textId="71A455F0" w:rsidR="004D2639" w:rsidRPr="00C16832" w:rsidRDefault="004D2639" w:rsidP="00C16832">
      <w:pPr>
        <w:spacing w:line="0" w:lineRule="atLeast"/>
        <w:rPr>
          <w:b/>
        </w:rPr>
      </w:pPr>
      <w:r w:rsidRPr="00C16832">
        <w:rPr>
          <w:b/>
        </w:rPr>
        <w:t>Email Addresses of Co-Authors:</w:t>
      </w:r>
    </w:p>
    <w:p w14:paraId="4881C489" w14:textId="7764B948" w:rsidR="004D2639" w:rsidRDefault="004D2639" w:rsidP="00C16832">
      <w:pPr>
        <w:spacing w:line="0" w:lineRule="atLeast"/>
      </w:pPr>
      <w:r>
        <w:t>Axel Rosendahl Huber</w:t>
      </w:r>
      <w:r>
        <w:tab/>
      </w:r>
      <w:r>
        <w:tab/>
      </w:r>
      <w:r w:rsidR="00AE02B3">
        <w:t>(</w:t>
      </w:r>
      <w:r w:rsidRPr="004D2639">
        <w:t>A.K.M.RosendahlHuber@prinsesmaximacentrum.nl</w:t>
      </w:r>
      <w:r w:rsidR="00AE02B3">
        <w:t>)</w:t>
      </w:r>
    </w:p>
    <w:p w14:paraId="0768E144" w14:textId="76889CC0" w:rsidR="0028026B" w:rsidRDefault="0028026B" w:rsidP="00C16832">
      <w:pPr>
        <w:spacing w:line="0" w:lineRule="atLeast"/>
        <w:rPr>
          <w:lang w:val="nl-NL"/>
        </w:rPr>
      </w:pPr>
      <w:r>
        <w:rPr>
          <w:lang w:val="nl-NL"/>
        </w:rPr>
        <w:t xml:space="preserve">Freek Manders </w:t>
      </w:r>
      <w:r>
        <w:rPr>
          <w:lang w:val="nl-NL"/>
        </w:rPr>
        <w:tab/>
      </w:r>
      <w:r>
        <w:rPr>
          <w:lang w:val="nl-NL"/>
        </w:rPr>
        <w:tab/>
      </w:r>
      <w:r w:rsidR="00AE02B3">
        <w:rPr>
          <w:lang w:val="nl-NL"/>
        </w:rPr>
        <w:t>(</w:t>
      </w:r>
      <w:r w:rsidR="008729DE" w:rsidRPr="008729DE">
        <w:rPr>
          <w:lang w:val="nl-NL"/>
        </w:rPr>
        <w:t>F.M.Manders@prinsesmaximacentrum.nl</w:t>
      </w:r>
      <w:r w:rsidR="00AE02B3">
        <w:rPr>
          <w:lang w:val="nl-NL"/>
        </w:rPr>
        <w:t>)</w:t>
      </w:r>
    </w:p>
    <w:p w14:paraId="622ECE72" w14:textId="0CB65E57" w:rsidR="008729DE" w:rsidRDefault="008729DE" w:rsidP="00C16832">
      <w:pPr>
        <w:spacing w:line="0" w:lineRule="atLeast"/>
        <w:rPr>
          <w:lang w:val="nl-NL"/>
        </w:rPr>
      </w:pPr>
      <w:r w:rsidRPr="004565DF">
        <w:rPr>
          <w:lang w:val="nl-NL"/>
        </w:rPr>
        <w:t>Rurika Oka</w:t>
      </w:r>
      <w:r w:rsidRPr="004565DF">
        <w:rPr>
          <w:lang w:val="nl-NL"/>
        </w:rPr>
        <w:tab/>
      </w:r>
      <w:r w:rsidRPr="004565DF">
        <w:rPr>
          <w:lang w:val="nl-NL"/>
        </w:rPr>
        <w:tab/>
      </w:r>
      <w:r w:rsidRPr="004565DF">
        <w:rPr>
          <w:lang w:val="nl-NL"/>
        </w:rPr>
        <w:tab/>
      </w:r>
      <w:r w:rsidR="00AE02B3">
        <w:rPr>
          <w:lang w:val="nl-NL"/>
        </w:rPr>
        <w:t>(</w:t>
      </w:r>
      <w:r w:rsidRPr="008729DE">
        <w:rPr>
          <w:rStyle w:val="Hyperlink"/>
          <w:color w:val="auto"/>
          <w:u w:val="none"/>
          <w:lang w:val="nl-NL"/>
        </w:rPr>
        <w:t>R.Oka@prinsesmaximacentrum.nl</w:t>
      </w:r>
      <w:r w:rsidR="00AE02B3">
        <w:rPr>
          <w:rStyle w:val="Hyperlink"/>
          <w:color w:val="auto"/>
          <w:u w:val="none"/>
          <w:lang w:val="nl-NL"/>
        </w:rPr>
        <w:t>)</w:t>
      </w:r>
    </w:p>
    <w:p w14:paraId="5063ED1C" w14:textId="77777777" w:rsidR="004D2639" w:rsidRPr="004565DF" w:rsidRDefault="004D2639" w:rsidP="00C16832">
      <w:pPr>
        <w:spacing w:line="0" w:lineRule="atLeast"/>
        <w:rPr>
          <w:lang w:val="nl-NL"/>
        </w:rPr>
      </w:pPr>
    </w:p>
    <w:p w14:paraId="086782A7" w14:textId="7C3ECFA3" w:rsidR="00942E88" w:rsidRDefault="00C60D72" w:rsidP="00C16832">
      <w:pPr>
        <w:pStyle w:val="NormalWeb"/>
        <w:spacing w:beforeAutospacing="0" w:afterAutospacing="0" w:line="0" w:lineRule="atLeast"/>
        <w:rPr>
          <w:rFonts w:cstheme="minorHAnsi"/>
          <w:color w:val="808080"/>
        </w:rPr>
      </w:pPr>
      <w:r>
        <w:rPr>
          <w:rFonts w:cstheme="minorHAnsi"/>
          <w:b/>
          <w:bCs/>
        </w:rPr>
        <w:t>KEYWORDS:</w:t>
      </w:r>
    </w:p>
    <w:p w14:paraId="77293A87" w14:textId="58301911" w:rsidR="00502877" w:rsidRPr="00502877" w:rsidRDefault="00AE02B3" w:rsidP="00C16832">
      <w:pPr>
        <w:pStyle w:val="NormalWeb"/>
        <w:spacing w:beforeAutospacing="0" w:afterAutospacing="0" w:line="0" w:lineRule="atLeast"/>
      </w:pPr>
      <w:r>
        <w:t>h</w:t>
      </w:r>
      <w:r w:rsidR="00502877">
        <w:t>ematopoiesis, clonality, somatic mutations, development, lineag</w:t>
      </w:r>
      <w:r w:rsidR="00C742CA">
        <w:t>e</w:t>
      </w:r>
      <w:r w:rsidR="005A0982">
        <w:t xml:space="preserve"> tracing</w:t>
      </w:r>
      <w:r w:rsidR="00502877">
        <w:t>, mutational signatures, leukemia</w:t>
      </w:r>
    </w:p>
    <w:p w14:paraId="060C0621" w14:textId="77777777" w:rsidR="00942E88" w:rsidRDefault="00942E88" w:rsidP="00C16832">
      <w:pPr>
        <w:pStyle w:val="NormalWeb"/>
        <w:spacing w:beforeAutospacing="0" w:afterAutospacing="0" w:line="0" w:lineRule="atLeast"/>
        <w:rPr>
          <w:rFonts w:asciiTheme="minorHAnsi" w:hAnsiTheme="minorHAnsi" w:cstheme="minorHAnsi"/>
        </w:rPr>
      </w:pPr>
    </w:p>
    <w:p w14:paraId="1653E214" w14:textId="778F0ED0" w:rsidR="00942E88" w:rsidRDefault="00C60D72" w:rsidP="00C16832">
      <w:pPr>
        <w:spacing w:line="0" w:lineRule="atLeast"/>
      </w:pPr>
      <w:r>
        <w:rPr>
          <w:rFonts w:cstheme="minorHAnsi"/>
          <w:b/>
          <w:bCs/>
        </w:rPr>
        <w:t>SUMMARY:</w:t>
      </w:r>
    </w:p>
    <w:p w14:paraId="593018FC" w14:textId="3F6FB41E" w:rsidR="00942E88" w:rsidRDefault="002E3439" w:rsidP="00C16832">
      <w:pPr>
        <w:spacing w:line="0" w:lineRule="atLeast"/>
        <w:rPr>
          <w:rFonts w:asciiTheme="minorHAnsi" w:hAnsiTheme="minorHAnsi" w:cstheme="minorHAnsi"/>
        </w:rPr>
      </w:pPr>
      <w:r>
        <w:rPr>
          <w:rFonts w:asciiTheme="minorHAnsi" w:hAnsiTheme="minorHAnsi" w:cstheme="minorHAnsi"/>
        </w:rPr>
        <w:t>Somatic mutation</w:t>
      </w:r>
      <w:r w:rsidR="004A4F4A">
        <w:rPr>
          <w:rFonts w:asciiTheme="minorHAnsi" w:hAnsiTheme="minorHAnsi" w:cstheme="minorHAnsi"/>
        </w:rPr>
        <w:t xml:space="preserve"> pattern</w:t>
      </w:r>
      <w:r>
        <w:rPr>
          <w:rFonts w:asciiTheme="minorHAnsi" w:hAnsiTheme="minorHAnsi" w:cstheme="minorHAnsi"/>
        </w:rPr>
        <w:t xml:space="preserve">s in cells </w:t>
      </w:r>
      <w:r w:rsidR="004A4F4A">
        <w:rPr>
          <w:rFonts w:asciiTheme="minorHAnsi" w:hAnsiTheme="minorHAnsi" w:cstheme="minorHAnsi"/>
        </w:rPr>
        <w:t>reflect</w:t>
      </w:r>
      <w:r>
        <w:rPr>
          <w:rFonts w:asciiTheme="minorHAnsi" w:hAnsiTheme="minorHAnsi" w:cstheme="minorHAnsi"/>
        </w:rPr>
        <w:t xml:space="preserve"> previous </w:t>
      </w:r>
      <w:r w:rsidR="00E47072">
        <w:rPr>
          <w:rFonts w:asciiTheme="minorHAnsi" w:hAnsiTheme="minorHAnsi" w:cstheme="minorHAnsi"/>
        </w:rPr>
        <w:t xml:space="preserve">mutagenic </w:t>
      </w:r>
      <w:r>
        <w:rPr>
          <w:rFonts w:asciiTheme="minorHAnsi" w:hAnsiTheme="minorHAnsi" w:cstheme="minorHAnsi"/>
        </w:rPr>
        <w:t xml:space="preserve">exposure and </w:t>
      </w:r>
      <w:r w:rsidR="004A4F4A">
        <w:rPr>
          <w:rFonts w:asciiTheme="minorHAnsi" w:hAnsiTheme="minorHAnsi" w:cstheme="minorHAnsi"/>
        </w:rPr>
        <w:t xml:space="preserve">can </w:t>
      </w:r>
      <w:r>
        <w:rPr>
          <w:rFonts w:asciiTheme="minorHAnsi" w:hAnsiTheme="minorHAnsi" w:cstheme="minorHAnsi"/>
        </w:rPr>
        <w:t xml:space="preserve">reveal </w:t>
      </w:r>
      <w:r w:rsidR="004A4F4A">
        <w:rPr>
          <w:rFonts w:asciiTheme="minorHAnsi" w:hAnsiTheme="minorHAnsi" w:cstheme="minorHAnsi"/>
        </w:rPr>
        <w:t xml:space="preserve">developmental </w:t>
      </w:r>
      <w:r>
        <w:rPr>
          <w:rFonts w:asciiTheme="minorHAnsi" w:hAnsiTheme="minorHAnsi" w:cstheme="minorHAnsi"/>
        </w:rPr>
        <w:t xml:space="preserve">lineage relationships. </w:t>
      </w:r>
      <w:r w:rsidR="00AE02B3">
        <w:rPr>
          <w:rFonts w:asciiTheme="minorHAnsi" w:hAnsiTheme="minorHAnsi" w:cstheme="minorHAnsi"/>
        </w:rPr>
        <w:t>P</w:t>
      </w:r>
      <w:r>
        <w:rPr>
          <w:rFonts w:asciiTheme="minorHAnsi" w:hAnsiTheme="minorHAnsi" w:cstheme="minorHAnsi"/>
        </w:rPr>
        <w:t>resent</w:t>
      </w:r>
      <w:r w:rsidR="00AE02B3">
        <w:rPr>
          <w:rFonts w:asciiTheme="minorHAnsi" w:hAnsiTheme="minorHAnsi" w:cstheme="minorHAnsi"/>
        </w:rPr>
        <w:t>ed here is</w:t>
      </w:r>
      <w:r>
        <w:rPr>
          <w:rFonts w:asciiTheme="minorHAnsi" w:hAnsiTheme="minorHAnsi" w:cstheme="minorHAnsi"/>
        </w:rPr>
        <w:t xml:space="preserve"> a </w:t>
      </w:r>
      <w:r w:rsidR="004A4F4A">
        <w:rPr>
          <w:rFonts w:asciiTheme="minorHAnsi" w:hAnsiTheme="minorHAnsi" w:cstheme="minorHAnsi"/>
        </w:rPr>
        <w:t xml:space="preserve">methodology </w:t>
      </w:r>
      <w:r>
        <w:rPr>
          <w:rFonts w:asciiTheme="minorHAnsi" w:hAnsiTheme="minorHAnsi" w:cstheme="minorHAnsi"/>
        </w:rPr>
        <w:t xml:space="preserve">to </w:t>
      </w:r>
      <w:r w:rsidR="004A4F4A">
        <w:rPr>
          <w:rFonts w:asciiTheme="minorHAnsi" w:hAnsiTheme="minorHAnsi" w:cstheme="minorHAnsi"/>
        </w:rPr>
        <w:t xml:space="preserve">catalogue and analyze somatic </w:t>
      </w:r>
      <w:r>
        <w:rPr>
          <w:rFonts w:asciiTheme="minorHAnsi" w:hAnsiTheme="minorHAnsi" w:cstheme="minorHAnsi"/>
        </w:rPr>
        <w:t>mutation</w:t>
      </w:r>
      <w:r w:rsidR="004A4F4A">
        <w:rPr>
          <w:rFonts w:asciiTheme="minorHAnsi" w:hAnsiTheme="minorHAnsi" w:cstheme="minorHAnsi"/>
        </w:rPr>
        <w:t>s</w:t>
      </w:r>
      <w:r>
        <w:rPr>
          <w:rFonts w:asciiTheme="minorHAnsi" w:hAnsiTheme="minorHAnsi" w:cstheme="minorHAnsi"/>
        </w:rPr>
        <w:t xml:space="preserve"> in </w:t>
      </w:r>
      <w:r w:rsidR="004A4F4A">
        <w:rPr>
          <w:rFonts w:asciiTheme="minorHAnsi" w:hAnsiTheme="minorHAnsi" w:cstheme="minorHAnsi"/>
        </w:rPr>
        <w:t xml:space="preserve">individual </w:t>
      </w:r>
      <w:r>
        <w:rPr>
          <w:rFonts w:asciiTheme="minorHAnsi" w:hAnsiTheme="minorHAnsi" w:cstheme="minorHAnsi"/>
        </w:rPr>
        <w:t xml:space="preserve">hematopoietic stem and progenitor cells. </w:t>
      </w:r>
    </w:p>
    <w:p w14:paraId="047431D8" w14:textId="77777777" w:rsidR="002E3439" w:rsidRDefault="002E3439" w:rsidP="00C16832">
      <w:pPr>
        <w:spacing w:line="0" w:lineRule="atLeast"/>
        <w:rPr>
          <w:rFonts w:asciiTheme="minorHAnsi" w:hAnsiTheme="minorHAnsi" w:cstheme="minorHAnsi"/>
        </w:rPr>
      </w:pPr>
    </w:p>
    <w:p w14:paraId="253B6C77" w14:textId="78FF2BE0" w:rsidR="00942E88" w:rsidRDefault="00C60D72" w:rsidP="00C16832">
      <w:pPr>
        <w:spacing w:line="0" w:lineRule="atLeast"/>
      </w:pPr>
      <w:r>
        <w:rPr>
          <w:rFonts w:cstheme="minorHAnsi"/>
          <w:b/>
          <w:bCs/>
        </w:rPr>
        <w:t>ABSTRACT:</w:t>
      </w:r>
    </w:p>
    <w:p w14:paraId="7EA3777B" w14:textId="2BE0A552" w:rsidR="007E5224" w:rsidRPr="005018BC" w:rsidRDefault="00763D9D" w:rsidP="00C16832">
      <w:pPr>
        <w:spacing w:line="0" w:lineRule="atLeast"/>
        <w:rPr>
          <w:rFonts w:asciiTheme="minorHAnsi" w:hAnsiTheme="minorHAnsi" w:cstheme="minorHAnsi"/>
        </w:rPr>
      </w:pPr>
      <w:r w:rsidRPr="006B3148">
        <w:rPr>
          <w:rFonts w:asciiTheme="minorHAnsi" w:hAnsiTheme="minorHAnsi" w:cstheme="minorHAnsi"/>
        </w:rPr>
        <w:t>H</w:t>
      </w:r>
      <w:r w:rsidR="00E41410" w:rsidRPr="006B3148">
        <w:rPr>
          <w:rFonts w:asciiTheme="minorHAnsi" w:hAnsiTheme="minorHAnsi" w:cstheme="minorHAnsi"/>
        </w:rPr>
        <w:t>ematopoietic stem</w:t>
      </w:r>
      <w:r w:rsidR="00676190" w:rsidRPr="006B3148">
        <w:rPr>
          <w:rFonts w:asciiTheme="minorHAnsi" w:hAnsiTheme="minorHAnsi" w:cstheme="minorHAnsi"/>
        </w:rPr>
        <w:t xml:space="preserve"> and progenitor</w:t>
      </w:r>
      <w:r w:rsidR="00E41410" w:rsidRPr="006B3148">
        <w:rPr>
          <w:rFonts w:asciiTheme="minorHAnsi" w:hAnsiTheme="minorHAnsi" w:cstheme="minorHAnsi"/>
        </w:rPr>
        <w:t xml:space="preserve"> cells (HS</w:t>
      </w:r>
      <w:r w:rsidR="00676190" w:rsidRPr="006B3148">
        <w:rPr>
          <w:rFonts w:asciiTheme="minorHAnsi" w:hAnsiTheme="minorHAnsi" w:cstheme="minorHAnsi"/>
        </w:rPr>
        <w:t>P</w:t>
      </w:r>
      <w:r w:rsidR="00E41410" w:rsidRPr="006B3148">
        <w:rPr>
          <w:rFonts w:asciiTheme="minorHAnsi" w:hAnsiTheme="minorHAnsi" w:cstheme="minorHAnsi"/>
        </w:rPr>
        <w:t xml:space="preserve">Cs) </w:t>
      </w:r>
      <w:r w:rsidRPr="006B3148">
        <w:rPr>
          <w:rFonts w:asciiTheme="minorHAnsi" w:hAnsiTheme="minorHAnsi" w:cstheme="minorHAnsi"/>
        </w:rPr>
        <w:t xml:space="preserve">gradually accumulate </w:t>
      </w:r>
      <w:r w:rsidR="00E41410" w:rsidRPr="006B3148">
        <w:rPr>
          <w:rFonts w:asciiTheme="minorHAnsi" w:hAnsiTheme="minorHAnsi" w:cstheme="minorHAnsi"/>
        </w:rPr>
        <w:t>DNA mutations during</w:t>
      </w:r>
      <w:r w:rsidR="00AE02B3">
        <w:rPr>
          <w:rFonts w:asciiTheme="minorHAnsi" w:hAnsiTheme="minorHAnsi" w:cstheme="minorHAnsi"/>
        </w:rPr>
        <w:t xml:space="preserve"> a</w:t>
      </w:r>
      <w:r w:rsidR="00E41410" w:rsidRPr="006B3148">
        <w:rPr>
          <w:rFonts w:asciiTheme="minorHAnsi" w:hAnsiTheme="minorHAnsi" w:cstheme="minorHAnsi"/>
        </w:rPr>
        <w:t xml:space="preserve"> life</w:t>
      </w:r>
      <w:r w:rsidR="00AE02B3">
        <w:rPr>
          <w:rFonts w:asciiTheme="minorHAnsi" w:hAnsiTheme="minorHAnsi" w:cstheme="minorHAnsi"/>
        </w:rPr>
        <w:t>span</w:t>
      </w:r>
      <w:r w:rsidR="000177C7">
        <w:rPr>
          <w:rFonts w:asciiTheme="minorHAnsi" w:hAnsiTheme="minorHAnsi" w:cstheme="minorHAnsi"/>
        </w:rPr>
        <w:t xml:space="preserve">, which can contribute to age-associated diseases such as </w:t>
      </w:r>
      <w:r w:rsidR="001371A4">
        <w:rPr>
          <w:rFonts w:asciiTheme="minorHAnsi" w:hAnsiTheme="minorHAnsi" w:cstheme="minorHAnsi"/>
        </w:rPr>
        <w:t>leukemia</w:t>
      </w:r>
      <w:r w:rsidR="000177C7">
        <w:rPr>
          <w:rFonts w:asciiTheme="minorHAnsi" w:hAnsiTheme="minorHAnsi" w:cstheme="minorHAnsi"/>
        </w:rPr>
        <w:t xml:space="preserve">. Characterizing mutation accumulation can improve understanding of the etiology of age-associated diseases. </w:t>
      </w:r>
      <w:r w:rsidR="00AE02B3">
        <w:rPr>
          <w:rFonts w:asciiTheme="minorHAnsi" w:hAnsiTheme="minorHAnsi" w:cstheme="minorHAnsi"/>
        </w:rPr>
        <w:t>P</w:t>
      </w:r>
      <w:r w:rsidR="00361C22" w:rsidRPr="006B3148">
        <w:rPr>
          <w:rFonts w:asciiTheme="minorHAnsi" w:hAnsiTheme="minorHAnsi" w:cstheme="minorHAnsi"/>
        </w:rPr>
        <w:t>resent</w:t>
      </w:r>
      <w:r w:rsidR="00AE02B3">
        <w:rPr>
          <w:rFonts w:asciiTheme="minorHAnsi" w:hAnsiTheme="minorHAnsi" w:cstheme="minorHAnsi"/>
        </w:rPr>
        <w:t>ed here is</w:t>
      </w:r>
      <w:r w:rsidR="00361C22" w:rsidRPr="006B3148">
        <w:rPr>
          <w:rFonts w:asciiTheme="minorHAnsi" w:hAnsiTheme="minorHAnsi" w:cstheme="minorHAnsi"/>
        </w:rPr>
        <w:t xml:space="preserve"> a </w:t>
      </w:r>
      <w:r w:rsidR="006B60FC">
        <w:rPr>
          <w:rFonts w:asciiTheme="minorHAnsi" w:hAnsiTheme="minorHAnsi" w:cstheme="minorHAnsi"/>
        </w:rPr>
        <w:t>method</w:t>
      </w:r>
      <w:r w:rsidR="006B60FC" w:rsidRPr="006B3148">
        <w:rPr>
          <w:rFonts w:asciiTheme="minorHAnsi" w:hAnsiTheme="minorHAnsi" w:cstheme="minorHAnsi"/>
        </w:rPr>
        <w:t xml:space="preserve"> </w:t>
      </w:r>
      <w:r w:rsidR="00361C22" w:rsidRPr="006B3148">
        <w:rPr>
          <w:rFonts w:asciiTheme="minorHAnsi" w:hAnsiTheme="minorHAnsi" w:cstheme="minorHAnsi"/>
        </w:rPr>
        <w:t xml:space="preserve">to </w:t>
      </w:r>
      <w:r w:rsidR="000177C7">
        <w:rPr>
          <w:rFonts w:asciiTheme="minorHAnsi" w:hAnsiTheme="minorHAnsi" w:cstheme="minorHAnsi"/>
        </w:rPr>
        <w:t>catalogue</w:t>
      </w:r>
      <w:r w:rsidR="000177C7" w:rsidRPr="006B3148">
        <w:rPr>
          <w:rFonts w:asciiTheme="minorHAnsi" w:hAnsiTheme="minorHAnsi" w:cstheme="minorHAnsi"/>
        </w:rPr>
        <w:t xml:space="preserve"> </w:t>
      </w:r>
      <w:r w:rsidR="000177C7">
        <w:rPr>
          <w:rFonts w:asciiTheme="minorHAnsi" w:hAnsiTheme="minorHAnsi" w:cstheme="minorHAnsi"/>
        </w:rPr>
        <w:t>somatic</w:t>
      </w:r>
      <w:r w:rsidR="000177C7" w:rsidRPr="006B3148">
        <w:rPr>
          <w:rFonts w:asciiTheme="minorHAnsi" w:hAnsiTheme="minorHAnsi" w:cstheme="minorHAnsi"/>
        </w:rPr>
        <w:t xml:space="preserve"> </w:t>
      </w:r>
      <w:r w:rsidR="00361C22" w:rsidRPr="006B3148">
        <w:rPr>
          <w:rFonts w:asciiTheme="minorHAnsi" w:hAnsiTheme="minorHAnsi" w:cstheme="minorHAnsi"/>
        </w:rPr>
        <w:t>mutation</w:t>
      </w:r>
      <w:r w:rsidR="000177C7">
        <w:rPr>
          <w:rFonts w:asciiTheme="minorHAnsi" w:hAnsiTheme="minorHAnsi" w:cstheme="minorHAnsi"/>
        </w:rPr>
        <w:t>s</w:t>
      </w:r>
      <w:r w:rsidR="00361C22" w:rsidRPr="006B3148">
        <w:rPr>
          <w:rFonts w:asciiTheme="minorHAnsi" w:hAnsiTheme="minorHAnsi" w:cstheme="minorHAnsi"/>
        </w:rPr>
        <w:t xml:space="preserve"> in </w:t>
      </w:r>
      <w:r w:rsidR="000177C7">
        <w:rPr>
          <w:rFonts w:asciiTheme="minorHAnsi" w:hAnsiTheme="minorHAnsi" w:cstheme="minorHAnsi"/>
        </w:rPr>
        <w:t>individual</w:t>
      </w:r>
      <w:r w:rsidR="000177C7" w:rsidRPr="006B3148">
        <w:rPr>
          <w:rFonts w:asciiTheme="minorHAnsi" w:hAnsiTheme="minorHAnsi" w:cstheme="minorHAnsi"/>
        </w:rPr>
        <w:t xml:space="preserve"> </w:t>
      </w:r>
      <w:r w:rsidR="00361C22" w:rsidRPr="006B3148">
        <w:rPr>
          <w:rFonts w:asciiTheme="minorHAnsi" w:hAnsiTheme="minorHAnsi" w:cstheme="minorHAnsi"/>
        </w:rPr>
        <w:t>HS</w:t>
      </w:r>
      <w:r w:rsidR="00676190" w:rsidRPr="006B3148">
        <w:rPr>
          <w:rFonts w:asciiTheme="minorHAnsi" w:hAnsiTheme="minorHAnsi" w:cstheme="minorHAnsi"/>
        </w:rPr>
        <w:t>P</w:t>
      </w:r>
      <w:r w:rsidR="00361C22" w:rsidRPr="006B3148">
        <w:rPr>
          <w:rFonts w:asciiTheme="minorHAnsi" w:hAnsiTheme="minorHAnsi" w:cstheme="minorHAnsi"/>
        </w:rPr>
        <w:t>Cs</w:t>
      </w:r>
      <w:r w:rsidR="00B737F2">
        <w:rPr>
          <w:rFonts w:asciiTheme="minorHAnsi" w:hAnsiTheme="minorHAnsi" w:cstheme="minorHAnsi"/>
        </w:rPr>
        <w:t>, which</w:t>
      </w:r>
      <w:r w:rsidR="00504D64">
        <w:rPr>
          <w:rFonts w:asciiTheme="minorHAnsi" w:hAnsiTheme="minorHAnsi" w:cstheme="minorHAnsi"/>
        </w:rPr>
        <w:t xml:space="preserve"> is based on whole-genome sequencing (WGS) </w:t>
      </w:r>
      <w:r w:rsidR="005C69C3">
        <w:rPr>
          <w:rFonts w:asciiTheme="minorHAnsi" w:hAnsiTheme="minorHAnsi" w:cstheme="minorHAnsi"/>
        </w:rPr>
        <w:t xml:space="preserve">of </w:t>
      </w:r>
      <w:r w:rsidR="00504D64">
        <w:rPr>
          <w:rFonts w:asciiTheme="minorHAnsi" w:hAnsiTheme="minorHAnsi" w:cstheme="minorHAnsi"/>
        </w:rPr>
        <w:t>clonal primary cell cultures</w:t>
      </w:r>
      <w:r w:rsidR="00361C22" w:rsidRPr="006B3148">
        <w:rPr>
          <w:rFonts w:asciiTheme="minorHAnsi" w:hAnsiTheme="minorHAnsi" w:cstheme="minorHAnsi"/>
        </w:rPr>
        <w:t xml:space="preserve">. </w:t>
      </w:r>
      <w:r w:rsidR="006B60FC">
        <w:rPr>
          <w:rFonts w:asciiTheme="minorHAnsi" w:hAnsiTheme="minorHAnsi" w:cstheme="minorHAnsi"/>
        </w:rPr>
        <w:t>M</w:t>
      </w:r>
      <w:r w:rsidR="0035639D">
        <w:rPr>
          <w:rFonts w:asciiTheme="minorHAnsi" w:hAnsiTheme="minorHAnsi" w:cstheme="minorHAnsi"/>
        </w:rPr>
        <w:t>utations</w:t>
      </w:r>
      <w:r w:rsidR="00AE02B3">
        <w:rPr>
          <w:rFonts w:asciiTheme="minorHAnsi" w:hAnsiTheme="minorHAnsi" w:cstheme="minorHAnsi"/>
        </w:rPr>
        <w:t xml:space="preserve"> that are</w:t>
      </w:r>
      <w:r w:rsidR="0035639D">
        <w:rPr>
          <w:rFonts w:asciiTheme="minorHAnsi" w:hAnsiTheme="minorHAnsi" w:cstheme="minorHAnsi"/>
        </w:rPr>
        <w:t xml:space="preserve"> present in the </w:t>
      </w:r>
      <w:r w:rsidR="00504D64">
        <w:rPr>
          <w:rFonts w:asciiTheme="minorHAnsi" w:hAnsiTheme="minorHAnsi" w:cstheme="minorHAnsi"/>
        </w:rPr>
        <w:t>original</w:t>
      </w:r>
      <w:r w:rsidR="0035639D">
        <w:rPr>
          <w:rFonts w:asciiTheme="minorHAnsi" w:hAnsiTheme="minorHAnsi" w:cstheme="minorHAnsi"/>
        </w:rPr>
        <w:t xml:space="preserve"> cell </w:t>
      </w:r>
      <w:r w:rsidR="00AE02B3">
        <w:rPr>
          <w:rFonts w:asciiTheme="minorHAnsi" w:hAnsiTheme="minorHAnsi" w:cstheme="minorHAnsi"/>
        </w:rPr>
        <w:t>are</w:t>
      </w:r>
      <w:r w:rsidR="0035639D">
        <w:rPr>
          <w:rFonts w:asciiTheme="minorHAnsi" w:hAnsiTheme="minorHAnsi" w:cstheme="minorHAnsi"/>
        </w:rPr>
        <w:t xml:space="preserve"> shared by all cells in the </w:t>
      </w:r>
      <w:r w:rsidR="00CE2335">
        <w:rPr>
          <w:rFonts w:asciiTheme="minorHAnsi" w:hAnsiTheme="minorHAnsi" w:cstheme="minorHAnsi"/>
        </w:rPr>
        <w:t xml:space="preserve">clonal </w:t>
      </w:r>
      <w:r w:rsidR="0035639D">
        <w:rPr>
          <w:rFonts w:asciiTheme="minorHAnsi" w:hAnsiTheme="minorHAnsi" w:cstheme="minorHAnsi"/>
        </w:rPr>
        <w:t>culture</w:t>
      </w:r>
      <w:r w:rsidR="006B60FC">
        <w:rPr>
          <w:rFonts w:asciiTheme="minorHAnsi" w:hAnsiTheme="minorHAnsi" w:cstheme="minorHAnsi"/>
        </w:rPr>
        <w:t xml:space="preserve">, whereas mutations acquired </w:t>
      </w:r>
      <w:r w:rsidR="006B60FC" w:rsidRPr="00C16832">
        <w:rPr>
          <w:rFonts w:asciiTheme="minorHAnsi" w:hAnsiTheme="minorHAnsi" w:cstheme="minorHAnsi"/>
        </w:rPr>
        <w:t>in vitro</w:t>
      </w:r>
      <w:r w:rsidR="006B60FC">
        <w:rPr>
          <w:rFonts w:asciiTheme="minorHAnsi" w:hAnsiTheme="minorHAnsi" w:cstheme="minorHAnsi"/>
        </w:rPr>
        <w:t xml:space="preserve"> after</w:t>
      </w:r>
      <w:r w:rsidR="00CE2335">
        <w:rPr>
          <w:rFonts w:asciiTheme="minorHAnsi" w:hAnsiTheme="minorHAnsi" w:cstheme="minorHAnsi"/>
        </w:rPr>
        <w:t xml:space="preserve"> cell</w:t>
      </w:r>
      <w:r w:rsidR="006B60FC">
        <w:rPr>
          <w:rFonts w:asciiTheme="minorHAnsi" w:hAnsiTheme="minorHAnsi" w:cstheme="minorHAnsi"/>
        </w:rPr>
        <w:t xml:space="preserve"> </w:t>
      </w:r>
      <w:r w:rsidR="00CE2335">
        <w:rPr>
          <w:rFonts w:asciiTheme="minorHAnsi" w:hAnsiTheme="minorHAnsi" w:cstheme="minorHAnsi"/>
        </w:rPr>
        <w:t>sorting</w:t>
      </w:r>
      <w:r w:rsidR="006B60FC">
        <w:rPr>
          <w:rFonts w:asciiTheme="minorHAnsi" w:hAnsiTheme="minorHAnsi" w:cstheme="minorHAnsi"/>
        </w:rPr>
        <w:t xml:space="preserve"> </w:t>
      </w:r>
      <w:r w:rsidR="00AE02B3">
        <w:rPr>
          <w:rFonts w:asciiTheme="minorHAnsi" w:hAnsiTheme="minorHAnsi" w:cstheme="minorHAnsi"/>
        </w:rPr>
        <w:t>are</w:t>
      </w:r>
      <w:r w:rsidR="006B60FC">
        <w:rPr>
          <w:rFonts w:asciiTheme="minorHAnsi" w:hAnsiTheme="minorHAnsi" w:cstheme="minorHAnsi"/>
        </w:rPr>
        <w:t xml:space="preserve"> present in a subset of cells. Therefore, </w:t>
      </w:r>
      <w:r w:rsidR="00AE02B3">
        <w:rPr>
          <w:rFonts w:asciiTheme="minorHAnsi" w:hAnsiTheme="minorHAnsi" w:cstheme="minorHAnsi"/>
        </w:rPr>
        <w:t>this</w:t>
      </w:r>
      <w:r w:rsidR="00504D64">
        <w:rPr>
          <w:rFonts w:asciiTheme="minorHAnsi" w:hAnsiTheme="minorHAnsi" w:cstheme="minorHAnsi"/>
        </w:rPr>
        <w:t xml:space="preserve"> method</w:t>
      </w:r>
      <w:r w:rsidR="00CE2335">
        <w:rPr>
          <w:rFonts w:asciiTheme="minorHAnsi" w:hAnsiTheme="minorHAnsi" w:cstheme="minorHAnsi"/>
        </w:rPr>
        <w:t xml:space="preserve"> </w:t>
      </w:r>
      <w:r w:rsidR="0035639D">
        <w:rPr>
          <w:rFonts w:asciiTheme="minorHAnsi" w:hAnsiTheme="minorHAnsi" w:cstheme="minorHAnsi"/>
        </w:rPr>
        <w:t xml:space="preserve">allows </w:t>
      </w:r>
      <w:r w:rsidR="00504D64">
        <w:rPr>
          <w:rFonts w:asciiTheme="minorHAnsi" w:hAnsiTheme="minorHAnsi" w:cstheme="minorHAnsi"/>
        </w:rPr>
        <w:t>for</w:t>
      </w:r>
      <w:r w:rsidR="0035639D">
        <w:rPr>
          <w:rFonts w:asciiTheme="minorHAnsi" w:hAnsiTheme="minorHAnsi" w:cstheme="minorHAnsi"/>
        </w:rPr>
        <w:t xml:space="preserve"> accurate </w:t>
      </w:r>
      <w:r w:rsidR="00504D64">
        <w:rPr>
          <w:rFonts w:asciiTheme="minorHAnsi" w:hAnsiTheme="minorHAnsi" w:cstheme="minorHAnsi"/>
        </w:rPr>
        <w:t>detection of</w:t>
      </w:r>
      <w:r w:rsidR="0035639D">
        <w:rPr>
          <w:rFonts w:asciiTheme="minorHAnsi" w:hAnsiTheme="minorHAnsi" w:cstheme="minorHAnsi"/>
        </w:rPr>
        <w:t xml:space="preserve"> </w:t>
      </w:r>
      <w:r w:rsidR="00504D64">
        <w:rPr>
          <w:rFonts w:asciiTheme="minorHAnsi" w:hAnsiTheme="minorHAnsi" w:cstheme="minorHAnsi"/>
        </w:rPr>
        <w:t>somatic</w:t>
      </w:r>
      <w:r w:rsidR="00793F90">
        <w:rPr>
          <w:rFonts w:asciiTheme="minorHAnsi" w:hAnsiTheme="minorHAnsi" w:cstheme="minorHAnsi"/>
        </w:rPr>
        <w:t xml:space="preserve"> mutations</w:t>
      </w:r>
      <w:r w:rsidR="00504D64">
        <w:rPr>
          <w:rFonts w:asciiTheme="minorHAnsi" w:hAnsiTheme="minorHAnsi" w:cstheme="minorHAnsi"/>
        </w:rPr>
        <w:t xml:space="preserve"> present in the genome</w:t>
      </w:r>
      <w:r w:rsidR="005C69C3">
        <w:rPr>
          <w:rFonts w:asciiTheme="minorHAnsi" w:hAnsiTheme="minorHAnsi" w:cstheme="minorHAnsi"/>
        </w:rPr>
        <w:t>s</w:t>
      </w:r>
      <w:r w:rsidR="00504D64">
        <w:rPr>
          <w:rFonts w:asciiTheme="minorHAnsi" w:hAnsiTheme="minorHAnsi" w:cstheme="minorHAnsi"/>
        </w:rPr>
        <w:t xml:space="preserve"> of individual</w:t>
      </w:r>
      <w:r w:rsidR="00793F90">
        <w:rPr>
          <w:rFonts w:asciiTheme="minorHAnsi" w:hAnsiTheme="minorHAnsi" w:cstheme="minorHAnsi"/>
        </w:rPr>
        <w:t xml:space="preserve"> </w:t>
      </w:r>
      <w:r w:rsidR="007A0B86">
        <w:rPr>
          <w:rFonts w:asciiTheme="minorHAnsi" w:hAnsiTheme="minorHAnsi" w:cstheme="minorHAnsi"/>
        </w:rPr>
        <w:t>HSPC</w:t>
      </w:r>
      <w:r w:rsidR="00504D64">
        <w:rPr>
          <w:rFonts w:asciiTheme="minorHAnsi" w:hAnsiTheme="minorHAnsi" w:cstheme="minorHAnsi"/>
        </w:rPr>
        <w:t>s,</w:t>
      </w:r>
      <w:r w:rsidR="007A0B86">
        <w:rPr>
          <w:rFonts w:asciiTheme="minorHAnsi" w:hAnsiTheme="minorHAnsi" w:cstheme="minorHAnsi"/>
        </w:rPr>
        <w:t xml:space="preserve"> </w:t>
      </w:r>
      <w:r w:rsidR="006B60FC">
        <w:rPr>
          <w:rFonts w:asciiTheme="minorHAnsi" w:hAnsiTheme="minorHAnsi" w:cstheme="minorHAnsi"/>
        </w:rPr>
        <w:t>which accumulate during life</w:t>
      </w:r>
      <w:r w:rsidR="00793F90">
        <w:rPr>
          <w:rFonts w:asciiTheme="minorHAnsi" w:hAnsiTheme="minorHAnsi" w:cstheme="minorHAnsi"/>
        </w:rPr>
        <w:t>.</w:t>
      </w:r>
      <w:r w:rsidR="000177C7">
        <w:rPr>
          <w:rFonts w:asciiTheme="minorHAnsi" w:hAnsiTheme="minorHAnsi" w:cstheme="minorHAnsi"/>
        </w:rPr>
        <w:t xml:space="preserve"> </w:t>
      </w:r>
      <w:r w:rsidR="00504D64">
        <w:rPr>
          <w:rFonts w:asciiTheme="minorHAnsi" w:hAnsiTheme="minorHAnsi" w:cstheme="minorHAnsi"/>
        </w:rPr>
        <w:t>These catalogues of somatic mutations</w:t>
      </w:r>
      <w:r w:rsidR="006B60FC">
        <w:rPr>
          <w:rFonts w:asciiTheme="minorHAnsi" w:hAnsiTheme="minorHAnsi" w:cstheme="minorHAnsi"/>
        </w:rPr>
        <w:t xml:space="preserve"> can provide valuable insight</w:t>
      </w:r>
      <w:r w:rsidR="00CD04EA">
        <w:rPr>
          <w:rFonts w:asciiTheme="minorHAnsi" w:hAnsiTheme="minorHAnsi" w:cstheme="minorHAnsi"/>
        </w:rPr>
        <w:t>s</w:t>
      </w:r>
      <w:r w:rsidR="006B60FC">
        <w:rPr>
          <w:rFonts w:asciiTheme="minorHAnsi" w:hAnsiTheme="minorHAnsi" w:cstheme="minorHAnsi"/>
        </w:rPr>
        <w:t xml:space="preserve"> into mutational processes active in the hematopoietic tissue</w:t>
      </w:r>
      <w:r w:rsidR="00CD04EA">
        <w:rPr>
          <w:rFonts w:asciiTheme="minorHAnsi" w:hAnsiTheme="minorHAnsi" w:cstheme="minorHAnsi"/>
        </w:rPr>
        <w:t xml:space="preserve"> and how th</w:t>
      </w:r>
      <w:r w:rsidR="00B65550">
        <w:rPr>
          <w:rFonts w:asciiTheme="minorHAnsi" w:hAnsiTheme="minorHAnsi" w:cstheme="minorHAnsi"/>
        </w:rPr>
        <w:t>e</w:t>
      </w:r>
      <w:r w:rsidR="00CD04EA">
        <w:rPr>
          <w:rFonts w:asciiTheme="minorHAnsi" w:hAnsiTheme="minorHAnsi" w:cstheme="minorHAnsi"/>
        </w:rPr>
        <w:t>s</w:t>
      </w:r>
      <w:r w:rsidR="00B65550">
        <w:rPr>
          <w:rFonts w:asciiTheme="minorHAnsi" w:hAnsiTheme="minorHAnsi" w:cstheme="minorHAnsi"/>
        </w:rPr>
        <w:t>e</w:t>
      </w:r>
      <w:r w:rsidR="00504D64">
        <w:rPr>
          <w:rFonts w:asciiTheme="minorHAnsi" w:hAnsiTheme="minorHAnsi" w:cstheme="minorHAnsi"/>
        </w:rPr>
        <w:t xml:space="preserve"> processes</w:t>
      </w:r>
      <w:r w:rsidR="00CD04EA">
        <w:rPr>
          <w:rFonts w:asciiTheme="minorHAnsi" w:hAnsiTheme="minorHAnsi" w:cstheme="minorHAnsi"/>
        </w:rPr>
        <w:t xml:space="preserve"> </w:t>
      </w:r>
      <w:r w:rsidR="0042409D" w:rsidRPr="006B3148">
        <w:rPr>
          <w:rFonts w:asciiTheme="minorHAnsi" w:hAnsiTheme="minorHAnsi" w:cstheme="minorHAnsi"/>
        </w:rPr>
        <w:t>contribut</w:t>
      </w:r>
      <w:r w:rsidR="00CD04EA">
        <w:rPr>
          <w:rFonts w:asciiTheme="minorHAnsi" w:hAnsiTheme="minorHAnsi" w:cstheme="minorHAnsi"/>
        </w:rPr>
        <w:t>e</w:t>
      </w:r>
      <w:r w:rsidR="00D27151" w:rsidRPr="006B3148">
        <w:rPr>
          <w:rFonts w:asciiTheme="minorHAnsi" w:hAnsiTheme="minorHAnsi" w:cstheme="minorHAnsi"/>
        </w:rPr>
        <w:t xml:space="preserve"> to leukemogenesis</w:t>
      </w:r>
      <w:r w:rsidR="0042409D" w:rsidRPr="006B3148">
        <w:rPr>
          <w:rFonts w:asciiTheme="minorHAnsi" w:hAnsiTheme="minorHAnsi" w:cstheme="minorHAnsi"/>
        </w:rPr>
        <w:t xml:space="preserve">. </w:t>
      </w:r>
      <w:r w:rsidR="00D37E60" w:rsidRPr="006B3148">
        <w:rPr>
          <w:rFonts w:asciiTheme="minorHAnsi" w:hAnsiTheme="minorHAnsi" w:cstheme="minorHAnsi"/>
        </w:rPr>
        <w:t xml:space="preserve">In addition, </w:t>
      </w:r>
      <w:r w:rsidR="001371A4">
        <w:rPr>
          <w:rFonts w:asciiTheme="minorHAnsi" w:hAnsiTheme="minorHAnsi" w:cstheme="minorHAnsi"/>
        </w:rPr>
        <w:t xml:space="preserve">by assessing </w:t>
      </w:r>
      <w:r w:rsidR="00504D64">
        <w:rPr>
          <w:rFonts w:asciiTheme="minorHAnsi" w:hAnsiTheme="minorHAnsi" w:cstheme="minorHAnsi"/>
        </w:rPr>
        <w:t xml:space="preserve">somatic </w:t>
      </w:r>
      <w:r w:rsidR="001371A4">
        <w:rPr>
          <w:rFonts w:asciiTheme="minorHAnsi" w:hAnsiTheme="minorHAnsi" w:cstheme="minorHAnsi"/>
        </w:rPr>
        <w:t xml:space="preserve">mutations that are shared between </w:t>
      </w:r>
      <w:r w:rsidR="007A0B86">
        <w:rPr>
          <w:rFonts w:asciiTheme="minorHAnsi" w:hAnsiTheme="minorHAnsi" w:cstheme="minorHAnsi"/>
        </w:rPr>
        <w:t>multiple</w:t>
      </w:r>
      <w:r w:rsidR="001371A4">
        <w:rPr>
          <w:rFonts w:asciiTheme="minorHAnsi" w:hAnsiTheme="minorHAnsi" w:cstheme="minorHAnsi"/>
        </w:rPr>
        <w:t xml:space="preserve"> HSPCs of the same individual, clonal lineage relationships and population </w:t>
      </w:r>
      <w:r w:rsidR="00D37E60" w:rsidRPr="006B3148">
        <w:rPr>
          <w:rFonts w:asciiTheme="minorHAnsi" w:hAnsiTheme="minorHAnsi" w:cstheme="minorHAnsi"/>
        </w:rPr>
        <w:t>dynamics</w:t>
      </w:r>
      <w:r w:rsidR="001371A4">
        <w:rPr>
          <w:rFonts w:asciiTheme="minorHAnsi" w:hAnsiTheme="minorHAnsi" w:cstheme="minorHAnsi"/>
        </w:rPr>
        <w:t xml:space="preserve"> of </w:t>
      </w:r>
      <w:r w:rsidR="007A0B86">
        <w:rPr>
          <w:rFonts w:asciiTheme="minorHAnsi" w:hAnsiTheme="minorHAnsi" w:cstheme="minorHAnsi"/>
        </w:rPr>
        <w:t>blood populations</w:t>
      </w:r>
      <w:r w:rsidR="001371A4">
        <w:rPr>
          <w:rFonts w:asciiTheme="minorHAnsi" w:hAnsiTheme="minorHAnsi" w:cstheme="minorHAnsi"/>
        </w:rPr>
        <w:t xml:space="preserve"> can be determined</w:t>
      </w:r>
      <w:r w:rsidR="00D37E60" w:rsidRPr="005018BC">
        <w:rPr>
          <w:rFonts w:asciiTheme="minorHAnsi" w:hAnsiTheme="minorHAnsi" w:cstheme="minorHAnsi"/>
        </w:rPr>
        <w:t>.</w:t>
      </w:r>
      <w:r w:rsidR="0042409D" w:rsidRPr="005018BC">
        <w:rPr>
          <w:rFonts w:asciiTheme="minorHAnsi" w:hAnsiTheme="minorHAnsi" w:cstheme="minorHAnsi"/>
        </w:rPr>
        <w:t xml:space="preserve"> </w:t>
      </w:r>
      <w:r w:rsidR="00676190" w:rsidRPr="005018BC">
        <w:rPr>
          <w:rFonts w:asciiTheme="minorHAnsi" w:hAnsiTheme="minorHAnsi" w:cstheme="minorHAnsi"/>
        </w:rPr>
        <w:t xml:space="preserve">As </w:t>
      </w:r>
      <w:r w:rsidR="00AE02B3">
        <w:rPr>
          <w:rFonts w:asciiTheme="minorHAnsi" w:hAnsiTheme="minorHAnsi" w:cstheme="minorHAnsi"/>
        </w:rPr>
        <w:t>this</w:t>
      </w:r>
      <w:r w:rsidR="00676190" w:rsidRPr="005018BC">
        <w:rPr>
          <w:rFonts w:asciiTheme="minorHAnsi" w:hAnsiTheme="minorHAnsi" w:cstheme="minorHAnsi"/>
        </w:rPr>
        <w:t xml:space="preserve"> approach relies on </w:t>
      </w:r>
      <w:r w:rsidR="001371A4" w:rsidRPr="00C16832">
        <w:rPr>
          <w:rFonts w:asciiTheme="minorHAnsi" w:hAnsiTheme="minorHAnsi" w:cstheme="minorHAnsi"/>
        </w:rPr>
        <w:t>in vitro</w:t>
      </w:r>
      <w:r w:rsidR="001371A4">
        <w:rPr>
          <w:rFonts w:asciiTheme="minorHAnsi" w:hAnsiTheme="minorHAnsi" w:cstheme="minorHAnsi"/>
        </w:rPr>
        <w:t xml:space="preserve"> expansion of single cells</w:t>
      </w:r>
      <w:r w:rsidR="00676190" w:rsidRPr="005018BC">
        <w:rPr>
          <w:rFonts w:asciiTheme="minorHAnsi" w:hAnsiTheme="minorHAnsi" w:cstheme="minorHAnsi"/>
        </w:rPr>
        <w:t>,</w:t>
      </w:r>
      <w:r w:rsidR="0018241D">
        <w:rPr>
          <w:rFonts w:asciiTheme="minorHAnsi" w:hAnsiTheme="minorHAnsi" w:cstheme="minorHAnsi"/>
        </w:rPr>
        <w:t xml:space="preserve"> the method is </w:t>
      </w:r>
      <w:r w:rsidR="00676190" w:rsidRPr="005018BC">
        <w:rPr>
          <w:rFonts w:asciiTheme="minorHAnsi" w:hAnsiTheme="minorHAnsi" w:cstheme="minorHAnsi"/>
        </w:rPr>
        <w:t xml:space="preserve">limited to </w:t>
      </w:r>
      <w:r w:rsidR="007A0B86">
        <w:rPr>
          <w:rFonts w:asciiTheme="minorHAnsi" w:hAnsiTheme="minorHAnsi" w:cstheme="minorHAnsi"/>
        </w:rPr>
        <w:t>hematopoietic</w:t>
      </w:r>
      <w:r w:rsidR="00676190" w:rsidRPr="005018BC">
        <w:rPr>
          <w:rFonts w:asciiTheme="minorHAnsi" w:hAnsiTheme="minorHAnsi" w:cstheme="minorHAnsi"/>
        </w:rPr>
        <w:t xml:space="preserve"> cells with </w:t>
      </w:r>
      <w:proofErr w:type="gramStart"/>
      <w:r w:rsidR="001371A4">
        <w:rPr>
          <w:rFonts w:asciiTheme="minorHAnsi" w:hAnsiTheme="minorHAnsi" w:cstheme="minorHAnsi"/>
        </w:rPr>
        <w:t>sufficient</w:t>
      </w:r>
      <w:proofErr w:type="gramEnd"/>
      <w:r w:rsidR="001371A4">
        <w:rPr>
          <w:rFonts w:asciiTheme="minorHAnsi" w:hAnsiTheme="minorHAnsi" w:cstheme="minorHAnsi"/>
        </w:rPr>
        <w:t xml:space="preserve"> </w:t>
      </w:r>
      <w:r w:rsidR="00676190" w:rsidRPr="005018BC">
        <w:rPr>
          <w:rFonts w:asciiTheme="minorHAnsi" w:hAnsiTheme="minorHAnsi" w:cstheme="minorHAnsi"/>
        </w:rPr>
        <w:t>replicative potential.</w:t>
      </w:r>
    </w:p>
    <w:p w14:paraId="6C0572A6" w14:textId="53406FD4" w:rsidR="007E5224" w:rsidRDefault="007E5224" w:rsidP="00C16832">
      <w:pPr>
        <w:spacing w:line="0" w:lineRule="atLeast"/>
        <w:rPr>
          <w:rFonts w:asciiTheme="minorHAnsi" w:hAnsiTheme="minorHAnsi" w:cstheme="minorHAnsi"/>
        </w:rPr>
      </w:pPr>
    </w:p>
    <w:p w14:paraId="6774BD0F" w14:textId="339D4F24" w:rsidR="00942E88" w:rsidRDefault="00C60D72" w:rsidP="00C16832">
      <w:pPr>
        <w:spacing w:line="0" w:lineRule="atLeast"/>
      </w:pPr>
      <w:r>
        <w:rPr>
          <w:rFonts w:cstheme="minorHAnsi"/>
          <w:b/>
        </w:rPr>
        <w:t>INTRODUCTION</w:t>
      </w:r>
      <w:r>
        <w:rPr>
          <w:rFonts w:cstheme="minorHAnsi"/>
          <w:b/>
          <w:bCs/>
        </w:rPr>
        <w:t>:</w:t>
      </w:r>
    </w:p>
    <w:p w14:paraId="3045DEC5" w14:textId="2BE15B28" w:rsidR="00504D64" w:rsidRDefault="00947E46" w:rsidP="00C16832">
      <w:pPr>
        <w:widowControl/>
        <w:spacing w:line="0" w:lineRule="atLeast"/>
        <w:rPr>
          <w:iCs/>
          <w:color w:val="000000" w:themeColor="text1"/>
        </w:rPr>
      </w:pPr>
      <w:r w:rsidRPr="00592B97">
        <w:rPr>
          <w:iCs/>
          <w:color w:val="000000" w:themeColor="text1"/>
        </w:rPr>
        <w:t xml:space="preserve">Exposure </w:t>
      </w:r>
      <w:r w:rsidR="005A0982" w:rsidRPr="00592B97">
        <w:rPr>
          <w:iCs/>
          <w:color w:val="000000" w:themeColor="text1"/>
        </w:rPr>
        <w:t xml:space="preserve">of </w:t>
      </w:r>
      <w:r w:rsidR="003D5CFE" w:rsidRPr="00592B97">
        <w:rPr>
          <w:iCs/>
          <w:color w:val="000000" w:themeColor="text1"/>
        </w:rPr>
        <w:t>hematopoietic</w:t>
      </w:r>
      <w:r w:rsidR="005A0982" w:rsidRPr="00592B97">
        <w:rPr>
          <w:iCs/>
          <w:color w:val="000000" w:themeColor="text1"/>
        </w:rPr>
        <w:t xml:space="preserve"> stem</w:t>
      </w:r>
      <w:r w:rsidR="00E8502A">
        <w:rPr>
          <w:iCs/>
          <w:color w:val="000000" w:themeColor="text1"/>
        </w:rPr>
        <w:t xml:space="preserve"> and progenitor</w:t>
      </w:r>
      <w:r w:rsidR="005A0982" w:rsidRPr="00592B97">
        <w:rPr>
          <w:iCs/>
          <w:color w:val="000000" w:themeColor="text1"/>
        </w:rPr>
        <w:t xml:space="preserve"> cells </w:t>
      </w:r>
      <w:r w:rsidR="00C742CA" w:rsidRPr="00592B97">
        <w:rPr>
          <w:iCs/>
          <w:color w:val="000000" w:themeColor="text1"/>
        </w:rPr>
        <w:t>(HS</w:t>
      </w:r>
      <w:r w:rsidR="00E8502A">
        <w:rPr>
          <w:iCs/>
          <w:color w:val="000000" w:themeColor="text1"/>
        </w:rPr>
        <w:t>P</w:t>
      </w:r>
      <w:r w:rsidR="00C742CA" w:rsidRPr="00592B97">
        <w:rPr>
          <w:iCs/>
          <w:color w:val="000000" w:themeColor="text1"/>
        </w:rPr>
        <w:t xml:space="preserve">Cs) </w:t>
      </w:r>
      <w:r w:rsidRPr="00592B97">
        <w:rPr>
          <w:iCs/>
          <w:color w:val="000000" w:themeColor="text1"/>
        </w:rPr>
        <w:t xml:space="preserve">to </w:t>
      </w:r>
      <w:r w:rsidR="006F175C" w:rsidRPr="00592B97">
        <w:rPr>
          <w:iCs/>
          <w:color w:val="000000" w:themeColor="text1"/>
        </w:rPr>
        <w:t xml:space="preserve">endogenous </w:t>
      </w:r>
      <w:r w:rsidR="00D063A7" w:rsidRPr="00592B97">
        <w:rPr>
          <w:iCs/>
          <w:color w:val="000000" w:themeColor="text1"/>
        </w:rPr>
        <w:t>or</w:t>
      </w:r>
      <w:r w:rsidR="006F175C" w:rsidRPr="00592B97">
        <w:rPr>
          <w:iCs/>
          <w:color w:val="000000" w:themeColor="text1"/>
        </w:rPr>
        <w:t xml:space="preserve"> extrinsic mutagenic sources</w:t>
      </w:r>
      <w:r w:rsidR="00E8502A">
        <w:rPr>
          <w:iCs/>
          <w:color w:val="000000" w:themeColor="text1"/>
        </w:rPr>
        <w:t xml:space="preserve"> contribute</w:t>
      </w:r>
      <w:r w:rsidR="00AC08BB">
        <w:rPr>
          <w:iCs/>
          <w:color w:val="000000" w:themeColor="text1"/>
        </w:rPr>
        <w:t>s</w:t>
      </w:r>
      <w:r w:rsidR="00E8502A">
        <w:rPr>
          <w:iCs/>
          <w:color w:val="000000" w:themeColor="text1"/>
        </w:rPr>
        <w:t xml:space="preserve"> to </w:t>
      </w:r>
      <w:r w:rsidR="007E64C6" w:rsidRPr="00592B97">
        <w:rPr>
          <w:iCs/>
          <w:color w:val="000000" w:themeColor="text1"/>
        </w:rPr>
        <w:t>the</w:t>
      </w:r>
      <w:r w:rsidR="00504D64">
        <w:rPr>
          <w:iCs/>
          <w:color w:val="000000" w:themeColor="text1"/>
        </w:rPr>
        <w:t xml:space="preserve"> gradual</w:t>
      </w:r>
      <w:r w:rsidR="007E64C6" w:rsidRPr="00592B97">
        <w:rPr>
          <w:iCs/>
          <w:color w:val="000000" w:themeColor="text1"/>
        </w:rPr>
        <w:t xml:space="preserve"> accumulation of </w:t>
      </w:r>
      <w:r w:rsidRPr="00592B97">
        <w:rPr>
          <w:iCs/>
          <w:color w:val="000000" w:themeColor="text1"/>
        </w:rPr>
        <w:t>mutations in the DNA</w:t>
      </w:r>
      <w:r w:rsidR="00504D64">
        <w:rPr>
          <w:iCs/>
          <w:color w:val="000000" w:themeColor="text1"/>
        </w:rPr>
        <w:t xml:space="preserve"> during </w:t>
      </w:r>
      <w:r w:rsidR="00AE02B3">
        <w:rPr>
          <w:iCs/>
          <w:color w:val="000000" w:themeColor="text1"/>
        </w:rPr>
        <w:t xml:space="preserve">a </w:t>
      </w:r>
      <w:r w:rsidR="00504D64">
        <w:rPr>
          <w:iCs/>
          <w:color w:val="000000" w:themeColor="text1"/>
        </w:rPr>
        <w:lastRenderedPageBreak/>
        <w:t>life</w:t>
      </w:r>
      <w:r w:rsidR="00AE02B3">
        <w:rPr>
          <w:iCs/>
          <w:color w:val="000000" w:themeColor="text1"/>
        </w:rPr>
        <w:t>span</w:t>
      </w:r>
      <w:r w:rsidR="00595704" w:rsidRPr="00592B97">
        <w:rPr>
          <w:iCs/>
          <w:color w:val="000000" w:themeColor="text1"/>
        </w:rPr>
        <w:fldChar w:fldCharType="begin" w:fldLock="1"/>
      </w:r>
      <w:r w:rsidR="00822881">
        <w:rPr>
          <w:iCs/>
          <w:color w:val="000000" w:themeColor="text1"/>
        </w:rPr>
        <w:instrText>ADDIN CSL_CITATION {"citationItems":[{"id":"ITEM-1","itemData":{"DOI":"10.1016/j.celrep.2018.11.014","ISSN":"22111247","abstract":"Mutation accumulation during life can contribute to hematopoietic dysfunction; however, the underlying dynamics are unknown. Somatic mutations in blood progenitors can provide insight into the rate and processes underlying this accumulation, as well as the developmental lineage tree and stem cell division numbers. Here, we catalog mutations in the genomes of human-bone-marrow-derived and umbilical-cord-blood-derived hematopoietic stem and progenitor cells (HSPCs). We find that mutations accumulate gradually during life with approximately 14 base substitutions per year. The majority of mutations were acquired after birth and could be explained by the constant activity of various endogenous mutagenic processes, which also explains the mutation load in acute myeloid leukemia (AML). Using these mutations, we construct a developmental lineage tree of human hematopoiesis, revealing a polyclonal architecture and providing evidence that developmental clones exhibit multipotency. Our approach highlights features of human native hematopoiesis and its implications for leukemogenesis. Osorio et al. report lifelong mutation accumulation in human hematopoietic stem and progenitor cells, which is explained by three distinct mutational signatures. Shared somatic mutations between cells of the same donor enable the construction of a developmental lineage tree and quantification of each branch to mature blood cell populations.","author":[{"dropping-particle":"","family":"Osorio","given":"Fernando G.","non-dropping-particle":"","parse-names":false,"suffix":""},{"dropping-particle":"","family":"Rosendahl Huber","given":"Axel","non-dropping-particle":"","parse-names":false,"suffix":""},{"dropping-particle":"","family":"Oka","given":"Rurika","non-dropping-particle":"","parse-names":false,"suffix":""},{"dropping-particle":"","family":"Verheul","given":"Mark","non-dropping-particle":"","parse-names":false,"suffix":""},{"dropping-particle":"","family":"Patel","given":"Sachin H.","non-dropping-particle":"","parse-names":false,"suffix":""},{"dropping-particle":"","family":"Hasaart","given":"Karlijn","non-dropping-particle":"","parse-names":false,"suffix":""},{"dropping-particle":"","family":"la Fonteijne","given":"Lisanne","non-dropping-particle":"de","parse-names":false,"suffix":""},{"dropping-particle":"","family":"Varela","given":"Ignacio","non-dropping-particle":"","parse-names":false,"suffix":""},{"dropping-particle":"","family":"Camargo","given":"Fernando D.","non-dropping-particle":"","parse-names":false,"suffix":""},{"dropping-particle":"","family":"Boxtel","given":"Ruben","non-dropping-particle":"van","parse-names":false,"suffix":""}],"container-title":"Cell Reports","id":"ITEM-1","issue":"9","issued":{"date-parts":[["2018"]]},"page":"2308-2316.e4","publisher":"ElsevierCompany.","title":"Somatic Mutations Reveal Lineage Relationships and Age-Related Mutagenesis in Human Hematopoiesis","type":"article-journal","volume":"25"},"uris":["http://www.mendeley.com/documents/?uuid=bbfd516e-d775-4afa-809a-b3e4f5a2aac4"]}],"mendeley":{"formattedCitation":"&lt;sup&gt;1&lt;/sup&gt;","plainTextFormattedCitation":"1","previouslyFormattedCitation":"&lt;sup&gt;1&lt;/sup&gt;"},"properties":{"noteIndex":0},"schema":"https://github.com/citation-style-language/schema/raw/master/csl-citation.json"}</w:instrText>
      </w:r>
      <w:r w:rsidR="00595704" w:rsidRPr="00592B97">
        <w:rPr>
          <w:iCs/>
          <w:color w:val="000000" w:themeColor="text1"/>
        </w:rPr>
        <w:fldChar w:fldCharType="separate"/>
      </w:r>
      <w:r w:rsidR="005C3153" w:rsidRPr="005C3153">
        <w:rPr>
          <w:iCs/>
          <w:noProof/>
          <w:color w:val="000000" w:themeColor="text1"/>
          <w:vertAlign w:val="superscript"/>
        </w:rPr>
        <w:t>1</w:t>
      </w:r>
      <w:r w:rsidR="00595704" w:rsidRPr="00592B97">
        <w:rPr>
          <w:iCs/>
          <w:color w:val="000000" w:themeColor="text1"/>
        </w:rPr>
        <w:fldChar w:fldCharType="end"/>
      </w:r>
      <w:r w:rsidR="00FB465F" w:rsidRPr="00592B97">
        <w:rPr>
          <w:iCs/>
          <w:color w:val="000000" w:themeColor="text1"/>
        </w:rPr>
        <w:t>.</w:t>
      </w:r>
      <w:r w:rsidR="006D42F1" w:rsidRPr="00592B97">
        <w:rPr>
          <w:iCs/>
          <w:color w:val="000000" w:themeColor="text1"/>
        </w:rPr>
        <w:t xml:space="preserve"> </w:t>
      </w:r>
      <w:r w:rsidR="00504D64">
        <w:rPr>
          <w:iCs/>
          <w:color w:val="000000" w:themeColor="text1"/>
        </w:rPr>
        <w:t>Gradual</w:t>
      </w:r>
      <w:r w:rsidR="00A81DE0">
        <w:rPr>
          <w:iCs/>
          <w:color w:val="000000" w:themeColor="text1"/>
        </w:rPr>
        <w:t xml:space="preserve"> </w:t>
      </w:r>
      <w:r w:rsidR="00F15B79">
        <w:rPr>
          <w:iCs/>
          <w:color w:val="000000" w:themeColor="text1"/>
        </w:rPr>
        <w:t>mutation accumulation in H</w:t>
      </w:r>
      <w:r w:rsidR="00F6617D">
        <w:rPr>
          <w:iCs/>
          <w:color w:val="000000" w:themeColor="text1"/>
        </w:rPr>
        <w:t>S</w:t>
      </w:r>
      <w:r w:rsidR="00F15B79">
        <w:rPr>
          <w:iCs/>
          <w:color w:val="000000" w:themeColor="text1"/>
        </w:rPr>
        <w:t>P</w:t>
      </w:r>
      <w:r w:rsidR="00F6617D">
        <w:rPr>
          <w:iCs/>
          <w:color w:val="000000" w:themeColor="text1"/>
        </w:rPr>
        <w:t>Cs</w:t>
      </w:r>
      <w:r w:rsidR="00822881">
        <w:rPr>
          <w:iCs/>
          <w:color w:val="000000" w:themeColor="text1"/>
        </w:rPr>
        <w:fldChar w:fldCharType="begin" w:fldLock="1"/>
      </w:r>
      <w:r w:rsidR="00822881">
        <w:rPr>
          <w:iCs/>
          <w:color w:val="000000" w:themeColor="text1"/>
        </w:rPr>
        <w:instrText>ADDIN CSL_CITATION {"citationItems":[{"id":"ITEM-1","itemData":{"DOI":"10.1016/j.celrep.2018.11.014","ISSN":"22111247","abstract":"Mutation accumulation during life can contribute to hematopoietic dysfunction; however, the underlying dynamics are unknown. Somatic mutations in blood progenitors can provide insight into the rate and processes underlying this accumulation, as well as the developmental lineage tree and stem cell division numbers. Here, we catalog mutations in the genomes of human-bone-marrow-derived and umbilical-cord-blood-derived hematopoietic stem and progenitor cells (HSPCs). We find that mutations accumulate gradually during life with approximately 14 base substitutions per year. The majority of mutations were acquired after birth and could be explained by the constant activity of various endogenous mutagenic processes, which also explains the mutation load in acute myeloid leukemia (AML). Using these mutations, we construct a developmental lineage tree of human hematopoiesis, revealing a polyclonal architecture and providing evidence that developmental clones exhibit multipotency. Our approach highlights features of human native hematopoiesis and its implications for leukemogenesis. Osorio et al. report lifelong mutation accumulation in human hematopoietic stem and progenitor cells, which is explained by three distinct mutational signatures. Shared somatic mutations between cells of the same donor enable the construction of a developmental lineage tree and quantification of each branch to mature blood cell populations.","author":[{"dropping-particle":"","family":"Osorio","given":"Fernando G.","non-dropping-particle":"","parse-names":false,"suffix":""},{"dropping-particle":"","family":"Rosendahl Huber","given":"Axel","non-dropping-particle":"","parse-names":false,"suffix":""},{"dropping-particle":"","family":"Oka","given":"Rurika","non-dropping-particle":"","parse-names":false,"suffix":""},{"dropping-particle":"","family":"Verheul","given":"Mark","non-dropping-particle":"","parse-names":false,"suffix":""},{"dropping-particle":"","family":"Patel","given":"Sachin H.","non-dropping-particle":"","parse-names":false,"suffix":""},{"dropping-particle":"","family":"Hasaart","given":"Karlijn","non-dropping-particle":"","parse-names":false,"suffix":""},{"dropping-particle":"","family":"la Fonteijne","given":"Lisanne","non-dropping-particle":"de","parse-names":false,"suffix":""},{"dropping-particle":"","family":"Varela","given":"Ignacio","non-dropping-particle":"","parse-names":false,"suffix":""},{"dropping-particle":"","family":"Camargo","given":"Fernando D.","non-dropping-particle":"","parse-names":false,"suffix":""},{"dropping-particle":"","family":"Boxtel","given":"Ruben","non-dropping-particle":"van","parse-names":false,"suffix":""}],"container-title":"Cell Reports","id":"ITEM-1","issue":"9","issued":{"date-parts":[["2018"]]},"page":"2308-2316.e4","publisher":"ElsevierCompany.","title":"Somatic Mutations Reveal Lineage Relationships and Age-Related Mutagenesis in Human Hematopoiesis","type":"article-journal","volume":"25"},"uris":["http://www.mendeley.com/documents/?uuid=bbfd516e-d775-4afa-809a-b3e4f5a2aac4"]}],"mendeley":{"formattedCitation":"&lt;sup&gt;1&lt;/sup&gt;","plainTextFormattedCitation":"1","previouslyFormattedCitation":"&lt;sup&gt;1&lt;/sup&gt;"},"properties":{"noteIndex":0},"schema":"https://github.com/citation-style-language/schema/raw/master/csl-citation.json"}</w:instrText>
      </w:r>
      <w:r w:rsidR="00822881">
        <w:rPr>
          <w:iCs/>
          <w:color w:val="000000" w:themeColor="text1"/>
        </w:rPr>
        <w:fldChar w:fldCharType="separate"/>
      </w:r>
      <w:r w:rsidR="00822881" w:rsidRPr="00822881">
        <w:rPr>
          <w:iCs/>
          <w:noProof/>
          <w:color w:val="000000" w:themeColor="text1"/>
          <w:vertAlign w:val="superscript"/>
        </w:rPr>
        <w:t>1</w:t>
      </w:r>
      <w:r w:rsidR="00822881">
        <w:rPr>
          <w:iCs/>
          <w:color w:val="000000" w:themeColor="text1"/>
        </w:rPr>
        <w:fldChar w:fldCharType="end"/>
      </w:r>
      <w:r w:rsidR="005855A4">
        <w:rPr>
          <w:iCs/>
          <w:color w:val="000000" w:themeColor="text1"/>
        </w:rPr>
        <w:t xml:space="preserve"> </w:t>
      </w:r>
      <w:r w:rsidR="00E8502A">
        <w:rPr>
          <w:iCs/>
          <w:color w:val="000000" w:themeColor="text1"/>
        </w:rPr>
        <w:t xml:space="preserve">can result in </w:t>
      </w:r>
      <w:r w:rsidR="00504D64">
        <w:rPr>
          <w:iCs/>
          <w:color w:val="000000" w:themeColor="text1"/>
        </w:rPr>
        <w:t xml:space="preserve">age-related </w:t>
      </w:r>
      <w:r w:rsidR="00E8502A">
        <w:rPr>
          <w:iCs/>
          <w:color w:val="000000" w:themeColor="text1"/>
        </w:rPr>
        <w:t>clonal hematopoiesis</w:t>
      </w:r>
      <w:r w:rsidR="00896873">
        <w:rPr>
          <w:iCs/>
          <w:color w:val="000000" w:themeColor="text1"/>
        </w:rPr>
        <w:t xml:space="preserve"> </w:t>
      </w:r>
      <w:r w:rsidR="004565DF">
        <w:rPr>
          <w:iCs/>
          <w:color w:val="000000" w:themeColor="text1"/>
        </w:rPr>
        <w:t>(</w:t>
      </w:r>
      <w:r w:rsidR="00504D64">
        <w:rPr>
          <w:iCs/>
          <w:color w:val="000000" w:themeColor="text1"/>
        </w:rPr>
        <w:t>AR</w:t>
      </w:r>
      <w:r w:rsidR="00896873">
        <w:rPr>
          <w:iCs/>
          <w:color w:val="000000" w:themeColor="text1"/>
        </w:rPr>
        <w:t>CH</w:t>
      </w:r>
      <w:r w:rsidR="004565DF">
        <w:rPr>
          <w:iCs/>
          <w:color w:val="000000" w:themeColor="text1"/>
        </w:rPr>
        <w:t>)</w:t>
      </w:r>
      <w:r w:rsidR="00822881">
        <w:rPr>
          <w:iCs/>
          <w:color w:val="000000" w:themeColor="text1"/>
        </w:rPr>
        <w:fldChar w:fldCharType="begin" w:fldLock="1"/>
      </w:r>
      <w:r w:rsidR="00641586">
        <w:rPr>
          <w:iCs/>
          <w:color w:val="000000" w:themeColor="text1"/>
        </w:rPr>
        <w:instrText>ADDIN CSL_CITATION {"citationItems":[{"id":"ITEM-1","itemData":{"DOI":"10.1056/NEJMoa1409405","ISBN":"1533-4406 (Electronic)\\r0028-4793 (Linking)","ISSN":"0028-4793","PMID":"25426838","abstract":"BACKGROUND: Cancers arise from multiple acquired mutations, which presumably occur over many years. Early stages in cancer development might be present years before cancers become clinically apparent.\\n\\nMETHODS: We analyzed data from whole-exome sequencing of DNA in peripheral-blood cells from 12,380 persons, unselected for cancer or hematologic phenotypes. We identified somatic mutations on the basis of unusual allelic fractions. We used data from Swedish national patient registers to follow health outcomes for 2 to 7 years after DNA sampling.\\n\\nRESULTS: Clonal hematopoiesis with somatic mutations was observed in 10% of persons older than 65 years of age but in only 1% of those younger than 50 years of age. Detectable clonal expansions most frequently involved somatic mutations in three genes (DNMT3A, ASXL1, and TET2) that have previously been implicated in hematologic cancers. Clonal hematopoiesis was a strong risk factor for subsequent hematologic cancer (hazard ratio, 12.9; 95% confidence interval, 5.8 to 28.7). Approximately 42% of hematologic cancers in this cohort arose in persons who had clonality at the time of DNA sampling, more than 6 months before a first diagnosis of cancer. Analysis of bone marrow-biopsy specimens obtained from two patients at the time of diagnosis of acute myeloid leukemia revealed that their cancers arose from the earlier clones.\\n\\nCONCLUSIONS: Clonal hematopoiesis with somatic mutations is readily detected by means of DNA sequencing, is increasingly common as people age, and is associated with increased risks of hematologic cancer and death. A subset of the genes that are mutated in patients with myeloid cancers is frequently mutated in apparently healthy persons; these mutations may represent characteristic early events in the development of hematologic cancers. (Funded by the National Human Genome Research Institute and others.).","author":[{"dropping-particle":"","family":"Genovese","given":"Giulio","non-dropping-particle":"","parse-names":false,"suffix":""},{"dropping-particle":"","family":"Kähler","given":"Anna K.","non-dropping-particle":"","parse-names":false,"suffix":""},{"dropping-particle":"","family":"Handsaker","given":"Robert E.","non-dropping-particle":"","parse-names":false,"suffix":""},{"dropping-particle":"","family":"Lindberg","given":"Johan","non-dropping-particle":"","parse-names":false,"suffix":""},{"dropping-particle":"","family":"Rose","given":"Samuel A.","non-dropping-particle":"","parse-names":false,"suffix":""},{"dropping-particle":"","family":"Bakhoum","given":"Samuel F.","non-dropping-particle":"","parse-names":false,"suffix":""},{"dropping-particle":"","family":"Chambert","given":"Kimberly","non-dropping-particle":"","parse-names":false,"suffix":""},{"dropping-particle":"","family":"Mick","given":"Eran","non-dropping-particle":"","parse-names":false,"suffix":""},{"dropping-particle":"","family":"Neale","given":"Benjamin M.","non-dropping-particle":"","parse-names":false,"suffix":""},{"dropping-particle":"","family":"Fromer","given":"Menachem","non-dropping-particle":"","parse-names":false,"suffix":""},{"dropping-particle":"","family":"Purcell","given":"Shaun M.","non-dropping-particle":"","parse-names":false,"suffix":""},{"dropping-particle":"","family":"Svantesson","given":"Oscar","non-dropping-particle":"","parse-names":false,"suffix":""},{"dropping-particle":"","family":"Landén","given":"Mikael","non-dropping-particle":"","parse-names":false,"suffix":""},{"dropping-particle":"","family":"Höglund","given":"Martin","non-dropping-particle":"","parse-names":false,"suffix":""},{"dropping-particle":"","family":"Lehmann","given":"Sören","non-dropping-particle":"","parse-names":false,"suffix":""},{"dropping-particle":"","family":"Gabriel","given":"Stacey B.","non-dropping-particle":"","parse-names":false,"suffix":""},{"dropping-particle":"","family":"Moran","given":"Jennifer L.","non-dropping-particle":"","parse-names":false,"suffix":""},{"dropping-particle":"","family":"Lander","given":"Eric S.","non-dropping-particle":"","parse-names":false,"suffix":""},{"dropping-particle":"","family":"Sullivan","given":"Patrick F.","non-dropping-particle":"","parse-names":false,"suffix":""},{"dropping-particle":"","family":"Sklar","given":"Pamela","non-dropping-particle":"","parse-names":false,"suffix":""},{"dropping-particle":"","family":"Grönberg","given":"Henrik","non-dropping-particle":"","parse-names":false,"suffix":""},{"dropping-particle":"","family":"Hultman","given":"Christina M.","non-dropping-particle":"","parse-names":false,"suffix":""},{"dropping-particle":"","family":"McCarroll","given":"Steven A.","non-dropping-particle":"","parse-names":false,"suffix":""}],"container-title":"New England Journal of Medicine","id":"ITEM-1","issue":"26","issued":{"date-parts":[["2014"]]},"page":"2477-2487","title":"Clonal Hematopoiesis and Blood-Cancer Risk Inferred from Blood DNA Sequence","type":"article-journal","volume":"371"},"uris":["http://www.mendeley.com/documents/?uuid=a43f455c-a5b2-4a20-8075-76ec56b34050"]},{"id":"ITEM-2","itemData":{"DOI":"10.1056/NEJMoa1408617","ISBN":"1533-4406 (Electronic)\\r0028-4793 (Linking)","ISSN":"0028-4793","PMID":"25426837","abstract":"BACKGROUND The incidence of hematologic cancers increases with age. These cancers are associated with recurrent somatic mutations in specific genes. We hypothesized that such mutations would be detectable in the blood of some persons who are not known to have hematologic disorders. METHODS We analyzed whole-exome sequencing data from DNA in the peripheral-blood cells of 17,182 persons who were unselected for hematologic phenotypes. We looked for somatic mutations by identifying previously characterized single-nucleotide variants and small insertions or deletions in 160 genes that are recurrently mutated in hematologic cancers. The presence of mutations was analyzed for an association with hematologic phenotypes, survival, and cardiovascular events. RESULTS Detectable somatic mutations were rare in persons younger than 40 years of age but rose appreciably in frequency with age. Among persons 70 to 79 years of age, 80 to 89 years of age, and 90 to 108 years of age, these clonal mutations were observed in 9.5% (219 of 2300 persons), 11.7% (37 of 317), and 18.4% (19 of 103), respectively. The majority of the variants occurred in three genes: DNMT3A, TET2, and ASXL1. The presence of a somatic mutation was associated with an increase in the risk of hematologic cancer (hazard ratio, 11.1; 95% confidence interval [CI], 3.9 to 32.6), an increase in all-cause mortality (hazard ratio, 1.4; 95% CI, 1.1 to 1.8), and increases in the risks of incident coronary heart disease (hazard ratio, 2.0; 95% CI, 1.2 to 3.4) and ischemic stroke (hazard ratio, 2.6; 95% CI, 1.4 to 4.8). CONCLUSIONS Age-related clonal hematopoiesis is a common condition that is associated with increases in the risk of hematologic cancer and in all-cause mortality, with the latter possibly due to an increased risk of cardiovascular disease. (Funded by the National Institutes of Health and others.).","author":[{"dropping-particle":"","family":"Jaiswal","given":"Siddhartha","non-dropping-particle":"","parse-names":false,"suffix":""},{"dropping-particle":"","family":"Fontanillas","given":"Pierre","non-dropping-particle":"","parse-names":false,"suffix":""},{"dropping-particle":"","family":"Flannick","given":"Jason","non-dropping-particle":"","parse-names":false,"suffix":""},{"dropping-particle":"","family":"Manning","given":"Alisa","non-dropping-particle":"","parse-names":false,"suffix":""},{"dropping-particle":"V.","family":"Grauman","given":"Peter","non-dropping-particle":"","parse-names":false,"suffix":""},{"dropping-particle":"","family":"Mar","given":"Brenton G.","non-dropping-particle":"","parse-names":false,"suffix":""},{"dropping-particle":"","family":"Lindsley","given":"R. Coleman","non-dropping-particle":"","parse-names":false,"suffix":""},{"dropping-particle":"","family":"Mermel","given":"Craig H.","non-dropping-particle":"","parse-names":false,"suffix":""},{"dropping-particle":"","family":"Burtt","given":"Noel","non-dropping-particle":"","parse-names":false,"suffix":""},{"dropping-particle":"","family":"Chavez","given":"Alejandro","non-dropping-particle":"","parse-names":false,"suffix":""},{"dropping-particle":"","family":"Higgins","given":"John M.","non-dropping-particle":"","parse-names":false,"suffix":""},{"dropping-particle":"","family":"Moltchanov","given":"Vladislav","non-dropping-particle":"","parse-names":false,"suffix":""},{"dropping-particle":"","family":"Kuo","given":"Frank C.","non-dropping-particle":"","parse-names":false,"suffix":""},{"dropping-particle":"","family":"Kluk","given":"Michael J.","non-dropping-particle":"","parse-names":false,"suffix":""},{"dropping-particle":"","family":"Henderson","given":"Brian","non-dropping-particle":"","parse-names":false,"suffix":""},{"dropping-particle":"","family":"Kinnunen","given":"Leena","non-dropping-particle":"","parse-names":false,"suffix":""},{"dropping-particle":"","family":"Koistinen","given":"Heikki A.","non-dropping-particle":"","parse-names":false,"suffix":""},{"dropping-particle":"","family":"Ladenvall","given":"Claes","non-dropping-particle":"","parse-names":false,"suffix":""},{"dropping-particle":"","family":"Getz","given":"Gad","non-dropping-particle":"","parse-names":false,"suffix":""},{"dropping-particle":"","family":"Correa","given":"Adolfo","non-dropping-particle":"","parse-names":false,"suffix":""},{"dropping-particle":"","family":"Banahan","given":"Benjamin F.","non-dropping-particle":"","parse-names":false,"suffix":""},{"dropping-particle":"","family":"Gabriel","given":"Stacey","non-dropping-particle":"","parse-names":false,"suffix":""},{"dropping-particle":"","family":"Kathiresan","given":"Sekar","non-dropping-particle":"","parse-names":false,"suffix":""},{"dropping-particle":"","family":"Stringham","given":"Heather M.","non-dropping-particle":"","parse-names":false,"suffix":""},{"dropping-particle":"","family":"McCarthy","given":"Mark I.","non-dropping-particle":"","parse-names":false,"suffix":""},{"dropping-particle":"","family":"Boehnke","given":"Michael","non-dropping-particle":"","parse-names":false,"suffix":""},{"dropping-particle":"","family":"Tuomilehto","given":"Jaakko","non-dropping-particle":"","parse-names":false,"suffix":""},{"dropping-particle":"","family":"Haiman","given":"Christopher","non-dropping-particle":"","parse-names":false,"suffix":""},{"dropping-particle":"","family":"Groop","given":"Leif","non-dropping-particle":"","parse-names":false,"suffix":""},{"dropping-particle":"","family":"Atzmon","given":"Gil","non-dropping-particle":"","parse-names":false,"suffix":""},{"dropping-particle":"","family":"Wilson","given":"James G.","non-dropping-particle":"","parse-names":false,"suffix":""},{"dropping-particle":"","family":"Neuberg","given":"Donna","non-dropping-particle":"","parse-names":false,"suffix":""},{"dropping-particle":"","family":"Altshuler","given":"David","non-dropping-particle":"","parse-names":false,"suffix":""},{"dropping-particle":"","family":"Ebert","given":"Benjamin L.","non-dropping-particle":"","parse-names":false,"suffix":""}],"container-title":"New England Journal of Medicine","id":"ITEM-2","issue":"26","issued":{"date-parts":[["2014"]]},"page":"2488-2498","title":"Age-Related Clonal Hematopoiesis Associated with Adverse Outcomes","type":"article-journal","volume":"371"},"uris":["http://www.mendeley.com/documents/?uuid=0a572979-6c1a-4a64-b0c0-15f2427fd6ad"]}],"mendeley":{"formattedCitation":"&lt;sup&gt;2,3&lt;/sup&gt;","plainTextFormattedCitation":"2,3","previouslyFormattedCitation":"&lt;sup&gt;2,3&lt;/sup&gt;"},"properties":{"noteIndex":0},"schema":"https://github.com/citation-style-language/schema/raw/master/csl-citation.json"}</w:instrText>
      </w:r>
      <w:r w:rsidR="00822881">
        <w:rPr>
          <w:iCs/>
          <w:color w:val="000000" w:themeColor="text1"/>
        </w:rPr>
        <w:fldChar w:fldCharType="separate"/>
      </w:r>
      <w:r w:rsidR="00504D64" w:rsidRPr="00504D64">
        <w:rPr>
          <w:iCs/>
          <w:noProof/>
          <w:color w:val="000000" w:themeColor="text1"/>
          <w:vertAlign w:val="superscript"/>
        </w:rPr>
        <w:t>2,3</w:t>
      </w:r>
      <w:r w:rsidR="00822881">
        <w:rPr>
          <w:iCs/>
          <w:color w:val="000000" w:themeColor="text1"/>
        </w:rPr>
        <w:fldChar w:fldCharType="end"/>
      </w:r>
      <w:r w:rsidR="00504D64">
        <w:rPr>
          <w:iCs/>
          <w:color w:val="000000" w:themeColor="text1"/>
        </w:rPr>
        <w:t xml:space="preserve">, </w:t>
      </w:r>
      <w:r w:rsidR="004565DF">
        <w:rPr>
          <w:iCs/>
          <w:color w:val="000000" w:themeColor="text1"/>
        </w:rPr>
        <w:t>which is</w:t>
      </w:r>
      <w:r w:rsidR="00FB465F" w:rsidRPr="00592B97">
        <w:rPr>
          <w:iCs/>
          <w:color w:val="000000" w:themeColor="text1"/>
        </w:rPr>
        <w:t xml:space="preserve"> a </w:t>
      </w:r>
      <w:r w:rsidR="007E64C6" w:rsidRPr="00592B97">
        <w:rPr>
          <w:iCs/>
          <w:color w:val="000000" w:themeColor="text1"/>
        </w:rPr>
        <w:t xml:space="preserve">non-symptomatic </w:t>
      </w:r>
      <w:r w:rsidR="00FB465F" w:rsidRPr="00592B97">
        <w:rPr>
          <w:iCs/>
          <w:color w:val="000000" w:themeColor="text1"/>
        </w:rPr>
        <w:t xml:space="preserve">condition </w:t>
      </w:r>
      <w:r w:rsidR="00504D64">
        <w:rPr>
          <w:iCs/>
          <w:color w:val="000000" w:themeColor="text1"/>
        </w:rPr>
        <w:t xml:space="preserve">driven by </w:t>
      </w:r>
      <w:r w:rsidR="00FB465F" w:rsidRPr="00592B97">
        <w:rPr>
          <w:iCs/>
          <w:color w:val="000000" w:themeColor="text1"/>
        </w:rPr>
        <w:t>HS</w:t>
      </w:r>
      <w:r w:rsidR="00896873">
        <w:rPr>
          <w:iCs/>
          <w:color w:val="000000" w:themeColor="text1"/>
        </w:rPr>
        <w:t>P</w:t>
      </w:r>
      <w:r w:rsidR="00FB465F" w:rsidRPr="00592B97">
        <w:rPr>
          <w:iCs/>
          <w:color w:val="000000" w:themeColor="text1"/>
        </w:rPr>
        <w:t xml:space="preserve">Cs </w:t>
      </w:r>
      <w:r w:rsidR="007E64C6" w:rsidRPr="00592B97">
        <w:rPr>
          <w:iCs/>
          <w:color w:val="000000" w:themeColor="text1"/>
        </w:rPr>
        <w:t>carrying</w:t>
      </w:r>
      <w:r w:rsidR="00FB465F" w:rsidRPr="00592B97">
        <w:rPr>
          <w:iCs/>
          <w:color w:val="000000" w:themeColor="text1"/>
        </w:rPr>
        <w:t xml:space="preserve"> leukemia-driver mutations</w:t>
      </w:r>
      <w:r w:rsidR="007A0B86">
        <w:rPr>
          <w:iCs/>
          <w:color w:val="000000" w:themeColor="text1"/>
        </w:rPr>
        <w:t>.</w:t>
      </w:r>
      <w:r w:rsidR="0015631E">
        <w:rPr>
          <w:iCs/>
          <w:color w:val="000000" w:themeColor="text1"/>
        </w:rPr>
        <w:t xml:space="preserve"> Initially, it was thought that individuals</w:t>
      </w:r>
      <w:r w:rsidR="00F72EC6">
        <w:rPr>
          <w:iCs/>
          <w:color w:val="000000" w:themeColor="text1"/>
        </w:rPr>
        <w:t xml:space="preserve"> with </w:t>
      </w:r>
      <w:r w:rsidR="00504D64">
        <w:rPr>
          <w:iCs/>
          <w:color w:val="000000" w:themeColor="text1"/>
        </w:rPr>
        <w:t>AR</w:t>
      </w:r>
      <w:r w:rsidR="00F72EC6">
        <w:rPr>
          <w:iCs/>
          <w:color w:val="000000" w:themeColor="text1"/>
        </w:rPr>
        <w:t>CH have</w:t>
      </w:r>
      <w:r w:rsidR="0015631E">
        <w:rPr>
          <w:iCs/>
          <w:color w:val="000000" w:themeColor="text1"/>
        </w:rPr>
        <w:t xml:space="preserve"> an</w:t>
      </w:r>
      <w:r w:rsidR="00F72EC6">
        <w:rPr>
          <w:iCs/>
          <w:color w:val="000000" w:themeColor="text1"/>
        </w:rPr>
        <w:t xml:space="preserve"> increased risk for leukemia</w:t>
      </w:r>
      <w:r w:rsidR="00282668">
        <w:rPr>
          <w:iCs/>
          <w:color w:val="000000" w:themeColor="text1"/>
        </w:rPr>
        <w:fldChar w:fldCharType="begin" w:fldLock="1"/>
      </w:r>
      <w:r w:rsidR="00641586">
        <w:rPr>
          <w:iCs/>
          <w:color w:val="000000" w:themeColor="text1"/>
        </w:rPr>
        <w:instrText>ADDIN CSL_CITATION {"citationItems":[{"id":"ITEM-1","itemData":{"DOI":"10.1056/NEJMoa1409405","ISBN":"1533-4406 (Electronic)\\r0028-4793 (Linking)","ISSN":"0028-4793","PMID":"25426838","abstract":"BACKGROUND: Cancers arise from multiple acquired mutations, which presumably occur over many years. Early stages in cancer development might be present years before cancers become clinically apparent.\\n\\nMETHODS: We analyzed data from whole-exome sequencing of DNA in peripheral-blood cells from 12,380 persons, unselected for cancer or hematologic phenotypes. We identified somatic mutations on the basis of unusual allelic fractions. We used data from Swedish national patient registers to follow health outcomes for 2 to 7 years after DNA sampling.\\n\\nRESULTS: Clonal hematopoiesis with somatic mutations was observed in 10% of persons older than 65 years of age but in only 1% of those younger than 50 years of age. Detectable clonal expansions most frequently involved somatic mutations in three genes (DNMT3A, ASXL1, and TET2) that have previously been implicated in hematologic cancers. Clonal hematopoiesis was a strong risk factor for subsequent hematologic cancer (hazard ratio, 12.9; 95% confidence interval, 5.8 to 28.7). Approximately 42% of hematologic cancers in this cohort arose in persons who had clonality at the time of DNA sampling, more than 6 months before a first diagnosis of cancer. Analysis of bone marrow-biopsy specimens obtained from two patients at the time of diagnosis of acute myeloid leukemia revealed that their cancers arose from the earlier clones.\\n\\nCONCLUSIONS: Clonal hematopoiesis with somatic mutations is readily detected by means of DNA sequencing, is increasingly common as people age, and is associated with increased risks of hematologic cancer and death. A subset of the genes that are mutated in patients with myeloid cancers is frequently mutated in apparently healthy persons; these mutations may represent characteristic early events in the development of hematologic cancers. (Funded by the National Human Genome Research Institute and others.).","author":[{"dropping-particle":"","family":"Genovese","given":"Giulio","non-dropping-particle":"","parse-names":false,"suffix":""},{"dropping-particle":"","family":"Kähler","given":"Anna K.","non-dropping-particle":"","parse-names":false,"suffix":""},{"dropping-particle":"","family":"Handsaker","given":"Robert E.","non-dropping-particle":"","parse-names":false,"suffix":""},{"dropping-particle":"","family":"Lindberg","given":"Johan","non-dropping-particle":"","parse-names":false,"suffix":""},{"dropping-particle":"","family":"Rose","given":"Samuel A.","non-dropping-particle":"","parse-names":false,"suffix":""},{"dropping-particle":"","family":"Bakhoum","given":"Samuel F.","non-dropping-particle":"","parse-names":false,"suffix":""},{"dropping-particle":"","family":"Chambert","given":"Kimberly","non-dropping-particle":"","parse-names":false,"suffix":""},{"dropping-particle":"","family":"Mick","given":"Eran","non-dropping-particle":"","parse-names":false,"suffix":""},{"dropping-particle":"","family":"Neale","given":"Benjamin M.","non-dropping-particle":"","parse-names":false,"suffix":""},{"dropping-particle":"","family":"Fromer","given":"Menachem","non-dropping-particle":"","parse-names":false,"suffix":""},{"dropping-particle":"","family":"Purcell","given":"Shaun M.","non-dropping-particle":"","parse-names":false,"suffix":""},{"dropping-particle":"","family":"Svantesson","given":"Oscar","non-dropping-particle":"","parse-names":false,"suffix":""},{"dropping-particle":"","family":"Landén","given":"Mikael","non-dropping-particle":"","parse-names":false,"suffix":""},{"dropping-particle":"","family":"Höglund","given":"Martin","non-dropping-particle":"","parse-names":false,"suffix":""},{"dropping-particle":"","family":"Lehmann","given":"Sören","non-dropping-particle":"","parse-names":false,"suffix":""},{"dropping-particle":"","family":"Gabriel","given":"Stacey B.","non-dropping-particle":"","parse-names":false,"suffix":""},{"dropping-particle":"","family":"Moran","given":"Jennifer L.","non-dropping-particle":"","parse-names":false,"suffix":""},{"dropping-particle":"","family":"Lander","given":"Eric S.","non-dropping-particle":"","parse-names":false,"suffix":""},{"dropping-particle":"","family":"Sullivan","given":"Patrick F.","non-dropping-particle":"","parse-names":false,"suffix":""},{"dropping-particle":"","family":"Sklar","given":"Pamela","non-dropping-particle":"","parse-names":false,"suffix":""},{"dropping-particle":"","family":"Grönberg","given":"Henrik","non-dropping-particle":"","parse-names":false,"suffix":""},{"dropping-particle":"","family":"Hultman","given":"Christina M.","non-dropping-particle":"","parse-names":false,"suffix":""},{"dropping-particle":"","family":"McCarroll","given":"Steven A.","non-dropping-particle":"","parse-names":false,"suffix":""}],"container-title":"New England Journal of Medicine","id":"ITEM-1","issue":"26","issued":{"date-parts":[["2014"]]},"page":"2477-2487","title":"Clonal Hematopoiesis and Blood-Cancer Risk Inferred from Blood DNA Sequence","type":"article-journal","volume":"371"},"uris":["http://www.mendeley.com/documents/?uuid=a43f455c-a5b2-4a20-8075-76ec56b34050"]},{"id":"ITEM-2","itemData":{"DOI":"10.1056/NEJMoa1408617","ISBN":"1533-4406 (Electronic)\\r0028-4793 (Linking)","ISSN":"0028-4793","PMID":"25426837","abstract":"BACKGROUND The incidence of hematologic cancers increases with age. These cancers are associated with recurrent somatic mutations in specific genes. We hypothesized that such mutations would be detectable in the blood of some persons who are not known to have hematologic disorders. METHODS We analyzed whole-exome sequencing data from DNA in the peripheral-blood cells of 17,182 persons who were unselected for hematologic phenotypes. We looked for somatic mutations by identifying previously characterized single-nucleotide variants and small insertions or deletions in 160 genes that are recurrently mutated in hematologic cancers. The presence of mutations was analyzed for an association with hematologic phenotypes, survival, and cardiovascular events. RESULTS Detectable somatic mutations were rare in persons younger than 40 years of age but rose appreciably in frequency with age. Among persons 70 to 79 years of age, 80 to 89 years of age, and 90 to 108 years of age, these clonal mutations were observed in 9.5% (219 of 2300 persons), 11.7% (37 of 317), and 18.4% (19 of 103), respectively. The majority of the variants occurred in three genes: DNMT3A, TET2, and ASXL1. The presence of a somatic mutation was associated with an increase in the risk of hematologic cancer (hazard ratio, 11.1; 95% confidence interval [CI], 3.9 to 32.6), an increase in all-cause mortality (hazard ratio, 1.4; 95% CI, 1.1 to 1.8), and increases in the risks of incident coronary heart disease (hazard ratio, 2.0; 95% CI, 1.2 to 3.4) and ischemic stroke (hazard ratio, 2.6; 95% CI, 1.4 to 4.8). CONCLUSIONS Age-related clonal hematopoiesis is a common condition that is associated with increases in the risk of hematologic cancer and in all-cause mortality, with the latter possibly due to an increased risk of cardiovascular disease. (Funded by the National Institutes of Health and others.).","author":[{"dropping-particle":"","family":"Jaiswal","given":"Siddhartha","non-dropping-particle":"","parse-names":false,"suffix":""},{"dropping-particle":"","family":"Fontanillas","given":"Pierre","non-dropping-particle":"","parse-names":false,"suffix":""},{"dropping-particle":"","family":"Flannick","given":"Jason","non-dropping-particle":"","parse-names":false,"suffix":""},{"dropping-particle":"","family":"Manning","given":"Alisa","non-dropping-particle":"","parse-names":false,"suffix":""},{"dropping-particle":"V.","family":"Grauman","given":"Peter","non-dropping-particle":"","parse-names":false,"suffix":""},{"dropping-particle":"","family":"Mar","given":"Brenton G.","non-dropping-particle":"","parse-names":false,"suffix":""},{"dropping-particle":"","family":"Lindsley","given":"R. Coleman","non-dropping-particle":"","parse-names":false,"suffix":""},{"dropping-particle":"","family":"Mermel","given":"Craig H.","non-dropping-particle":"","parse-names":false,"suffix":""},{"dropping-particle":"","family":"Burtt","given":"Noel","non-dropping-particle":"","parse-names":false,"suffix":""},{"dropping-particle":"","family":"Chavez","given":"Alejandro","non-dropping-particle":"","parse-names":false,"suffix":""},{"dropping-particle":"","family":"Higgins","given":"John M.","non-dropping-particle":"","parse-names":false,"suffix":""},{"dropping-particle":"","family":"Moltchanov","given":"Vladislav","non-dropping-particle":"","parse-names":false,"suffix":""},{"dropping-particle":"","family":"Kuo","given":"Frank C.","non-dropping-particle":"","parse-names":false,"suffix":""},{"dropping-particle":"","family":"Kluk","given":"Michael J.","non-dropping-particle":"","parse-names":false,"suffix":""},{"dropping-particle":"","family":"Henderson","given":"Brian","non-dropping-particle":"","parse-names":false,"suffix":""},{"dropping-particle":"","family":"Kinnunen","given":"Leena","non-dropping-particle":"","parse-names":false,"suffix":""},{"dropping-particle":"","family":"Koistinen","given":"Heikki A.","non-dropping-particle":"","parse-names":false,"suffix":""},{"dropping-particle":"","family":"Ladenvall","given":"Claes","non-dropping-particle":"","parse-names":false,"suffix":""},{"dropping-particle":"","family":"Getz","given":"Gad","non-dropping-particle":"","parse-names":false,"suffix":""},{"dropping-particle":"","family":"Correa","given":"Adolfo","non-dropping-particle":"","parse-names":false,"suffix":""},{"dropping-particle":"","family":"Banahan","given":"Benjamin F.","non-dropping-particle":"","parse-names":false,"suffix":""},{"dropping-particle":"","family":"Gabriel","given":"Stacey","non-dropping-particle":"","parse-names":false,"suffix":""},{"dropping-particle":"","family":"Kathiresan","given":"Sekar","non-dropping-particle":"","parse-names":false,"suffix":""},{"dropping-particle":"","family":"Stringham","given":"Heather M.","non-dropping-particle":"","parse-names":false,"suffix":""},{"dropping-particle":"","family":"McCarthy","given":"Mark I.","non-dropping-particle":"","parse-names":false,"suffix":""},{"dropping-particle":"","family":"Boehnke","given":"Michael","non-dropping-particle":"","parse-names":false,"suffix":""},{"dropping-particle":"","family":"Tuomilehto","given":"Jaakko","non-dropping-particle":"","parse-names":false,"suffix":""},{"dropping-particle":"","family":"Haiman","given":"Christopher","non-dropping-particle":"","parse-names":false,"suffix":""},{"dropping-particle":"","family":"Groop","given":"Leif","non-dropping-particle":"","parse-names":false,"suffix":""},{"dropping-particle":"","family":"Atzmon","given":"Gil","non-dropping-particle":"","parse-names":false,"suffix":""},{"dropping-particle":"","family":"Wilson","given":"James G.","non-dropping-particle":"","parse-names":false,"suffix":""},{"dropping-particle":"","family":"Neuberg","given":"Donna","non-dropping-particle":"","parse-names":false,"suffix":""},{"dropping-particle":"","family":"Altshuler","given":"David","non-dropping-particle":"","parse-names":false,"suffix":""},{"dropping-particle":"","family":"Ebert","given":"Benjamin L.","non-dropping-particle":"","parse-names":false,"suffix":""}],"container-title":"New England Journal of Medicine","id":"ITEM-2","issue":"26","issued":{"date-parts":[["2014"]]},"page":"2488-2498","title":"Age-Related Clonal Hematopoiesis Associated with Adverse Outcomes","type":"article-journal","volume":"371"},"uris":["http://www.mendeley.com/documents/?uuid=0fd99445-e2f7-490f-a54d-3f49eb85c057"]}],"mendeley":{"formattedCitation":"&lt;sup&gt;2,3&lt;/sup&gt;","plainTextFormattedCitation":"2,3","previouslyFormattedCitation":"&lt;sup&gt;2,3&lt;/sup&gt;"},"properties":{"noteIndex":0},"schema":"https://github.com/citation-style-language/schema/raw/master/csl-citation.json"}</w:instrText>
      </w:r>
      <w:r w:rsidR="00282668">
        <w:rPr>
          <w:iCs/>
          <w:color w:val="000000" w:themeColor="text1"/>
        </w:rPr>
        <w:fldChar w:fldCharType="separate"/>
      </w:r>
      <w:r w:rsidR="00504D64" w:rsidRPr="00504D64">
        <w:rPr>
          <w:iCs/>
          <w:noProof/>
          <w:color w:val="000000" w:themeColor="text1"/>
          <w:vertAlign w:val="superscript"/>
        </w:rPr>
        <w:t>2,3</w:t>
      </w:r>
      <w:r w:rsidR="00282668">
        <w:rPr>
          <w:iCs/>
          <w:color w:val="000000" w:themeColor="text1"/>
        </w:rPr>
        <w:fldChar w:fldCharType="end"/>
      </w:r>
      <w:r w:rsidR="00F72EC6">
        <w:rPr>
          <w:iCs/>
          <w:color w:val="000000" w:themeColor="text1"/>
        </w:rPr>
        <w:t xml:space="preserve">. However, recent studies have shown an incidence of 95% of </w:t>
      </w:r>
      <w:r w:rsidR="00504D64">
        <w:rPr>
          <w:iCs/>
          <w:color w:val="000000" w:themeColor="text1"/>
        </w:rPr>
        <w:t>AR</w:t>
      </w:r>
      <w:r w:rsidR="00F72EC6">
        <w:rPr>
          <w:iCs/>
          <w:color w:val="000000" w:themeColor="text1"/>
        </w:rPr>
        <w:t xml:space="preserve">CH in </w:t>
      </w:r>
      <w:r w:rsidR="004046D7">
        <w:rPr>
          <w:iCs/>
          <w:color w:val="000000" w:themeColor="text1"/>
        </w:rPr>
        <w:t>elderly</w:t>
      </w:r>
      <w:r w:rsidR="00F72EC6">
        <w:rPr>
          <w:iCs/>
          <w:color w:val="000000" w:themeColor="text1"/>
        </w:rPr>
        <w:t xml:space="preserve"> individuals</w:t>
      </w:r>
      <w:r w:rsidR="0015631E">
        <w:rPr>
          <w:iCs/>
          <w:color w:val="000000" w:themeColor="text1"/>
        </w:rPr>
        <w:fldChar w:fldCharType="begin" w:fldLock="1"/>
      </w:r>
      <w:r w:rsidR="00641586">
        <w:rPr>
          <w:iCs/>
          <w:color w:val="000000" w:themeColor="text1"/>
        </w:rPr>
        <w:instrText>ADDIN CSL_CITATION {"citationItems":[{"id":"ITEM-1","itemData":{"DOI":"10.1038/ncomms12484","ISBN":"2041-1723 (Electronic) 2041-1723 (Linking)","ISSN":"20411723","PMID":"27546487","abstract":"Clonal haematopoiesis is thought to be a rare condition that increases in frequency with age and predisposes individuals to haematological malignancy. Recent studies, utilizing next-generation sequencing (NGS), observed haematopoietic clones in 10% of 70-year olds and rarely in younger individuals. However, these studies could only detect common haematopoietic clones—40.02 variant allele fraction (VAF)—due to the error rate of NGS. To identify and characterize clonal mutations below this threshold, here we develop methods for targeted error-corrected sequencing, which enable the accurate detection of clonal mutations as rare as 0.0003 VAF. We apply these methods to study serially banked peripheral blood samples from healthy 50–60-year-old participants in the Nurses' Health Study. We observe clonal haematopoiesis, frequently harbouring mutations in DNMT3A and TET2, in 95% of individuals studied. These clonal mutations are often stable longitudinally and present in multiple haematopoietic compartments, suggesting a long-lived haematopoietic stem and progenitor cell of origin.","author":[{"dropping-particle":"","family":"Young","given":"Andrew L.","non-dropping-particle":"","parse-names":false,"suffix":""},{"dropping-particle":"","family":"Challen","given":"Grant A.","non-dropping-particle":"","parse-names":false,"suffix":""},{"dropping-particle":"","family":"Birmann","given":"Brenda M.","non-dropping-particle":"","parse-names":false,"suffix":""},{"dropping-particle":"","family":"Druley","given":"Todd E.","non-dropping-particle":"","parse-names":false,"suffix":""}],"container-title":"Nature Communications","id":"ITEM-1","issued":{"date-parts":[["2016"]]},"page":"1-7","publisher":"Nature Publishing Group","title":"Clonal haematopoiesis harbouring AML-associated mutations is ubiquitous in healthy adults","type":"article-journal","volume":"7"},"uris":["http://www.mendeley.com/documents/?uuid=672e6f6d-8831-45e6-b547-1c2f6a54883a"]}],"mendeley":{"formattedCitation":"&lt;sup&gt;4&lt;/sup&gt;","plainTextFormattedCitation":"4","previouslyFormattedCitation":"&lt;sup&gt;4&lt;/sup&gt;"},"properties":{"noteIndex":0},"schema":"https://github.com/citation-style-language/schema/raw/master/csl-citation.json"}</w:instrText>
      </w:r>
      <w:r w:rsidR="0015631E">
        <w:rPr>
          <w:iCs/>
          <w:color w:val="000000" w:themeColor="text1"/>
        </w:rPr>
        <w:fldChar w:fldCharType="separate"/>
      </w:r>
      <w:r w:rsidR="00504D64" w:rsidRPr="00504D64">
        <w:rPr>
          <w:iCs/>
          <w:noProof/>
          <w:color w:val="000000" w:themeColor="text1"/>
          <w:vertAlign w:val="superscript"/>
        </w:rPr>
        <w:t>4</w:t>
      </w:r>
      <w:r w:rsidR="0015631E">
        <w:rPr>
          <w:iCs/>
          <w:color w:val="000000" w:themeColor="text1"/>
        </w:rPr>
        <w:fldChar w:fldCharType="end"/>
      </w:r>
      <w:r w:rsidR="00F72EC6">
        <w:rPr>
          <w:iCs/>
          <w:color w:val="000000" w:themeColor="text1"/>
        </w:rPr>
        <w:t xml:space="preserve">, </w:t>
      </w:r>
      <w:r w:rsidR="00282668">
        <w:rPr>
          <w:iCs/>
          <w:color w:val="000000" w:themeColor="text1"/>
        </w:rPr>
        <w:t xml:space="preserve">making the association with malignancies less clear and </w:t>
      </w:r>
      <w:r w:rsidR="00F72EC6">
        <w:rPr>
          <w:iCs/>
          <w:color w:val="000000" w:themeColor="text1"/>
        </w:rPr>
        <w:t xml:space="preserve">raising the question </w:t>
      </w:r>
      <w:r w:rsidR="00AE02B3">
        <w:rPr>
          <w:iCs/>
          <w:color w:val="000000" w:themeColor="text1"/>
        </w:rPr>
        <w:t xml:space="preserve">of </w:t>
      </w:r>
      <w:r w:rsidR="00F72EC6">
        <w:rPr>
          <w:iCs/>
          <w:color w:val="000000" w:themeColor="text1"/>
        </w:rPr>
        <w:t xml:space="preserve">why some individuals with </w:t>
      </w:r>
      <w:r w:rsidR="00504D64">
        <w:rPr>
          <w:iCs/>
          <w:color w:val="000000" w:themeColor="text1"/>
        </w:rPr>
        <w:t>AR</w:t>
      </w:r>
      <w:r w:rsidR="00F72EC6">
        <w:rPr>
          <w:iCs/>
          <w:color w:val="000000" w:themeColor="text1"/>
        </w:rPr>
        <w:t>CH eventually do or do not develop malignancie</w:t>
      </w:r>
      <w:r w:rsidR="00504D64">
        <w:rPr>
          <w:iCs/>
          <w:color w:val="000000" w:themeColor="text1"/>
        </w:rPr>
        <w:t>s. Nonetheless, somatic</w:t>
      </w:r>
      <w:r w:rsidR="00504D64" w:rsidRPr="00592B97">
        <w:rPr>
          <w:iCs/>
          <w:color w:val="000000" w:themeColor="text1"/>
        </w:rPr>
        <w:t xml:space="preserve"> mutations</w:t>
      </w:r>
      <w:r w:rsidR="00504D64">
        <w:rPr>
          <w:iCs/>
          <w:color w:val="000000" w:themeColor="text1"/>
        </w:rPr>
        <w:t xml:space="preserve"> in HSPCs can</w:t>
      </w:r>
      <w:r w:rsidR="00504D64" w:rsidRPr="00592B97">
        <w:rPr>
          <w:iCs/>
          <w:color w:val="000000" w:themeColor="text1"/>
        </w:rPr>
        <w:t xml:space="preserve"> pose </w:t>
      </w:r>
      <w:r w:rsidR="00504D64">
        <w:rPr>
          <w:iCs/>
          <w:color w:val="000000" w:themeColor="text1"/>
        </w:rPr>
        <w:t xml:space="preserve">serious health </w:t>
      </w:r>
      <w:r w:rsidR="00504D64" w:rsidRPr="00592B97">
        <w:rPr>
          <w:iCs/>
          <w:color w:val="000000" w:themeColor="text1"/>
        </w:rPr>
        <w:t>risks, as myelodysplastic disorders</w:t>
      </w:r>
      <w:r w:rsidR="00504D64">
        <w:rPr>
          <w:iCs/>
          <w:color w:val="000000" w:themeColor="text1"/>
        </w:rPr>
        <w:t xml:space="preserve"> and leukemia</w:t>
      </w:r>
      <w:r w:rsidR="00504D64" w:rsidRPr="00592B97">
        <w:rPr>
          <w:iCs/>
          <w:color w:val="000000" w:themeColor="text1"/>
        </w:rPr>
        <w:t xml:space="preserve"> are characterized by </w:t>
      </w:r>
      <w:r w:rsidR="00504D64">
        <w:rPr>
          <w:iCs/>
          <w:color w:val="000000" w:themeColor="text1"/>
        </w:rPr>
        <w:t xml:space="preserve">the presence of </w:t>
      </w:r>
      <w:r w:rsidR="00504D64" w:rsidRPr="00592B97">
        <w:rPr>
          <w:iCs/>
          <w:color w:val="000000" w:themeColor="text1"/>
        </w:rPr>
        <w:t>specific cancer driver mutations.</w:t>
      </w:r>
    </w:p>
    <w:p w14:paraId="3ABA2DD9" w14:textId="1ED521C9" w:rsidR="00504D64" w:rsidRDefault="00F6617D" w:rsidP="00C16832">
      <w:pPr>
        <w:widowControl/>
        <w:spacing w:line="0" w:lineRule="atLeast"/>
        <w:rPr>
          <w:iCs/>
          <w:color w:val="000000" w:themeColor="text1"/>
        </w:rPr>
      </w:pPr>
      <w:r>
        <w:rPr>
          <w:iCs/>
          <w:color w:val="000000" w:themeColor="text1"/>
        </w:rPr>
        <w:t xml:space="preserve"> </w:t>
      </w:r>
    </w:p>
    <w:p w14:paraId="3DB86FA6" w14:textId="13E6BEDC" w:rsidR="001F45D7" w:rsidRDefault="00504D64" w:rsidP="00C16832">
      <w:pPr>
        <w:widowControl/>
        <w:spacing w:line="0" w:lineRule="atLeast"/>
        <w:rPr>
          <w:iCs/>
          <w:color w:val="000000" w:themeColor="text1"/>
        </w:rPr>
      </w:pPr>
      <w:r>
        <w:rPr>
          <w:iCs/>
          <w:color w:val="000000" w:themeColor="text1"/>
        </w:rPr>
        <w:t xml:space="preserve">To identify the mutational processes and study blood clonality, mutation accumulation in individual HSPCs needs to be characterized. </w:t>
      </w:r>
      <w:r w:rsidR="007A0B86">
        <w:rPr>
          <w:iCs/>
          <w:color w:val="000000" w:themeColor="text1"/>
        </w:rPr>
        <w:t>Muta</w:t>
      </w:r>
      <w:r>
        <w:rPr>
          <w:iCs/>
          <w:color w:val="000000" w:themeColor="text1"/>
        </w:rPr>
        <w:t>tional</w:t>
      </w:r>
      <w:r w:rsidR="007A0B86">
        <w:rPr>
          <w:iCs/>
          <w:color w:val="000000" w:themeColor="text1"/>
        </w:rPr>
        <w:t xml:space="preserve"> </w:t>
      </w:r>
      <w:r>
        <w:rPr>
          <w:iCs/>
          <w:color w:val="000000" w:themeColor="text1"/>
        </w:rPr>
        <w:t>processes</w:t>
      </w:r>
      <w:r w:rsidR="0078667E">
        <w:rPr>
          <w:iCs/>
          <w:color w:val="000000" w:themeColor="text1"/>
        </w:rPr>
        <w:t xml:space="preserve"> leave characteristic patterns in the genome, so</w:t>
      </w:r>
      <w:r w:rsidR="00AC08BB">
        <w:rPr>
          <w:iCs/>
          <w:color w:val="000000" w:themeColor="text1"/>
        </w:rPr>
        <w:t>-</w:t>
      </w:r>
      <w:r w:rsidR="0078667E">
        <w:rPr>
          <w:iCs/>
          <w:color w:val="000000" w:themeColor="text1"/>
        </w:rPr>
        <w:t>called mutational signatures</w:t>
      </w:r>
      <w:r>
        <w:rPr>
          <w:iCs/>
          <w:color w:val="000000" w:themeColor="text1"/>
        </w:rPr>
        <w:t>, which can be identified and quantified in genome-wide collections of mutations</w:t>
      </w:r>
      <w:r>
        <w:rPr>
          <w:iCs/>
          <w:color w:val="000000" w:themeColor="text1"/>
        </w:rPr>
        <w:fldChar w:fldCharType="begin" w:fldLock="1"/>
      </w:r>
      <w:r w:rsidR="00641586">
        <w:rPr>
          <w:iCs/>
          <w:color w:val="000000" w:themeColor="text1"/>
        </w:rPr>
        <w:instrText>ADDIN CSL_CITATION {"citationItems":[{"id":"ITEM-1","itemData":{"DOI":"10.1016/j.celrep.2012.12.008","ISBN":"2211-1247 (Electronic)","ISSN":"22111247","PMID":"23318258","abstract":"The genome of a cancer cell carries somatic mutations that are the cumulative consequences of the DNA damage and repair processes operative during the cellular lineage between the fertilized egg and the cancer cell. Remarkably, these mutational processes are poorly characterized. Global sequencing initiatives are yielding catalogs of somatic mutations from thousands of cancers, thus providing the unique opportunity to decipher the signatures of mutational processes operative in human cancer. However, until now there have been no theoretical models describing the signatures of mutational processes operative in cancer genomes and no systematic computational approaches are available to decipher these mutational signatures. Here, by modeling mutational processes as a blind source separation problem, we introduce a computational framework that effectively addresses these questions. Our approach provides a basis for characterizing mutational signatures from cancer-derived somatic mutational catalogs, paving the way to insights into the pathogenetic mechanism underlying all cancers. ?? 2013 The Authors.","author":[{"dropping-particle":"","family":"Alexandrov","given":"Ludmil B.","non-dropping-particle":"","parse-names":false,"suffix":""},{"dropping-particle":"","family":"Nik-Zainal","given":"Serena","non-dropping-particle":"","parse-names":false,"suffix":""},{"dropping-particle":"","family":"Wedge","given":"David C.","non-dropping-particle":"","parse-names":false,"suffix":""},{"dropping-particle":"","family":"Campbell","given":"Peter J.","non-dropping-particle":"","parse-names":false,"suffix":""},{"dropping-particle":"","family":"Stratton","given":"Michael R.","non-dropping-particle":"","parse-names":false,"suffix":""}],"container-title":"Cell Reports","id":"ITEM-1","issue":"1","issued":{"date-parts":[["2013"]]},"page":"246-259","publisher":"The Authors","title":"Deciphering Signatures of Mutational Processes Operative in Human Cancer","type":"article-journal","volume":"3"},"uris":["http://www.mendeley.com/documents/?uuid=618522c0-cbf5-4a80-9426-93f0774b9864"]}],"mendeley":{"formattedCitation":"&lt;sup&gt;5&lt;/sup&gt;","plainTextFormattedCitation":"5","previouslyFormattedCitation":"&lt;sup&gt;5&lt;/sup&gt;"},"properties":{"noteIndex":0},"schema":"https://github.com/citation-style-language/schema/raw/master/csl-citation.json"}</w:instrText>
      </w:r>
      <w:r>
        <w:rPr>
          <w:iCs/>
          <w:color w:val="000000" w:themeColor="text1"/>
        </w:rPr>
        <w:fldChar w:fldCharType="separate"/>
      </w:r>
      <w:r w:rsidRPr="00504D64">
        <w:rPr>
          <w:iCs/>
          <w:noProof/>
          <w:color w:val="000000" w:themeColor="text1"/>
          <w:vertAlign w:val="superscript"/>
        </w:rPr>
        <w:t>5</w:t>
      </w:r>
      <w:r>
        <w:rPr>
          <w:iCs/>
          <w:color w:val="000000" w:themeColor="text1"/>
        </w:rPr>
        <w:fldChar w:fldCharType="end"/>
      </w:r>
      <w:r w:rsidR="0078667E">
        <w:rPr>
          <w:iCs/>
          <w:color w:val="000000" w:themeColor="text1"/>
        </w:rPr>
        <w:t xml:space="preserve">. For </w:t>
      </w:r>
      <w:r w:rsidR="007A0B86">
        <w:rPr>
          <w:iCs/>
          <w:color w:val="000000" w:themeColor="text1"/>
        </w:rPr>
        <w:t>instance</w:t>
      </w:r>
      <w:r w:rsidR="0078667E">
        <w:rPr>
          <w:iCs/>
          <w:color w:val="000000" w:themeColor="text1"/>
        </w:rPr>
        <w:t>, exposure to UV</w:t>
      </w:r>
      <w:r w:rsidR="00AE02B3">
        <w:rPr>
          <w:iCs/>
          <w:color w:val="000000" w:themeColor="text1"/>
        </w:rPr>
        <w:t xml:space="preserve"> </w:t>
      </w:r>
      <w:r w:rsidR="0078667E">
        <w:rPr>
          <w:iCs/>
          <w:color w:val="000000" w:themeColor="text1"/>
        </w:rPr>
        <w:t>light, alkylating agents</w:t>
      </w:r>
      <w:r w:rsidR="00AE02B3">
        <w:rPr>
          <w:iCs/>
          <w:color w:val="000000" w:themeColor="text1"/>
        </w:rPr>
        <w:t>,</w:t>
      </w:r>
      <w:r w:rsidR="0078667E">
        <w:rPr>
          <w:iCs/>
          <w:color w:val="000000" w:themeColor="text1"/>
        </w:rPr>
        <w:t xml:space="preserve"> and defects in DNA repair pathways have each been associated with a different mutational signature</w:t>
      </w:r>
      <w:r w:rsidR="00A03E29">
        <w:rPr>
          <w:iCs/>
          <w:color w:val="000000" w:themeColor="text1"/>
        </w:rPr>
        <w:fldChar w:fldCharType="begin" w:fldLock="1"/>
      </w:r>
      <w:r w:rsidR="00DA4BB7">
        <w:rPr>
          <w:iCs/>
          <w:color w:val="000000" w:themeColor="text1"/>
        </w:rPr>
        <w:instrText>ADDIN CSL_CITATION {"citationItems":[{"id":"ITEM-1","itemData":{"DOI":"10.1038/nature12477","ISBN":"1476-4687 (Electronic)\\r0028-0836 (Linking)","ISSN":"0028-0836","PMID":"23945592","abstract":"All cancers are caused by somatic mutations; however, understanding of the biological processes generating these mutations is limited. The catalogue of somatic mutations from a cancer genome bears the signatures of the mutational processes that have been operative. Here we analysed 4,938,362 mutations from 7,042 cancers and extracted more than 20 distinct mutational signatures. Some are present in many cancer types, notably a signature attributed to the APOBEC family of cytidine deaminases, whereas others are confined to a single cancer class. Certain signatures are associated with age of the patient at cancer diagnosis, known mutagenic exposures or defects in DNA maintenance, but many are of cryptic origin. In addition to these genome-wide mutational signatures, hypermutation localized to small genomic regions, 'kataegis', is found in many cancer types. The results reveal the diversity of mutational processes underlying the development of cancer, with potential implications for understanding of cancer aetiology, prevention and therapy.","author":[{"dropping-particle":"","family":"Alexandrov","given":"Ludmil B.","non-dropping-particle":"","parse-names":false,"suffix":""},{"dropping-particle":"","family":"Nik-Zainal","given":"Serena","non-dropping-particle":"","parse-names":false,"suffix":""},{"dropping-particle":"","family":"Wedge","given":"David C.","non-dropping-particle":"","parse-names":false,"suffix":""},{"dropping-particle":"","family":"Aparicio","given":"Samuel A. J. R.","non-dropping-particle":"","parse-names":false,"suffix":""},{"dropping-particle":"","family":"Behjati","given":"Sam","non-dropping-particle":"","parse-names":false,"suffix":""},{"dropping-particle":"V.","family":"Biankin","given":"Andrew","non-dropping-particle":"","parse-names":false,"suffix":""},{"dropping-particle":"","family":"Bignell","given":"Graham R.","non-dropping-particle":"","parse-names":false,"suffix":""},{"dropping-particle":"","family":"Bolli","given":"Niccolò","non-dropping-particle":"","parse-names":false,"suffix":""},{"dropping-particle":"","family":"Borg","given":"Ake","non-dropping-particle":"","parse-names":false,"suffix":""},{"dropping-particle":"","family":"Børresen-Dale","given":"Anne-Lise","non-dropping-particle":"","parse-names":false,"suffix":""},{"dropping-particle":"","family":"Boyault","given":"Sandrine","non-dropping-particle":"","parse-names":false,"suffix":""},{"dropping-particle":"","family":"Burkhardt","given":"Birgit","non-dropping-particle":"","parse-names":false,"suffix":""},{"dropping-particle":"","family":"Butler","given":"Adam P.","non-dropping-particle":"","parse-names":false,"suffix":""},{"dropping-particle":"","family":"Caldas","given":"Carlos","non-dropping-particle":"","parse-names":false,"suffix":""},{"dropping-particle":"","family":"Davies","given":"Helen R.","non-dropping-particle":"","parse-names":false,"suffix":""},{"dropping-particle":"","family":"Desmedt","given":"Christine","non-dropping-particle":"","parse-names":false,"suffix":""},{"dropping-particle":"","family":"Eils","given":"Roland","non-dropping-particle":"","parse-names":false,"suffix":""},{"dropping-particle":"","family":"Eyfjörd","given":"Jórunn Erla","non-dropping-particle":"","parse-names":false,"suffix":""},{"dropping-particle":"","family":"Foekens","given":"John A.","non-dropping-particle":"","parse-names":false,"suffix":""},{"dropping-particle":"","family":"Greaves","given":"Mel","non-dropping-particle":"","parse-names":false,"suffix":""},{"dropping-particle":"","family":"Hosoda","given":"Fumie","non-dropping-particle":"","parse-names":false,"suffix":""},{"dropping-particle":"","family":"Hutter","given":"Barbara","non-dropping-particle":"","parse-names":false,"suffix":""},{"dropping-particle":"","family":"Ilicic","given":"Tomislav","non-dropping-particle":"","parse-names":false,"suffix":""},{"dropping-particle":"","family":"Imbeaud","given":"Sandrine","non-dropping-particle":"","parse-names":false,"suffix":""},{"dropping-particle":"","family":"Imielinsk","given":"Marcin","non-dropping-particle":"","parse-names":false,"suffix":""},{"dropping-particle":"","family":"Jäger","given":"Natalie","non-dropping-particle":"","parse-names":false,"suffix":""},{"dropping-particle":"","family":"Jones","given":"David T. W.","non-dropping-particle":"","parse-names":false,"suffix":""},{"dropping-particle":"","family":"Jones","given":"David","non-dropping-particle":"","parse-names":false,"suffix":""},{"dropping-particle":"","family":"Knappskog","given":"Stian","non-dropping-particle":"","parse-names":false,"suffix":""},{"dropping-particle":"","family":"Kool","given":"Marcel","non-dropping-particle":"","parse-names":false,"suffix":""},{"dropping-particle":"","family":"Lakhani","given":"Sunil R.","non-dropping-particle":"","parse-names":false,"suffix":""},{"dropping-particle":"","family":"López-Otín","given":"Carlos","non-dropping-particle":"","parse-names":false,"suffix":""},{"dropping-particle":"","family":"Martin","given":"Sancha","non-dropping-particle":"","parse-names":false,"suffix":""},{"dropping-particle":"","family":"Munshi","given":"Nikhil C.","non-dropping-particle":"","parse-names":false,"suffix":""},{"dropping-particle":"","family":"Nakamura","given":"Hiromi","non-dropping-particle":"","parse-names":false,"suffix":""},{"dropping-particle":"","family":"Northcott","given":"Paul A.","non-dropping-particle":"","parse-names":false,"suffix":""},{"dropping-particle":"","family":"Pajic","given":"Marina","non-dropping-particle":"","parse-names":false,"suffix":""},{"dropping-particle":"","family":"Papaemmanuil","given":"Elli","non-dropping-particle":"","parse-names":false,"suffix":""},{"dropping-particle":"","family":"Paradiso","given":"Angelo","non-dropping-particle":"","parse-names":false,"suffix":""},{"dropping-particle":"V.","family":"Pearson","given":"John","non-dropping-particle":"","parse-names":false,"suffix":""},{"dropping-particle":"","family":"Puente","given":"Xose S.","non-dropping-particle":"","parse-names":false,"suffix":""},{"dropping-particle":"","family":"Raine","given":"Keiran","non-dropping-particle":"","parse-names":false,"suffix":""},{"dropping-particle":"","family":"Ramakrishna","given":"Manasa","non-dropping-particle":"","parse-names":false,"suffix":""},{"dropping-particle":"","family":"Richardson","given":"Andrea L.","non-dropping-particle":"","parse-names":false,"suffix":""},{"dropping-particle":"","family":"Richter","given":"Julia","non-dropping-particle":"","parse-names":false,"suffix":""},{"dropping-particle":"","family":"Rosenstiel","given":"Philip","non-dropping-particle":"","parse-names":false,"suffix":""},{"dropping-particle":"","family":"Schlesner","given":"Matthias","non-dropping-particle":"","parse-names":false,"suffix":""},{"dropping-particle":"","family":"Schumacher","given":"Ton N.","non-dropping-particle":"","parse-names":false,"suffix":""},{"dropping-particle":"","family":"Span","given":"Paul N.","non-dropping-particle":"","parse-names":false,"suffix":""},{"dropping-particle":"","family":"Teague","given":"Jon W.","non-dropping-particle":"","parse-names":false,"suffix":""},{"dropping-particle":"","family":"Totoki","given":"Yasushi","non-dropping-particle":"","parse-names":false,"suffix":""},{"dropping-particle":"","family":"Tutt","given":"Andrew N. J.","non-dropping-particle":"","parse-names":false,"suffix":""},{"dropping-particle":"","family":"Valdés-Mas","given":"Rafael","non-dropping-particle":"","parse-names":false,"suffix":""},{"dropping-particle":"","family":"Buuren","given":"Marit M.","non-dropping-particle":"van","parse-names":false,"suffix":""},{"dropping-particle":"","family":"’t Veer","given":"Laura","non-dropping-particle":"van","parse-names":false,"suffix":""},{"dropping-particle":"","family":"Vincent-Salomon","given":"Anne","non-dropping-particle":"","parse-names":false,"suffix":""},{"dropping-particle":"","family":"Waddell","given":"Nicola","non-dropping-particle":"","parse-names":false,"suffix":""},{"dropping-particle":"","family":"Yates","given":"Lucy R.","non-dropping-particle":"","parse-names":false,"suffix":""},{"dropping-particle":"","family":"Zucman-Rossi","given":"Jessica","non-dropping-particle":"","parse-names":false,"suffix":""},{"dropping-particle":"","family":"Andrew Futreal","given":"P.","non-dropping-particle":"","parse-names":false,"suffix":""},{"dropping-particle":"","family":"McDermott","given":"Ultan","non-dropping-particle":"","parse-names":false,"suffix":""},{"dropping-particle":"","family":"Lichter","given":"Peter","non-dropping-particle":"","parse-names":false,"suffix":""},{"dropping-particle":"","family":"Meyerson","given":"Matthew","non-dropping-particle":"","parse-names":false,"suffix":""},{"dropping-particle":"","family":"Grimmond","given":"Sean M.","non-dropping-particle":"","parse-names":false,"suffix":""},{"dropping-particle":"","family":"Siebert","given":"Reiner","non-dropping-particle":"","parse-names":false,"suffix":""},{"dropping-particle":"","family":"Campo","given":"Elías","non-dropping-particle":"","parse-names":false,"suffix":""},{"dropping-particle":"","family":"Shibata","given":"Tatsuhiro","non-dropping-particle":"","parse-names":false,"suffix":""},{"dropping-particle":"","family":"Pfister","given":"Stefan M.","non-dropping-particle":"","parse-names":false,"suffix":""},{"dropping-particle":"","family":"Campbell","given":"Peter J.","non-dropping-particle":"","parse-names":false,"suffix":""},{"dropping-particle":"","family":"Stratton","given":"Michael R.","non-dropping-particle":"","parse-names":false,"suffix":""}],"container-title":"Nature","id":"ITEM-1","issue":"7463","issued":{"date-parts":[["2013"]]},"page":"415-421","title":"Signatures of mutational processes in human cancer","type":"article-journal","volume":"500"},"uris":["http://www.mendeley.com/documents/?uuid=1e457e4b-f687-48e4-99a5-aa3dd024f3d6"]},{"id":"ITEM-2","itemData":{"DOI":"10.1101/322859","abstract":"Somatic mutations in cancer genomes are caused by multiple mutational processes each of which generates a characteristic mutational signature. Using 84,729,690 somatic mutations from 4,645 whole cancer genome and 19,184 exome sequences encompassing most cancer types we characterised 49 single base substitution, 11 doublet base substitution, four clustered base substitution, and 17 small insertion and deletion mutational signatures. The substantial dataset size compared to previous analyses enabled discovery of new signatures, separation of overlapping signatures and decomposition of signatures into components that may represent associated, but distinct, DNA damage, repair and/or replication mechanisms. Estimation of the contribution of each signature to the mutational catalogues of individual cancer genomes revealed associations with exogenous and endogenous exposures and defective DNA maintenance processes. However, many signatures are of unknown cause. This analysis provides a comprehensive perspective on the repertoire of mutational processes contributing to the development of human cancer.","author":[{"dropping-particle":"","family":"Alexandrov","given":"Ludmil","non-dropping-particle":"","parse-names":false,"suffix":""},{"dropping-particle":"","family":"Kim","given":"Jaegil","non-dropping-particle":"","parse-names":false,"suffix":""},{"dropping-particle":"","family":"Haradhvala","given":"Nicholas J","non-dropping-particle":"","parse-names":false,"suffix":""},{"dropping-particle":"","family":"Huang","given":"Mi Ni","non-dropping-particle":"","parse-names":false,"suffix":""},{"dropping-particle":"","family":"Ng","given":"Alvin W T","non-dropping-particle":"","parse-names":false,"suffix":""},{"dropping-particle":"","family":"Boot","given":"Arnoud","non-dropping-particle":"","parse-names":false,"suffix":""},{"dropping-particle":"","family":"Covington","given":"Kyle R","non-dropping-particle":"","parse-names":false,"suffix":""},{"dropping-particle":"","family":"Gordenin","given":"Dmitry A","non-dropping-particle":"","parse-names":false,"suffix":""},{"dropping-particle":"","family":"Bergstrom","given":"Erik","non-dropping-particle":"","parse-names":false,"suffix":""},{"dropping-particle":"","family":"Lopez-Bigas","given":"Nuria","non-dropping-particle":"","parse-names":false,"suffix":""},{"dropping-particle":"","family":"Klimczak","given":"Leszek J","non-dropping-particle":"","parse-names":false,"suffix":""},{"dropping-particle":"","family":"McPherson","given":"John R","non-dropping-particle":"","parse-names":false,"suffix":""},{"dropping-particle":"","family":"Morganella","given":"Sandro","non-dropping-particle":"","parse-names":false,"suffix":""},{"dropping-particle":"","family":"Sabarinathan","given":"Radhakrishnan","non-dropping-particle":"","parse-names":false,"suffix":""},{"dropping-particle":"","family":"Wheeler","given":"David A","non-dropping-particle":"","parse-names":false,"suffix":""},{"dropping-particle":"","family":"Mustonen","given":"Ville","non-dropping-particle":"","parse-names":false,"suffix":""},{"dropping-particle":"","family":"Getz","given":"Gad","non-dropping-particle":"","parse-names":false,"suffix":""},{"dropping-particle":"","family":"Rozen","given":"Steven G.","non-dropping-particle":"","parse-names":false,"suffix":""},{"dropping-particle":"","family":"Stratton","given":"Michael R","non-dropping-particle":"","parse-names":false,"suffix":""},{"dropping-particle":"","family":"Group","given":"PCAWG Mutational Signatures Working","non-dropping-particle":"","parse-names":false,"suffix":""},{"dropping-particle":"","family":"Net","given":"ICGC/TCGA Pan-Cancer Analysis of Whole Genomes","non-dropping-particle":"","parse-names":false,"suffix":""}],"container-title":"bioRxiv","id":"ITEM-2","issued":{"date-parts":[["2018"]]},"title":"The Repertoire of Mutational Signatures in Human Cancer","type":"article-journal"},"uris":["http://www.mendeley.com/documents/?uuid=2fac307e-1bb5-4d10-8d75-7d1e3493da34"]}],"mendeley":{"formattedCitation":"&lt;sup&gt;6,7&lt;/sup&gt;","plainTextFormattedCitation":"6,7","previouslyFormattedCitation":"&lt;sup&gt;6,7&lt;/sup&gt;"},"properties":{"noteIndex":0},"schema":"https://github.com/citation-style-language/schema/raw/master/csl-citation.json"}</w:instrText>
      </w:r>
      <w:r w:rsidR="00A03E29">
        <w:rPr>
          <w:iCs/>
          <w:color w:val="000000" w:themeColor="text1"/>
        </w:rPr>
        <w:fldChar w:fldCharType="separate"/>
      </w:r>
      <w:r w:rsidR="00A03E29" w:rsidRPr="00A03E29">
        <w:rPr>
          <w:iCs/>
          <w:noProof/>
          <w:color w:val="000000" w:themeColor="text1"/>
          <w:vertAlign w:val="superscript"/>
        </w:rPr>
        <w:t>6,7</w:t>
      </w:r>
      <w:r w:rsidR="00A03E29">
        <w:rPr>
          <w:iCs/>
          <w:color w:val="000000" w:themeColor="text1"/>
        </w:rPr>
        <w:fldChar w:fldCharType="end"/>
      </w:r>
      <w:r w:rsidR="0078667E">
        <w:rPr>
          <w:iCs/>
          <w:color w:val="000000" w:themeColor="text1"/>
        </w:rPr>
        <w:t>. In addition, due the stochastic nature of mutation accumulation</w:t>
      </w:r>
      <w:r w:rsidR="00AE02B3">
        <w:rPr>
          <w:iCs/>
          <w:color w:val="000000" w:themeColor="text1"/>
        </w:rPr>
        <w:t>s,</w:t>
      </w:r>
      <w:r w:rsidR="0078667E">
        <w:rPr>
          <w:iCs/>
          <w:color w:val="000000" w:themeColor="text1"/>
        </w:rPr>
        <w:t xml:space="preserve"> most </w:t>
      </w:r>
      <w:r w:rsidR="00AE02B3">
        <w:rPr>
          <w:iCs/>
          <w:color w:val="000000" w:themeColor="text1"/>
        </w:rPr>
        <w:t>(</w:t>
      </w:r>
      <w:r w:rsidR="0078667E">
        <w:rPr>
          <w:iCs/>
          <w:color w:val="000000" w:themeColor="text1"/>
        </w:rPr>
        <w:t>if not all</w:t>
      </w:r>
      <w:r w:rsidR="00AE02B3">
        <w:rPr>
          <w:iCs/>
          <w:color w:val="000000" w:themeColor="text1"/>
        </w:rPr>
        <w:t>)</w:t>
      </w:r>
      <w:r w:rsidR="0078667E">
        <w:rPr>
          <w:iCs/>
          <w:color w:val="000000" w:themeColor="text1"/>
        </w:rPr>
        <w:t xml:space="preserve"> of the acquired mutations are unique </w:t>
      </w:r>
      <w:r w:rsidR="007A0B86">
        <w:rPr>
          <w:iCs/>
          <w:color w:val="000000" w:themeColor="text1"/>
        </w:rPr>
        <w:t>between</w:t>
      </w:r>
      <w:r w:rsidR="0078667E">
        <w:rPr>
          <w:iCs/>
          <w:color w:val="000000" w:themeColor="text1"/>
        </w:rPr>
        <w:t xml:space="preserve"> cells. If mutations are shared between multiple cells of the same individual, it indicates that these cells share a common ancestor</w:t>
      </w:r>
      <w:r w:rsidR="00A03E29">
        <w:rPr>
          <w:iCs/>
          <w:color w:val="000000" w:themeColor="text1"/>
        </w:rPr>
        <w:fldChar w:fldCharType="begin" w:fldLock="1"/>
      </w:r>
      <w:r w:rsidR="00DA4BB7">
        <w:rPr>
          <w:iCs/>
          <w:color w:val="000000" w:themeColor="text1"/>
        </w:rPr>
        <w:instrText>ADDIN CSL_CITATION {"citationItems":[{"id":"ITEM-1","itemData":{"DOI":"10.1038/nature13448","ISBN":"0028-0836\\r1476-4687","ISSN":"14764687","PMID":"25043003","abstract":"The somatic mutations present in the genome of a cell accumulate over the lifetime of a multicellular organism. These mutations can provide insights into the developmental lineage tree, the number of divisions that each cell has undergone and the mutational processes that have been operative. Here we describe whole genomes of clonal lines derived from multiple tissues of healthy mice. Using somatic base substitutions, we reconstructed the early cell divisions of each animal, demonstrating the contributions of embryonic cells to adult tissues. Differences were observed between tissues in the numbers and types of mutations accumulated by each cell, which likely reflect differences in the number of cell divisions they have undergone and varying contributions of different mutational processes. If somatic mutation rates are similar to those in mice, the results indicate that precise insights into development and mutagenesis of normal human cells will be possible.","author":[{"dropping-particle":"","family":"Behjati","given":"Sam","non-dropping-particle":"","parse-names":false,"suffix":""},{"dropping-particle":"","family":"Huch","given":"Meritxell","non-dropping-particle":"","parse-names":false,"suffix":""},{"dropping-particle":"","family":"Boxtel","given":"Ruben","non-dropping-particle":"Van","parse-names":false,"suffix":""},{"dropping-particle":"","family":"Karthaus","given":"Wouter","non-dropping-particle":"","parse-names":false,"suffix":""},{"dropping-particle":"","family":"Wedge","given":"David C.","non-dropping-particle":"","parse-names":false,"suffix":""},{"dropping-particle":"","family":"Tamuri","given":"Asif U.","non-dropping-particle":"","parse-names":false,"suffix":""},{"dropping-particle":"","family":"Martincorena","given":"Iñigo","non-dropping-particle":"","parse-names":false,"suffix":""},{"dropping-particle":"","family":"Petljak","given":"Mia","non-dropping-particle":"","parse-names":false,"suffix":""},{"dropping-particle":"","family":"Alexandrov","given":"Ludmil B","non-dropping-particle":"","parse-names":false,"suffix":""},{"dropping-particle":"","family":"Gundem","given":"Gunes","non-dropping-particle":"","parse-names":false,"suffix":""},{"dropping-particle":"","family":"Tarpey","given":"Patrick S","non-dropping-particle":"","parse-names":false,"suffix":""},{"dropping-particle":"","family":"Roerink","given":"Sophie","non-dropping-particle":"","parse-names":false,"suffix":""},{"dropping-particle":"","family":"Blokker","given":"Joyce","non-dropping-particle":"","parse-names":false,"suffix":""},{"dropping-particle":"","family":"Maddison","given":"Mark","non-dropping-particle":"","parse-names":false,"suffix":""},{"dropping-particle":"","family":"Mudie","given":"Laura","non-dropping-particle":"","parse-names":false,"suffix":""},{"dropping-particle":"","family":"Robinson","given":"Ben","non-dropping-particle":"","parse-names":false,"suffix":""},{"dropping-particle":"","family":"Nik-Zainal","given":"Serena","non-dropping-particle":"","parse-names":false,"suffix":""},{"dropping-particle":"","family":"Campbell","given":"Peter","non-dropping-particle":"","parse-names":false,"suffix":""},{"dropping-particle":"","family":"Goldman","given":"Nick","non-dropping-particle":"","parse-names":false,"suffix":""},{"dropping-particle":"","family":"Wetering","given":"Marc","non-dropping-particle":"Van De","parse-names":false,"suffix":""},{"dropping-particle":"","family":"Cuppen","given":"Edwin","non-dropping-particle":"","parse-names":false,"suffix":""},{"dropping-particle":"","family":"Clevers","given":"Hans","non-dropping-particle":"","parse-names":false,"suffix":""},{"dropping-particle":"","family":"Stratton","given":"Michael R","non-dropping-particle":"","parse-names":false,"suffix":""}],"container-title":"Nature","id":"ITEM-1","issue":"7518","issued":{"date-parts":[["2014"]]},"page":"422-425","title":"Genome sequencing of normal cells reveals developmental lineages and mutational processes","type":"article-journal","volume":"513"},"uris":["http://www.mendeley.com/documents/?uuid=476a2fdb-ac8f-46c8-afe5-5576f04079e1"]}],"mendeley":{"formattedCitation":"&lt;sup&gt;8&lt;/sup&gt;","plainTextFormattedCitation":"8","previouslyFormattedCitation":"&lt;sup&gt;8&lt;/sup&gt;"},"properties":{"noteIndex":0},"schema":"https://github.com/citation-style-language/schema/raw/master/csl-citation.json"}</w:instrText>
      </w:r>
      <w:r w:rsidR="00A03E29">
        <w:rPr>
          <w:iCs/>
          <w:color w:val="000000" w:themeColor="text1"/>
        </w:rPr>
        <w:fldChar w:fldCharType="separate"/>
      </w:r>
      <w:r w:rsidR="00A03E29" w:rsidRPr="00A03E29">
        <w:rPr>
          <w:iCs/>
          <w:noProof/>
          <w:color w:val="000000" w:themeColor="text1"/>
          <w:vertAlign w:val="superscript"/>
        </w:rPr>
        <w:t>8</w:t>
      </w:r>
      <w:r w:rsidR="00A03E29">
        <w:rPr>
          <w:iCs/>
          <w:color w:val="000000" w:themeColor="text1"/>
        </w:rPr>
        <w:fldChar w:fldCharType="end"/>
      </w:r>
      <w:r w:rsidR="0078667E">
        <w:rPr>
          <w:iCs/>
          <w:color w:val="000000" w:themeColor="text1"/>
        </w:rPr>
        <w:t>. Therefore, by assessing shared mutation</w:t>
      </w:r>
      <w:r w:rsidR="007A0B86">
        <w:rPr>
          <w:iCs/>
          <w:color w:val="000000" w:themeColor="text1"/>
        </w:rPr>
        <w:t>s</w:t>
      </w:r>
      <w:r w:rsidR="0078667E">
        <w:rPr>
          <w:iCs/>
          <w:color w:val="000000" w:themeColor="text1"/>
        </w:rPr>
        <w:t xml:space="preserve">, lineage relationships can be determined between cells and a developmental lineage tree can be constructed branch by branch. </w:t>
      </w:r>
      <w:r w:rsidR="00BB2444">
        <w:rPr>
          <w:iCs/>
          <w:color w:val="000000" w:themeColor="text1"/>
        </w:rPr>
        <w:t>However, c</w:t>
      </w:r>
      <w:r w:rsidR="00BB2444" w:rsidRPr="00BB2444">
        <w:rPr>
          <w:iCs/>
          <w:color w:val="000000" w:themeColor="text1"/>
        </w:rPr>
        <w:t xml:space="preserve">ataloguing rare somatic mutations in physiologically normal cells is technically challenging due to </w:t>
      </w:r>
      <w:r w:rsidR="00911BA2">
        <w:rPr>
          <w:iCs/>
          <w:color w:val="000000" w:themeColor="text1"/>
        </w:rPr>
        <w:t xml:space="preserve">the </w:t>
      </w:r>
      <w:r w:rsidR="00BB2444" w:rsidRPr="00BB2444">
        <w:rPr>
          <w:iCs/>
          <w:color w:val="000000" w:themeColor="text1"/>
        </w:rPr>
        <w:t>polyclonal nature of healthy tissues</w:t>
      </w:r>
      <w:r w:rsidR="00BB2444">
        <w:rPr>
          <w:iCs/>
          <w:color w:val="000000" w:themeColor="text1"/>
        </w:rPr>
        <w:t>.</w:t>
      </w:r>
      <w:r w:rsidR="00D9193B">
        <w:rPr>
          <w:iCs/>
          <w:color w:val="000000" w:themeColor="text1"/>
        </w:rPr>
        <w:t xml:space="preserve"> </w:t>
      </w:r>
    </w:p>
    <w:p w14:paraId="65375F8C" w14:textId="77777777" w:rsidR="00AF531B" w:rsidRDefault="00AF531B" w:rsidP="00C16832">
      <w:pPr>
        <w:widowControl/>
        <w:spacing w:line="0" w:lineRule="atLeast"/>
        <w:rPr>
          <w:iCs/>
          <w:color w:val="000000" w:themeColor="text1"/>
        </w:rPr>
      </w:pPr>
    </w:p>
    <w:p w14:paraId="4D4DF096" w14:textId="1CCD3FE3" w:rsidR="00D9193B" w:rsidRDefault="00AE02B3" w:rsidP="00C16832">
      <w:pPr>
        <w:widowControl/>
        <w:spacing w:line="0" w:lineRule="atLeast"/>
        <w:rPr>
          <w:color w:val="000000" w:themeColor="text1"/>
        </w:rPr>
      </w:pPr>
      <w:r>
        <w:rPr>
          <w:iCs/>
          <w:color w:val="000000" w:themeColor="text1"/>
        </w:rPr>
        <w:t>P</w:t>
      </w:r>
      <w:r w:rsidR="00705A52" w:rsidRPr="00592B97">
        <w:rPr>
          <w:iCs/>
          <w:color w:val="000000" w:themeColor="text1"/>
        </w:rPr>
        <w:t>resent</w:t>
      </w:r>
      <w:r>
        <w:rPr>
          <w:iCs/>
          <w:color w:val="000000" w:themeColor="text1"/>
        </w:rPr>
        <w:t>ed here is</w:t>
      </w:r>
      <w:r w:rsidR="00705A52" w:rsidRPr="00592B97">
        <w:rPr>
          <w:iCs/>
          <w:color w:val="000000" w:themeColor="text1"/>
        </w:rPr>
        <w:t xml:space="preserve"> a method to </w:t>
      </w:r>
      <w:r w:rsidR="008964AC">
        <w:rPr>
          <w:iCs/>
          <w:color w:val="000000" w:themeColor="text1"/>
        </w:rPr>
        <w:t xml:space="preserve">accurately </w:t>
      </w:r>
      <w:r w:rsidR="00705A52" w:rsidRPr="00592B97">
        <w:rPr>
          <w:iCs/>
          <w:color w:val="000000" w:themeColor="text1"/>
        </w:rPr>
        <w:t>identify</w:t>
      </w:r>
      <w:r w:rsidR="001C4AE8">
        <w:rPr>
          <w:iCs/>
          <w:color w:val="000000" w:themeColor="text1"/>
        </w:rPr>
        <w:t xml:space="preserve"> and </w:t>
      </w:r>
      <w:r w:rsidR="00705A52" w:rsidRPr="00592B97">
        <w:rPr>
          <w:iCs/>
          <w:color w:val="000000" w:themeColor="text1"/>
        </w:rPr>
        <w:t xml:space="preserve">determine </w:t>
      </w:r>
      <w:r w:rsidR="008964AC">
        <w:rPr>
          <w:iCs/>
          <w:color w:val="000000" w:themeColor="text1"/>
        </w:rPr>
        <w:t>somatic</w:t>
      </w:r>
      <w:r w:rsidR="00705A52" w:rsidRPr="00592B97">
        <w:rPr>
          <w:iCs/>
          <w:color w:val="000000" w:themeColor="text1"/>
        </w:rPr>
        <w:t xml:space="preserve"> mutations </w:t>
      </w:r>
      <w:r w:rsidR="001C4AE8">
        <w:rPr>
          <w:iCs/>
          <w:color w:val="000000" w:themeColor="text1"/>
        </w:rPr>
        <w:t>in</w:t>
      </w:r>
      <w:r w:rsidR="008964AC">
        <w:rPr>
          <w:iCs/>
          <w:color w:val="000000" w:themeColor="text1"/>
        </w:rPr>
        <w:t xml:space="preserve"> the genomes of</w:t>
      </w:r>
      <w:r w:rsidR="00705A52" w:rsidRPr="00592B97">
        <w:rPr>
          <w:iCs/>
          <w:color w:val="000000" w:themeColor="text1"/>
        </w:rPr>
        <w:t xml:space="preserve"> </w:t>
      </w:r>
      <w:r w:rsidR="008964AC">
        <w:rPr>
          <w:iCs/>
          <w:color w:val="000000" w:themeColor="text1"/>
        </w:rPr>
        <w:t xml:space="preserve">individual HSPCs. </w:t>
      </w:r>
      <w:r w:rsidR="001E6DC0">
        <w:rPr>
          <w:iCs/>
          <w:color w:val="000000" w:themeColor="text1"/>
        </w:rPr>
        <w:t>This involves</w:t>
      </w:r>
      <w:r w:rsidR="008964AC" w:rsidRPr="008964AC">
        <w:rPr>
          <w:iCs/>
          <w:color w:val="000000" w:themeColor="text1"/>
        </w:rPr>
        <w:t xml:space="preserve"> </w:t>
      </w:r>
      <w:r w:rsidR="001E6DC0">
        <w:rPr>
          <w:iCs/>
          <w:color w:val="000000" w:themeColor="text1"/>
        </w:rPr>
        <w:t xml:space="preserve">the </w:t>
      </w:r>
      <w:r w:rsidR="008835B8">
        <w:rPr>
          <w:iCs/>
          <w:color w:val="000000" w:themeColor="text1"/>
        </w:rPr>
        <w:t>isolat</w:t>
      </w:r>
      <w:r w:rsidR="001E6DC0">
        <w:rPr>
          <w:iCs/>
          <w:color w:val="000000" w:themeColor="text1"/>
        </w:rPr>
        <w:t>ion</w:t>
      </w:r>
      <w:r w:rsidR="008835B8">
        <w:rPr>
          <w:iCs/>
          <w:color w:val="000000" w:themeColor="text1"/>
        </w:rPr>
        <w:t xml:space="preserve"> and </w:t>
      </w:r>
      <w:r w:rsidR="008964AC" w:rsidRPr="008964AC">
        <w:rPr>
          <w:iCs/>
          <w:color w:val="000000" w:themeColor="text1"/>
        </w:rPr>
        <w:t>clonal expan</w:t>
      </w:r>
      <w:r w:rsidR="001E6DC0">
        <w:rPr>
          <w:iCs/>
          <w:color w:val="000000" w:themeColor="text1"/>
        </w:rPr>
        <w:t>sion of</w:t>
      </w:r>
      <w:r w:rsidR="008964AC" w:rsidRPr="008964AC">
        <w:rPr>
          <w:iCs/>
          <w:color w:val="000000" w:themeColor="text1"/>
        </w:rPr>
        <w:t xml:space="preserve"> </w:t>
      </w:r>
      <w:r w:rsidR="008964AC">
        <w:rPr>
          <w:iCs/>
          <w:color w:val="000000" w:themeColor="text1"/>
        </w:rPr>
        <w:t>HSPC</w:t>
      </w:r>
      <w:r w:rsidR="008964AC" w:rsidRPr="008964AC">
        <w:rPr>
          <w:iCs/>
          <w:color w:val="000000" w:themeColor="text1"/>
        </w:rPr>
        <w:t xml:space="preserve">s </w:t>
      </w:r>
      <w:r w:rsidR="008964AC" w:rsidRPr="00C16832">
        <w:rPr>
          <w:iCs/>
          <w:color w:val="000000" w:themeColor="text1"/>
        </w:rPr>
        <w:t>in vitro</w:t>
      </w:r>
      <w:r w:rsidR="008835B8">
        <w:rPr>
          <w:iCs/>
          <w:color w:val="000000" w:themeColor="text1"/>
        </w:rPr>
        <w:t>. These</w:t>
      </w:r>
      <w:r w:rsidR="008964AC" w:rsidRPr="008964AC">
        <w:rPr>
          <w:iCs/>
          <w:color w:val="000000" w:themeColor="text1"/>
        </w:rPr>
        <w:t xml:space="preserve"> clonal cultures</w:t>
      </w:r>
      <w:r w:rsidR="008835B8">
        <w:rPr>
          <w:iCs/>
          <w:color w:val="000000" w:themeColor="text1"/>
        </w:rPr>
        <w:t xml:space="preserve"> </w:t>
      </w:r>
      <w:r w:rsidR="008964AC" w:rsidRPr="008964AC">
        <w:rPr>
          <w:iCs/>
          <w:color w:val="000000" w:themeColor="text1"/>
        </w:rPr>
        <w:t>reflect the genetic makeup of the original cell (i.e.</w:t>
      </w:r>
      <w:r w:rsidR="001E6DC0">
        <w:rPr>
          <w:iCs/>
          <w:color w:val="000000" w:themeColor="text1"/>
        </w:rPr>
        <w:t>,</w:t>
      </w:r>
      <w:r w:rsidR="008964AC" w:rsidRPr="008964AC">
        <w:rPr>
          <w:iCs/>
          <w:color w:val="000000" w:themeColor="text1"/>
        </w:rPr>
        <w:t xml:space="preserve"> mutations in the original cell will be shared by all other cells in the culture). </w:t>
      </w:r>
      <w:r w:rsidR="008835B8">
        <w:rPr>
          <w:iCs/>
          <w:color w:val="000000" w:themeColor="text1"/>
        </w:rPr>
        <w:t xml:space="preserve">This approach allows us to obtain </w:t>
      </w:r>
      <w:proofErr w:type="gramStart"/>
      <w:r w:rsidR="008964AC" w:rsidRPr="008964AC">
        <w:rPr>
          <w:iCs/>
          <w:color w:val="000000" w:themeColor="text1"/>
        </w:rPr>
        <w:t>sufficient</w:t>
      </w:r>
      <w:proofErr w:type="gramEnd"/>
      <w:r w:rsidR="008964AC" w:rsidRPr="008964AC">
        <w:rPr>
          <w:iCs/>
          <w:color w:val="000000" w:themeColor="text1"/>
        </w:rPr>
        <w:t xml:space="preserve"> DNA </w:t>
      </w:r>
      <w:r w:rsidR="008835B8">
        <w:rPr>
          <w:iCs/>
          <w:color w:val="000000" w:themeColor="text1"/>
        </w:rPr>
        <w:t>for whole genome sequencing (WGS)</w:t>
      </w:r>
      <w:r w:rsidR="00AF531B">
        <w:rPr>
          <w:iCs/>
          <w:color w:val="000000" w:themeColor="text1"/>
        </w:rPr>
        <w:t>.</w:t>
      </w:r>
      <w:r w:rsidR="008964AC" w:rsidRPr="008964AC">
        <w:rPr>
          <w:iCs/>
          <w:color w:val="000000" w:themeColor="text1"/>
        </w:rPr>
        <w:t xml:space="preserve"> We have previously shown that mutations accumulated </w:t>
      </w:r>
      <w:r w:rsidR="008964AC" w:rsidRPr="00C16832">
        <w:rPr>
          <w:iCs/>
          <w:color w:val="000000" w:themeColor="text1"/>
        </w:rPr>
        <w:t>in vitro</w:t>
      </w:r>
      <w:r w:rsidR="008964AC" w:rsidRPr="00530BAC">
        <w:rPr>
          <w:iCs/>
          <w:color w:val="000000" w:themeColor="text1"/>
        </w:rPr>
        <w:t xml:space="preserve"> </w:t>
      </w:r>
      <w:r w:rsidR="00AF531B" w:rsidRPr="00530BAC">
        <w:rPr>
          <w:iCs/>
          <w:color w:val="000000" w:themeColor="text1"/>
        </w:rPr>
        <w:t>during</w:t>
      </w:r>
      <w:r w:rsidR="008964AC" w:rsidRPr="00530BAC">
        <w:rPr>
          <w:iCs/>
          <w:color w:val="000000" w:themeColor="text1"/>
        </w:rPr>
        <w:t xml:space="preserve"> </w:t>
      </w:r>
      <w:r w:rsidR="00AF531B" w:rsidRPr="001E6DC0">
        <w:rPr>
          <w:iCs/>
          <w:color w:val="000000" w:themeColor="text1"/>
        </w:rPr>
        <w:t>clonal culture</w:t>
      </w:r>
      <w:r w:rsidR="008964AC" w:rsidRPr="001E6DC0">
        <w:rPr>
          <w:iCs/>
          <w:color w:val="000000" w:themeColor="text1"/>
        </w:rPr>
        <w:t xml:space="preserve"> will be shared by a subset of cells</w:t>
      </w:r>
      <w:r w:rsidR="00AF531B" w:rsidRPr="001E6DC0">
        <w:rPr>
          <w:iCs/>
          <w:color w:val="000000" w:themeColor="text1"/>
        </w:rPr>
        <w:t xml:space="preserve">. </w:t>
      </w:r>
      <w:r w:rsidR="005B60DB" w:rsidRPr="001E6DC0">
        <w:rPr>
          <w:iCs/>
          <w:color w:val="000000" w:themeColor="text1"/>
        </w:rPr>
        <w:t>This enables the</w:t>
      </w:r>
      <w:r w:rsidR="00AF531B" w:rsidRPr="001E6DC0">
        <w:rPr>
          <w:iCs/>
          <w:color w:val="000000" w:themeColor="text1"/>
        </w:rPr>
        <w:t xml:space="preserve"> filter</w:t>
      </w:r>
      <w:r w:rsidR="005B60DB" w:rsidRPr="001E6DC0">
        <w:rPr>
          <w:iCs/>
          <w:color w:val="000000" w:themeColor="text1"/>
        </w:rPr>
        <w:t>ing of</w:t>
      </w:r>
      <w:r w:rsidR="00AF531B" w:rsidRPr="001E6DC0">
        <w:rPr>
          <w:iCs/>
          <w:color w:val="000000" w:themeColor="text1"/>
        </w:rPr>
        <w:t xml:space="preserve"> all </w:t>
      </w:r>
      <w:r w:rsidR="00AF531B" w:rsidRPr="00C16832">
        <w:rPr>
          <w:iCs/>
          <w:color w:val="000000" w:themeColor="text1"/>
        </w:rPr>
        <w:t>in vitro</w:t>
      </w:r>
      <w:r w:rsidR="00AF531B" w:rsidRPr="00530BAC">
        <w:rPr>
          <w:iCs/>
          <w:color w:val="000000" w:themeColor="text1"/>
        </w:rPr>
        <w:t xml:space="preserve"> mutations, as these will be present in a smaller </w:t>
      </w:r>
      <w:r w:rsidR="005B60DB" w:rsidRPr="00530BAC">
        <w:rPr>
          <w:iCs/>
          <w:color w:val="000000" w:themeColor="text1"/>
        </w:rPr>
        <w:t>fraction</w:t>
      </w:r>
      <w:r w:rsidR="00AF531B" w:rsidRPr="001E6DC0">
        <w:rPr>
          <w:iCs/>
          <w:color w:val="000000" w:themeColor="text1"/>
        </w:rPr>
        <w:t xml:space="preserve"> of reads compared to </w:t>
      </w:r>
      <w:r w:rsidR="00AF531B" w:rsidRPr="00C16832">
        <w:rPr>
          <w:iCs/>
          <w:color w:val="000000" w:themeColor="text1"/>
        </w:rPr>
        <w:t xml:space="preserve">in vivo </w:t>
      </w:r>
      <w:r w:rsidR="00AF531B" w:rsidRPr="00530BAC">
        <w:rPr>
          <w:iCs/>
          <w:color w:val="000000" w:themeColor="text1"/>
        </w:rPr>
        <w:t>acquired mutations</w:t>
      </w:r>
      <w:r w:rsidR="00DA4BB7" w:rsidRPr="00530BAC">
        <w:rPr>
          <w:iCs/>
          <w:color w:val="000000" w:themeColor="text1"/>
        </w:rPr>
        <w:fldChar w:fldCharType="begin" w:fldLock="1"/>
      </w:r>
      <w:r w:rsidR="00FE5448" w:rsidRPr="001E6DC0">
        <w:rPr>
          <w:iCs/>
          <w:color w:val="000000" w:themeColor="text1"/>
        </w:rPr>
        <w:instrText>ADDIN CSL_CITATION {"citationItems":[{"id":"ITEM-1","itemData":{"DOI":"10.1038/nature19768","ISBN":"1476-4687","ISSN":"14764687","PMID":"27698416","abstract":"The gradual accumulation of genetic mutations in human adult stem cells (ASCs) during life is associated with various age-related diseases, including cancer. Extreme variation in cancer risk across tissues was recently proposed to depend on the lifetime number of ASC divisions, owing to unavoidable random mutations that arise during DNA replication. However, the rates and patterns of mutations in normal ASCs remain unknown. Here we determine genome-wide mutation patterns in ASCs of the small intestine, colon and liver of human donors with ages ranging from 3 to 87 years by sequencing clonal organoid cultures derived from primary multipotent cells. Our results show that mutations accumulate steadily over time in all of the assessed tissue types, at a rate of approximately 40 novel mutations per year, despite the large variation in cancer incidence among these tissues. Liver ASCs, however, have different mutation spectra compared to those of the colon and small intestine. Mutational signature analysis reveals that this difference can be attributed to spontaneous deamination of methylated cytosine residues in the colon and small intestine, probably reflecting their high ASC division rate. In liver, a signature with an as-yet-unknown underlying mechanism is predominant. Mutation spectra of driver genes in cancer show high similarity to the tissue-specific ASC mutation spectra, suggesting that intrinsic mutational processes in ASCs can initiate tumorigenesis. Notably, the inter-individual variation in mutation rate and spectra are low, suggesting tissue-specific activity of common mutational processes throughout life.","author":[{"dropping-particle":"","family":"Blokzijl","given":"Francis","non-dropping-particle":"","parse-names":false,"suffix":""},{"dropping-particle":"","family":"Ligt","given":"Joep","non-dropping-particle":"De","parse-names":false,"suffix":""},{"dropping-particle":"","family":"Jager","given":"Myrthe","non-dropping-particle":"","parse-names":false,"suffix":""},{"dropping-particle":"","family":"Sasselli","given":"Valentina","non-dropping-particle":"","parse-names":false,"suffix":""},{"dropping-particle":"","family":"Roerink","given":"Sophie","non-dropping-particle":"","parse-names":false,"suffix":""},{"dropping-particle":"","family":"Sasaki","given":"Nobuo","non-dropping-particle":"","parse-names":false,"suffix":""},{"dropping-particle":"","family":"Huch","given":"Meritxell","non-dropping-particle":"","parse-names":false,"suffix":""},{"dropping-particle":"","family":"Boymans","given":"Sander","non-dropping-particle":"","parse-names":false,"suffix":""},{"dropping-particle":"","family":"Kuijk","given":"Ewart","non-dropping-particle":"","parse-names":false,"suffix":""},{"dropping-particle":"","family":"Prins","given":"Pjotr","non-dropping-particle":"","parse-names":false,"suffix":""},{"dropping-particle":"","family":"Nijman","given":"Isaac J.","non-dropping-particle":"","parse-names":false,"suffix":""},{"dropping-particle":"","family":"Martincorena","given":"Inigo","non-dropping-particle":"","parse-names":false,"suffix":""},{"dropping-particle":"","family":"Mokry","given":"Michal","non-dropping-particle":"","parse-names":false,"suffix":""},{"dropping-particle":"","family":"Wiegerinck","given":"Caroline L.","non-dropping-particle":"","parse-names":false,"suffix":""},{"dropping-particle":"","family":"Middendorp","given":"Sabine","non-dropping-particle":"","parse-names":false,"suffix":""},{"dropping-particle":"","family":"Sato","given":"Toshiro","non-dropping-particle":"","parse-names":false,"suffix":""},{"dropping-particle":"","family":"Schwank","given":"Gerald","non-dropping-particle":"","parse-names":false,"suffix":""},{"dropping-particle":"","family":"Nieuwenhuis","given":"Edward E.S.","non-dropping-particle":"","parse-names":false,"suffix":""},{"dropping-particle":"","family":"Verstegen","given":"Monique M.A.","non-dropping-particle":"","parse-names":false,"suffix":""},{"dropping-particle":"","family":"Laan","given":"Luc J.W.","non-dropping-particle":"Van Der","parse-names":false,"suffix":""},{"dropping-particle":"","family":"Jonge","given":"Jeroen","non-dropping-particle":"De","parse-names":false,"suffix":""},{"dropping-particle":"","family":"Ijzermans","given":"Jan N.M.","non-dropping-particle":"","parse-names":false,"suffix":""},{"dropping-particle":"","family":"Vries","given":"Robert G.","non-dropping-particle":"","parse-names":false,"suffix":""},{"dropping-particle":"","family":"Wetering","given":"Marc","non-dropping-particle":"Van De","parse-names":false,"suffix":""},{"dropping-particle":"","family":"Stratton","given":"Michael R.","non-dropping-particle":"","parse-names":false,"suffix":""},{"dropping-particle":"","family":"Clevers","given":"Hans","non-dropping-particle":"","parse-names":false,"suffix":""},{"dropping-particle":"","family":"Cuppen","given":"Edwin","non-dropping-particle":"","parse-names":false,"suffix":""},{"dropping-particle":"","family":"Boxtel","given":"Ruben","non-dropping-particle":"Van","parse-names":false,"suffix":""}],"container-title":"Nature","id":"ITEM-1","issue":"7624","issued":{"date-parts":[["2016"]]},"page":"260-264","publisher":"Nature Publishing Group","title":"Tissue-specific mutation accumulation in human adult stem cells during life","type":"article-journal","volume":"538"},"uris":["http://www.mendeley.com/documents/?uuid=c8c340d0-6a0a-4990-b2e9-45bdd4b35b9f"]}],"mendeley":{"formattedCitation":"&lt;sup&gt;9&lt;/sup&gt;","plainTextFormattedCitation":"9","previouslyFormattedCitation":"&lt;sup&gt;9&lt;/sup&gt;"},"properties":{"noteIndex":0},"schema":"https://github.com/citation-style-language/schema/raw/master/csl-citation.json"}</w:instrText>
      </w:r>
      <w:r w:rsidR="00DA4BB7" w:rsidRPr="00530BAC">
        <w:rPr>
          <w:iCs/>
          <w:color w:val="000000" w:themeColor="text1"/>
        </w:rPr>
        <w:fldChar w:fldCharType="separate"/>
      </w:r>
      <w:r w:rsidR="00641586" w:rsidRPr="00530BAC">
        <w:rPr>
          <w:iCs/>
          <w:noProof/>
          <w:color w:val="000000" w:themeColor="text1"/>
          <w:vertAlign w:val="superscript"/>
        </w:rPr>
        <w:t>9</w:t>
      </w:r>
      <w:r w:rsidR="00DA4BB7" w:rsidRPr="00530BAC">
        <w:rPr>
          <w:iCs/>
          <w:color w:val="000000" w:themeColor="text1"/>
        </w:rPr>
        <w:fldChar w:fldCharType="end"/>
      </w:r>
      <w:r w:rsidR="008964AC" w:rsidRPr="00530BAC">
        <w:rPr>
          <w:iCs/>
          <w:color w:val="000000" w:themeColor="text1"/>
        </w:rPr>
        <w:t>.</w:t>
      </w:r>
      <w:r w:rsidR="00D9193B" w:rsidRPr="00530BAC">
        <w:rPr>
          <w:iCs/>
          <w:color w:val="000000" w:themeColor="text1"/>
        </w:rPr>
        <w:t xml:space="preserve"> </w:t>
      </w:r>
      <w:r w:rsidR="00572BAF" w:rsidRPr="00530BAC">
        <w:rPr>
          <w:iCs/>
          <w:color w:val="000000" w:themeColor="text1"/>
        </w:rPr>
        <w:t>Prev</w:t>
      </w:r>
      <w:r w:rsidR="00572BAF" w:rsidRPr="001E6DC0">
        <w:rPr>
          <w:iCs/>
          <w:color w:val="000000" w:themeColor="text1"/>
        </w:rPr>
        <w:t xml:space="preserve">ious </w:t>
      </w:r>
      <w:r w:rsidR="00D9193B" w:rsidRPr="001E6DC0">
        <w:rPr>
          <w:iCs/>
          <w:color w:val="000000" w:themeColor="text1"/>
        </w:rPr>
        <w:t>method</w:t>
      </w:r>
      <w:r w:rsidR="00572BAF" w:rsidRPr="001E6DC0">
        <w:rPr>
          <w:iCs/>
          <w:color w:val="000000" w:themeColor="text1"/>
        </w:rPr>
        <w:t>s</w:t>
      </w:r>
      <w:r w:rsidR="001E6DC0">
        <w:rPr>
          <w:iCs/>
          <w:color w:val="000000" w:themeColor="text1"/>
        </w:rPr>
        <w:t xml:space="preserve"> have</w:t>
      </w:r>
      <w:r w:rsidR="00D9193B" w:rsidRPr="00530BAC">
        <w:rPr>
          <w:iCs/>
          <w:color w:val="000000" w:themeColor="text1"/>
        </w:rPr>
        <w:t xml:space="preserve"> obtain</w:t>
      </w:r>
      <w:r w:rsidR="00572BAF" w:rsidRPr="00530BAC">
        <w:rPr>
          <w:iCs/>
          <w:color w:val="000000" w:themeColor="text1"/>
        </w:rPr>
        <w:t>ed</w:t>
      </w:r>
      <w:r w:rsidR="00D9193B" w:rsidRPr="00530BAC">
        <w:rPr>
          <w:iCs/>
          <w:color w:val="000000" w:themeColor="text1"/>
        </w:rPr>
        <w:t xml:space="preserve"> sufficient DNA </w:t>
      </w:r>
      <w:r w:rsidR="001E6DC0">
        <w:rPr>
          <w:iCs/>
          <w:color w:val="000000" w:themeColor="text1"/>
        </w:rPr>
        <w:t xml:space="preserve">from </w:t>
      </w:r>
      <w:r w:rsidR="00D9193B" w:rsidRPr="00530BAC">
        <w:rPr>
          <w:iCs/>
          <w:color w:val="000000" w:themeColor="text1"/>
        </w:rPr>
        <w:t xml:space="preserve">a single cell for WGS </w:t>
      </w:r>
      <w:r w:rsidR="00AF531B" w:rsidRPr="001E6DC0">
        <w:rPr>
          <w:iCs/>
          <w:color w:val="000000" w:themeColor="text1"/>
        </w:rPr>
        <w:t>using</w:t>
      </w:r>
      <w:r w:rsidR="00D9193B" w:rsidRPr="001E6DC0">
        <w:rPr>
          <w:iCs/>
          <w:color w:val="000000" w:themeColor="text1"/>
        </w:rPr>
        <w:t xml:space="preserve"> </w:t>
      </w:r>
      <w:r w:rsidR="00D9193B" w:rsidRPr="001E6DC0">
        <w:rPr>
          <w:color w:val="000000" w:themeColor="text1"/>
        </w:rPr>
        <w:t>whole-genome amplification (WGA)</w:t>
      </w:r>
      <w:r w:rsidR="00AF531B" w:rsidRPr="00530BAC">
        <w:rPr>
          <w:color w:val="000000" w:themeColor="text1"/>
        </w:rPr>
        <w:fldChar w:fldCharType="begin" w:fldLock="1"/>
      </w:r>
      <w:r w:rsidR="00FE5448" w:rsidRPr="001E6DC0">
        <w:rPr>
          <w:color w:val="000000" w:themeColor="text1"/>
        </w:rPr>
        <w:instrText>ADDIN CSL_CITATION {"citationItems":[{"id":"ITEM-1","itemData":{"DOI":"10.1038/nrg.2015.16","ISBN":"1471-0064","ISSN":"14710064","PMID":"26806412","abstract":"The field of single-cell genomics is advancing rapidly and is generating many new insights into complex biological systems, ranging from the diversity of microbial ecosystems to the genomics of human cancer. In this Review, we provide an overview of the current state of the field of single-cell genome sequencing. First, we focus on the technical challenges of making measurements that start from a single molecule of DNA, and then explore how some of these recent methodological advancements have enabled the discovery of unexpected new biology. Areas highlighted include the application of single-cell genomics to interrogate microbial dark matter and to evaluate the pathogenic roles of genetic mosaicism in multicellular organisms, with a focus on cancer. We then attempt to predict advances we expect to see in the next few years.","author":[{"dropping-particle":"","family":"Gawad","given":"Charles","non-dropping-particle":"","parse-names":false,"suffix":""},{"dropping-particle":"","family":"Koh","given":"Winston","non-dropping-particle":"","parse-names":false,"suffix":""},{"dropping-particle":"","family":"Quake","given":"Stephen R.","non-dropping-particle":"","parse-names":false,"suffix":""}],"container-title":"Nature Reviews Genetics","id":"ITEM-1","issue":"3","issued":{"date-parts":[["2016"]]},"page":"175-188","publisher":"Nature Publishing Group","title":"Single-cell genome sequencing: Current state of the science","type":"article-journal","volume":"17"},"uris":["http://www.mendeley.com/documents/?uuid=65af25fe-2135-4184-90fd-6e31a5ea1da2"]}],"mendeley":{"formattedCitation":"&lt;sup&gt;10&lt;/sup&gt;","plainTextFormattedCitation":"10","previouslyFormattedCitation":"&lt;sup&gt;10&lt;/sup&gt;"},"properties":{"noteIndex":0},"schema":"https://github.com/citation-style-language/schema/raw/master/csl-citation.json"}</w:instrText>
      </w:r>
      <w:r w:rsidR="00AF531B" w:rsidRPr="00530BAC">
        <w:rPr>
          <w:color w:val="000000" w:themeColor="text1"/>
        </w:rPr>
        <w:fldChar w:fldCharType="separate"/>
      </w:r>
      <w:r w:rsidR="00641586" w:rsidRPr="00530BAC">
        <w:rPr>
          <w:noProof/>
          <w:color w:val="000000" w:themeColor="text1"/>
          <w:vertAlign w:val="superscript"/>
        </w:rPr>
        <w:t>10</w:t>
      </w:r>
      <w:r w:rsidR="00AF531B" w:rsidRPr="00530BAC">
        <w:rPr>
          <w:color w:val="000000" w:themeColor="text1"/>
        </w:rPr>
        <w:fldChar w:fldCharType="end"/>
      </w:r>
      <w:r w:rsidR="00D9193B" w:rsidRPr="00530BAC">
        <w:rPr>
          <w:color w:val="000000" w:themeColor="text1"/>
        </w:rPr>
        <w:t xml:space="preserve">. However, </w:t>
      </w:r>
      <w:r w:rsidR="00572BAF" w:rsidRPr="00530BAC">
        <w:rPr>
          <w:color w:val="000000" w:themeColor="text1"/>
        </w:rPr>
        <w:t xml:space="preserve">the main disadvantage of </w:t>
      </w:r>
      <w:r w:rsidR="00D9193B" w:rsidRPr="001E6DC0">
        <w:rPr>
          <w:color w:val="000000" w:themeColor="text1"/>
        </w:rPr>
        <w:t>WGA is</w:t>
      </w:r>
      <w:r w:rsidR="005B60DB" w:rsidRPr="001E6DC0">
        <w:rPr>
          <w:color w:val="000000" w:themeColor="text1"/>
        </w:rPr>
        <w:t xml:space="preserve"> </w:t>
      </w:r>
      <w:r w:rsidR="001E6DC0">
        <w:rPr>
          <w:color w:val="000000" w:themeColor="text1"/>
        </w:rPr>
        <w:t>its</w:t>
      </w:r>
      <w:r w:rsidR="005B60DB" w:rsidRPr="00530BAC">
        <w:rPr>
          <w:color w:val="000000" w:themeColor="text1"/>
        </w:rPr>
        <w:t xml:space="preserve"> </w:t>
      </w:r>
      <w:r w:rsidR="00D9193B" w:rsidRPr="00530BAC">
        <w:rPr>
          <w:color w:val="000000" w:themeColor="text1"/>
        </w:rPr>
        <w:t>relatively error-prone and unbalanced amp</w:t>
      </w:r>
      <w:r w:rsidR="00D9193B" w:rsidRPr="001E6DC0">
        <w:rPr>
          <w:color w:val="000000" w:themeColor="text1"/>
        </w:rPr>
        <w:t>lification of the genome</w:t>
      </w:r>
      <w:r w:rsidR="001E6DC0">
        <w:rPr>
          <w:color w:val="000000" w:themeColor="text1"/>
        </w:rPr>
        <w:t>,</w:t>
      </w:r>
      <w:r w:rsidR="00D9193B" w:rsidRPr="00530BAC">
        <w:rPr>
          <w:color w:val="000000" w:themeColor="text1"/>
        </w:rPr>
        <w:t xml:space="preserve"> </w:t>
      </w:r>
      <w:r w:rsidR="00572BAF" w:rsidRPr="00530BAC">
        <w:rPr>
          <w:color w:val="000000" w:themeColor="text1"/>
        </w:rPr>
        <w:t xml:space="preserve">which </w:t>
      </w:r>
      <w:r w:rsidR="00D9193B" w:rsidRPr="00530BAC">
        <w:rPr>
          <w:color w:val="000000" w:themeColor="text1"/>
        </w:rPr>
        <w:t xml:space="preserve">can </w:t>
      </w:r>
      <w:r w:rsidR="005B60DB" w:rsidRPr="001E6DC0">
        <w:rPr>
          <w:color w:val="000000" w:themeColor="text1"/>
        </w:rPr>
        <w:t>result in</w:t>
      </w:r>
      <w:r w:rsidR="00D9193B" w:rsidRPr="001E6DC0">
        <w:rPr>
          <w:color w:val="000000" w:themeColor="text1"/>
        </w:rPr>
        <w:t xml:space="preserve"> allele dropouts</w:t>
      </w:r>
      <w:r w:rsidR="00D9193B" w:rsidRPr="00530BAC">
        <w:rPr>
          <w:color w:val="000000" w:themeColor="text1"/>
        </w:rPr>
        <w:fldChar w:fldCharType="begin" w:fldLock="1"/>
      </w:r>
      <w:r w:rsidR="00FE5448" w:rsidRPr="001E6DC0">
        <w:rPr>
          <w:color w:val="000000" w:themeColor="text1"/>
        </w:rPr>
        <w:instrText>ADDIN CSL_CITATION {"citationItems":[{"id":"ITEM-1","itemData":{"DOI":"10.1038/nmeth.4227","ISBN":"1548-7105","ISSN":"15487105","PMID":"28319112","abstract":"Single-cell multiple displacement amplification (SCMDA) and a tool for single-nucleotide-variant calling (SCcaller) dramatically decrease artifacts in genome-wide variant calling from single cells.","author":[{"dropping-particle":"","family":"Dong","given":"Xiao","non-dropping-particle":"","parse-names":false,"suffix":""},{"dropping-particle":"","family":"Zhang","given":"Lei","non-dropping-particle":"","parse-names":false,"suffix":""},{"dropping-particle":"","family":"Milholland","given":"Brandon","non-dropping-particle":"","parse-names":false,"suffix":""},{"dropping-particle":"","family":"Lee","given":"Moonsook","non-dropping-particle":"","parse-names":false,"suffix":""},{"dropping-particle":"","family":"Maslov","given":"Alexander Y.","non-dropping-particle":"","parse-names":false,"suffix":""},{"dropping-particle":"","family":"Wang","given":"Tao","non-dropping-particle":"","parse-names":false,"suffix":""},{"dropping-particle":"","family":"Vijg","given":"Jan","non-dropping-particle":"","parse-names":false,"suffix":""}],"container-title":"Nature Methods","id":"ITEM-1","issue":"5","issued":{"date-parts":[["2017"]]},"page":"491-493","publisher":"Nature Publishing Group","title":"Accurate identification of single-nucleotide variants in whole-genome-amplified single cells","type":"article-journal","volume":"14"},"uris":["http://www.mendeley.com/documents/?uuid=490480de-978f-4208-924f-e7854154f8aa"]}],"mendeley":{"formattedCitation":"&lt;sup&gt;11&lt;/sup&gt;","plainTextFormattedCitation":"11","previouslyFormattedCitation":"&lt;sup&gt;11&lt;/sup&gt;"},"properties":{"noteIndex":0},"schema":"https://github.com/citation-style-language/schema/raw/master/csl-citation.json"}</w:instrText>
      </w:r>
      <w:r w:rsidR="00D9193B" w:rsidRPr="00530BAC">
        <w:rPr>
          <w:color w:val="000000" w:themeColor="text1"/>
        </w:rPr>
        <w:fldChar w:fldCharType="separate"/>
      </w:r>
      <w:r w:rsidR="00641586" w:rsidRPr="00530BAC">
        <w:rPr>
          <w:noProof/>
          <w:color w:val="000000" w:themeColor="text1"/>
          <w:vertAlign w:val="superscript"/>
        </w:rPr>
        <w:t>11</w:t>
      </w:r>
      <w:r w:rsidR="00D9193B" w:rsidRPr="00530BAC">
        <w:rPr>
          <w:color w:val="000000" w:themeColor="text1"/>
        </w:rPr>
        <w:fldChar w:fldCharType="end"/>
      </w:r>
      <w:r w:rsidR="00D9193B" w:rsidRPr="00530BAC">
        <w:rPr>
          <w:color w:val="000000" w:themeColor="text1"/>
        </w:rPr>
        <w:t>.</w:t>
      </w:r>
      <w:r w:rsidR="0078667E" w:rsidRPr="00530BAC">
        <w:rPr>
          <w:color w:val="000000" w:themeColor="text1"/>
        </w:rPr>
        <w:t xml:space="preserve"> Nonetheless</w:t>
      </w:r>
      <w:r w:rsidR="0078667E" w:rsidRPr="001E6DC0">
        <w:rPr>
          <w:color w:val="000000" w:themeColor="text1"/>
        </w:rPr>
        <w:t xml:space="preserve">, </w:t>
      </w:r>
      <w:r w:rsidR="0078667E" w:rsidRPr="001E6DC0">
        <w:rPr>
          <w:rFonts w:asciiTheme="minorHAnsi" w:hAnsiTheme="minorHAnsi" w:cstheme="minorHAnsi"/>
        </w:rPr>
        <w:t xml:space="preserve">as </w:t>
      </w:r>
      <w:r w:rsidR="001E6DC0">
        <w:rPr>
          <w:rFonts w:asciiTheme="minorHAnsi" w:hAnsiTheme="minorHAnsi" w:cstheme="minorHAnsi"/>
        </w:rPr>
        <w:t>this</w:t>
      </w:r>
      <w:r w:rsidR="0078667E" w:rsidRPr="00530BAC">
        <w:rPr>
          <w:rFonts w:asciiTheme="minorHAnsi" w:hAnsiTheme="minorHAnsi" w:cstheme="minorHAnsi"/>
        </w:rPr>
        <w:t xml:space="preserve"> approach relies on </w:t>
      </w:r>
      <w:r w:rsidR="0078667E" w:rsidRPr="00C16832">
        <w:rPr>
          <w:rFonts w:asciiTheme="minorHAnsi" w:hAnsiTheme="minorHAnsi" w:cstheme="minorHAnsi"/>
        </w:rPr>
        <w:t>in vitro</w:t>
      </w:r>
      <w:r w:rsidR="0078667E" w:rsidRPr="00530BAC">
        <w:rPr>
          <w:rFonts w:asciiTheme="minorHAnsi" w:hAnsiTheme="minorHAnsi" w:cstheme="minorHAnsi"/>
        </w:rPr>
        <w:t xml:space="preserve"> expansion of single cells</w:t>
      </w:r>
      <w:r w:rsidR="001E6DC0">
        <w:rPr>
          <w:rFonts w:asciiTheme="minorHAnsi" w:hAnsiTheme="minorHAnsi" w:cstheme="minorHAnsi"/>
        </w:rPr>
        <w:t>,</w:t>
      </w:r>
      <w:r w:rsidR="0078667E" w:rsidRPr="00530BAC">
        <w:rPr>
          <w:rFonts w:asciiTheme="minorHAnsi" w:hAnsiTheme="minorHAnsi" w:cstheme="minorHAnsi"/>
        </w:rPr>
        <w:t xml:space="preserve"> </w:t>
      </w:r>
      <w:r w:rsidR="001E6DC0">
        <w:rPr>
          <w:rFonts w:asciiTheme="minorHAnsi" w:hAnsiTheme="minorHAnsi" w:cstheme="minorHAnsi"/>
        </w:rPr>
        <w:t>it</w:t>
      </w:r>
      <w:r w:rsidR="0078667E" w:rsidRPr="00530BAC">
        <w:rPr>
          <w:rFonts w:asciiTheme="minorHAnsi" w:hAnsiTheme="minorHAnsi" w:cstheme="minorHAnsi"/>
        </w:rPr>
        <w:t xml:space="preserve"> is limited to blood cells with </w:t>
      </w:r>
      <w:proofErr w:type="gramStart"/>
      <w:r w:rsidR="0078667E" w:rsidRPr="00530BAC">
        <w:rPr>
          <w:rFonts w:asciiTheme="minorHAnsi" w:hAnsiTheme="minorHAnsi" w:cstheme="minorHAnsi"/>
        </w:rPr>
        <w:t>sufficient</w:t>
      </w:r>
      <w:proofErr w:type="gramEnd"/>
      <w:r w:rsidR="0078667E" w:rsidRPr="00530BAC">
        <w:rPr>
          <w:rFonts w:asciiTheme="minorHAnsi" w:hAnsiTheme="minorHAnsi" w:cstheme="minorHAnsi"/>
        </w:rPr>
        <w:t xml:space="preserve"> replicative potential</w:t>
      </w:r>
      <w:r w:rsidR="00E55732" w:rsidRPr="001E6DC0">
        <w:rPr>
          <w:rFonts w:asciiTheme="minorHAnsi" w:hAnsiTheme="minorHAnsi" w:cstheme="minorHAnsi"/>
        </w:rPr>
        <w:t xml:space="preserve">, which is not the case for WGA-dependent </w:t>
      </w:r>
      <w:r w:rsidR="00BA2080" w:rsidRPr="001E6DC0">
        <w:rPr>
          <w:rFonts w:asciiTheme="minorHAnsi" w:hAnsiTheme="minorHAnsi" w:cstheme="minorHAnsi"/>
        </w:rPr>
        <w:t>methods</w:t>
      </w:r>
      <w:r w:rsidR="0078667E" w:rsidRPr="001E6DC0">
        <w:rPr>
          <w:rFonts w:asciiTheme="minorHAnsi" w:hAnsiTheme="minorHAnsi" w:cstheme="minorHAnsi"/>
        </w:rPr>
        <w:t>.</w:t>
      </w:r>
      <w:r w:rsidR="00D9193B" w:rsidRPr="001E6DC0">
        <w:rPr>
          <w:color w:val="000000" w:themeColor="text1"/>
        </w:rPr>
        <w:t xml:space="preserve"> Earlier efforts sequencing clonal cultures have relied on using feeder layers to ensure clonal amplification of single HSPCs</w:t>
      </w:r>
      <w:r w:rsidR="00D9193B" w:rsidRPr="00530BAC">
        <w:rPr>
          <w:color w:val="000000" w:themeColor="text1"/>
        </w:rPr>
        <w:fldChar w:fldCharType="begin" w:fldLock="1"/>
      </w:r>
      <w:r w:rsidR="00FE5448" w:rsidRPr="001E6DC0">
        <w:rPr>
          <w:color w:val="000000" w:themeColor="text1"/>
        </w:rPr>
        <w:instrText>ADDIN CSL_CITATION {"citationItems":[{"id":"ITEM-1","itemData":{"DOI":"10.1016/j.cell.2012.06.023","ISBN":"6171819202122","ISSN":"00928674","PMID":"22817890","abstract":"Most mutations in cancer genomes are thought to be acquired after the initiating event, which may cause genomic instability and drive clonal evolution. However, for acute myeloid leukemia (AML), normal karyotypes are common, and genomic instability is unusual. To better understand clonal evolution in AML, we sequenced the genomes of M3-AML samples with a known initiating event (PML-RARA) versus the genomes of normal karyotype M1-AML samples and the exomes of hematopoietic stem/progenitor cells (HSPCs) from healthy people. Collectively, the data suggest that most of the mutations found in AML genomes are actually random events that occurred in HSPCs before they acquired the initiating mutation; the mutational history of that cell is \"captured\" as the clone expands. In many cases, only one or two additional, cooperating mutations are needed to generate the malignant founding clone. Cells from the founding clone can acquire additional cooperating mutations, yielding subclones that can contribute to disease progression and/or relapse. © 2012 Elsevier Inc.","author":[{"dropping-particle":"","family":"Welch","given":"John S.","non-dropping-particle":"","parse-names":false,"suffix":""},{"dropping-particle":"","family":"Ley","given":"Timothy J.","non-dropping-particle":"","parse-names":false,"suffix":""},{"dropping-particle":"","family":"Link","given":"Daniel C.","non-dropping-particle":"","parse-names":false,"suffix":""},{"dropping-particle":"","family":"Miller","given":"Christopher A.","non-dropping-particle":"","parse-names":false,"suffix":""},{"dropping-particle":"","family":"Larson","given":"David E.","non-dropping-particle":"","parse-names":false,"suffix":""},{"dropping-particle":"","family":"Koboldt","given":"Daniel C.","non-dropping-particle":"","parse-names":false,"suffix":""},{"dropping-particle":"","family":"Wartman","given":"Lukas D.","non-dropping-particle":"","parse-names":false,"suffix":""},{"dropping-particle":"","family":"Lamprecht","given":"Tamara L.","non-dropping-particle":"","parse-names":false,"suffix":""},{"dropping-particle":"","family":"Liu","given":"Fulu","non-dropping-particle":"","parse-names":false,"suffix":""},{"dropping-particle":"","family":"Xia","given":"Jun","non-dropping-particle":"","parse-names":false,"suffix":""},{"dropping-particle":"","family":"Kandoth","given":"Cyriac","non-dropping-particle":"","parse-names":false,"suffix":""},{"dropping-particle":"","family":"Fulton","given":"Robert S.","non-dropping-particle":"","parse-names":false,"suffix":""},{"dropping-particle":"","family":"McLellan","given":"Michael D.","non-dropping-particle":"","parse-names":false,"suffix":""},{"dropping-particle":"","family":"Dooling","given":"David J.","non-dropping-particle":"","parse-names":false,"suffix":""},{"dropping-particle":"","family":"Wallis","given":"John W.","non-dropping-particle":"","parse-names":false,"suffix":""},{"dropping-particle":"","family":"Chen","given":"Ken","non-dropping-particle":"","parse-names":false,"suffix":""},{"dropping-particle":"","family":"Harris","given":"Christopher C.","non-dropping-particle":"","parse-names":false,"suffix":""},{"dropping-particle":"","family":"Schmidt","given":"Heather K.","non-dropping-particle":"","parse-names":false,"suffix":""},{"dropping-particle":"","family":"Kalicki-Veizer","given":"Joelle M.","non-dropping-particle":"","parse-names":false,"suffix":""},{"dropping-particle":"","family":"Lu","given":"Charles","non-dropping-particle":"","parse-names":false,"suffix":""},{"dropping-particle":"","family":"Zhang","given":"Qunyuan","non-dropping-particle":"","parse-names":false,"suffix":""},{"dropping-particle":"","family":"Lin","given":"Ling","non-dropping-particle":"","parse-names":false,"suffix":""},{"dropping-particle":"","family":"O'Laughlin","given":"Michelle D.","non-dropping-particle":"","parse-names":false,"suffix":""},{"dropping-particle":"","family":"McMichael","given":"Joshua F.","non-dropping-particle":"","parse-names":false,"suffix":""},{"dropping-particle":"","family":"Delehaunty","given":"Kim D.","non-dropping-particle":"","parse-names":false,"suffix":""},{"dropping-particle":"","family":"Fulton","given":"Lucinda A.","non-dropping-particle":"","parse-names":false,"suffix":""},{"dropping-particle":"","family":"Magrini","given":"Vincent J.","non-dropping-particle":"","parse-names":false,"suffix":""},{"dropping-particle":"","family":"McGrath","given":"Sean D.","non-dropping-particle":"","parse-names":false,"suffix":""},{"dropping-particle":"","family":"Demeter","given":"Ryan T.","non-dropping-particle":"","parse-names":false,"suffix":""},{"dropping-particle":"","family":"Vickery","given":"Tammi L.","non-dropping-particle":"","parse-names":false,"suffix":""},{"dropping-particle":"","family":"Hundal","given":"Jasreet","non-dropping-particle":"","parse-names":false,"suffix":""},{"dropping-particle":"","family":"Cook","given":"Lisa L.","non-dropping-particle":"","parse-names":false,"suffix":""},{"dropping-particle":"","family":"Swift","given":"Gary W.","non-dropping-particle":"","parse-names":false,"suffix":""},{"dropping-particle":"","family":"Reed","given":"Jerry P.","non-dropping-particle":"","parse-names":false,"suffix":""},{"dropping-particle":"","family":"Alldredge","given":"Patricia A.","non-dropping-particle":"","parse-names":false,"suffix":""},{"dropping-particle":"","family":"Wylie","given":"Todd N.","non-dropping-particle":"","parse-names":false,"suffix":""},{"dropping-particle":"","family":"Walker","given":"Jason R.","non-dropping-particle":"","parse-names":false,"suffix":""},{"dropping-particle":"","family":"Watson","given":"Mark A.","non-dropping-particle":"","parse-names":false,"suffix":""},{"dropping-particle":"","family":"Heath","given":"Sharon E.","non-dropping-particle":"","parse-names":false,"suffix":""},{"dropping-particle":"","family":"Shannon","given":"William D.","non-dropping-particle":"","parse-names":false,"suffix":""},{"dropping-particle":"","family":"Varghese","given":"Nobish","non-dropping-particle":"","parse-names":false,"suffix":""},{"dropping-particle":"","family":"Nagarajan","given":"Rakesh","non-dropping-particle":"","parse-names":false,"suffix":""},{"dropping-particle":"","family":"Payton","given":"Jacqueline E.","non-dropping-particle":"","parse-names":false,"suffix":""},{"dropping-particle":"","family":"Baty","given":"Jack D.","non-dropping-particle":"","parse-names":false,"suffix":""},{"dropping-particle":"","family":"Kulkarni","given":"Shashikant","non-dropping-particle":"","parse-names":false,"suffix":""},{"dropping-particle":"","family":"Klco","given":"Jeffery M.","non-dropping-particle":"","parse-names":false,"suffix":""},{"dropping-particle":"","family":"Tomasson","given":"Michael H.","non-dropping-particle":"","parse-names":false,"suffix":""},{"dropping-particle":"","family":"Westervelt","given":"Peter","non-dropping-particle":"","parse-names":false,"suffix":""},{"dropping-particle":"","family":"Walter","given":"Matthew J.","non-dropping-particle":"","parse-names":false,"suffix":""},{"dropping-particle":"","family":"Graubert","given":"Timothy A.","non-dropping-particle":"","parse-names":false,"suffix":""},{"dropping-particle":"","family":"Dipersio","given":"John F.","non-dropping-particle":"","parse-names":false,"suffix":""},{"dropping-particle":"","family":"Ding","given":"Li","non-dropping-particle":"","parse-names":false,"suffix":""},{"dropping-particle":"","family":"Mardis","given":"Elaine R.","non-dropping-particle":"","parse-names":false,"suffix":""},{"dropping-particle":"","family":"Wilson","given":"Richard K.","non-dropping-particle":"","parse-names":false,"suffix":""}],"container-title":"Cell","id":"ITEM-1","issue":"2","issued":{"date-parts":[["2012"]]},"number-of-pages":"264-278","title":"The origin and evolution of mutations in acute myeloid leukemia","type":"book","volume":"150"},"uris":["http://www.mendeley.com/documents/?uuid=d43370ee-1892-4b80-9312-602dabfb6ee5"]}],"mendeley":{"formattedCitation":"&lt;sup&gt;12&lt;/sup&gt;","plainTextFormattedCitation":"12","previouslyFormattedCitation":"&lt;sup&gt;12&lt;/sup&gt;"},"properties":{"noteIndex":0},"schema":"https://github.com/citation-style-language/schema/raw/master/csl-citation.json"}</w:instrText>
      </w:r>
      <w:r w:rsidR="00D9193B" w:rsidRPr="00530BAC">
        <w:rPr>
          <w:color w:val="000000" w:themeColor="text1"/>
        </w:rPr>
        <w:fldChar w:fldCharType="separate"/>
      </w:r>
      <w:r w:rsidR="00641586" w:rsidRPr="00530BAC">
        <w:rPr>
          <w:noProof/>
          <w:color w:val="000000" w:themeColor="text1"/>
          <w:vertAlign w:val="superscript"/>
        </w:rPr>
        <w:t>12</w:t>
      </w:r>
      <w:r w:rsidR="00D9193B" w:rsidRPr="00530BAC">
        <w:rPr>
          <w:color w:val="000000" w:themeColor="text1"/>
        </w:rPr>
        <w:fldChar w:fldCharType="end"/>
      </w:r>
      <w:r w:rsidR="00D9193B" w:rsidRPr="00530BAC">
        <w:rPr>
          <w:color w:val="000000" w:themeColor="text1"/>
        </w:rPr>
        <w:t>.</w:t>
      </w:r>
      <w:r w:rsidR="0078667E" w:rsidRPr="00530BAC">
        <w:rPr>
          <w:color w:val="000000" w:themeColor="text1"/>
        </w:rPr>
        <w:t xml:space="preserve"> However, DNA from the feeder layers can potentially contaminate the</w:t>
      </w:r>
      <w:r w:rsidR="005B60DB" w:rsidRPr="001E6DC0">
        <w:rPr>
          <w:color w:val="000000" w:themeColor="text1"/>
        </w:rPr>
        <w:t xml:space="preserve"> DNA of the</w:t>
      </w:r>
      <w:r w:rsidR="0078667E" w:rsidRPr="001E6DC0">
        <w:rPr>
          <w:color w:val="000000" w:themeColor="text1"/>
        </w:rPr>
        <w:t xml:space="preserve"> </w:t>
      </w:r>
      <w:r w:rsidR="005B60DB" w:rsidRPr="001E6DC0">
        <w:rPr>
          <w:color w:val="000000" w:themeColor="text1"/>
        </w:rPr>
        <w:t>clonal cultures,</w:t>
      </w:r>
      <w:r w:rsidR="0078667E" w:rsidRPr="001E6DC0">
        <w:rPr>
          <w:color w:val="000000" w:themeColor="text1"/>
        </w:rPr>
        <w:t xml:space="preserve"> confounding the subsequent mutation calling and filtering.</w:t>
      </w:r>
      <w:r w:rsidR="00D9193B" w:rsidRPr="001E6DC0">
        <w:rPr>
          <w:color w:val="000000" w:themeColor="text1"/>
        </w:rPr>
        <w:t xml:space="preserve"> The method presented here solely rel</w:t>
      </w:r>
      <w:r w:rsidR="0078667E" w:rsidRPr="001E6DC0">
        <w:rPr>
          <w:color w:val="000000" w:themeColor="text1"/>
        </w:rPr>
        <w:t>ies</w:t>
      </w:r>
      <w:r w:rsidR="00D9193B" w:rsidRPr="001E6DC0">
        <w:rPr>
          <w:color w:val="000000" w:themeColor="text1"/>
        </w:rPr>
        <w:t xml:space="preserve"> on </w:t>
      </w:r>
      <w:r w:rsidR="0078667E" w:rsidRPr="001E6DC0">
        <w:rPr>
          <w:color w:val="000000" w:themeColor="text1"/>
        </w:rPr>
        <w:t xml:space="preserve">specified </w:t>
      </w:r>
      <w:r w:rsidR="00D9193B" w:rsidRPr="001E6DC0">
        <w:rPr>
          <w:color w:val="000000" w:themeColor="text1"/>
        </w:rPr>
        <w:t>medium to clonally expand single HSPCs</w:t>
      </w:r>
      <w:r w:rsidR="009C226F" w:rsidRPr="001E6DC0">
        <w:rPr>
          <w:color w:val="000000" w:themeColor="text1"/>
        </w:rPr>
        <w:t xml:space="preserve">, and therefore </w:t>
      </w:r>
      <w:r w:rsidR="0078667E" w:rsidRPr="001E6DC0">
        <w:rPr>
          <w:color w:val="000000" w:themeColor="text1"/>
        </w:rPr>
        <w:t>avoid</w:t>
      </w:r>
      <w:r w:rsidR="009C226F" w:rsidRPr="001E6DC0">
        <w:rPr>
          <w:color w:val="000000" w:themeColor="text1"/>
        </w:rPr>
        <w:t>s</w:t>
      </w:r>
      <w:r w:rsidR="0078667E" w:rsidRPr="001E6DC0">
        <w:rPr>
          <w:color w:val="000000" w:themeColor="text1"/>
        </w:rPr>
        <w:t xml:space="preserve"> the issue of DNA contamination.</w:t>
      </w:r>
      <w:r w:rsidR="00D9193B" w:rsidRPr="001E6DC0">
        <w:rPr>
          <w:color w:val="000000" w:themeColor="text1"/>
        </w:rPr>
        <w:t xml:space="preserve"> </w:t>
      </w:r>
      <w:r w:rsidR="001E6DC0">
        <w:rPr>
          <w:color w:val="000000" w:themeColor="text1"/>
        </w:rPr>
        <w:t>Until</w:t>
      </w:r>
      <w:r w:rsidR="004705E2" w:rsidRPr="00530BAC">
        <w:rPr>
          <w:color w:val="000000" w:themeColor="text1"/>
        </w:rPr>
        <w:t xml:space="preserve"> now, we </w:t>
      </w:r>
      <w:r w:rsidR="00D9193B" w:rsidRPr="00530BAC">
        <w:rPr>
          <w:color w:val="000000" w:themeColor="text1"/>
        </w:rPr>
        <w:t xml:space="preserve">have successfully </w:t>
      </w:r>
      <w:r w:rsidR="004008F6" w:rsidRPr="001E6DC0">
        <w:rPr>
          <w:color w:val="000000" w:themeColor="text1"/>
        </w:rPr>
        <w:t>applied</w:t>
      </w:r>
      <w:r w:rsidR="00D9193B" w:rsidRPr="001E6DC0">
        <w:rPr>
          <w:color w:val="000000" w:themeColor="text1"/>
        </w:rPr>
        <w:t xml:space="preserve"> this </w:t>
      </w:r>
      <w:r w:rsidR="0018241D" w:rsidRPr="001E6DC0">
        <w:rPr>
          <w:color w:val="000000" w:themeColor="text1"/>
        </w:rPr>
        <w:t>method</w:t>
      </w:r>
      <w:r w:rsidR="004008F6" w:rsidRPr="001E6DC0">
        <w:rPr>
          <w:rStyle w:val="CommentReference"/>
        </w:rPr>
        <w:t xml:space="preserve"> </w:t>
      </w:r>
      <w:r w:rsidR="004008F6" w:rsidRPr="001E6DC0">
        <w:rPr>
          <w:color w:val="000000" w:themeColor="text1"/>
        </w:rPr>
        <w:t xml:space="preserve">on </w:t>
      </w:r>
      <w:r w:rsidR="00D9193B" w:rsidRPr="001E6DC0">
        <w:rPr>
          <w:color w:val="000000" w:themeColor="text1"/>
        </w:rPr>
        <w:t>human bone marrow, cord blood, viably frozen bone marrow</w:t>
      </w:r>
      <w:r w:rsidR="001E6DC0">
        <w:rPr>
          <w:color w:val="000000" w:themeColor="text1"/>
        </w:rPr>
        <w:t>,</w:t>
      </w:r>
      <w:r w:rsidR="00D9193B" w:rsidRPr="00530BAC">
        <w:rPr>
          <w:color w:val="000000" w:themeColor="text1"/>
        </w:rPr>
        <w:t xml:space="preserve"> and peripheral blood.</w:t>
      </w:r>
      <w:r w:rsidR="0078667E">
        <w:rPr>
          <w:color w:val="000000" w:themeColor="text1"/>
        </w:rPr>
        <w:t xml:space="preserve"> </w:t>
      </w:r>
    </w:p>
    <w:p w14:paraId="63066BEF" w14:textId="77777777" w:rsidR="004E6CC7" w:rsidRDefault="004E6CC7" w:rsidP="00C16832">
      <w:pPr>
        <w:widowControl/>
        <w:spacing w:line="0" w:lineRule="atLeast"/>
        <w:rPr>
          <w:color w:val="000000" w:themeColor="text1"/>
        </w:rPr>
      </w:pPr>
    </w:p>
    <w:p w14:paraId="462F9DE8" w14:textId="77777777" w:rsidR="00A15129" w:rsidRDefault="00C60D72" w:rsidP="00C16832">
      <w:pPr>
        <w:spacing w:line="0" w:lineRule="atLeast"/>
        <w:rPr>
          <w:rFonts w:cstheme="minorHAnsi"/>
          <w:b/>
        </w:rPr>
      </w:pPr>
      <w:r>
        <w:rPr>
          <w:rFonts w:cstheme="minorHAnsi"/>
          <w:b/>
        </w:rPr>
        <w:t>PROTOCOL:</w:t>
      </w:r>
    </w:p>
    <w:p w14:paraId="22EC0D49" w14:textId="01486B16" w:rsidR="001559FE" w:rsidRPr="00315AA9" w:rsidRDefault="001559FE" w:rsidP="00C16832">
      <w:pPr>
        <w:spacing w:line="0" w:lineRule="atLeast"/>
        <w:rPr>
          <w:b/>
        </w:rPr>
      </w:pPr>
    </w:p>
    <w:p w14:paraId="641C2A95" w14:textId="1CBF33B9" w:rsidR="00C17327" w:rsidRDefault="00562DBF" w:rsidP="00C16832">
      <w:pPr>
        <w:widowControl/>
        <w:spacing w:line="0" w:lineRule="atLeast"/>
        <w:rPr>
          <w:color w:val="auto"/>
        </w:rPr>
      </w:pPr>
      <w:r w:rsidRPr="00592B97">
        <w:rPr>
          <w:color w:val="auto"/>
        </w:rPr>
        <w:lastRenderedPageBreak/>
        <w:t>S</w:t>
      </w:r>
      <w:r w:rsidR="001559FE" w:rsidRPr="00592B97">
        <w:rPr>
          <w:color w:val="auto"/>
        </w:rPr>
        <w:t>amples m</w:t>
      </w:r>
      <w:r w:rsidR="000D4541" w:rsidRPr="00592B97">
        <w:rPr>
          <w:color w:val="auto"/>
        </w:rPr>
        <w:t>ust be obtained in accordance with appropriate ethics protocols</w:t>
      </w:r>
      <w:r w:rsidR="001E6DC0">
        <w:rPr>
          <w:color w:val="auto"/>
        </w:rPr>
        <w:t>,</w:t>
      </w:r>
      <w:r w:rsidR="000D4541" w:rsidRPr="00592B97">
        <w:rPr>
          <w:color w:val="auto"/>
        </w:rPr>
        <w:t xml:space="preserve"> and </w:t>
      </w:r>
      <w:r w:rsidR="001559FE" w:rsidRPr="00592B97">
        <w:rPr>
          <w:color w:val="auto"/>
        </w:rPr>
        <w:t>donor</w:t>
      </w:r>
      <w:r w:rsidR="001E6DC0">
        <w:rPr>
          <w:color w:val="auto"/>
        </w:rPr>
        <w:t>s</w:t>
      </w:r>
      <w:r w:rsidR="001559FE" w:rsidRPr="00592B97">
        <w:rPr>
          <w:color w:val="auto"/>
        </w:rPr>
        <w:t xml:space="preserve"> must </w:t>
      </w:r>
      <w:r w:rsidR="005D048D" w:rsidRPr="00592B97">
        <w:rPr>
          <w:color w:val="auto"/>
        </w:rPr>
        <w:t>give</w:t>
      </w:r>
      <w:r w:rsidR="000D4541" w:rsidRPr="00592B97">
        <w:rPr>
          <w:color w:val="auto"/>
        </w:rPr>
        <w:t xml:space="preserve"> </w:t>
      </w:r>
      <w:r w:rsidR="005D048D" w:rsidRPr="00592B97">
        <w:rPr>
          <w:color w:val="auto"/>
        </w:rPr>
        <w:t xml:space="preserve">informed consent </w:t>
      </w:r>
      <w:r w:rsidR="001E6DC0">
        <w:rPr>
          <w:color w:val="auto"/>
        </w:rPr>
        <w:t>prior to</w:t>
      </w:r>
      <w:r w:rsidR="005D048D" w:rsidRPr="00592B97">
        <w:rPr>
          <w:color w:val="auto"/>
        </w:rPr>
        <w:t xml:space="preserve"> the procedure.</w:t>
      </w:r>
      <w:r w:rsidR="00BA2080">
        <w:rPr>
          <w:color w:val="auto"/>
        </w:rPr>
        <w:t xml:space="preserve"> </w:t>
      </w:r>
    </w:p>
    <w:p w14:paraId="10377C80" w14:textId="2BFEDC34" w:rsidR="00BC7C0A" w:rsidRDefault="00BC7C0A" w:rsidP="00C16832">
      <w:pPr>
        <w:widowControl/>
        <w:spacing w:line="0" w:lineRule="atLeast"/>
        <w:rPr>
          <w:color w:val="auto"/>
        </w:rPr>
      </w:pPr>
    </w:p>
    <w:p w14:paraId="50E92C70" w14:textId="237E957C" w:rsidR="002E7581" w:rsidRDefault="002E7581" w:rsidP="00C16832">
      <w:pPr>
        <w:widowControl/>
        <w:numPr>
          <w:ilvl w:val="0"/>
          <w:numId w:val="10"/>
        </w:numPr>
        <w:spacing w:line="0" w:lineRule="atLeast"/>
        <w:rPr>
          <w:b/>
          <w:color w:val="auto"/>
        </w:rPr>
      </w:pPr>
      <w:r>
        <w:rPr>
          <w:b/>
          <w:color w:val="auto"/>
        </w:rPr>
        <w:t>Preparation of sample material</w:t>
      </w:r>
    </w:p>
    <w:p w14:paraId="1C04EC04" w14:textId="77777777" w:rsidR="00F7351E" w:rsidRDefault="00F7351E" w:rsidP="00C16832">
      <w:pPr>
        <w:widowControl/>
        <w:spacing w:line="0" w:lineRule="atLeast"/>
        <w:rPr>
          <w:color w:val="auto"/>
        </w:rPr>
      </w:pPr>
    </w:p>
    <w:p w14:paraId="1F885E82" w14:textId="6E300570" w:rsidR="00106D0A" w:rsidRPr="00F7351E" w:rsidRDefault="00F7351E" w:rsidP="00C16832">
      <w:pPr>
        <w:widowControl/>
        <w:spacing w:line="0" w:lineRule="atLeast"/>
        <w:rPr>
          <w:color w:val="auto"/>
        </w:rPr>
      </w:pPr>
      <w:r>
        <w:rPr>
          <w:color w:val="auto"/>
        </w:rPr>
        <w:t xml:space="preserve">NOTE: </w:t>
      </w:r>
      <w:r w:rsidR="002E7581">
        <w:rPr>
          <w:color w:val="auto"/>
        </w:rPr>
        <w:t xml:space="preserve">When working with freshly obtained material, </w:t>
      </w:r>
      <w:r w:rsidR="001E6DC0">
        <w:rPr>
          <w:color w:val="auto"/>
        </w:rPr>
        <w:t>start with</w:t>
      </w:r>
      <w:r w:rsidR="002E7581">
        <w:rPr>
          <w:color w:val="auto"/>
        </w:rPr>
        <w:t xml:space="preserve"> step 1.</w:t>
      </w:r>
      <w:r w:rsidR="004456CE">
        <w:rPr>
          <w:color w:val="auto"/>
        </w:rPr>
        <w:t>1</w:t>
      </w:r>
      <w:r w:rsidR="002E7581">
        <w:rPr>
          <w:color w:val="auto"/>
        </w:rPr>
        <w:t>. When working with frozen material, start with</w:t>
      </w:r>
      <w:r w:rsidR="004456CE">
        <w:rPr>
          <w:color w:val="auto"/>
        </w:rPr>
        <w:t xml:space="preserve"> step</w:t>
      </w:r>
      <w:r w:rsidR="002E7581">
        <w:rPr>
          <w:color w:val="auto"/>
        </w:rPr>
        <w:t xml:space="preserve"> 1.</w:t>
      </w:r>
      <w:r w:rsidR="004456CE">
        <w:rPr>
          <w:color w:val="auto"/>
        </w:rPr>
        <w:t>2.</w:t>
      </w:r>
    </w:p>
    <w:p w14:paraId="79A069D7" w14:textId="77777777" w:rsidR="00F7351E" w:rsidRDefault="00F7351E" w:rsidP="00C16832">
      <w:pPr>
        <w:pStyle w:val="ListParagraph"/>
        <w:widowControl/>
        <w:spacing w:line="0" w:lineRule="atLeast"/>
        <w:ind w:left="0"/>
        <w:rPr>
          <w:color w:val="auto"/>
        </w:rPr>
      </w:pPr>
    </w:p>
    <w:p w14:paraId="460F5FD6" w14:textId="434D9399" w:rsidR="00F7351E" w:rsidRPr="00F7351E" w:rsidRDefault="00F7351E" w:rsidP="00C16832">
      <w:pPr>
        <w:pStyle w:val="ListParagraph"/>
        <w:widowControl/>
        <w:numPr>
          <w:ilvl w:val="1"/>
          <w:numId w:val="10"/>
        </w:numPr>
        <w:spacing w:line="0" w:lineRule="atLeast"/>
        <w:rPr>
          <w:color w:val="auto"/>
        </w:rPr>
      </w:pPr>
      <w:r w:rsidRPr="00F7351E">
        <w:rPr>
          <w:color w:val="auto"/>
        </w:rPr>
        <w:t>Prepar</w:t>
      </w:r>
      <w:r w:rsidR="001E6DC0">
        <w:rPr>
          <w:color w:val="auto"/>
        </w:rPr>
        <w:t>ing</w:t>
      </w:r>
      <w:r w:rsidRPr="00F7351E">
        <w:rPr>
          <w:color w:val="auto"/>
        </w:rPr>
        <w:t xml:space="preserve"> fresh </w:t>
      </w:r>
      <w:r>
        <w:rPr>
          <w:color w:val="auto"/>
        </w:rPr>
        <w:t>b</w:t>
      </w:r>
      <w:r w:rsidRPr="00F7351E">
        <w:rPr>
          <w:color w:val="auto"/>
        </w:rPr>
        <w:t>one marrow, cord blood</w:t>
      </w:r>
      <w:r w:rsidR="001E6DC0">
        <w:rPr>
          <w:color w:val="auto"/>
        </w:rPr>
        <w:t>,</w:t>
      </w:r>
      <w:r w:rsidRPr="00F7351E">
        <w:rPr>
          <w:color w:val="auto"/>
        </w:rPr>
        <w:t xml:space="preserve"> or peripheral blood</w:t>
      </w:r>
    </w:p>
    <w:p w14:paraId="505D4E2C" w14:textId="77777777" w:rsidR="00F7351E" w:rsidRDefault="00F7351E" w:rsidP="00C16832">
      <w:pPr>
        <w:pStyle w:val="ListParagraph"/>
        <w:widowControl/>
        <w:spacing w:line="0" w:lineRule="atLeast"/>
        <w:ind w:left="0"/>
        <w:rPr>
          <w:color w:val="auto"/>
        </w:rPr>
      </w:pPr>
    </w:p>
    <w:p w14:paraId="627C1F51" w14:textId="59786EC7" w:rsidR="00902199" w:rsidRPr="00F7351E" w:rsidRDefault="005C69C3" w:rsidP="00C16832">
      <w:pPr>
        <w:pStyle w:val="ListParagraph"/>
        <w:widowControl/>
        <w:numPr>
          <w:ilvl w:val="2"/>
          <w:numId w:val="10"/>
        </w:numPr>
        <w:spacing w:line="0" w:lineRule="atLeast"/>
        <w:rPr>
          <w:color w:val="auto"/>
        </w:rPr>
      </w:pPr>
      <w:r>
        <w:rPr>
          <w:color w:val="auto"/>
        </w:rPr>
        <w:t xml:space="preserve">Isolate </w:t>
      </w:r>
      <w:r w:rsidR="002E7581">
        <w:rPr>
          <w:color w:val="auto"/>
        </w:rPr>
        <w:t xml:space="preserve">the </w:t>
      </w:r>
      <w:r w:rsidR="00A37352" w:rsidRPr="000363B5">
        <w:rPr>
          <w:color w:val="auto"/>
        </w:rPr>
        <w:t xml:space="preserve">mononuclear </w:t>
      </w:r>
      <w:r w:rsidR="002E7581">
        <w:rPr>
          <w:color w:val="auto"/>
        </w:rPr>
        <w:t xml:space="preserve">fraction from the sample </w:t>
      </w:r>
      <w:r>
        <w:rPr>
          <w:color w:val="auto"/>
        </w:rPr>
        <w:t xml:space="preserve">using </w:t>
      </w:r>
      <w:r w:rsidRPr="00F7351E">
        <w:rPr>
          <w:color w:val="auto"/>
        </w:rPr>
        <w:t xml:space="preserve">density gradient </w:t>
      </w:r>
      <w:r w:rsidR="002E7581" w:rsidRPr="00F7351E">
        <w:rPr>
          <w:color w:val="auto"/>
        </w:rPr>
        <w:t>separation</w:t>
      </w:r>
      <w:r w:rsidRPr="00F7351E">
        <w:rPr>
          <w:color w:val="auto"/>
        </w:rPr>
        <w:t xml:space="preserve"> </w:t>
      </w:r>
      <w:r w:rsidR="00BF0E0C">
        <w:rPr>
          <w:color w:val="auto"/>
        </w:rPr>
        <w:t xml:space="preserve">by </w:t>
      </w:r>
      <w:r w:rsidRPr="00F7351E">
        <w:rPr>
          <w:color w:val="auto"/>
        </w:rPr>
        <w:t xml:space="preserve">following </w:t>
      </w:r>
      <w:r w:rsidR="001E6DC0">
        <w:rPr>
          <w:color w:val="auto"/>
        </w:rPr>
        <w:t xml:space="preserve">the </w:t>
      </w:r>
      <w:r w:rsidRPr="00F7351E">
        <w:rPr>
          <w:color w:val="auto"/>
        </w:rPr>
        <w:t>manufacturers</w:t>
      </w:r>
      <w:r w:rsidR="00BF0E0C">
        <w:rPr>
          <w:color w:val="auto"/>
        </w:rPr>
        <w:t>’</w:t>
      </w:r>
      <w:r w:rsidRPr="00F7351E">
        <w:rPr>
          <w:color w:val="auto"/>
        </w:rPr>
        <w:t xml:space="preserve"> instructions</w:t>
      </w:r>
      <w:r w:rsidR="00AA2BB1">
        <w:rPr>
          <w:color w:val="auto"/>
        </w:rPr>
        <w:t xml:space="preserve"> (see </w:t>
      </w:r>
      <w:r w:rsidR="00AA2BB1">
        <w:rPr>
          <w:b/>
          <w:color w:val="auto"/>
        </w:rPr>
        <w:t>Table of Materials</w:t>
      </w:r>
      <w:r w:rsidR="00AA2BB1">
        <w:rPr>
          <w:color w:val="auto"/>
        </w:rPr>
        <w:t>)</w:t>
      </w:r>
      <w:r w:rsidRPr="00F7351E">
        <w:rPr>
          <w:color w:val="auto"/>
        </w:rPr>
        <w:t xml:space="preserve">, </w:t>
      </w:r>
      <w:r w:rsidR="002850BA" w:rsidRPr="00F7351E">
        <w:rPr>
          <w:color w:val="auto"/>
        </w:rPr>
        <w:t>and count</w:t>
      </w:r>
      <w:r w:rsidR="00F270C0" w:rsidRPr="00F7351E">
        <w:rPr>
          <w:color w:val="auto"/>
        </w:rPr>
        <w:t xml:space="preserve"> the</w:t>
      </w:r>
      <w:r w:rsidR="00BF0E0C">
        <w:rPr>
          <w:color w:val="auto"/>
        </w:rPr>
        <w:t xml:space="preserve"> mono</w:t>
      </w:r>
      <w:r w:rsidR="007D475F">
        <w:rPr>
          <w:color w:val="auto"/>
        </w:rPr>
        <w:t>nuclear</w:t>
      </w:r>
      <w:r w:rsidR="002850BA" w:rsidRPr="00F7351E">
        <w:rPr>
          <w:color w:val="auto"/>
        </w:rPr>
        <w:t xml:space="preserve"> cells</w:t>
      </w:r>
      <w:r w:rsidR="000363B5" w:rsidRPr="00F7351E">
        <w:rPr>
          <w:color w:val="auto"/>
        </w:rPr>
        <w:t xml:space="preserve"> using </w:t>
      </w:r>
      <w:r w:rsidR="00F270C0" w:rsidRPr="00F7351E">
        <w:rPr>
          <w:color w:val="auto"/>
        </w:rPr>
        <w:t xml:space="preserve">a </w:t>
      </w:r>
      <w:r w:rsidR="000363B5" w:rsidRPr="00F7351E">
        <w:rPr>
          <w:color w:val="auto"/>
        </w:rPr>
        <w:t>hemocytometer.</w:t>
      </w:r>
      <w:r w:rsidR="002850BA" w:rsidRPr="00F7351E">
        <w:rPr>
          <w:color w:val="auto"/>
        </w:rPr>
        <w:t xml:space="preserve"> </w:t>
      </w:r>
      <w:r w:rsidR="00BC10A5">
        <w:rPr>
          <w:color w:val="auto"/>
        </w:rPr>
        <w:t xml:space="preserve">After isolation of the mononuclear cells, continue with step 1.3. </w:t>
      </w:r>
    </w:p>
    <w:p w14:paraId="0550B2E0" w14:textId="77777777" w:rsidR="00D435B4" w:rsidRPr="00D435B4" w:rsidRDefault="00D435B4" w:rsidP="00C16832">
      <w:pPr>
        <w:widowControl/>
        <w:spacing w:line="0" w:lineRule="atLeast"/>
        <w:rPr>
          <w:color w:val="auto"/>
        </w:rPr>
      </w:pPr>
    </w:p>
    <w:p w14:paraId="54D0520A" w14:textId="7132EB19" w:rsidR="003F275F" w:rsidRDefault="004A555F" w:rsidP="00C16832">
      <w:pPr>
        <w:pStyle w:val="ListParagraph"/>
        <w:widowControl/>
        <w:numPr>
          <w:ilvl w:val="2"/>
          <w:numId w:val="10"/>
        </w:numPr>
        <w:spacing w:line="0" w:lineRule="atLeast"/>
        <w:rPr>
          <w:color w:val="auto"/>
        </w:rPr>
      </w:pPr>
      <w:r w:rsidRPr="002758D5">
        <w:rPr>
          <w:color w:val="auto"/>
        </w:rPr>
        <w:t>OPTIONAL:</w:t>
      </w:r>
      <w:r w:rsidR="000363B5" w:rsidRPr="002758D5">
        <w:rPr>
          <w:color w:val="auto"/>
        </w:rPr>
        <w:t xml:space="preserve"> The </w:t>
      </w:r>
      <w:r w:rsidR="00B40239">
        <w:rPr>
          <w:color w:val="auto"/>
        </w:rPr>
        <w:t>recommended</w:t>
      </w:r>
      <w:r w:rsidR="00B40239" w:rsidRPr="002758D5">
        <w:rPr>
          <w:color w:val="auto"/>
        </w:rPr>
        <w:t xml:space="preserve"> </w:t>
      </w:r>
      <w:r w:rsidR="000363B5" w:rsidRPr="002758D5">
        <w:rPr>
          <w:color w:val="auto"/>
        </w:rPr>
        <w:t>number of cells required to sort a full 384</w:t>
      </w:r>
      <w:r w:rsidR="001E6DC0">
        <w:rPr>
          <w:color w:val="auto"/>
        </w:rPr>
        <w:t xml:space="preserve"> </w:t>
      </w:r>
      <w:r w:rsidR="000363B5" w:rsidRPr="002758D5">
        <w:rPr>
          <w:color w:val="auto"/>
        </w:rPr>
        <w:t>well plate of HSPCs is</w:t>
      </w:r>
      <w:r w:rsidR="00AD07B6">
        <w:rPr>
          <w:color w:val="auto"/>
        </w:rPr>
        <w:t xml:space="preserve"> </w:t>
      </w:r>
      <w:r w:rsidR="000363B5" w:rsidRPr="002758D5">
        <w:rPr>
          <w:color w:val="auto"/>
        </w:rPr>
        <w:t>1</w:t>
      </w:r>
      <w:r w:rsidR="001E6DC0">
        <w:rPr>
          <w:color w:val="auto"/>
        </w:rPr>
        <w:t>–</w:t>
      </w:r>
      <w:r w:rsidR="00B40239">
        <w:rPr>
          <w:color w:val="auto"/>
        </w:rPr>
        <w:t>2</w:t>
      </w:r>
      <w:r w:rsidR="001E6DC0">
        <w:rPr>
          <w:color w:val="auto"/>
        </w:rPr>
        <w:t xml:space="preserve"> x </w:t>
      </w:r>
      <w:r w:rsidRPr="002758D5">
        <w:rPr>
          <w:color w:val="auto"/>
        </w:rPr>
        <w:t>10</w:t>
      </w:r>
      <w:r w:rsidRPr="002758D5">
        <w:rPr>
          <w:color w:val="auto"/>
          <w:vertAlign w:val="superscript"/>
        </w:rPr>
        <w:t>7</w:t>
      </w:r>
      <w:r w:rsidR="000363B5" w:rsidRPr="002758D5">
        <w:rPr>
          <w:color w:val="auto"/>
        </w:rPr>
        <w:t>. If more</w:t>
      </w:r>
      <w:r w:rsidRPr="002758D5">
        <w:rPr>
          <w:color w:val="auto"/>
          <w:vertAlign w:val="superscript"/>
        </w:rPr>
        <w:t xml:space="preserve"> </w:t>
      </w:r>
      <w:r w:rsidRPr="002758D5">
        <w:rPr>
          <w:color w:val="auto"/>
        </w:rPr>
        <w:t>cells</w:t>
      </w:r>
      <w:r w:rsidR="00BA2080" w:rsidRPr="002758D5">
        <w:rPr>
          <w:color w:val="auto"/>
        </w:rPr>
        <w:t xml:space="preserve"> are </w:t>
      </w:r>
      <w:r w:rsidR="000363B5" w:rsidRPr="002758D5">
        <w:rPr>
          <w:color w:val="auto"/>
        </w:rPr>
        <w:t xml:space="preserve">isolated during </w:t>
      </w:r>
      <w:r w:rsidR="002758D5" w:rsidRPr="002758D5">
        <w:rPr>
          <w:color w:val="auto"/>
        </w:rPr>
        <w:t>density gradient centrifugation</w:t>
      </w:r>
      <w:r w:rsidRPr="002758D5">
        <w:rPr>
          <w:color w:val="auto"/>
        </w:rPr>
        <w:t xml:space="preserve">, </w:t>
      </w:r>
      <w:r w:rsidR="00975077">
        <w:rPr>
          <w:color w:val="auto"/>
        </w:rPr>
        <w:t xml:space="preserve">store </w:t>
      </w:r>
      <w:r w:rsidR="002758D5" w:rsidRPr="002758D5">
        <w:rPr>
          <w:color w:val="auto"/>
        </w:rPr>
        <w:t xml:space="preserve">the surplus of cells in </w:t>
      </w:r>
      <w:r w:rsidR="002758D5">
        <w:rPr>
          <w:color w:val="auto"/>
        </w:rPr>
        <w:t xml:space="preserve">liquid nitrogen. </w:t>
      </w:r>
    </w:p>
    <w:p w14:paraId="19679D3C" w14:textId="77777777" w:rsidR="003F275F" w:rsidRPr="003F275F" w:rsidRDefault="003F275F" w:rsidP="00C16832">
      <w:pPr>
        <w:pStyle w:val="ListParagraph"/>
        <w:spacing w:line="0" w:lineRule="atLeast"/>
        <w:rPr>
          <w:color w:val="auto"/>
        </w:rPr>
      </w:pPr>
    </w:p>
    <w:p w14:paraId="53BEDF9E" w14:textId="248EF277" w:rsidR="003F275F" w:rsidRDefault="002758D5" w:rsidP="00C16832">
      <w:pPr>
        <w:pStyle w:val="ListParagraph"/>
        <w:widowControl/>
        <w:numPr>
          <w:ilvl w:val="2"/>
          <w:numId w:val="10"/>
        </w:numPr>
        <w:spacing w:line="0" w:lineRule="atLeast"/>
        <w:rPr>
          <w:color w:val="auto"/>
        </w:rPr>
      </w:pPr>
      <w:r w:rsidRPr="003F275F">
        <w:rPr>
          <w:color w:val="auto"/>
        </w:rPr>
        <w:t xml:space="preserve">Resuspend cells in 500 μL </w:t>
      </w:r>
      <w:r w:rsidR="001E6DC0">
        <w:rPr>
          <w:color w:val="auto"/>
        </w:rPr>
        <w:t xml:space="preserve">of </w:t>
      </w:r>
      <w:r w:rsidRPr="003F275F">
        <w:rPr>
          <w:color w:val="auto"/>
        </w:rPr>
        <w:t>IMDM + 10% FBS per 1</w:t>
      </w:r>
      <w:r w:rsidR="001E6DC0">
        <w:rPr>
          <w:color w:val="auto"/>
        </w:rPr>
        <w:t xml:space="preserve"> x </w:t>
      </w:r>
      <w:r w:rsidRPr="003F275F">
        <w:rPr>
          <w:color w:val="auto"/>
        </w:rPr>
        <w:t>10</w:t>
      </w:r>
      <w:r w:rsidRPr="003F275F">
        <w:rPr>
          <w:color w:val="auto"/>
          <w:vertAlign w:val="superscript"/>
        </w:rPr>
        <w:t>7</w:t>
      </w:r>
      <w:r w:rsidRPr="003F275F">
        <w:rPr>
          <w:color w:val="auto"/>
        </w:rPr>
        <w:t xml:space="preserve"> </w:t>
      </w:r>
      <w:proofErr w:type="gramStart"/>
      <w:r w:rsidRPr="003F275F">
        <w:rPr>
          <w:color w:val="auto"/>
        </w:rPr>
        <w:t>cells, and</w:t>
      </w:r>
      <w:proofErr w:type="gramEnd"/>
      <w:r w:rsidRPr="003F275F">
        <w:rPr>
          <w:color w:val="auto"/>
        </w:rPr>
        <w:t xml:space="preserve"> add</w:t>
      </w:r>
      <w:r w:rsidR="00F270C0">
        <w:rPr>
          <w:color w:val="auto"/>
        </w:rPr>
        <w:t xml:space="preserve"> drop</w:t>
      </w:r>
      <w:r w:rsidR="001E6DC0">
        <w:rPr>
          <w:color w:val="auto"/>
        </w:rPr>
        <w:t>-</w:t>
      </w:r>
      <w:r w:rsidR="00F270C0">
        <w:rPr>
          <w:color w:val="auto"/>
        </w:rPr>
        <w:t>by</w:t>
      </w:r>
      <w:r w:rsidR="001E6DC0">
        <w:rPr>
          <w:color w:val="auto"/>
        </w:rPr>
        <w:t>-</w:t>
      </w:r>
      <w:r w:rsidR="00F270C0">
        <w:rPr>
          <w:color w:val="auto"/>
        </w:rPr>
        <w:t xml:space="preserve">drop </w:t>
      </w:r>
      <w:r w:rsidRPr="003F275F">
        <w:rPr>
          <w:color w:val="auto"/>
        </w:rPr>
        <w:t>an equal volume</w:t>
      </w:r>
      <w:r w:rsidR="001E6DC0">
        <w:rPr>
          <w:color w:val="auto"/>
        </w:rPr>
        <w:t xml:space="preserve"> of</w:t>
      </w:r>
      <w:r w:rsidRPr="003F275F">
        <w:rPr>
          <w:color w:val="auto"/>
        </w:rPr>
        <w:t xml:space="preserve"> IMDM + 30% FBS + 20% DMSO to </w:t>
      </w:r>
      <w:r w:rsidR="001E6DC0">
        <w:rPr>
          <w:color w:val="auto"/>
        </w:rPr>
        <w:t>achieve</w:t>
      </w:r>
      <w:r w:rsidRPr="003F275F">
        <w:rPr>
          <w:color w:val="auto"/>
        </w:rPr>
        <w:t xml:space="preserve"> </w:t>
      </w:r>
      <w:r w:rsidR="00D435B4" w:rsidRPr="003F275F">
        <w:rPr>
          <w:color w:val="auto"/>
        </w:rPr>
        <w:t>a suspension of 1</w:t>
      </w:r>
      <w:r w:rsidR="001E6DC0">
        <w:rPr>
          <w:color w:val="auto"/>
        </w:rPr>
        <w:t xml:space="preserve"> x </w:t>
      </w:r>
      <w:r w:rsidR="00D435B4" w:rsidRPr="003F275F">
        <w:rPr>
          <w:color w:val="auto"/>
        </w:rPr>
        <w:t>10</w:t>
      </w:r>
      <w:r w:rsidR="00D435B4" w:rsidRPr="003F275F">
        <w:rPr>
          <w:color w:val="auto"/>
          <w:vertAlign w:val="superscript"/>
        </w:rPr>
        <w:t>7</w:t>
      </w:r>
      <w:r w:rsidR="00D435B4" w:rsidRPr="003F275F">
        <w:rPr>
          <w:color w:val="auto"/>
        </w:rPr>
        <w:t xml:space="preserve"> cells in 1 mL </w:t>
      </w:r>
      <w:r w:rsidR="001E6DC0">
        <w:rPr>
          <w:color w:val="auto"/>
        </w:rPr>
        <w:t xml:space="preserve">of </w:t>
      </w:r>
      <w:r w:rsidR="00D435B4" w:rsidRPr="003F275F">
        <w:rPr>
          <w:color w:val="auto"/>
        </w:rPr>
        <w:t xml:space="preserve">IMDM + 20% FBS + 10% DMSO. </w:t>
      </w:r>
    </w:p>
    <w:p w14:paraId="739B4CDD" w14:textId="77777777" w:rsidR="003F275F" w:rsidRDefault="003F275F" w:rsidP="00C16832">
      <w:pPr>
        <w:pStyle w:val="ListParagraph"/>
        <w:widowControl/>
        <w:spacing w:line="0" w:lineRule="atLeast"/>
        <w:rPr>
          <w:color w:val="auto"/>
        </w:rPr>
      </w:pPr>
    </w:p>
    <w:p w14:paraId="2953B9A6" w14:textId="7AAF8B30" w:rsidR="003F275F" w:rsidRPr="003F275F" w:rsidRDefault="009F37B4" w:rsidP="00C16832">
      <w:pPr>
        <w:pStyle w:val="ListParagraph"/>
        <w:widowControl/>
        <w:numPr>
          <w:ilvl w:val="2"/>
          <w:numId w:val="10"/>
        </w:numPr>
        <w:spacing w:line="0" w:lineRule="atLeast"/>
        <w:rPr>
          <w:color w:val="auto"/>
        </w:rPr>
      </w:pPr>
      <w:r w:rsidRPr="003F275F">
        <w:rPr>
          <w:color w:val="auto"/>
        </w:rPr>
        <w:t>Immediately t</w:t>
      </w:r>
      <w:r w:rsidR="00D435B4" w:rsidRPr="003F275F">
        <w:rPr>
          <w:color w:val="auto"/>
        </w:rPr>
        <w:t xml:space="preserve">ransfer </w:t>
      </w:r>
      <w:r w:rsidR="009A5EA0">
        <w:rPr>
          <w:color w:val="auto"/>
        </w:rPr>
        <w:t>the mononuclear cells</w:t>
      </w:r>
      <w:r w:rsidR="009A5EA0" w:rsidRPr="003F275F">
        <w:rPr>
          <w:color w:val="auto"/>
        </w:rPr>
        <w:t xml:space="preserve"> </w:t>
      </w:r>
      <w:r w:rsidR="00D435B4" w:rsidRPr="003F275F">
        <w:rPr>
          <w:color w:val="auto"/>
        </w:rPr>
        <w:t>to 1 mL cryogenic vials and f</w:t>
      </w:r>
      <w:r w:rsidR="002758D5" w:rsidRPr="003F275F">
        <w:rPr>
          <w:color w:val="auto"/>
        </w:rPr>
        <w:t xml:space="preserve">reeze cells at -80 </w:t>
      </w:r>
      <w:r w:rsidR="002758D5" w:rsidRPr="003F275F">
        <w:rPr>
          <w:rFonts w:asciiTheme="minorHAnsi" w:hAnsiTheme="minorHAnsi" w:cstheme="minorHAnsi"/>
          <w:color w:val="auto"/>
        </w:rPr>
        <w:t xml:space="preserve">°C in </w:t>
      </w:r>
      <w:r w:rsidR="001E6DC0">
        <w:rPr>
          <w:rFonts w:asciiTheme="minorHAnsi" w:hAnsiTheme="minorHAnsi" w:cstheme="minorHAnsi"/>
          <w:color w:val="auto"/>
        </w:rPr>
        <w:t xml:space="preserve">a </w:t>
      </w:r>
      <w:r w:rsidR="00D435B4" w:rsidRPr="003F275F">
        <w:rPr>
          <w:rFonts w:asciiTheme="minorHAnsi" w:hAnsiTheme="minorHAnsi" w:cstheme="minorHAnsi"/>
          <w:color w:val="auto"/>
        </w:rPr>
        <w:t xml:space="preserve">controlled-rate </w:t>
      </w:r>
      <w:r w:rsidR="002758D5" w:rsidRPr="003F275F">
        <w:rPr>
          <w:rFonts w:asciiTheme="minorHAnsi" w:hAnsiTheme="minorHAnsi" w:cstheme="minorHAnsi"/>
          <w:color w:val="auto"/>
        </w:rPr>
        <w:t>cell freezing container</w:t>
      </w:r>
      <w:r w:rsidRPr="003F275F">
        <w:rPr>
          <w:rFonts w:asciiTheme="minorHAnsi" w:hAnsiTheme="minorHAnsi" w:cstheme="minorHAnsi"/>
          <w:color w:val="auto"/>
        </w:rPr>
        <w:t xml:space="preserve"> overnight. Trans</w:t>
      </w:r>
      <w:r w:rsidR="002758D5" w:rsidRPr="003F275F">
        <w:rPr>
          <w:rFonts w:asciiTheme="minorHAnsi" w:hAnsiTheme="minorHAnsi" w:cstheme="minorHAnsi"/>
          <w:color w:val="auto"/>
        </w:rPr>
        <w:t xml:space="preserve">fer </w:t>
      </w:r>
      <w:r w:rsidRPr="003F275F">
        <w:rPr>
          <w:rFonts w:asciiTheme="minorHAnsi" w:hAnsiTheme="minorHAnsi" w:cstheme="minorHAnsi"/>
          <w:color w:val="auto"/>
        </w:rPr>
        <w:t xml:space="preserve">the </w:t>
      </w:r>
      <w:r w:rsidR="002758D5" w:rsidRPr="003F275F">
        <w:rPr>
          <w:rFonts w:asciiTheme="minorHAnsi" w:hAnsiTheme="minorHAnsi" w:cstheme="minorHAnsi"/>
          <w:color w:val="auto"/>
        </w:rPr>
        <w:t xml:space="preserve">cells the next day to </w:t>
      </w:r>
      <w:r w:rsidRPr="003F275F">
        <w:rPr>
          <w:rFonts w:asciiTheme="minorHAnsi" w:hAnsiTheme="minorHAnsi" w:cstheme="minorHAnsi"/>
          <w:color w:val="auto"/>
        </w:rPr>
        <w:t xml:space="preserve">a </w:t>
      </w:r>
      <w:r w:rsidR="002758D5" w:rsidRPr="003F275F">
        <w:rPr>
          <w:rFonts w:asciiTheme="minorHAnsi" w:hAnsiTheme="minorHAnsi" w:cstheme="minorHAnsi"/>
          <w:color w:val="auto"/>
        </w:rPr>
        <w:t>liquid nitrogen storage upon further processing</w:t>
      </w:r>
      <w:r w:rsidR="003F275F">
        <w:rPr>
          <w:rFonts w:asciiTheme="minorHAnsi" w:hAnsiTheme="minorHAnsi" w:cstheme="minorHAnsi"/>
          <w:color w:val="auto"/>
        </w:rPr>
        <w:t>.</w:t>
      </w:r>
    </w:p>
    <w:p w14:paraId="524B0D80" w14:textId="77777777" w:rsidR="003F275F" w:rsidRPr="003F275F" w:rsidRDefault="003F275F" w:rsidP="00C16832">
      <w:pPr>
        <w:pStyle w:val="ListParagraph"/>
        <w:widowControl/>
        <w:spacing w:line="0" w:lineRule="atLeast"/>
        <w:ind w:left="360"/>
        <w:rPr>
          <w:color w:val="auto"/>
        </w:rPr>
      </w:pPr>
    </w:p>
    <w:p w14:paraId="08D2250A" w14:textId="1AF87AA7" w:rsidR="00F7351E" w:rsidRDefault="00F7351E" w:rsidP="00C16832">
      <w:pPr>
        <w:pStyle w:val="ListParagraph"/>
        <w:widowControl/>
        <w:numPr>
          <w:ilvl w:val="1"/>
          <w:numId w:val="10"/>
        </w:numPr>
        <w:spacing w:line="0" w:lineRule="atLeast"/>
        <w:rPr>
          <w:color w:val="auto"/>
        </w:rPr>
      </w:pPr>
      <w:r w:rsidRPr="00F7351E">
        <w:rPr>
          <w:color w:val="auto"/>
        </w:rPr>
        <w:t>Prepar</w:t>
      </w:r>
      <w:r w:rsidR="001E6DC0">
        <w:rPr>
          <w:color w:val="auto"/>
        </w:rPr>
        <w:t>ing</w:t>
      </w:r>
      <w:r w:rsidRPr="00F7351E">
        <w:rPr>
          <w:color w:val="auto"/>
        </w:rPr>
        <w:t xml:space="preserve"> frozen mononuclear cells from bone marrow, cord blood</w:t>
      </w:r>
      <w:r w:rsidR="001E6DC0">
        <w:rPr>
          <w:color w:val="auto"/>
        </w:rPr>
        <w:t>,</w:t>
      </w:r>
      <w:r w:rsidRPr="00F7351E">
        <w:rPr>
          <w:color w:val="auto"/>
        </w:rPr>
        <w:t xml:space="preserve"> or peripheral blood</w:t>
      </w:r>
    </w:p>
    <w:p w14:paraId="36BC688F" w14:textId="77777777" w:rsidR="00F7351E" w:rsidRPr="00F7351E" w:rsidRDefault="00F7351E" w:rsidP="00C16832">
      <w:pPr>
        <w:pStyle w:val="ListParagraph"/>
        <w:widowControl/>
        <w:spacing w:line="0" w:lineRule="atLeast"/>
        <w:ind w:left="0"/>
        <w:rPr>
          <w:color w:val="auto"/>
        </w:rPr>
      </w:pPr>
    </w:p>
    <w:p w14:paraId="1A737609" w14:textId="0309F496" w:rsidR="002E7581" w:rsidRPr="002E7581" w:rsidRDefault="00F7351E" w:rsidP="00C16832">
      <w:pPr>
        <w:pStyle w:val="ListParagraph"/>
        <w:widowControl/>
        <w:numPr>
          <w:ilvl w:val="2"/>
          <w:numId w:val="10"/>
        </w:numPr>
        <w:spacing w:line="0" w:lineRule="atLeast"/>
        <w:rPr>
          <w:color w:val="auto"/>
        </w:rPr>
      </w:pPr>
      <w:r>
        <w:rPr>
          <w:color w:val="auto"/>
        </w:rPr>
        <w:t xml:space="preserve"> </w:t>
      </w:r>
      <w:r w:rsidR="002E7581">
        <w:rPr>
          <w:color w:val="auto"/>
        </w:rPr>
        <w:t>P</w:t>
      </w:r>
      <w:r w:rsidR="00106D0A" w:rsidRPr="00F7351E">
        <w:rPr>
          <w:color w:val="auto"/>
        </w:rPr>
        <w:t>repare 50</w:t>
      </w:r>
      <w:r w:rsidR="002758D5" w:rsidRPr="00F7351E">
        <w:rPr>
          <w:color w:val="auto"/>
        </w:rPr>
        <w:t xml:space="preserve"> </w:t>
      </w:r>
      <w:r w:rsidR="00106D0A" w:rsidRPr="00F7351E">
        <w:rPr>
          <w:color w:val="auto"/>
        </w:rPr>
        <w:t xml:space="preserve">mL </w:t>
      </w:r>
      <w:r w:rsidR="001E6DC0">
        <w:rPr>
          <w:color w:val="auto"/>
        </w:rPr>
        <w:t xml:space="preserve">of </w:t>
      </w:r>
      <w:r w:rsidR="00106D0A" w:rsidRPr="00F7351E">
        <w:rPr>
          <w:color w:val="auto"/>
        </w:rPr>
        <w:t>cell thawing medium containing 45 mL</w:t>
      </w:r>
      <w:r w:rsidR="001E6DC0">
        <w:rPr>
          <w:color w:val="auto"/>
        </w:rPr>
        <w:t xml:space="preserve"> of</w:t>
      </w:r>
      <w:r w:rsidR="00106D0A" w:rsidRPr="00F7351E">
        <w:rPr>
          <w:color w:val="auto"/>
        </w:rPr>
        <w:t xml:space="preserve"> </w:t>
      </w:r>
      <w:proofErr w:type="spellStart"/>
      <w:r w:rsidR="00106D0A" w:rsidRPr="00F7351E">
        <w:rPr>
          <w:color w:val="auto"/>
        </w:rPr>
        <w:t>Iscove’s</w:t>
      </w:r>
      <w:proofErr w:type="spellEnd"/>
      <w:r w:rsidR="00106D0A" w:rsidRPr="00F7351E">
        <w:rPr>
          <w:color w:val="auto"/>
        </w:rPr>
        <w:t xml:space="preserve"> Modified Eagle’s Medium (IMDM) and 5 mL</w:t>
      </w:r>
      <w:r w:rsidR="009F37B4" w:rsidRPr="00F7351E">
        <w:rPr>
          <w:color w:val="auto"/>
        </w:rPr>
        <w:t xml:space="preserve"> </w:t>
      </w:r>
      <w:r w:rsidR="001E6DC0">
        <w:rPr>
          <w:color w:val="auto"/>
        </w:rPr>
        <w:t>of f</w:t>
      </w:r>
      <w:r w:rsidR="00106D0A" w:rsidRPr="00F7351E">
        <w:rPr>
          <w:color w:val="auto"/>
        </w:rPr>
        <w:t xml:space="preserve">etal </w:t>
      </w:r>
      <w:r w:rsidR="001E6DC0">
        <w:rPr>
          <w:color w:val="auto"/>
        </w:rPr>
        <w:t>b</w:t>
      </w:r>
      <w:r w:rsidR="00106D0A" w:rsidRPr="00F7351E">
        <w:rPr>
          <w:color w:val="auto"/>
        </w:rPr>
        <w:t xml:space="preserve">ovine </w:t>
      </w:r>
      <w:r w:rsidR="001E6DC0">
        <w:rPr>
          <w:color w:val="auto"/>
        </w:rPr>
        <w:t>s</w:t>
      </w:r>
      <w:r w:rsidR="00106D0A" w:rsidRPr="00F7351E">
        <w:rPr>
          <w:color w:val="auto"/>
        </w:rPr>
        <w:t>erum</w:t>
      </w:r>
      <w:r w:rsidR="001E6DC0">
        <w:rPr>
          <w:color w:val="auto"/>
        </w:rPr>
        <w:t xml:space="preserve"> (FBS),</w:t>
      </w:r>
      <w:r w:rsidR="00106D0A" w:rsidRPr="00F7351E">
        <w:rPr>
          <w:color w:val="auto"/>
        </w:rPr>
        <w:t xml:space="preserve"> and warm in </w:t>
      </w:r>
      <w:r w:rsidR="00D521D6" w:rsidRPr="00F7351E">
        <w:rPr>
          <w:color w:val="auto"/>
        </w:rPr>
        <w:t xml:space="preserve">37 </w:t>
      </w:r>
      <w:r w:rsidR="00D521D6" w:rsidRPr="00F7351E">
        <w:rPr>
          <w:rFonts w:asciiTheme="minorHAnsi" w:hAnsiTheme="minorHAnsi" w:cstheme="minorHAnsi"/>
          <w:color w:val="auto"/>
        </w:rPr>
        <w:t>°C water bath.</w:t>
      </w:r>
    </w:p>
    <w:p w14:paraId="560950A3" w14:textId="77777777" w:rsidR="002E7581" w:rsidRDefault="002E7581" w:rsidP="00C16832">
      <w:pPr>
        <w:pStyle w:val="ListParagraph"/>
        <w:widowControl/>
        <w:spacing w:line="0" w:lineRule="atLeast"/>
        <w:ind w:left="360"/>
        <w:rPr>
          <w:color w:val="auto"/>
        </w:rPr>
      </w:pPr>
    </w:p>
    <w:p w14:paraId="4243A06C" w14:textId="27B5221B" w:rsidR="002E7581" w:rsidRPr="002E7581" w:rsidRDefault="00D521D6" w:rsidP="00C16832">
      <w:pPr>
        <w:pStyle w:val="ListParagraph"/>
        <w:widowControl/>
        <w:numPr>
          <w:ilvl w:val="2"/>
          <w:numId w:val="10"/>
        </w:numPr>
        <w:spacing w:line="0" w:lineRule="atLeast"/>
        <w:rPr>
          <w:color w:val="auto"/>
        </w:rPr>
      </w:pPr>
      <w:r w:rsidRPr="002E7581">
        <w:rPr>
          <w:color w:val="auto"/>
        </w:rPr>
        <w:t xml:space="preserve">Take </w:t>
      </w:r>
      <w:r w:rsidR="003E3A0D">
        <w:rPr>
          <w:color w:val="auto"/>
        </w:rPr>
        <w:t xml:space="preserve">the </w:t>
      </w:r>
      <w:r w:rsidR="004A555F" w:rsidRPr="002E7581">
        <w:rPr>
          <w:color w:val="auto"/>
        </w:rPr>
        <w:t xml:space="preserve">vial containing </w:t>
      </w:r>
      <w:r w:rsidR="003E3A0D">
        <w:rPr>
          <w:color w:val="auto"/>
        </w:rPr>
        <w:t xml:space="preserve">the </w:t>
      </w:r>
      <w:r w:rsidR="00632483" w:rsidRPr="002E7581">
        <w:rPr>
          <w:color w:val="auto"/>
        </w:rPr>
        <w:t xml:space="preserve">sample </w:t>
      </w:r>
      <w:r w:rsidRPr="002E7581">
        <w:rPr>
          <w:color w:val="auto"/>
        </w:rPr>
        <w:t xml:space="preserve">from </w:t>
      </w:r>
      <w:r w:rsidR="001E6DC0">
        <w:rPr>
          <w:color w:val="auto"/>
        </w:rPr>
        <w:t>l</w:t>
      </w:r>
      <w:r w:rsidRPr="002E7581">
        <w:rPr>
          <w:color w:val="auto"/>
        </w:rPr>
        <w:t xml:space="preserve">iquid </w:t>
      </w:r>
      <w:r w:rsidR="00C32380" w:rsidRPr="002E7581">
        <w:rPr>
          <w:color w:val="auto"/>
        </w:rPr>
        <w:t xml:space="preserve">nitrogen </w:t>
      </w:r>
      <w:r w:rsidRPr="002E7581">
        <w:rPr>
          <w:color w:val="auto"/>
        </w:rPr>
        <w:t>storage</w:t>
      </w:r>
      <w:r w:rsidR="001E6DC0">
        <w:rPr>
          <w:color w:val="auto"/>
        </w:rPr>
        <w:t>,</w:t>
      </w:r>
      <w:r w:rsidR="00C32380" w:rsidRPr="002E7581">
        <w:rPr>
          <w:color w:val="auto"/>
        </w:rPr>
        <w:t xml:space="preserve"> transfer</w:t>
      </w:r>
      <w:r w:rsidRPr="002E7581">
        <w:rPr>
          <w:color w:val="auto"/>
        </w:rPr>
        <w:t xml:space="preserve"> </w:t>
      </w:r>
      <w:r w:rsidR="001E6DC0">
        <w:rPr>
          <w:color w:val="auto"/>
        </w:rPr>
        <w:t xml:space="preserve">the </w:t>
      </w:r>
      <w:r w:rsidR="00C32380" w:rsidRPr="002E7581">
        <w:rPr>
          <w:color w:val="auto"/>
        </w:rPr>
        <w:t xml:space="preserve">sample </w:t>
      </w:r>
      <w:r w:rsidR="001E6DC0">
        <w:rPr>
          <w:color w:val="auto"/>
        </w:rPr>
        <w:t>to</w:t>
      </w:r>
      <w:r w:rsidR="004A555F" w:rsidRPr="002E7581">
        <w:rPr>
          <w:color w:val="auto"/>
        </w:rPr>
        <w:t xml:space="preserve"> dry ice</w:t>
      </w:r>
      <w:r w:rsidR="001E6DC0">
        <w:rPr>
          <w:color w:val="auto"/>
        </w:rPr>
        <w:t>,</w:t>
      </w:r>
      <w:r w:rsidR="004A555F" w:rsidRPr="002E7581">
        <w:rPr>
          <w:color w:val="auto"/>
        </w:rPr>
        <w:t xml:space="preserve"> </w:t>
      </w:r>
      <w:r w:rsidRPr="002E7581">
        <w:rPr>
          <w:color w:val="auto"/>
        </w:rPr>
        <w:t xml:space="preserve">and </w:t>
      </w:r>
      <w:r w:rsidR="00C32380" w:rsidRPr="002E7581">
        <w:rPr>
          <w:color w:val="auto"/>
        </w:rPr>
        <w:t xml:space="preserve">thaw as </w:t>
      </w:r>
      <w:r w:rsidRPr="002E7581">
        <w:rPr>
          <w:color w:val="auto"/>
        </w:rPr>
        <w:t>quickly</w:t>
      </w:r>
      <w:r w:rsidR="00C32380" w:rsidRPr="002E7581">
        <w:rPr>
          <w:color w:val="auto"/>
        </w:rPr>
        <w:t xml:space="preserve"> as possible in a</w:t>
      </w:r>
      <w:r w:rsidRPr="002E7581">
        <w:rPr>
          <w:color w:val="auto"/>
        </w:rPr>
        <w:t xml:space="preserve"> </w:t>
      </w:r>
      <w:r w:rsidR="0082691D" w:rsidRPr="002E7581">
        <w:rPr>
          <w:color w:val="auto"/>
        </w:rPr>
        <w:t>37</w:t>
      </w:r>
      <w:r w:rsidR="00A45CD5" w:rsidRPr="002E7581">
        <w:rPr>
          <w:color w:val="auto"/>
        </w:rPr>
        <w:t xml:space="preserve"> </w:t>
      </w:r>
      <w:r w:rsidR="0082691D" w:rsidRPr="002E7581">
        <w:rPr>
          <w:rFonts w:asciiTheme="minorHAnsi" w:hAnsiTheme="minorHAnsi" w:cstheme="minorHAnsi"/>
          <w:color w:val="auto"/>
        </w:rPr>
        <w:t>°C water bath</w:t>
      </w:r>
      <w:r w:rsidR="004A555F" w:rsidRPr="002E7581">
        <w:rPr>
          <w:rFonts w:asciiTheme="minorHAnsi" w:hAnsiTheme="minorHAnsi" w:cstheme="minorHAnsi"/>
          <w:color w:val="auto"/>
        </w:rPr>
        <w:t xml:space="preserve">. </w:t>
      </w:r>
    </w:p>
    <w:p w14:paraId="67E22EC7" w14:textId="77777777" w:rsidR="002E7581" w:rsidRPr="002E7581" w:rsidRDefault="002E7581" w:rsidP="00C16832">
      <w:pPr>
        <w:pStyle w:val="ListParagraph"/>
        <w:spacing w:line="0" w:lineRule="atLeast"/>
        <w:rPr>
          <w:rFonts w:asciiTheme="minorHAnsi" w:hAnsiTheme="minorHAnsi" w:cstheme="minorHAnsi"/>
          <w:color w:val="auto"/>
        </w:rPr>
      </w:pPr>
    </w:p>
    <w:p w14:paraId="449AAE41" w14:textId="6AEA3F32" w:rsidR="002E7581" w:rsidRPr="002E7581" w:rsidRDefault="0082691D" w:rsidP="00C16832">
      <w:pPr>
        <w:pStyle w:val="ListParagraph"/>
        <w:widowControl/>
        <w:numPr>
          <w:ilvl w:val="2"/>
          <w:numId w:val="10"/>
        </w:numPr>
        <w:spacing w:line="0" w:lineRule="atLeast"/>
        <w:rPr>
          <w:color w:val="auto"/>
        </w:rPr>
      </w:pPr>
      <w:r w:rsidRPr="002E7581">
        <w:rPr>
          <w:rFonts w:asciiTheme="minorHAnsi" w:hAnsiTheme="minorHAnsi" w:cstheme="minorHAnsi"/>
          <w:color w:val="auto"/>
        </w:rPr>
        <w:t>When</w:t>
      </w:r>
      <w:r w:rsidR="001B343E" w:rsidRPr="002E7581">
        <w:rPr>
          <w:rFonts w:asciiTheme="minorHAnsi" w:hAnsiTheme="minorHAnsi" w:cstheme="minorHAnsi"/>
          <w:color w:val="auto"/>
        </w:rPr>
        <w:t xml:space="preserve"> the sample</w:t>
      </w:r>
      <w:r w:rsidRPr="002E7581">
        <w:rPr>
          <w:rFonts w:asciiTheme="minorHAnsi" w:hAnsiTheme="minorHAnsi" w:cstheme="minorHAnsi"/>
          <w:color w:val="auto"/>
        </w:rPr>
        <w:t xml:space="preserve"> </w:t>
      </w:r>
      <w:r w:rsidR="0049485F" w:rsidRPr="002E7581">
        <w:rPr>
          <w:rFonts w:asciiTheme="minorHAnsi" w:hAnsiTheme="minorHAnsi" w:cstheme="minorHAnsi"/>
          <w:color w:val="auto"/>
        </w:rPr>
        <w:t xml:space="preserve">is </w:t>
      </w:r>
      <w:r w:rsidRPr="002E7581">
        <w:rPr>
          <w:rFonts w:asciiTheme="minorHAnsi" w:hAnsiTheme="minorHAnsi" w:cstheme="minorHAnsi"/>
          <w:color w:val="auto"/>
        </w:rPr>
        <w:t xml:space="preserve">almost thawed, </w:t>
      </w:r>
      <w:r w:rsidR="004D37BA" w:rsidRPr="002E7581">
        <w:rPr>
          <w:rFonts w:asciiTheme="minorHAnsi" w:hAnsiTheme="minorHAnsi" w:cstheme="minorHAnsi"/>
          <w:color w:val="auto"/>
        </w:rPr>
        <w:t xml:space="preserve">wipe </w:t>
      </w:r>
      <w:r w:rsidR="004775AA" w:rsidRPr="002E7581">
        <w:rPr>
          <w:rFonts w:asciiTheme="minorHAnsi" w:hAnsiTheme="minorHAnsi" w:cstheme="minorHAnsi"/>
          <w:color w:val="auto"/>
        </w:rPr>
        <w:t>the vial</w:t>
      </w:r>
      <w:r w:rsidR="004D37BA" w:rsidRPr="002E7581">
        <w:rPr>
          <w:rFonts w:asciiTheme="minorHAnsi" w:hAnsiTheme="minorHAnsi" w:cstheme="minorHAnsi"/>
          <w:color w:val="auto"/>
        </w:rPr>
        <w:t xml:space="preserve"> with </w:t>
      </w:r>
      <w:r w:rsidR="004775AA" w:rsidRPr="002E7581">
        <w:rPr>
          <w:rFonts w:asciiTheme="minorHAnsi" w:hAnsiTheme="minorHAnsi" w:cstheme="minorHAnsi"/>
          <w:color w:val="auto"/>
        </w:rPr>
        <w:t xml:space="preserve">70% </w:t>
      </w:r>
      <w:r w:rsidR="004D37BA" w:rsidRPr="002E7581">
        <w:rPr>
          <w:rFonts w:asciiTheme="minorHAnsi" w:hAnsiTheme="minorHAnsi" w:cstheme="minorHAnsi"/>
          <w:color w:val="auto"/>
        </w:rPr>
        <w:t>ethanol and</w:t>
      </w:r>
      <w:r w:rsidRPr="002E7581">
        <w:rPr>
          <w:rFonts w:asciiTheme="minorHAnsi" w:hAnsiTheme="minorHAnsi" w:cstheme="minorHAnsi"/>
          <w:color w:val="auto"/>
        </w:rPr>
        <w:t xml:space="preserve"> transfer </w:t>
      </w:r>
      <w:r w:rsidR="0049485F" w:rsidRPr="002E7581">
        <w:rPr>
          <w:rFonts w:asciiTheme="minorHAnsi" w:hAnsiTheme="minorHAnsi" w:cstheme="minorHAnsi"/>
          <w:color w:val="auto"/>
        </w:rPr>
        <w:t>its content</w:t>
      </w:r>
      <w:r w:rsidR="001E6DC0">
        <w:rPr>
          <w:rFonts w:asciiTheme="minorHAnsi" w:hAnsiTheme="minorHAnsi" w:cstheme="minorHAnsi"/>
          <w:color w:val="auto"/>
        </w:rPr>
        <w:t>s</w:t>
      </w:r>
      <w:r w:rsidR="0049485F" w:rsidRPr="002E7581">
        <w:rPr>
          <w:rFonts w:asciiTheme="minorHAnsi" w:hAnsiTheme="minorHAnsi" w:cstheme="minorHAnsi"/>
          <w:color w:val="auto"/>
        </w:rPr>
        <w:t xml:space="preserve"> </w:t>
      </w:r>
      <w:r w:rsidRPr="002E7581">
        <w:rPr>
          <w:rFonts w:asciiTheme="minorHAnsi" w:hAnsiTheme="minorHAnsi" w:cstheme="minorHAnsi"/>
          <w:color w:val="auto"/>
        </w:rPr>
        <w:t>to</w:t>
      </w:r>
      <w:r w:rsidR="0049485F" w:rsidRPr="002E7581">
        <w:rPr>
          <w:rFonts w:asciiTheme="minorHAnsi" w:hAnsiTheme="minorHAnsi" w:cstheme="minorHAnsi"/>
          <w:color w:val="auto"/>
        </w:rPr>
        <w:t xml:space="preserve"> a</w:t>
      </w:r>
      <w:r w:rsidRPr="002E7581">
        <w:rPr>
          <w:rFonts w:asciiTheme="minorHAnsi" w:hAnsiTheme="minorHAnsi" w:cstheme="minorHAnsi"/>
          <w:color w:val="auto"/>
        </w:rPr>
        <w:t xml:space="preserve"> 50</w:t>
      </w:r>
      <w:r w:rsidR="001B343E" w:rsidRPr="002E7581">
        <w:rPr>
          <w:rFonts w:asciiTheme="minorHAnsi" w:hAnsiTheme="minorHAnsi" w:cstheme="minorHAnsi"/>
          <w:color w:val="auto"/>
        </w:rPr>
        <w:t xml:space="preserve"> </w:t>
      </w:r>
      <w:r w:rsidRPr="002E7581">
        <w:rPr>
          <w:rFonts w:asciiTheme="minorHAnsi" w:hAnsiTheme="minorHAnsi" w:cstheme="minorHAnsi"/>
          <w:color w:val="auto"/>
        </w:rPr>
        <w:t xml:space="preserve">mL conical tube. Rinse </w:t>
      </w:r>
      <w:r w:rsidR="001E6DC0">
        <w:rPr>
          <w:rFonts w:asciiTheme="minorHAnsi" w:hAnsiTheme="minorHAnsi" w:cstheme="minorHAnsi"/>
          <w:color w:val="auto"/>
        </w:rPr>
        <w:t xml:space="preserve">the </w:t>
      </w:r>
      <w:r w:rsidRPr="002E7581">
        <w:rPr>
          <w:rFonts w:asciiTheme="minorHAnsi" w:hAnsiTheme="minorHAnsi" w:cstheme="minorHAnsi"/>
          <w:color w:val="auto"/>
        </w:rPr>
        <w:t>vial with</w:t>
      </w:r>
      <w:r w:rsidR="001B343E" w:rsidRPr="002E7581">
        <w:rPr>
          <w:rFonts w:asciiTheme="minorHAnsi" w:hAnsiTheme="minorHAnsi" w:cstheme="minorHAnsi"/>
          <w:color w:val="auto"/>
        </w:rPr>
        <w:t xml:space="preserve"> 1 mL</w:t>
      </w:r>
      <w:r w:rsidR="001E6DC0">
        <w:rPr>
          <w:rFonts w:asciiTheme="minorHAnsi" w:hAnsiTheme="minorHAnsi" w:cstheme="minorHAnsi"/>
          <w:color w:val="auto"/>
        </w:rPr>
        <w:t xml:space="preserve"> of</w:t>
      </w:r>
      <w:r w:rsidRPr="002E7581">
        <w:rPr>
          <w:rFonts w:asciiTheme="minorHAnsi" w:hAnsiTheme="minorHAnsi" w:cstheme="minorHAnsi"/>
          <w:color w:val="auto"/>
        </w:rPr>
        <w:t xml:space="preserve"> pre-warmed IMDM + 10% FBS </w:t>
      </w:r>
      <w:r w:rsidR="002850BA" w:rsidRPr="002E7581">
        <w:rPr>
          <w:rFonts w:asciiTheme="minorHAnsi" w:hAnsiTheme="minorHAnsi" w:cstheme="minorHAnsi"/>
          <w:color w:val="auto"/>
        </w:rPr>
        <w:t xml:space="preserve">to collect </w:t>
      </w:r>
      <w:r w:rsidR="001E6DC0">
        <w:rPr>
          <w:rFonts w:asciiTheme="minorHAnsi" w:hAnsiTheme="minorHAnsi" w:cstheme="minorHAnsi"/>
          <w:color w:val="auto"/>
        </w:rPr>
        <w:t xml:space="preserve">the </w:t>
      </w:r>
      <w:r w:rsidR="002850BA" w:rsidRPr="002E7581">
        <w:rPr>
          <w:rFonts w:asciiTheme="minorHAnsi" w:hAnsiTheme="minorHAnsi" w:cstheme="minorHAnsi"/>
          <w:color w:val="auto"/>
        </w:rPr>
        <w:t xml:space="preserve">remaining </w:t>
      </w:r>
      <w:proofErr w:type="gramStart"/>
      <w:r w:rsidR="002850BA" w:rsidRPr="002E7581">
        <w:rPr>
          <w:rFonts w:asciiTheme="minorHAnsi" w:hAnsiTheme="minorHAnsi" w:cstheme="minorHAnsi"/>
          <w:color w:val="auto"/>
        </w:rPr>
        <w:t>cells</w:t>
      </w:r>
      <w:r w:rsidR="001E6DC0">
        <w:rPr>
          <w:rFonts w:asciiTheme="minorHAnsi" w:hAnsiTheme="minorHAnsi" w:cstheme="minorHAnsi"/>
          <w:color w:val="auto"/>
        </w:rPr>
        <w:t>,</w:t>
      </w:r>
      <w:r w:rsidR="002850BA" w:rsidRPr="002E7581">
        <w:rPr>
          <w:rFonts w:asciiTheme="minorHAnsi" w:hAnsiTheme="minorHAnsi" w:cstheme="minorHAnsi"/>
          <w:color w:val="auto"/>
        </w:rPr>
        <w:t xml:space="preserve"> </w:t>
      </w:r>
      <w:r w:rsidRPr="002E7581">
        <w:rPr>
          <w:rFonts w:asciiTheme="minorHAnsi" w:hAnsiTheme="minorHAnsi" w:cstheme="minorHAnsi"/>
          <w:color w:val="auto"/>
        </w:rPr>
        <w:t>and</w:t>
      </w:r>
      <w:proofErr w:type="gramEnd"/>
      <w:r w:rsidRPr="002E7581">
        <w:rPr>
          <w:rFonts w:asciiTheme="minorHAnsi" w:hAnsiTheme="minorHAnsi" w:cstheme="minorHAnsi"/>
          <w:color w:val="auto"/>
        </w:rPr>
        <w:t xml:space="preserve"> add this solution </w:t>
      </w:r>
      <w:r w:rsidR="002850BA" w:rsidRPr="002E7581">
        <w:rPr>
          <w:rFonts w:asciiTheme="minorHAnsi" w:hAnsiTheme="minorHAnsi" w:cstheme="minorHAnsi"/>
          <w:color w:val="auto"/>
        </w:rPr>
        <w:t>dropwise (</w:t>
      </w:r>
      <w:r w:rsidRPr="002E7581">
        <w:rPr>
          <w:rFonts w:asciiTheme="minorHAnsi" w:hAnsiTheme="minorHAnsi" w:cstheme="minorHAnsi"/>
          <w:color w:val="auto"/>
        </w:rPr>
        <w:t xml:space="preserve">5 s per drop) to the </w:t>
      </w:r>
      <w:r w:rsidR="00177D14" w:rsidRPr="002E7581">
        <w:rPr>
          <w:rFonts w:asciiTheme="minorHAnsi" w:hAnsiTheme="minorHAnsi" w:cstheme="minorHAnsi"/>
          <w:color w:val="auto"/>
        </w:rPr>
        <w:t>thawed sample</w:t>
      </w:r>
      <w:r w:rsidR="00D521D6" w:rsidRPr="002E7581">
        <w:rPr>
          <w:rFonts w:asciiTheme="minorHAnsi" w:hAnsiTheme="minorHAnsi" w:cstheme="minorHAnsi"/>
          <w:color w:val="auto"/>
        </w:rPr>
        <w:t xml:space="preserve"> while </w:t>
      </w:r>
      <w:r w:rsidR="001B343E" w:rsidRPr="002E7581">
        <w:rPr>
          <w:rFonts w:asciiTheme="minorHAnsi" w:hAnsiTheme="minorHAnsi" w:cstheme="minorHAnsi"/>
          <w:color w:val="auto"/>
        </w:rPr>
        <w:t>gently swirling the tube</w:t>
      </w:r>
      <w:r w:rsidR="00D521D6" w:rsidRPr="002E7581">
        <w:rPr>
          <w:rFonts w:asciiTheme="minorHAnsi" w:hAnsiTheme="minorHAnsi" w:cstheme="minorHAnsi"/>
          <w:color w:val="auto"/>
        </w:rPr>
        <w:t>.</w:t>
      </w:r>
    </w:p>
    <w:p w14:paraId="1285B3DB" w14:textId="77777777" w:rsidR="002E7581" w:rsidRPr="002E7581" w:rsidRDefault="002E7581" w:rsidP="00C16832">
      <w:pPr>
        <w:pStyle w:val="ListParagraph"/>
        <w:spacing w:line="0" w:lineRule="atLeast"/>
        <w:rPr>
          <w:rFonts w:asciiTheme="minorHAnsi" w:hAnsiTheme="minorHAnsi" w:cstheme="minorHAnsi"/>
          <w:color w:val="auto"/>
        </w:rPr>
      </w:pPr>
    </w:p>
    <w:p w14:paraId="0044BF1A" w14:textId="7AD4739A" w:rsidR="002E7581" w:rsidRPr="002E7581" w:rsidRDefault="00177D14" w:rsidP="00C16832">
      <w:pPr>
        <w:pStyle w:val="ListParagraph"/>
        <w:widowControl/>
        <w:numPr>
          <w:ilvl w:val="2"/>
          <w:numId w:val="10"/>
        </w:numPr>
        <w:spacing w:line="0" w:lineRule="atLeast"/>
        <w:rPr>
          <w:color w:val="auto"/>
        </w:rPr>
      </w:pPr>
      <w:r w:rsidRPr="002E7581">
        <w:rPr>
          <w:rFonts w:asciiTheme="minorHAnsi" w:hAnsiTheme="minorHAnsi" w:cstheme="minorHAnsi"/>
          <w:color w:val="auto"/>
        </w:rPr>
        <w:t xml:space="preserve">Add </w:t>
      </w:r>
      <w:r w:rsidR="001E6DC0">
        <w:rPr>
          <w:rFonts w:asciiTheme="minorHAnsi" w:hAnsiTheme="minorHAnsi" w:cstheme="minorHAnsi"/>
          <w:color w:val="auto"/>
        </w:rPr>
        <w:t xml:space="preserve">an </w:t>
      </w:r>
      <w:r w:rsidRPr="002E7581">
        <w:rPr>
          <w:rFonts w:asciiTheme="minorHAnsi" w:hAnsiTheme="minorHAnsi" w:cstheme="minorHAnsi"/>
          <w:color w:val="auto"/>
        </w:rPr>
        <w:t>additional pre-warmed 15</w:t>
      </w:r>
      <w:r w:rsidR="00A45CD5" w:rsidRPr="002E7581">
        <w:rPr>
          <w:rFonts w:asciiTheme="minorHAnsi" w:hAnsiTheme="minorHAnsi" w:cstheme="minorHAnsi"/>
          <w:color w:val="auto"/>
        </w:rPr>
        <w:t xml:space="preserve"> </w:t>
      </w:r>
      <w:r w:rsidRPr="002E7581">
        <w:rPr>
          <w:rFonts w:asciiTheme="minorHAnsi" w:hAnsiTheme="minorHAnsi" w:cstheme="minorHAnsi"/>
          <w:color w:val="auto"/>
        </w:rPr>
        <w:t>mL</w:t>
      </w:r>
      <w:r w:rsidR="001E6DC0">
        <w:rPr>
          <w:rFonts w:asciiTheme="minorHAnsi" w:hAnsiTheme="minorHAnsi" w:cstheme="minorHAnsi"/>
          <w:color w:val="auto"/>
        </w:rPr>
        <w:t xml:space="preserve"> of</w:t>
      </w:r>
      <w:r w:rsidRPr="002E7581">
        <w:rPr>
          <w:rFonts w:asciiTheme="minorHAnsi" w:hAnsiTheme="minorHAnsi" w:cstheme="minorHAnsi"/>
          <w:color w:val="auto"/>
        </w:rPr>
        <w:t xml:space="preserve"> IMDM + 10%</w:t>
      </w:r>
      <w:r w:rsidR="001B343E" w:rsidRPr="002E7581">
        <w:rPr>
          <w:rFonts w:asciiTheme="minorHAnsi" w:hAnsiTheme="minorHAnsi" w:cstheme="minorHAnsi"/>
          <w:color w:val="auto"/>
        </w:rPr>
        <w:t xml:space="preserve"> FBS</w:t>
      </w:r>
      <w:r w:rsidRPr="002E7581">
        <w:rPr>
          <w:rFonts w:asciiTheme="minorHAnsi" w:hAnsiTheme="minorHAnsi" w:cstheme="minorHAnsi"/>
          <w:color w:val="auto"/>
        </w:rPr>
        <w:t xml:space="preserve"> </w:t>
      </w:r>
      <w:r w:rsidR="002850BA" w:rsidRPr="002E7581">
        <w:rPr>
          <w:rFonts w:asciiTheme="minorHAnsi" w:hAnsiTheme="minorHAnsi" w:cstheme="minorHAnsi"/>
          <w:color w:val="auto"/>
        </w:rPr>
        <w:t>dropwise</w:t>
      </w:r>
      <w:r w:rsidRPr="002E7581">
        <w:rPr>
          <w:rFonts w:asciiTheme="minorHAnsi" w:hAnsiTheme="minorHAnsi" w:cstheme="minorHAnsi"/>
          <w:color w:val="auto"/>
        </w:rPr>
        <w:t xml:space="preserve"> to the </w:t>
      </w:r>
      <w:r w:rsidR="00C32380" w:rsidRPr="002E7581">
        <w:rPr>
          <w:rFonts w:asciiTheme="minorHAnsi" w:hAnsiTheme="minorHAnsi" w:cstheme="minorHAnsi"/>
          <w:color w:val="auto"/>
        </w:rPr>
        <w:t xml:space="preserve">sample </w:t>
      </w:r>
      <w:r w:rsidRPr="002E7581">
        <w:rPr>
          <w:rFonts w:asciiTheme="minorHAnsi" w:hAnsiTheme="minorHAnsi" w:cstheme="minorHAnsi"/>
          <w:color w:val="auto"/>
        </w:rPr>
        <w:t xml:space="preserve">while </w:t>
      </w:r>
      <w:r w:rsidR="00C32380" w:rsidRPr="002E7581">
        <w:rPr>
          <w:rFonts w:asciiTheme="minorHAnsi" w:hAnsiTheme="minorHAnsi" w:cstheme="minorHAnsi"/>
          <w:color w:val="auto"/>
        </w:rPr>
        <w:t xml:space="preserve">gently </w:t>
      </w:r>
      <w:r w:rsidR="001B343E" w:rsidRPr="002E7581">
        <w:rPr>
          <w:rFonts w:asciiTheme="minorHAnsi" w:hAnsiTheme="minorHAnsi" w:cstheme="minorHAnsi"/>
          <w:color w:val="auto"/>
        </w:rPr>
        <w:t xml:space="preserve">swirling </w:t>
      </w:r>
      <w:r w:rsidRPr="002E7581">
        <w:rPr>
          <w:rFonts w:asciiTheme="minorHAnsi" w:hAnsiTheme="minorHAnsi" w:cstheme="minorHAnsi"/>
          <w:color w:val="auto"/>
        </w:rPr>
        <w:t xml:space="preserve">the tube. </w:t>
      </w:r>
    </w:p>
    <w:p w14:paraId="6863F5C6" w14:textId="77777777" w:rsidR="002E7581" w:rsidRPr="002E7581" w:rsidRDefault="002E7581" w:rsidP="00C16832">
      <w:pPr>
        <w:pStyle w:val="ListParagraph"/>
        <w:spacing w:line="0" w:lineRule="atLeast"/>
        <w:rPr>
          <w:color w:val="auto"/>
        </w:rPr>
      </w:pPr>
    </w:p>
    <w:p w14:paraId="45C61CE5" w14:textId="378755C1" w:rsidR="002E7581" w:rsidRDefault="00C32380" w:rsidP="00C16832">
      <w:pPr>
        <w:pStyle w:val="ListParagraph"/>
        <w:widowControl/>
        <w:numPr>
          <w:ilvl w:val="2"/>
          <w:numId w:val="10"/>
        </w:numPr>
        <w:spacing w:line="0" w:lineRule="atLeast"/>
        <w:rPr>
          <w:color w:val="auto"/>
        </w:rPr>
      </w:pPr>
      <w:r w:rsidRPr="002E7581">
        <w:rPr>
          <w:color w:val="auto"/>
        </w:rPr>
        <w:t>Pellet</w:t>
      </w:r>
      <w:r w:rsidR="005D3671" w:rsidRPr="002E7581">
        <w:rPr>
          <w:color w:val="auto"/>
        </w:rPr>
        <w:t xml:space="preserve"> the</w:t>
      </w:r>
      <w:r w:rsidRPr="002E7581">
        <w:rPr>
          <w:color w:val="auto"/>
        </w:rPr>
        <w:t xml:space="preserve"> cells by centrifugation for 5 min at </w:t>
      </w:r>
      <w:r w:rsidR="00177D14" w:rsidRPr="002E7581">
        <w:rPr>
          <w:color w:val="auto"/>
        </w:rPr>
        <w:t>350</w:t>
      </w:r>
      <w:r w:rsidRPr="002E7581">
        <w:rPr>
          <w:color w:val="auto"/>
        </w:rPr>
        <w:t xml:space="preserve"> x</w:t>
      </w:r>
      <w:r w:rsidR="00A45CD5" w:rsidRPr="002E7581">
        <w:rPr>
          <w:color w:val="auto"/>
        </w:rPr>
        <w:t xml:space="preserve"> </w:t>
      </w:r>
      <w:r w:rsidR="00177D14" w:rsidRPr="002E7581">
        <w:rPr>
          <w:i/>
          <w:color w:val="auto"/>
        </w:rPr>
        <w:t>g</w:t>
      </w:r>
      <w:r w:rsidRPr="002E7581">
        <w:rPr>
          <w:color w:val="auto"/>
        </w:rPr>
        <w:t>.</w:t>
      </w:r>
      <w:r w:rsidR="00177D14" w:rsidRPr="002E7581">
        <w:rPr>
          <w:color w:val="auto"/>
        </w:rPr>
        <w:t xml:space="preserve"> </w:t>
      </w:r>
    </w:p>
    <w:p w14:paraId="68F5783D" w14:textId="77777777" w:rsidR="002E7581" w:rsidRPr="002E7581" w:rsidRDefault="002E7581" w:rsidP="00C16832">
      <w:pPr>
        <w:pStyle w:val="ListParagraph"/>
        <w:spacing w:line="0" w:lineRule="atLeast"/>
        <w:rPr>
          <w:color w:val="auto"/>
        </w:rPr>
      </w:pPr>
    </w:p>
    <w:p w14:paraId="26019D0B" w14:textId="59290302" w:rsidR="002E7581" w:rsidRDefault="00C32380" w:rsidP="00C16832">
      <w:pPr>
        <w:pStyle w:val="ListParagraph"/>
        <w:widowControl/>
        <w:numPr>
          <w:ilvl w:val="2"/>
          <w:numId w:val="10"/>
        </w:numPr>
        <w:spacing w:line="0" w:lineRule="atLeast"/>
        <w:rPr>
          <w:color w:val="auto"/>
        </w:rPr>
      </w:pPr>
      <w:r w:rsidRPr="002E7581">
        <w:rPr>
          <w:color w:val="auto"/>
        </w:rPr>
        <w:lastRenderedPageBreak/>
        <w:t xml:space="preserve">Remove </w:t>
      </w:r>
      <w:r w:rsidR="00177D14" w:rsidRPr="002E7581">
        <w:rPr>
          <w:color w:val="auto"/>
        </w:rPr>
        <w:t xml:space="preserve">all but </w:t>
      </w:r>
      <w:r w:rsidR="000D556C" w:rsidRPr="002E7581">
        <w:rPr>
          <w:color w:val="auto"/>
        </w:rPr>
        <w:t>±3</w:t>
      </w:r>
      <w:r w:rsidR="00177D14" w:rsidRPr="002E7581">
        <w:rPr>
          <w:color w:val="auto"/>
        </w:rPr>
        <w:t xml:space="preserve"> mL</w:t>
      </w:r>
      <w:r w:rsidR="00A724D7" w:rsidRPr="002E7581">
        <w:rPr>
          <w:color w:val="auto"/>
        </w:rPr>
        <w:t xml:space="preserve"> of the </w:t>
      </w:r>
      <w:r w:rsidR="00177D14" w:rsidRPr="002E7581">
        <w:rPr>
          <w:color w:val="auto"/>
        </w:rPr>
        <w:t xml:space="preserve">supernatant. Resuspend </w:t>
      </w:r>
      <w:r w:rsidRPr="002E7581">
        <w:rPr>
          <w:color w:val="auto"/>
        </w:rPr>
        <w:t xml:space="preserve">the </w:t>
      </w:r>
      <w:r w:rsidR="00177D14" w:rsidRPr="002E7581">
        <w:rPr>
          <w:color w:val="auto"/>
        </w:rPr>
        <w:t>cells in</w:t>
      </w:r>
      <w:r w:rsidR="000D556C" w:rsidRPr="002E7581">
        <w:rPr>
          <w:color w:val="auto"/>
        </w:rPr>
        <w:t xml:space="preserve"> the remaining supernatant and dilute </w:t>
      </w:r>
      <w:r w:rsidR="003033E1" w:rsidRPr="002E7581">
        <w:rPr>
          <w:color w:val="auto"/>
        </w:rPr>
        <w:t xml:space="preserve">by adding </w:t>
      </w:r>
      <w:r w:rsidR="00177D14" w:rsidRPr="002E7581">
        <w:rPr>
          <w:color w:val="auto"/>
        </w:rPr>
        <w:t>20</w:t>
      </w:r>
      <w:r w:rsidR="001E6DC0">
        <w:rPr>
          <w:color w:val="auto"/>
        </w:rPr>
        <w:t xml:space="preserve"> </w:t>
      </w:r>
      <w:r w:rsidR="00177D14" w:rsidRPr="002E7581">
        <w:rPr>
          <w:color w:val="auto"/>
        </w:rPr>
        <w:t>mL</w:t>
      </w:r>
      <w:r w:rsidR="001E6DC0">
        <w:rPr>
          <w:color w:val="auto"/>
        </w:rPr>
        <w:t xml:space="preserve"> of</w:t>
      </w:r>
      <w:r w:rsidR="001B343E" w:rsidRPr="002E7581">
        <w:rPr>
          <w:color w:val="auto"/>
        </w:rPr>
        <w:t xml:space="preserve"> IMDM + 10% FB</w:t>
      </w:r>
      <w:r w:rsidR="009F37B4" w:rsidRPr="002E7581">
        <w:rPr>
          <w:color w:val="auto"/>
        </w:rPr>
        <w:t>S</w:t>
      </w:r>
      <w:r w:rsidR="000D556C" w:rsidRPr="002E7581">
        <w:rPr>
          <w:color w:val="auto"/>
        </w:rPr>
        <w:t xml:space="preserve"> drop</w:t>
      </w:r>
      <w:r w:rsidR="001E6DC0">
        <w:rPr>
          <w:color w:val="auto"/>
        </w:rPr>
        <w:t>-</w:t>
      </w:r>
      <w:r w:rsidR="000D556C" w:rsidRPr="002E7581">
        <w:rPr>
          <w:color w:val="auto"/>
        </w:rPr>
        <w:t>by</w:t>
      </w:r>
      <w:r w:rsidR="001E6DC0">
        <w:rPr>
          <w:color w:val="auto"/>
        </w:rPr>
        <w:t>-</w:t>
      </w:r>
      <w:r w:rsidR="000D556C" w:rsidRPr="002E7581">
        <w:rPr>
          <w:color w:val="auto"/>
        </w:rPr>
        <w:t xml:space="preserve">drop while </w:t>
      </w:r>
      <w:r w:rsidR="003033E1" w:rsidRPr="002E7581">
        <w:rPr>
          <w:color w:val="auto"/>
        </w:rPr>
        <w:t xml:space="preserve">gently </w:t>
      </w:r>
      <w:r w:rsidR="000D556C" w:rsidRPr="002E7581">
        <w:rPr>
          <w:color w:val="auto"/>
        </w:rPr>
        <w:t>shaking the tube.</w:t>
      </w:r>
    </w:p>
    <w:p w14:paraId="73A421BB" w14:textId="77777777" w:rsidR="002E7581" w:rsidRPr="002E7581" w:rsidRDefault="002E7581" w:rsidP="00C16832">
      <w:pPr>
        <w:pStyle w:val="ListParagraph"/>
        <w:spacing w:line="0" w:lineRule="atLeast"/>
        <w:rPr>
          <w:color w:val="auto"/>
        </w:rPr>
      </w:pPr>
    </w:p>
    <w:p w14:paraId="68423D72" w14:textId="672B9E87" w:rsidR="002E7581" w:rsidRDefault="00177D14" w:rsidP="00C16832">
      <w:pPr>
        <w:pStyle w:val="ListParagraph"/>
        <w:widowControl/>
        <w:numPr>
          <w:ilvl w:val="2"/>
          <w:numId w:val="10"/>
        </w:numPr>
        <w:spacing w:line="0" w:lineRule="atLeast"/>
        <w:rPr>
          <w:color w:val="auto"/>
        </w:rPr>
      </w:pPr>
      <w:r w:rsidRPr="002E7581">
        <w:rPr>
          <w:color w:val="auto"/>
        </w:rPr>
        <w:t>Take 10</w:t>
      </w:r>
      <w:r w:rsidR="00742143" w:rsidRPr="002E7581">
        <w:rPr>
          <w:color w:val="auto"/>
        </w:rPr>
        <w:t xml:space="preserve"> μ</w:t>
      </w:r>
      <w:r w:rsidRPr="002E7581">
        <w:rPr>
          <w:color w:val="auto"/>
        </w:rPr>
        <w:t>L</w:t>
      </w:r>
      <w:r w:rsidR="003033E1" w:rsidRPr="002E7581">
        <w:rPr>
          <w:color w:val="auto"/>
        </w:rPr>
        <w:t xml:space="preserve"> of the </w:t>
      </w:r>
      <w:r w:rsidR="005D3671" w:rsidRPr="002E7581">
        <w:rPr>
          <w:color w:val="auto"/>
        </w:rPr>
        <w:t xml:space="preserve">cell </w:t>
      </w:r>
      <w:r w:rsidR="003033E1" w:rsidRPr="002E7581">
        <w:rPr>
          <w:color w:val="auto"/>
        </w:rPr>
        <w:t>suspension</w:t>
      </w:r>
      <w:r w:rsidRPr="002E7581">
        <w:rPr>
          <w:color w:val="auto"/>
        </w:rPr>
        <w:t xml:space="preserve"> for cell counting</w:t>
      </w:r>
      <w:r w:rsidR="004F33F0" w:rsidRPr="002E7581">
        <w:rPr>
          <w:color w:val="auto"/>
        </w:rPr>
        <w:t>. D</w:t>
      </w:r>
      <w:r w:rsidR="000D556C" w:rsidRPr="002E7581">
        <w:rPr>
          <w:color w:val="auto"/>
        </w:rPr>
        <w:t>ilute</w:t>
      </w:r>
      <w:r w:rsidR="004F33F0" w:rsidRPr="002E7581">
        <w:rPr>
          <w:color w:val="auto"/>
        </w:rPr>
        <w:t xml:space="preserve"> these 10 μL by adding 20 μL</w:t>
      </w:r>
      <w:r w:rsidR="001E6DC0">
        <w:rPr>
          <w:color w:val="auto"/>
        </w:rPr>
        <w:t xml:space="preserve"> of</w:t>
      </w:r>
      <w:r w:rsidR="004F33F0" w:rsidRPr="002E7581">
        <w:rPr>
          <w:color w:val="auto"/>
        </w:rPr>
        <w:t xml:space="preserve"> </w:t>
      </w:r>
      <w:r w:rsidR="009F37B4" w:rsidRPr="002E7581">
        <w:rPr>
          <w:color w:val="auto"/>
        </w:rPr>
        <w:t xml:space="preserve">0.4% </w:t>
      </w:r>
      <w:r w:rsidR="000D556C" w:rsidRPr="002E7581">
        <w:rPr>
          <w:color w:val="auto"/>
        </w:rPr>
        <w:t xml:space="preserve">trypan blue </w:t>
      </w:r>
      <w:r w:rsidR="009F37B4" w:rsidRPr="002E7581">
        <w:rPr>
          <w:color w:val="auto"/>
        </w:rPr>
        <w:t xml:space="preserve">solution </w:t>
      </w:r>
      <w:r w:rsidR="000D556C" w:rsidRPr="002E7581">
        <w:rPr>
          <w:color w:val="auto"/>
        </w:rPr>
        <w:t>and count</w:t>
      </w:r>
      <w:r w:rsidR="009F37B4" w:rsidRPr="002E7581">
        <w:rPr>
          <w:color w:val="auto"/>
        </w:rPr>
        <w:t xml:space="preserve"> the </w:t>
      </w:r>
      <w:r w:rsidR="004F33F0" w:rsidRPr="002E7581">
        <w:rPr>
          <w:color w:val="auto"/>
        </w:rPr>
        <w:t>cells</w:t>
      </w:r>
      <w:r w:rsidR="000D556C" w:rsidRPr="002E7581">
        <w:rPr>
          <w:color w:val="auto"/>
        </w:rPr>
        <w:t xml:space="preserve"> using </w:t>
      </w:r>
      <w:r w:rsidR="009F37B4" w:rsidRPr="002E7581">
        <w:rPr>
          <w:color w:val="auto"/>
        </w:rPr>
        <w:t>a h</w:t>
      </w:r>
      <w:r w:rsidR="002850BA" w:rsidRPr="002E7581">
        <w:rPr>
          <w:color w:val="auto"/>
        </w:rPr>
        <w:t>emo</w:t>
      </w:r>
      <w:r w:rsidR="000D556C" w:rsidRPr="002E7581">
        <w:rPr>
          <w:color w:val="auto"/>
        </w:rPr>
        <w:t>cytometer</w:t>
      </w:r>
      <w:r w:rsidR="002850BA" w:rsidRPr="002E7581">
        <w:rPr>
          <w:color w:val="auto"/>
        </w:rPr>
        <w:t xml:space="preserve">. </w:t>
      </w:r>
      <w:r w:rsidR="00A360B0">
        <w:rPr>
          <w:color w:val="auto"/>
        </w:rPr>
        <w:t xml:space="preserve">The cell number can decrease upon thawing, with up to 50% cell loss after thawing. Cell viability </w:t>
      </w:r>
      <w:r w:rsidR="002D784F">
        <w:rPr>
          <w:color w:val="auto"/>
        </w:rPr>
        <w:t xml:space="preserve">should range </w:t>
      </w:r>
      <w:r w:rsidR="00A360B0">
        <w:rPr>
          <w:color w:val="auto"/>
        </w:rPr>
        <w:t>between 70</w:t>
      </w:r>
      <w:r w:rsidR="001E6DC0">
        <w:rPr>
          <w:color w:val="auto"/>
        </w:rPr>
        <w:t xml:space="preserve">% and </w:t>
      </w:r>
      <w:r w:rsidR="00A360B0">
        <w:rPr>
          <w:color w:val="auto"/>
        </w:rPr>
        <w:t xml:space="preserve">90%. </w:t>
      </w:r>
    </w:p>
    <w:p w14:paraId="434A62D7" w14:textId="77777777" w:rsidR="002E7581" w:rsidRPr="002E7581" w:rsidRDefault="002E7581" w:rsidP="00C16832">
      <w:pPr>
        <w:pStyle w:val="ListParagraph"/>
        <w:spacing w:line="0" w:lineRule="atLeast"/>
        <w:rPr>
          <w:color w:val="auto"/>
        </w:rPr>
      </w:pPr>
    </w:p>
    <w:p w14:paraId="4E679BCC" w14:textId="6A4F9070" w:rsidR="005D4AF3" w:rsidRDefault="00BC10A5" w:rsidP="00C16832">
      <w:pPr>
        <w:pStyle w:val="ListParagraph"/>
        <w:widowControl/>
        <w:numPr>
          <w:ilvl w:val="1"/>
          <w:numId w:val="10"/>
        </w:numPr>
        <w:spacing w:line="0" w:lineRule="atLeast"/>
        <w:rPr>
          <w:color w:val="auto"/>
        </w:rPr>
      </w:pPr>
      <w:r w:rsidRPr="005D4AF3">
        <w:rPr>
          <w:color w:val="auto"/>
        </w:rPr>
        <w:t>If working with bone marrow or umbilical cord blood cells, take up 5</w:t>
      </w:r>
      <w:r w:rsidR="001E6DC0">
        <w:rPr>
          <w:color w:val="auto"/>
        </w:rPr>
        <w:t xml:space="preserve"> x </w:t>
      </w:r>
      <w:r w:rsidRPr="005D4AF3">
        <w:rPr>
          <w:color w:val="auto"/>
        </w:rPr>
        <w:t>10</w:t>
      </w:r>
      <w:r w:rsidRPr="005D4AF3">
        <w:rPr>
          <w:color w:val="auto"/>
          <w:vertAlign w:val="superscript"/>
        </w:rPr>
        <w:t xml:space="preserve">6 </w:t>
      </w:r>
      <w:r w:rsidR="005D4AF3" w:rsidRPr="005D4AF3">
        <w:rPr>
          <w:color w:val="auto"/>
        </w:rPr>
        <w:t xml:space="preserve">mononuclear </w:t>
      </w:r>
      <w:r w:rsidRPr="005D4AF3">
        <w:rPr>
          <w:color w:val="auto"/>
        </w:rPr>
        <w:t>cells for MSC culture (</w:t>
      </w:r>
      <w:r w:rsidR="001E6DC0">
        <w:rPr>
          <w:color w:val="auto"/>
        </w:rPr>
        <w:t>s</w:t>
      </w:r>
      <w:r w:rsidRPr="005D4AF3">
        <w:rPr>
          <w:color w:val="auto"/>
        </w:rPr>
        <w:t xml:space="preserve">tep 2.1). If working with </w:t>
      </w:r>
      <w:r w:rsidR="005D4AF3" w:rsidRPr="005D4AF3">
        <w:rPr>
          <w:color w:val="auto"/>
        </w:rPr>
        <w:t>peripheral blood, take up 2</w:t>
      </w:r>
      <w:r w:rsidR="001E6DC0">
        <w:rPr>
          <w:color w:val="auto"/>
        </w:rPr>
        <w:t>–</w:t>
      </w:r>
      <w:r w:rsidR="005D4AF3" w:rsidRPr="005D4AF3">
        <w:rPr>
          <w:color w:val="auto"/>
        </w:rPr>
        <w:t>5</w:t>
      </w:r>
      <w:r w:rsidR="001E6DC0">
        <w:rPr>
          <w:color w:val="auto"/>
        </w:rPr>
        <w:t xml:space="preserve"> x </w:t>
      </w:r>
      <w:r w:rsidR="005D4AF3" w:rsidRPr="005D4AF3">
        <w:rPr>
          <w:color w:val="auto"/>
        </w:rPr>
        <w:t>10</w:t>
      </w:r>
      <w:r w:rsidR="005D4AF3" w:rsidRPr="005D4AF3">
        <w:rPr>
          <w:color w:val="auto"/>
          <w:vertAlign w:val="superscript"/>
        </w:rPr>
        <w:t>6</w:t>
      </w:r>
      <w:r w:rsidR="005D4AF3" w:rsidRPr="005D4AF3">
        <w:rPr>
          <w:color w:val="auto"/>
        </w:rPr>
        <w:t xml:space="preserve"> cells for T-cell isolation (</w:t>
      </w:r>
      <w:r w:rsidR="001E6DC0">
        <w:rPr>
          <w:color w:val="auto"/>
        </w:rPr>
        <w:t>s</w:t>
      </w:r>
      <w:r w:rsidR="005D4AF3" w:rsidRPr="005D4AF3">
        <w:rPr>
          <w:color w:val="auto"/>
        </w:rPr>
        <w:t>tep 2.</w:t>
      </w:r>
      <w:r w:rsidR="00C239C8">
        <w:rPr>
          <w:color w:val="auto"/>
        </w:rPr>
        <w:t>2</w:t>
      </w:r>
      <w:r w:rsidR="005D4AF3" w:rsidRPr="005D4AF3">
        <w:rPr>
          <w:color w:val="auto"/>
        </w:rPr>
        <w:t>)</w:t>
      </w:r>
    </w:p>
    <w:p w14:paraId="4449004D" w14:textId="77777777" w:rsidR="005D4AF3" w:rsidRPr="00F7351E" w:rsidRDefault="005D4AF3" w:rsidP="00C16832">
      <w:pPr>
        <w:pStyle w:val="ListParagraph"/>
        <w:widowControl/>
        <w:spacing w:line="0" w:lineRule="atLeast"/>
        <w:ind w:left="360"/>
        <w:rPr>
          <w:color w:val="auto"/>
        </w:rPr>
      </w:pPr>
    </w:p>
    <w:p w14:paraId="2377CB24" w14:textId="096503C4" w:rsidR="002E7581" w:rsidRPr="00F7351E" w:rsidRDefault="00FF24A7" w:rsidP="00C16832">
      <w:pPr>
        <w:pStyle w:val="ListParagraph"/>
        <w:widowControl/>
        <w:numPr>
          <w:ilvl w:val="1"/>
          <w:numId w:val="10"/>
        </w:numPr>
        <w:spacing w:line="0" w:lineRule="atLeast"/>
        <w:rPr>
          <w:color w:val="auto"/>
        </w:rPr>
      </w:pPr>
      <w:r>
        <w:rPr>
          <w:color w:val="auto"/>
        </w:rPr>
        <w:t xml:space="preserve">Pellet remaining cells </w:t>
      </w:r>
      <w:r w:rsidR="004F33F0" w:rsidRPr="00F7351E">
        <w:rPr>
          <w:color w:val="auto"/>
        </w:rPr>
        <w:t xml:space="preserve">5 min at </w:t>
      </w:r>
      <w:r w:rsidR="00177D14" w:rsidRPr="00F7351E">
        <w:rPr>
          <w:color w:val="auto"/>
        </w:rPr>
        <w:t>350</w:t>
      </w:r>
      <w:r w:rsidR="00A45CD5" w:rsidRPr="00F7351E">
        <w:rPr>
          <w:color w:val="auto"/>
        </w:rPr>
        <w:t xml:space="preserve"> </w:t>
      </w:r>
      <w:r w:rsidR="004F33F0" w:rsidRPr="00F7351E">
        <w:rPr>
          <w:color w:val="auto"/>
        </w:rPr>
        <w:t xml:space="preserve">x </w:t>
      </w:r>
      <w:r w:rsidR="00177D14" w:rsidRPr="00F7351E">
        <w:rPr>
          <w:i/>
          <w:color w:val="auto"/>
        </w:rPr>
        <w:t>g</w:t>
      </w:r>
      <w:r w:rsidR="00177D14" w:rsidRPr="00F7351E">
        <w:rPr>
          <w:color w:val="auto"/>
        </w:rPr>
        <w:t xml:space="preserve"> </w:t>
      </w:r>
      <w:r w:rsidR="003313A5" w:rsidRPr="00F7351E">
        <w:rPr>
          <w:color w:val="auto"/>
        </w:rPr>
        <w:t>and resuspend in 3 mL</w:t>
      </w:r>
      <w:r w:rsidR="001E6DC0">
        <w:rPr>
          <w:color w:val="auto"/>
        </w:rPr>
        <w:t xml:space="preserve"> of</w:t>
      </w:r>
      <w:r w:rsidR="003313A5" w:rsidRPr="00F7351E">
        <w:rPr>
          <w:color w:val="auto"/>
        </w:rPr>
        <w:t xml:space="preserve"> FACS buffer</w:t>
      </w:r>
      <w:r w:rsidR="0049485F" w:rsidRPr="00F7351E">
        <w:rPr>
          <w:color w:val="auto"/>
        </w:rPr>
        <w:t xml:space="preserve"> (0.05% BSA + 1 mM EDTA in PBS).</w:t>
      </w:r>
    </w:p>
    <w:p w14:paraId="6E84C596" w14:textId="77777777" w:rsidR="002E7581" w:rsidRPr="002E7581" w:rsidRDefault="002E7581" w:rsidP="00C16832">
      <w:pPr>
        <w:pStyle w:val="ListParagraph"/>
        <w:spacing w:line="0" w:lineRule="atLeast"/>
        <w:rPr>
          <w:color w:val="auto"/>
        </w:rPr>
      </w:pPr>
    </w:p>
    <w:p w14:paraId="0EBD707A" w14:textId="034E18F9" w:rsidR="002E7581" w:rsidRDefault="000D7764" w:rsidP="00C16832">
      <w:pPr>
        <w:pStyle w:val="ListParagraph"/>
        <w:widowControl/>
        <w:numPr>
          <w:ilvl w:val="1"/>
          <w:numId w:val="10"/>
        </w:numPr>
        <w:spacing w:line="0" w:lineRule="atLeast"/>
        <w:rPr>
          <w:color w:val="auto"/>
        </w:rPr>
      </w:pPr>
      <w:r w:rsidRPr="002E7581">
        <w:rPr>
          <w:color w:val="auto"/>
        </w:rPr>
        <w:t>T</w:t>
      </w:r>
      <w:r w:rsidR="004F33F0" w:rsidRPr="002E7581">
        <w:rPr>
          <w:color w:val="auto"/>
        </w:rPr>
        <w:t>ransfer</w:t>
      </w:r>
      <w:r w:rsidRPr="002E7581">
        <w:rPr>
          <w:color w:val="auto"/>
        </w:rPr>
        <w:t xml:space="preserve"> </w:t>
      </w:r>
      <w:r w:rsidR="00143DDA">
        <w:rPr>
          <w:color w:val="auto"/>
        </w:rPr>
        <w:t>1</w:t>
      </w:r>
      <w:r w:rsidR="001E6DC0">
        <w:rPr>
          <w:color w:val="auto"/>
        </w:rPr>
        <w:t xml:space="preserve"> x </w:t>
      </w:r>
      <w:r w:rsidR="00143DDA">
        <w:rPr>
          <w:color w:val="auto"/>
        </w:rPr>
        <w:t>10</w:t>
      </w:r>
      <w:r w:rsidR="00143DDA">
        <w:rPr>
          <w:color w:val="auto"/>
          <w:vertAlign w:val="superscript"/>
        </w:rPr>
        <w:t>5</w:t>
      </w:r>
      <w:r w:rsidR="00143DDA">
        <w:rPr>
          <w:color w:val="auto"/>
        </w:rPr>
        <w:t xml:space="preserve"> cells</w:t>
      </w:r>
      <w:r w:rsidR="004F33F0" w:rsidRPr="002E7581">
        <w:rPr>
          <w:color w:val="auto"/>
        </w:rPr>
        <w:t xml:space="preserve"> to a</w:t>
      </w:r>
      <w:r w:rsidRPr="002E7581">
        <w:rPr>
          <w:color w:val="auto"/>
        </w:rPr>
        <w:t xml:space="preserve"> microtube filled with 200 μL </w:t>
      </w:r>
      <w:r w:rsidR="00F41CD4">
        <w:rPr>
          <w:color w:val="auto"/>
        </w:rPr>
        <w:t xml:space="preserve">of </w:t>
      </w:r>
      <w:r w:rsidRPr="002E7581">
        <w:rPr>
          <w:color w:val="auto"/>
        </w:rPr>
        <w:t>FACS buffer</w:t>
      </w:r>
      <w:r w:rsidR="004F33F0" w:rsidRPr="002E7581">
        <w:rPr>
          <w:color w:val="auto"/>
        </w:rPr>
        <w:t>, which will serve</w:t>
      </w:r>
      <w:r w:rsidRPr="002E7581">
        <w:rPr>
          <w:color w:val="auto"/>
        </w:rPr>
        <w:t xml:space="preserve"> as </w:t>
      </w:r>
      <w:r w:rsidR="004F33F0" w:rsidRPr="002E7581">
        <w:rPr>
          <w:color w:val="auto"/>
        </w:rPr>
        <w:t xml:space="preserve">a </w:t>
      </w:r>
      <w:r w:rsidRPr="002E7581">
        <w:rPr>
          <w:color w:val="auto"/>
        </w:rPr>
        <w:t>negative control</w:t>
      </w:r>
      <w:r w:rsidR="004F33F0" w:rsidRPr="002E7581">
        <w:rPr>
          <w:color w:val="auto"/>
        </w:rPr>
        <w:t xml:space="preserve"> for flow cytometry</w:t>
      </w:r>
      <w:r w:rsidR="0032164D" w:rsidRPr="002E7581">
        <w:rPr>
          <w:color w:val="auto"/>
        </w:rPr>
        <w:t xml:space="preserve"> (step 3.</w:t>
      </w:r>
      <w:r w:rsidR="00E54358" w:rsidRPr="002E7581">
        <w:rPr>
          <w:color w:val="auto"/>
        </w:rPr>
        <w:t>8</w:t>
      </w:r>
      <w:proofErr w:type="gramStart"/>
      <w:r w:rsidR="0032164D" w:rsidRPr="002E7581">
        <w:rPr>
          <w:color w:val="auto"/>
        </w:rPr>
        <w:t>)</w:t>
      </w:r>
      <w:r w:rsidR="004F33F0" w:rsidRPr="002E7581">
        <w:rPr>
          <w:color w:val="auto"/>
        </w:rPr>
        <w:t>, and</w:t>
      </w:r>
      <w:proofErr w:type="gramEnd"/>
      <w:r w:rsidR="004F33F0" w:rsidRPr="002E7581">
        <w:rPr>
          <w:color w:val="auto"/>
        </w:rPr>
        <w:t xml:space="preserve"> k</w:t>
      </w:r>
      <w:r w:rsidRPr="002E7581">
        <w:rPr>
          <w:color w:val="auto"/>
        </w:rPr>
        <w:t xml:space="preserve">eep on ice. </w:t>
      </w:r>
    </w:p>
    <w:p w14:paraId="22289EB4" w14:textId="77777777" w:rsidR="002E7581" w:rsidRPr="002E7581" w:rsidRDefault="002E7581" w:rsidP="00C16832">
      <w:pPr>
        <w:pStyle w:val="ListParagraph"/>
        <w:spacing w:line="0" w:lineRule="atLeast"/>
        <w:rPr>
          <w:color w:val="auto"/>
        </w:rPr>
      </w:pPr>
    </w:p>
    <w:p w14:paraId="7B87C28F" w14:textId="2600E67A" w:rsidR="002D62C9" w:rsidRDefault="00C239C8" w:rsidP="00C16832">
      <w:pPr>
        <w:widowControl/>
        <w:numPr>
          <w:ilvl w:val="0"/>
          <w:numId w:val="10"/>
        </w:numPr>
        <w:spacing w:line="0" w:lineRule="atLeast"/>
        <w:textAlignment w:val="center"/>
        <w:rPr>
          <w:b/>
          <w:color w:val="auto"/>
        </w:rPr>
      </w:pPr>
      <w:r>
        <w:rPr>
          <w:b/>
          <w:color w:val="auto"/>
        </w:rPr>
        <w:t>Cell</w:t>
      </w:r>
      <w:r w:rsidR="002D62C9" w:rsidRPr="008F6B19">
        <w:rPr>
          <w:b/>
          <w:color w:val="auto"/>
        </w:rPr>
        <w:t xml:space="preserve"> culture</w:t>
      </w:r>
    </w:p>
    <w:p w14:paraId="372694E6" w14:textId="77777777" w:rsidR="00F7351E" w:rsidRDefault="00F7351E" w:rsidP="00C16832">
      <w:pPr>
        <w:widowControl/>
        <w:spacing w:line="0" w:lineRule="atLeast"/>
        <w:rPr>
          <w:color w:val="auto"/>
        </w:rPr>
      </w:pPr>
    </w:p>
    <w:p w14:paraId="16BC29E6" w14:textId="12747EE1" w:rsidR="004456CE" w:rsidRDefault="00F7351E" w:rsidP="00C16832">
      <w:pPr>
        <w:widowControl/>
        <w:spacing w:line="0" w:lineRule="atLeast"/>
        <w:rPr>
          <w:color w:val="auto"/>
        </w:rPr>
      </w:pPr>
      <w:r>
        <w:rPr>
          <w:color w:val="auto"/>
        </w:rPr>
        <w:t xml:space="preserve">NOTE: </w:t>
      </w:r>
      <w:r w:rsidR="004456CE">
        <w:rPr>
          <w:color w:val="auto"/>
        </w:rPr>
        <w:t xml:space="preserve">To obtain catalogues of somatically acquired mutations, donor-specific germline variation </w:t>
      </w:r>
      <w:r w:rsidR="00AC08BB">
        <w:rPr>
          <w:color w:val="auto"/>
        </w:rPr>
        <w:t xml:space="preserve">needs </w:t>
      </w:r>
      <w:r w:rsidR="004456CE">
        <w:rPr>
          <w:color w:val="auto"/>
        </w:rPr>
        <w:t xml:space="preserve">to be filtered out. When starting with bone marrow biopsies or umbilical cord blood, mesenchymal stromal cells (MSCs) can be used as matched control to filter for germline variation. In this case, follow </w:t>
      </w:r>
      <w:r w:rsidR="00CF06EC">
        <w:rPr>
          <w:color w:val="auto"/>
        </w:rPr>
        <w:t>section</w:t>
      </w:r>
      <w:r w:rsidR="004456CE">
        <w:rPr>
          <w:color w:val="auto"/>
        </w:rPr>
        <w:t xml:space="preserve"> 2</w:t>
      </w:r>
      <w:r w:rsidR="00C35E17">
        <w:rPr>
          <w:color w:val="auto"/>
        </w:rPr>
        <w:t>.1</w:t>
      </w:r>
      <w:r w:rsidR="004456CE">
        <w:rPr>
          <w:color w:val="auto"/>
        </w:rPr>
        <w:t>. When using (mobilized) peripheral blood follow step 2</w:t>
      </w:r>
      <w:r w:rsidR="00C35E17">
        <w:rPr>
          <w:color w:val="auto"/>
        </w:rPr>
        <w:t>.</w:t>
      </w:r>
      <w:r w:rsidR="00C239C8">
        <w:rPr>
          <w:color w:val="auto"/>
        </w:rPr>
        <w:t>2</w:t>
      </w:r>
      <w:r w:rsidR="004456CE">
        <w:rPr>
          <w:color w:val="auto"/>
        </w:rPr>
        <w:t xml:space="preserve"> to isolate and use T-cells as matched control sample to filter for germline variation</w:t>
      </w:r>
      <w:r w:rsidR="00AC08BB">
        <w:rPr>
          <w:color w:val="auto"/>
        </w:rPr>
        <w:t xml:space="preserve"> (</w:t>
      </w:r>
      <w:r w:rsidR="00AC08BB" w:rsidRPr="00C16832">
        <w:rPr>
          <w:b/>
          <w:color w:val="auto"/>
        </w:rPr>
        <w:t>Figure 1</w:t>
      </w:r>
      <w:r w:rsidR="00AC08BB">
        <w:rPr>
          <w:color w:val="auto"/>
        </w:rPr>
        <w:t>)</w:t>
      </w:r>
      <w:r w:rsidR="004456CE">
        <w:rPr>
          <w:color w:val="auto"/>
        </w:rPr>
        <w:t>.</w:t>
      </w:r>
      <w:r w:rsidR="00C239C8">
        <w:rPr>
          <w:color w:val="auto"/>
        </w:rPr>
        <w:t xml:space="preserve"> </w:t>
      </w:r>
      <w:r w:rsidR="004456CE">
        <w:rPr>
          <w:color w:val="auto"/>
        </w:rPr>
        <w:t>The bulk T-cell population will share the same lineage relationship as HSPCs.</w:t>
      </w:r>
    </w:p>
    <w:p w14:paraId="1D233561" w14:textId="77777777" w:rsidR="004456CE" w:rsidRPr="008F6B19" w:rsidRDefault="004456CE" w:rsidP="00C16832">
      <w:pPr>
        <w:widowControl/>
        <w:spacing w:line="0" w:lineRule="atLeast"/>
        <w:textAlignment w:val="center"/>
        <w:rPr>
          <w:b/>
          <w:color w:val="auto"/>
        </w:rPr>
      </w:pPr>
    </w:p>
    <w:p w14:paraId="1FA89AC7" w14:textId="2E58591E" w:rsidR="00C239C8" w:rsidRPr="00C239C8" w:rsidRDefault="00C239C8" w:rsidP="00C16832">
      <w:pPr>
        <w:pStyle w:val="ListParagraph"/>
        <w:widowControl/>
        <w:numPr>
          <w:ilvl w:val="1"/>
          <w:numId w:val="10"/>
        </w:numPr>
        <w:spacing w:line="0" w:lineRule="atLeast"/>
        <w:textAlignment w:val="center"/>
        <w:rPr>
          <w:b/>
          <w:color w:val="auto"/>
        </w:rPr>
      </w:pPr>
      <w:r w:rsidRPr="00C239C8">
        <w:rPr>
          <w:b/>
          <w:color w:val="auto"/>
        </w:rPr>
        <w:t>MSC culture</w:t>
      </w:r>
    </w:p>
    <w:p w14:paraId="0E5FACC4" w14:textId="77777777" w:rsidR="00C239C8" w:rsidRDefault="00C239C8" w:rsidP="00C16832">
      <w:pPr>
        <w:pStyle w:val="ListParagraph"/>
        <w:widowControl/>
        <w:spacing w:line="0" w:lineRule="atLeast"/>
        <w:ind w:left="0"/>
        <w:textAlignment w:val="center"/>
        <w:rPr>
          <w:color w:val="auto"/>
        </w:rPr>
      </w:pPr>
    </w:p>
    <w:p w14:paraId="13FF98E0" w14:textId="600034C3" w:rsidR="002850BA" w:rsidRPr="00902199" w:rsidRDefault="009F37B4" w:rsidP="00C16832">
      <w:pPr>
        <w:pStyle w:val="ListParagraph"/>
        <w:widowControl/>
        <w:numPr>
          <w:ilvl w:val="2"/>
          <w:numId w:val="10"/>
        </w:numPr>
        <w:spacing w:line="0" w:lineRule="atLeast"/>
        <w:textAlignment w:val="center"/>
        <w:rPr>
          <w:color w:val="auto"/>
        </w:rPr>
      </w:pPr>
      <w:r>
        <w:rPr>
          <w:color w:val="auto"/>
        </w:rPr>
        <w:t xml:space="preserve">Prepare 50 mL </w:t>
      </w:r>
      <w:r w:rsidR="00CF06EC">
        <w:rPr>
          <w:color w:val="auto"/>
        </w:rPr>
        <w:t xml:space="preserve">of </w:t>
      </w:r>
      <w:r>
        <w:rPr>
          <w:color w:val="auto"/>
        </w:rPr>
        <w:t xml:space="preserve">MSC medium </w:t>
      </w:r>
      <w:r>
        <w:rPr>
          <w:rFonts w:asciiTheme="minorHAnsi" w:hAnsiTheme="minorHAnsi" w:cstheme="minorHAnsi"/>
          <w:color w:val="auto"/>
        </w:rPr>
        <w:t xml:space="preserve">containing 45 mL </w:t>
      </w:r>
      <w:r w:rsidR="00CF06EC">
        <w:rPr>
          <w:rFonts w:asciiTheme="minorHAnsi" w:hAnsiTheme="minorHAnsi" w:cstheme="minorHAnsi"/>
          <w:color w:val="auto"/>
        </w:rPr>
        <w:t xml:space="preserve">of </w:t>
      </w:r>
      <w:r>
        <w:rPr>
          <w:rFonts w:asciiTheme="minorHAnsi" w:hAnsiTheme="minorHAnsi" w:cstheme="minorHAnsi"/>
          <w:color w:val="auto"/>
        </w:rPr>
        <w:t xml:space="preserve">DMEM/F12 medium, </w:t>
      </w:r>
      <w:r w:rsidR="0032164D">
        <w:rPr>
          <w:rFonts w:asciiTheme="minorHAnsi" w:hAnsiTheme="minorHAnsi" w:cstheme="minorHAnsi"/>
          <w:color w:val="auto"/>
        </w:rPr>
        <w:t>10%</w:t>
      </w:r>
      <w:r>
        <w:rPr>
          <w:rFonts w:asciiTheme="minorHAnsi" w:hAnsiTheme="minorHAnsi" w:cstheme="minorHAnsi"/>
          <w:color w:val="auto"/>
        </w:rPr>
        <w:t xml:space="preserve"> FBS, 500 </w:t>
      </w:r>
      <w:r w:rsidRPr="00592B97">
        <w:rPr>
          <w:color w:val="auto"/>
        </w:rPr>
        <w:t>μL</w:t>
      </w:r>
      <w:r w:rsidR="00CF06EC">
        <w:rPr>
          <w:color w:val="auto"/>
        </w:rPr>
        <w:t xml:space="preserve"> of</w:t>
      </w:r>
      <w:r>
        <w:rPr>
          <w:color w:val="auto"/>
        </w:rPr>
        <w:t xml:space="preserve"> </w:t>
      </w:r>
      <w:r w:rsidR="00167416">
        <w:rPr>
          <w:color w:val="auto"/>
        </w:rPr>
        <w:t xml:space="preserve">trypsin or trypsin alternative, </w:t>
      </w:r>
      <w:r>
        <w:rPr>
          <w:color w:val="auto"/>
        </w:rPr>
        <w:t xml:space="preserve">and 500 </w:t>
      </w:r>
      <w:r w:rsidRPr="00592B97">
        <w:rPr>
          <w:color w:val="auto"/>
        </w:rPr>
        <w:t>μL</w:t>
      </w:r>
      <w:r>
        <w:rPr>
          <w:color w:val="auto"/>
        </w:rPr>
        <w:t xml:space="preserve"> </w:t>
      </w:r>
      <w:r w:rsidR="00CF06EC">
        <w:rPr>
          <w:color w:val="auto"/>
        </w:rPr>
        <w:t>of p</w:t>
      </w:r>
      <w:r>
        <w:rPr>
          <w:color w:val="auto"/>
        </w:rPr>
        <w:t>enicillin/</w:t>
      </w:r>
      <w:r w:rsidR="00CF06EC">
        <w:rPr>
          <w:color w:val="auto"/>
        </w:rPr>
        <w:t>s</w:t>
      </w:r>
      <w:r>
        <w:rPr>
          <w:color w:val="auto"/>
        </w:rPr>
        <w:t>trepto</w:t>
      </w:r>
      <w:r w:rsidR="005A49DA">
        <w:rPr>
          <w:color w:val="auto"/>
        </w:rPr>
        <w:t>mycin solution.</w:t>
      </w:r>
    </w:p>
    <w:p w14:paraId="2D751CBE" w14:textId="77777777" w:rsidR="00902199" w:rsidRPr="00902199" w:rsidRDefault="00902199" w:rsidP="00C16832">
      <w:pPr>
        <w:widowControl/>
        <w:spacing w:line="0" w:lineRule="atLeast"/>
        <w:textAlignment w:val="center"/>
        <w:rPr>
          <w:color w:val="auto"/>
        </w:rPr>
      </w:pPr>
    </w:p>
    <w:p w14:paraId="235CD477" w14:textId="02F50764" w:rsidR="002D62C9" w:rsidRDefault="00143DDA" w:rsidP="00C16832">
      <w:pPr>
        <w:pStyle w:val="ListParagraph"/>
        <w:widowControl/>
        <w:numPr>
          <w:ilvl w:val="2"/>
          <w:numId w:val="10"/>
        </w:numPr>
        <w:spacing w:line="0" w:lineRule="atLeast"/>
        <w:textAlignment w:val="center"/>
        <w:rPr>
          <w:color w:val="auto"/>
        </w:rPr>
      </w:pPr>
      <w:r>
        <w:rPr>
          <w:color w:val="auto"/>
        </w:rPr>
        <w:t xml:space="preserve">Plate approximately </w:t>
      </w:r>
      <w:r w:rsidR="001419C7" w:rsidRPr="00592B97">
        <w:rPr>
          <w:color w:val="auto"/>
        </w:rPr>
        <w:t>5</w:t>
      </w:r>
      <w:r w:rsidR="00CF06EC">
        <w:rPr>
          <w:color w:val="auto"/>
        </w:rPr>
        <w:t xml:space="preserve"> x </w:t>
      </w:r>
      <w:r w:rsidR="001419C7" w:rsidRPr="00592B97">
        <w:rPr>
          <w:color w:val="auto"/>
        </w:rPr>
        <w:t>10</w:t>
      </w:r>
      <w:r w:rsidR="001419C7" w:rsidRPr="00592B97">
        <w:rPr>
          <w:color w:val="auto"/>
          <w:vertAlign w:val="superscript"/>
        </w:rPr>
        <w:t xml:space="preserve">5 </w:t>
      </w:r>
      <w:r>
        <w:rPr>
          <w:color w:val="auto"/>
        </w:rPr>
        <w:t xml:space="preserve">mononuclear cells </w:t>
      </w:r>
      <w:r w:rsidR="001419C7">
        <w:rPr>
          <w:color w:val="auto"/>
        </w:rPr>
        <w:t xml:space="preserve">in </w:t>
      </w:r>
      <w:r w:rsidR="002850BA">
        <w:rPr>
          <w:color w:val="auto"/>
        </w:rPr>
        <w:t>1.5 mL</w:t>
      </w:r>
      <w:r w:rsidR="0001457C" w:rsidRPr="00592B97">
        <w:rPr>
          <w:color w:val="auto"/>
        </w:rPr>
        <w:t xml:space="preserve"> </w:t>
      </w:r>
      <w:r w:rsidR="00CF06EC">
        <w:rPr>
          <w:color w:val="auto"/>
        </w:rPr>
        <w:t xml:space="preserve">of </w:t>
      </w:r>
      <w:r w:rsidR="0001457C" w:rsidRPr="00592B97">
        <w:rPr>
          <w:color w:val="auto"/>
        </w:rPr>
        <w:t>MSC medium</w:t>
      </w:r>
      <w:r w:rsidR="001419C7">
        <w:rPr>
          <w:color w:val="auto"/>
        </w:rPr>
        <w:t xml:space="preserve"> per well</w:t>
      </w:r>
      <w:r w:rsidR="00B175DB">
        <w:rPr>
          <w:color w:val="auto"/>
        </w:rPr>
        <w:t xml:space="preserve">. Place </w:t>
      </w:r>
      <w:r w:rsidR="00CF06EC">
        <w:rPr>
          <w:color w:val="auto"/>
        </w:rPr>
        <w:t xml:space="preserve">the </w:t>
      </w:r>
      <w:r w:rsidR="00B175DB">
        <w:rPr>
          <w:color w:val="auto"/>
        </w:rPr>
        <w:t xml:space="preserve">cells in a humidified incubator at 37 </w:t>
      </w:r>
      <w:r w:rsidR="00B175DB" w:rsidRPr="005D3671">
        <w:rPr>
          <w:rFonts w:asciiTheme="minorHAnsi" w:hAnsiTheme="minorHAnsi" w:cstheme="minorHAnsi"/>
          <w:color w:val="auto"/>
        </w:rPr>
        <w:t>°C</w:t>
      </w:r>
      <w:r w:rsidR="00B175DB">
        <w:rPr>
          <w:rFonts w:asciiTheme="minorHAnsi" w:hAnsiTheme="minorHAnsi" w:cstheme="minorHAnsi"/>
          <w:color w:val="auto"/>
        </w:rPr>
        <w:t xml:space="preserve"> with 5% CO</w:t>
      </w:r>
      <w:r w:rsidR="00B175DB">
        <w:rPr>
          <w:rFonts w:asciiTheme="minorHAnsi" w:hAnsiTheme="minorHAnsi" w:cstheme="minorHAnsi"/>
          <w:color w:val="auto"/>
          <w:vertAlign w:val="subscript"/>
        </w:rPr>
        <w:t>2</w:t>
      </w:r>
      <w:r w:rsidR="00B175DB">
        <w:rPr>
          <w:rFonts w:asciiTheme="minorHAnsi" w:hAnsiTheme="minorHAnsi" w:cstheme="minorHAnsi"/>
          <w:color w:val="auto"/>
        </w:rPr>
        <w:t>.</w:t>
      </w:r>
    </w:p>
    <w:p w14:paraId="72FBC73C" w14:textId="77777777" w:rsidR="00902199" w:rsidRPr="00902199" w:rsidRDefault="00902199" w:rsidP="00C16832">
      <w:pPr>
        <w:widowControl/>
        <w:spacing w:line="0" w:lineRule="atLeast"/>
        <w:textAlignment w:val="center"/>
        <w:rPr>
          <w:color w:val="auto"/>
        </w:rPr>
      </w:pPr>
    </w:p>
    <w:p w14:paraId="3B4F9134" w14:textId="0370EF1E" w:rsidR="002D62C9" w:rsidRDefault="002850BA" w:rsidP="00C16832">
      <w:pPr>
        <w:pStyle w:val="ListParagraph"/>
        <w:widowControl/>
        <w:numPr>
          <w:ilvl w:val="2"/>
          <w:numId w:val="10"/>
        </w:numPr>
        <w:spacing w:line="0" w:lineRule="atLeast"/>
        <w:textAlignment w:val="center"/>
        <w:rPr>
          <w:color w:val="auto"/>
        </w:rPr>
      </w:pPr>
      <w:r w:rsidRPr="002850BA">
        <w:rPr>
          <w:color w:val="auto"/>
        </w:rPr>
        <w:t xml:space="preserve">Replace </w:t>
      </w:r>
      <w:r w:rsidR="00CF06EC">
        <w:rPr>
          <w:color w:val="auto"/>
        </w:rPr>
        <w:t xml:space="preserve">the </w:t>
      </w:r>
      <w:r w:rsidRPr="002850BA">
        <w:rPr>
          <w:color w:val="auto"/>
        </w:rPr>
        <w:t>medium after 24</w:t>
      </w:r>
      <w:r w:rsidR="00CF06EC">
        <w:rPr>
          <w:color w:val="auto"/>
        </w:rPr>
        <w:t xml:space="preserve"> </w:t>
      </w:r>
      <w:r w:rsidRPr="002850BA">
        <w:rPr>
          <w:color w:val="auto"/>
        </w:rPr>
        <w:t>h, and</w:t>
      </w:r>
      <w:r>
        <w:rPr>
          <w:color w:val="auto"/>
        </w:rPr>
        <w:t xml:space="preserve"> subsequently re</w:t>
      </w:r>
      <w:r w:rsidR="000D4541" w:rsidRPr="002850BA">
        <w:rPr>
          <w:color w:val="auto"/>
        </w:rPr>
        <w:t xml:space="preserve">place medium every </w:t>
      </w:r>
      <w:r w:rsidR="00CF06EC">
        <w:rPr>
          <w:color w:val="auto"/>
        </w:rPr>
        <w:t>3</w:t>
      </w:r>
      <w:r w:rsidR="000D4541" w:rsidRPr="002850BA">
        <w:rPr>
          <w:color w:val="auto"/>
        </w:rPr>
        <w:t xml:space="preserve"> days</w:t>
      </w:r>
      <w:r w:rsidR="004F33F0">
        <w:rPr>
          <w:color w:val="auto"/>
        </w:rPr>
        <w:t xml:space="preserve"> to ensure that all hematopoietic cells are </w:t>
      </w:r>
      <w:r w:rsidR="00AA15A4">
        <w:rPr>
          <w:color w:val="auto"/>
        </w:rPr>
        <w:t>washed off</w:t>
      </w:r>
      <w:r w:rsidR="00CF06EC">
        <w:rPr>
          <w:color w:val="auto"/>
        </w:rPr>
        <w:t>. C</w:t>
      </w:r>
      <w:r w:rsidR="004F33F0">
        <w:rPr>
          <w:color w:val="auto"/>
        </w:rPr>
        <w:t>ontinue</w:t>
      </w:r>
      <w:r w:rsidR="00CF06EC">
        <w:rPr>
          <w:color w:val="auto"/>
        </w:rPr>
        <w:t xml:space="preserve"> to</w:t>
      </w:r>
      <w:r w:rsidR="000D4541" w:rsidRPr="002850BA">
        <w:rPr>
          <w:color w:val="auto"/>
        </w:rPr>
        <w:t xml:space="preserve"> </w:t>
      </w:r>
      <w:r w:rsidR="004775AA">
        <w:rPr>
          <w:color w:val="auto"/>
        </w:rPr>
        <w:t xml:space="preserve">culture </w:t>
      </w:r>
      <w:r w:rsidR="000D4541" w:rsidRPr="002850BA">
        <w:rPr>
          <w:color w:val="auto"/>
        </w:rPr>
        <w:t xml:space="preserve">until </w:t>
      </w:r>
      <w:r w:rsidR="004F33F0">
        <w:rPr>
          <w:color w:val="auto"/>
        </w:rPr>
        <w:t xml:space="preserve">the </w:t>
      </w:r>
      <w:r w:rsidR="004775AA">
        <w:rPr>
          <w:color w:val="auto"/>
        </w:rPr>
        <w:t>confluency is 100%</w:t>
      </w:r>
      <w:r>
        <w:rPr>
          <w:color w:val="auto"/>
        </w:rPr>
        <w:t>.</w:t>
      </w:r>
    </w:p>
    <w:p w14:paraId="14A60BC3" w14:textId="77777777" w:rsidR="00902199" w:rsidRPr="00902199" w:rsidRDefault="00902199" w:rsidP="00C16832">
      <w:pPr>
        <w:widowControl/>
        <w:spacing w:line="0" w:lineRule="atLeast"/>
        <w:textAlignment w:val="center"/>
        <w:rPr>
          <w:color w:val="auto"/>
        </w:rPr>
      </w:pPr>
    </w:p>
    <w:p w14:paraId="3C3BF8BC" w14:textId="194C9370" w:rsidR="004456CE" w:rsidRDefault="00AA15A4" w:rsidP="00C16832">
      <w:pPr>
        <w:pStyle w:val="ListParagraph"/>
        <w:widowControl/>
        <w:numPr>
          <w:ilvl w:val="2"/>
          <w:numId w:val="10"/>
        </w:numPr>
        <w:spacing w:line="0" w:lineRule="atLeast"/>
        <w:textAlignment w:val="center"/>
        <w:rPr>
          <w:color w:val="auto"/>
        </w:rPr>
      </w:pPr>
      <w:r w:rsidRPr="005D3671">
        <w:rPr>
          <w:color w:val="auto"/>
        </w:rPr>
        <w:t>If</w:t>
      </w:r>
      <w:r w:rsidR="005D3671" w:rsidRPr="005D3671">
        <w:rPr>
          <w:color w:val="auto"/>
        </w:rPr>
        <w:t xml:space="preserve"> the</w:t>
      </w:r>
      <w:r w:rsidRPr="005D3671">
        <w:rPr>
          <w:color w:val="auto"/>
        </w:rPr>
        <w:t xml:space="preserve"> MSCs are confluent, wash cells with 1 mL </w:t>
      </w:r>
      <w:r w:rsidR="00CF06EC">
        <w:rPr>
          <w:color w:val="auto"/>
        </w:rPr>
        <w:t xml:space="preserve">of </w:t>
      </w:r>
      <w:r w:rsidRPr="005D3671">
        <w:rPr>
          <w:color w:val="auto"/>
        </w:rPr>
        <w:t>PBS</w:t>
      </w:r>
      <w:r w:rsidR="005D3671" w:rsidRPr="005D3671">
        <w:rPr>
          <w:color w:val="auto"/>
        </w:rPr>
        <w:t xml:space="preserve"> and </w:t>
      </w:r>
      <w:r w:rsidR="005D3671">
        <w:rPr>
          <w:color w:val="auto"/>
        </w:rPr>
        <w:t>h</w:t>
      </w:r>
      <w:r w:rsidR="000D4541" w:rsidRPr="005D3671">
        <w:rPr>
          <w:color w:val="auto"/>
        </w:rPr>
        <w:t xml:space="preserve">arvest </w:t>
      </w:r>
      <w:r w:rsidR="004F33F0" w:rsidRPr="005D3671">
        <w:rPr>
          <w:color w:val="auto"/>
        </w:rPr>
        <w:t xml:space="preserve">the </w:t>
      </w:r>
      <w:r w:rsidR="002850BA" w:rsidRPr="005D3671">
        <w:rPr>
          <w:color w:val="auto"/>
        </w:rPr>
        <w:t xml:space="preserve">MSCs </w:t>
      </w:r>
      <w:r w:rsidR="000D4541" w:rsidRPr="005D3671">
        <w:rPr>
          <w:color w:val="auto"/>
        </w:rPr>
        <w:t xml:space="preserve">by </w:t>
      </w:r>
      <w:proofErr w:type="gramStart"/>
      <w:r w:rsidR="004F33F0" w:rsidRPr="005D3671">
        <w:rPr>
          <w:color w:val="auto"/>
        </w:rPr>
        <w:t>adding</w:t>
      </w:r>
      <w:r w:rsidR="000D4541" w:rsidRPr="005D3671">
        <w:rPr>
          <w:color w:val="auto"/>
        </w:rPr>
        <w:t xml:space="preserve"> </w:t>
      </w:r>
      <w:r w:rsidR="00CF06EC">
        <w:rPr>
          <w:color w:val="auto"/>
        </w:rPr>
        <w:t xml:space="preserve"> </w:t>
      </w:r>
      <w:r w:rsidR="000D4541" w:rsidRPr="005D3671">
        <w:rPr>
          <w:color w:val="auto"/>
        </w:rPr>
        <w:t>200</w:t>
      </w:r>
      <w:proofErr w:type="gramEnd"/>
      <w:r w:rsidR="00742143" w:rsidRPr="005D3671">
        <w:rPr>
          <w:color w:val="auto"/>
        </w:rPr>
        <w:t xml:space="preserve"> μL</w:t>
      </w:r>
      <w:r w:rsidR="00CF06EC">
        <w:rPr>
          <w:color w:val="auto"/>
        </w:rPr>
        <w:t xml:space="preserve"> of</w:t>
      </w:r>
      <w:r w:rsidR="000D4541" w:rsidRPr="005D3671">
        <w:rPr>
          <w:color w:val="auto"/>
        </w:rPr>
        <w:t xml:space="preserve"> </w:t>
      </w:r>
      <w:r w:rsidR="0068697B">
        <w:rPr>
          <w:color w:val="auto"/>
        </w:rPr>
        <w:t>trypsin or trypsin alternative</w:t>
      </w:r>
      <w:r w:rsidR="0068697B" w:rsidRPr="005D3671">
        <w:rPr>
          <w:color w:val="auto"/>
        </w:rPr>
        <w:t xml:space="preserve"> </w:t>
      </w:r>
      <w:r w:rsidR="002850BA" w:rsidRPr="005D3671">
        <w:rPr>
          <w:color w:val="auto"/>
        </w:rPr>
        <w:t>per well.</w:t>
      </w:r>
      <w:r w:rsidR="00DF374F">
        <w:rPr>
          <w:color w:val="auto"/>
        </w:rPr>
        <w:t xml:space="preserve"> Incubate cells for 5 min at 37 </w:t>
      </w:r>
      <w:r w:rsidR="00DF374F" w:rsidRPr="005D3671">
        <w:rPr>
          <w:rFonts w:asciiTheme="minorHAnsi" w:hAnsiTheme="minorHAnsi" w:cstheme="minorHAnsi"/>
          <w:color w:val="auto"/>
        </w:rPr>
        <w:t>°C</w:t>
      </w:r>
      <w:r w:rsidR="00DF374F">
        <w:rPr>
          <w:rFonts w:asciiTheme="minorHAnsi" w:hAnsiTheme="minorHAnsi" w:cstheme="minorHAnsi"/>
          <w:color w:val="auto"/>
        </w:rPr>
        <w:t>. Add</w:t>
      </w:r>
      <w:r w:rsidR="0001457C" w:rsidRPr="005D3671">
        <w:rPr>
          <w:color w:val="auto"/>
        </w:rPr>
        <w:t xml:space="preserve"> 800</w:t>
      </w:r>
      <w:r w:rsidR="00742143" w:rsidRPr="005D3671">
        <w:rPr>
          <w:color w:val="auto"/>
        </w:rPr>
        <w:t xml:space="preserve"> </w:t>
      </w:r>
      <w:r w:rsidR="002850BA" w:rsidRPr="005D3671">
        <w:rPr>
          <w:color w:val="auto"/>
        </w:rPr>
        <w:t>μ</w:t>
      </w:r>
      <w:r w:rsidR="0001457C" w:rsidRPr="005D3671">
        <w:rPr>
          <w:color w:val="auto"/>
        </w:rPr>
        <w:t xml:space="preserve">L </w:t>
      </w:r>
      <w:r w:rsidR="00CF06EC">
        <w:rPr>
          <w:color w:val="auto"/>
        </w:rPr>
        <w:t xml:space="preserve">of </w:t>
      </w:r>
      <w:r w:rsidR="0001457C" w:rsidRPr="005D3671">
        <w:rPr>
          <w:color w:val="auto"/>
        </w:rPr>
        <w:t>MSC medium</w:t>
      </w:r>
      <w:r w:rsidR="00DF374F">
        <w:rPr>
          <w:color w:val="auto"/>
        </w:rPr>
        <w:t>, and pipet</w:t>
      </w:r>
      <w:r w:rsidR="00CF06EC">
        <w:rPr>
          <w:color w:val="auto"/>
        </w:rPr>
        <w:t xml:space="preserve"> the</w:t>
      </w:r>
      <w:r w:rsidR="00DF374F">
        <w:rPr>
          <w:color w:val="auto"/>
        </w:rPr>
        <w:t xml:space="preserve"> cells up and down to loosen cells from </w:t>
      </w:r>
      <w:r w:rsidR="00CF06EC">
        <w:rPr>
          <w:color w:val="auto"/>
        </w:rPr>
        <w:t xml:space="preserve">the </w:t>
      </w:r>
      <w:r w:rsidR="00DF374F">
        <w:rPr>
          <w:color w:val="auto"/>
        </w:rPr>
        <w:t>well plate</w:t>
      </w:r>
      <w:r w:rsidR="004456CE">
        <w:rPr>
          <w:color w:val="auto"/>
        </w:rPr>
        <w:t>.</w:t>
      </w:r>
    </w:p>
    <w:p w14:paraId="56EBE498" w14:textId="77777777" w:rsidR="004456CE" w:rsidRDefault="004456CE" w:rsidP="00C16832">
      <w:pPr>
        <w:pStyle w:val="ListParagraph"/>
        <w:widowControl/>
        <w:spacing w:line="0" w:lineRule="atLeast"/>
        <w:ind w:left="360"/>
        <w:textAlignment w:val="center"/>
        <w:rPr>
          <w:color w:val="auto"/>
        </w:rPr>
      </w:pPr>
    </w:p>
    <w:p w14:paraId="3CE9FD51" w14:textId="01A5E2B7" w:rsidR="004456CE" w:rsidRDefault="00DF374F" w:rsidP="00C16832">
      <w:pPr>
        <w:pStyle w:val="ListParagraph"/>
        <w:widowControl/>
        <w:numPr>
          <w:ilvl w:val="2"/>
          <w:numId w:val="10"/>
        </w:numPr>
        <w:spacing w:line="0" w:lineRule="atLeast"/>
        <w:textAlignment w:val="center"/>
      </w:pPr>
      <w:r>
        <w:lastRenderedPageBreak/>
        <w:t>Transfer MSCs to microcentrifuge tube and p</w:t>
      </w:r>
      <w:r w:rsidR="002850BA" w:rsidRPr="005D3671">
        <w:t>ellet</w:t>
      </w:r>
      <w:r w:rsidR="005D3671" w:rsidRPr="005D3671">
        <w:t xml:space="preserve"> the</w:t>
      </w:r>
      <w:r w:rsidR="002850BA" w:rsidRPr="005D3671">
        <w:t xml:space="preserve"> </w:t>
      </w:r>
      <w:r>
        <w:t xml:space="preserve">cells </w:t>
      </w:r>
      <w:r w:rsidR="004F33F0" w:rsidRPr="005D3671">
        <w:t>by centrifugation for 5 min</w:t>
      </w:r>
      <w:r w:rsidR="004456CE">
        <w:t xml:space="preserve"> at</w:t>
      </w:r>
      <w:r w:rsidR="004456CE" w:rsidRPr="005D3671">
        <w:t xml:space="preserve"> 350 x </w:t>
      </w:r>
      <w:r w:rsidR="004456CE" w:rsidRPr="005D3671">
        <w:rPr>
          <w:i/>
        </w:rPr>
        <w:t>g</w:t>
      </w:r>
      <w:r w:rsidR="004456CE" w:rsidRPr="005D3671">
        <w:t>. Remove</w:t>
      </w:r>
      <w:r w:rsidR="00CF06EC">
        <w:t xml:space="preserve"> the</w:t>
      </w:r>
      <w:r w:rsidR="004456CE" w:rsidRPr="005D3671">
        <w:t xml:space="preserve"> supernatant and continue with DNA isolation or store</w:t>
      </w:r>
      <w:r w:rsidR="00CF06EC">
        <w:t xml:space="preserve"> the</w:t>
      </w:r>
      <w:r w:rsidR="004456CE" w:rsidRPr="005D3671">
        <w:t xml:space="preserve"> pellet at </w:t>
      </w:r>
      <w:r w:rsidR="004456CE" w:rsidRPr="005D3671">
        <w:rPr>
          <w:rFonts w:asciiTheme="minorHAnsi" w:hAnsiTheme="minorHAnsi" w:cstheme="minorHAnsi"/>
        </w:rPr>
        <w:t>-20 °C for later DNA isolation</w:t>
      </w:r>
      <w:r w:rsidR="004456CE" w:rsidRPr="005D3671">
        <w:t xml:space="preserve"> (</w:t>
      </w:r>
      <w:r w:rsidR="00CF06EC">
        <w:t>section</w:t>
      </w:r>
      <w:r w:rsidR="004456CE" w:rsidRPr="005D3671">
        <w:t xml:space="preserve"> </w:t>
      </w:r>
      <w:r w:rsidR="004456CE">
        <w:t>4</w:t>
      </w:r>
      <w:r w:rsidR="004456CE" w:rsidRPr="005D3671">
        <w:t>).</w:t>
      </w:r>
    </w:p>
    <w:p w14:paraId="708ED153" w14:textId="77777777" w:rsidR="005855A4" w:rsidRDefault="005855A4" w:rsidP="00C16832">
      <w:pPr>
        <w:pStyle w:val="ListParagraph"/>
        <w:widowControl/>
        <w:spacing w:line="0" w:lineRule="atLeast"/>
        <w:ind w:left="360"/>
        <w:textAlignment w:val="center"/>
      </w:pPr>
    </w:p>
    <w:p w14:paraId="1DA21D0E" w14:textId="541C16B7" w:rsidR="00C239C8" w:rsidRPr="00C239C8" w:rsidRDefault="00C239C8" w:rsidP="00C16832">
      <w:pPr>
        <w:pStyle w:val="ListParagraph"/>
        <w:widowControl/>
        <w:numPr>
          <w:ilvl w:val="1"/>
          <w:numId w:val="10"/>
        </w:numPr>
        <w:spacing w:line="0" w:lineRule="atLeast"/>
        <w:textAlignment w:val="center"/>
        <w:rPr>
          <w:b/>
        </w:rPr>
      </w:pPr>
      <w:r w:rsidRPr="00C239C8">
        <w:rPr>
          <w:b/>
        </w:rPr>
        <w:t>T-cell isolation</w:t>
      </w:r>
    </w:p>
    <w:p w14:paraId="54A05CBF" w14:textId="77777777" w:rsidR="00C239C8" w:rsidRDefault="00C239C8" w:rsidP="00C16832">
      <w:pPr>
        <w:pStyle w:val="ListParagraph"/>
        <w:widowControl/>
        <w:spacing w:line="0" w:lineRule="atLeast"/>
        <w:ind w:left="0"/>
        <w:textAlignment w:val="center"/>
      </w:pPr>
    </w:p>
    <w:p w14:paraId="7D6755C9" w14:textId="79DE0A52" w:rsidR="00C35E17" w:rsidRDefault="00C239C8" w:rsidP="00C16832">
      <w:pPr>
        <w:pStyle w:val="ListParagraph"/>
        <w:widowControl/>
        <w:spacing w:line="0" w:lineRule="atLeast"/>
        <w:ind w:left="0"/>
        <w:textAlignment w:val="center"/>
      </w:pPr>
      <w:r>
        <w:t xml:space="preserve">NOTE: </w:t>
      </w:r>
      <w:r w:rsidR="00C35E17">
        <w:t>If using (mobilized) peripheral blood, T-cells can be isolated and used as germline control.</w:t>
      </w:r>
    </w:p>
    <w:p w14:paraId="73FD8AB5" w14:textId="3D5DF87C" w:rsidR="00C35E17" w:rsidRDefault="00C35E17" w:rsidP="00C16832">
      <w:pPr>
        <w:spacing w:line="0" w:lineRule="atLeast"/>
      </w:pPr>
    </w:p>
    <w:p w14:paraId="709D7DAF" w14:textId="29699341" w:rsidR="00B857E9" w:rsidRDefault="00B857E9" w:rsidP="00C16832">
      <w:pPr>
        <w:pStyle w:val="ListParagraph"/>
        <w:widowControl/>
        <w:numPr>
          <w:ilvl w:val="2"/>
          <w:numId w:val="10"/>
        </w:numPr>
        <w:spacing w:line="0" w:lineRule="atLeast"/>
        <w:textAlignment w:val="center"/>
        <w:rPr>
          <w:color w:val="auto"/>
        </w:rPr>
      </w:pPr>
      <w:r>
        <w:rPr>
          <w:color w:val="auto"/>
        </w:rPr>
        <w:t xml:space="preserve">Resuspend </w:t>
      </w:r>
      <w:r w:rsidR="005D3671">
        <w:rPr>
          <w:color w:val="auto"/>
        </w:rPr>
        <w:t xml:space="preserve">the </w:t>
      </w:r>
      <w:r>
        <w:rPr>
          <w:color w:val="auto"/>
        </w:rPr>
        <w:t xml:space="preserve">cell pellet in 100 </w:t>
      </w:r>
      <w:r w:rsidRPr="00592B97">
        <w:rPr>
          <w:color w:val="auto"/>
        </w:rPr>
        <w:t>μL</w:t>
      </w:r>
      <w:r>
        <w:rPr>
          <w:color w:val="auto"/>
        </w:rPr>
        <w:t xml:space="preserve"> </w:t>
      </w:r>
      <w:r w:rsidR="00CF06EC">
        <w:rPr>
          <w:color w:val="auto"/>
        </w:rPr>
        <w:t xml:space="preserve">of </w:t>
      </w:r>
      <w:r>
        <w:rPr>
          <w:color w:val="auto"/>
        </w:rPr>
        <w:t>anti-CD3 staining solution (1:100 dilution of anti-CD antibody in FACS buffer).</w:t>
      </w:r>
    </w:p>
    <w:p w14:paraId="508AD4BA" w14:textId="77777777" w:rsidR="007E6AAA" w:rsidRPr="007E6AAA" w:rsidRDefault="007E6AAA" w:rsidP="00C16832">
      <w:pPr>
        <w:widowControl/>
        <w:spacing w:line="0" w:lineRule="atLeast"/>
        <w:textAlignment w:val="center"/>
        <w:rPr>
          <w:color w:val="auto"/>
        </w:rPr>
      </w:pPr>
    </w:p>
    <w:p w14:paraId="34460EA7" w14:textId="7F665B0D" w:rsidR="00B857E9" w:rsidRPr="005A49DA" w:rsidRDefault="00B857E9" w:rsidP="00C16832">
      <w:pPr>
        <w:pStyle w:val="ListParagraph"/>
        <w:widowControl/>
        <w:numPr>
          <w:ilvl w:val="2"/>
          <w:numId w:val="10"/>
        </w:numPr>
        <w:spacing w:line="0" w:lineRule="atLeast"/>
        <w:textAlignment w:val="center"/>
        <w:rPr>
          <w:color w:val="auto"/>
        </w:rPr>
      </w:pPr>
      <w:r>
        <w:rPr>
          <w:color w:val="auto"/>
        </w:rPr>
        <w:t xml:space="preserve">Wash </w:t>
      </w:r>
      <w:r w:rsidR="005D3671">
        <w:rPr>
          <w:color w:val="auto"/>
        </w:rPr>
        <w:t xml:space="preserve">the </w:t>
      </w:r>
      <w:r>
        <w:rPr>
          <w:color w:val="auto"/>
        </w:rPr>
        <w:t xml:space="preserve">cells by adding 1 mL </w:t>
      </w:r>
      <w:r w:rsidR="00CF06EC">
        <w:rPr>
          <w:color w:val="auto"/>
        </w:rPr>
        <w:t xml:space="preserve">of </w:t>
      </w:r>
      <w:r w:rsidRPr="00B857E9">
        <w:rPr>
          <w:color w:val="auto"/>
        </w:rPr>
        <w:t xml:space="preserve">FACS buffer. Pellet the cells by centrifugation for 5 min at 350 x </w:t>
      </w:r>
      <w:r w:rsidRPr="00B857E9">
        <w:rPr>
          <w:i/>
          <w:color w:val="auto"/>
        </w:rPr>
        <w:t>g</w:t>
      </w:r>
      <w:r>
        <w:rPr>
          <w:color w:val="auto"/>
        </w:rPr>
        <w:t xml:space="preserve"> and resuspend in 300 </w:t>
      </w:r>
      <w:r w:rsidRPr="00592B97">
        <w:rPr>
          <w:color w:val="auto"/>
        </w:rPr>
        <w:t>μL</w:t>
      </w:r>
      <w:r w:rsidR="00C16832">
        <w:rPr>
          <w:color w:val="auto"/>
        </w:rPr>
        <w:t xml:space="preserve"> of FACS buffer</w:t>
      </w:r>
      <w:r w:rsidR="005A49DA">
        <w:rPr>
          <w:color w:val="auto"/>
        </w:rPr>
        <w:t>.</w:t>
      </w:r>
    </w:p>
    <w:p w14:paraId="378CBD6A" w14:textId="77777777" w:rsidR="00902199" w:rsidRPr="00902199" w:rsidRDefault="00902199" w:rsidP="00C16832">
      <w:pPr>
        <w:widowControl/>
        <w:spacing w:line="0" w:lineRule="atLeast"/>
        <w:textAlignment w:val="center"/>
        <w:rPr>
          <w:color w:val="auto"/>
        </w:rPr>
      </w:pPr>
    </w:p>
    <w:p w14:paraId="3CFC4236" w14:textId="4BC55CB7" w:rsidR="00AB13D2" w:rsidRDefault="00CD456F" w:rsidP="00C16832">
      <w:pPr>
        <w:pStyle w:val="ListParagraph"/>
        <w:widowControl/>
        <w:numPr>
          <w:ilvl w:val="2"/>
          <w:numId w:val="10"/>
        </w:numPr>
        <w:spacing w:line="0" w:lineRule="atLeast"/>
        <w:textAlignment w:val="center"/>
        <w:rPr>
          <w:color w:val="auto"/>
        </w:rPr>
      </w:pPr>
      <w:r>
        <w:rPr>
          <w:color w:val="auto"/>
        </w:rPr>
        <w:t>Isolate</w:t>
      </w:r>
      <w:r w:rsidRPr="00592B97">
        <w:rPr>
          <w:color w:val="auto"/>
        </w:rPr>
        <w:t xml:space="preserve"> </w:t>
      </w:r>
      <w:r w:rsidR="005A49DA">
        <w:rPr>
          <w:color w:val="auto"/>
        </w:rPr>
        <w:t>at least 5</w:t>
      </w:r>
      <w:r w:rsidR="00CF06EC">
        <w:rPr>
          <w:color w:val="auto"/>
        </w:rPr>
        <w:t xml:space="preserve"> x </w:t>
      </w:r>
      <w:r w:rsidR="005A49DA">
        <w:rPr>
          <w:color w:val="auto"/>
        </w:rPr>
        <w:t>10</w:t>
      </w:r>
      <w:r w:rsidR="005A49DA">
        <w:rPr>
          <w:color w:val="auto"/>
          <w:vertAlign w:val="superscript"/>
        </w:rPr>
        <w:t>5</w:t>
      </w:r>
      <w:r w:rsidR="006F0A12" w:rsidRPr="00592B97">
        <w:rPr>
          <w:color w:val="auto"/>
        </w:rPr>
        <w:t xml:space="preserve"> CD3+ cells </w:t>
      </w:r>
      <w:r>
        <w:rPr>
          <w:color w:val="auto"/>
        </w:rPr>
        <w:t xml:space="preserve">using </w:t>
      </w:r>
      <w:r w:rsidR="005A49DA">
        <w:rPr>
          <w:color w:val="auto"/>
        </w:rPr>
        <w:t xml:space="preserve">a FACS-sorter in </w:t>
      </w:r>
      <w:r w:rsidR="00CF06EC">
        <w:rPr>
          <w:color w:val="auto"/>
        </w:rPr>
        <w:t xml:space="preserve">a </w:t>
      </w:r>
      <w:r w:rsidR="005A49DA">
        <w:rPr>
          <w:color w:val="auto"/>
        </w:rPr>
        <w:t>5 mL polystyrene tube pre-filled with 1 mL</w:t>
      </w:r>
      <w:r w:rsidR="00CF06EC">
        <w:rPr>
          <w:color w:val="auto"/>
        </w:rPr>
        <w:t xml:space="preserve"> of</w:t>
      </w:r>
      <w:r w:rsidR="005A49DA">
        <w:rPr>
          <w:color w:val="auto"/>
        </w:rPr>
        <w:t xml:space="preserve"> FBS.</w:t>
      </w:r>
    </w:p>
    <w:p w14:paraId="0C54FB28" w14:textId="77777777" w:rsidR="00902199" w:rsidRPr="00902199" w:rsidRDefault="00902199" w:rsidP="00C16832">
      <w:pPr>
        <w:widowControl/>
        <w:spacing w:line="0" w:lineRule="atLeast"/>
        <w:textAlignment w:val="center"/>
        <w:rPr>
          <w:color w:val="auto"/>
        </w:rPr>
      </w:pPr>
    </w:p>
    <w:p w14:paraId="6B0770A3" w14:textId="07E79382" w:rsidR="00AB13D2" w:rsidRPr="0032164D" w:rsidRDefault="00DF374F" w:rsidP="00C16832">
      <w:pPr>
        <w:pStyle w:val="ListParagraph"/>
        <w:widowControl/>
        <w:numPr>
          <w:ilvl w:val="2"/>
          <w:numId w:val="10"/>
        </w:numPr>
        <w:spacing w:line="0" w:lineRule="atLeast"/>
        <w:textAlignment w:val="center"/>
        <w:rPr>
          <w:color w:val="auto"/>
        </w:rPr>
      </w:pPr>
      <w:r>
        <w:rPr>
          <w:color w:val="auto"/>
        </w:rPr>
        <w:t>Pellet</w:t>
      </w:r>
      <w:r w:rsidR="005D3671">
        <w:rPr>
          <w:color w:val="auto"/>
        </w:rPr>
        <w:t xml:space="preserve"> the</w:t>
      </w:r>
      <w:r w:rsidR="00AB13D2" w:rsidRPr="00592B97">
        <w:rPr>
          <w:color w:val="auto"/>
        </w:rPr>
        <w:t xml:space="preserve"> sorted cells</w:t>
      </w:r>
      <w:r>
        <w:rPr>
          <w:color w:val="auto"/>
        </w:rPr>
        <w:t xml:space="preserve"> using centrifugation for </w:t>
      </w:r>
      <w:r w:rsidRPr="00B857E9">
        <w:rPr>
          <w:color w:val="auto"/>
        </w:rPr>
        <w:t xml:space="preserve">5 min at 350 x </w:t>
      </w:r>
      <w:r w:rsidRPr="00B857E9">
        <w:rPr>
          <w:i/>
          <w:color w:val="auto"/>
        </w:rPr>
        <w:t>g</w:t>
      </w:r>
      <w:r w:rsidR="005A49DA">
        <w:rPr>
          <w:color w:val="auto"/>
        </w:rPr>
        <w:t>, remove</w:t>
      </w:r>
      <w:r w:rsidR="005D3671">
        <w:rPr>
          <w:color w:val="auto"/>
        </w:rPr>
        <w:t xml:space="preserve"> the</w:t>
      </w:r>
      <w:r w:rsidR="005A49DA">
        <w:rPr>
          <w:color w:val="auto"/>
        </w:rPr>
        <w:t xml:space="preserve"> supernatant</w:t>
      </w:r>
      <w:r w:rsidR="00CF06EC">
        <w:rPr>
          <w:color w:val="auto"/>
        </w:rPr>
        <w:t>,</w:t>
      </w:r>
      <w:r w:rsidR="005A49DA">
        <w:rPr>
          <w:color w:val="auto"/>
        </w:rPr>
        <w:t xml:space="preserve"> </w:t>
      </w:r>
      <w:r w:rsidR="005A49DA" w:rsidRPr="005A49DA">
        <w:rPr>
          <w:color w:val="auto"/>
        </w:rPr>
        <w:t xml:space="preserve">and continue </w:t>
      </w:r>
      <w:r w:rsidR="005A49DA">
        <w:rPr>
          <w:color w:val="auto"/>
        </w:rPr>
        <w:t>directly with</w:t>
      </w:r>
      <w:r w:rsidR="005A49DA" w:rsidRPr="005A49DA">
        <w:rPr>
          <w:color w:val="auto"/>
        </w:rPr>
        <w:t xml:space="preserve"> DNA isolation </w:t>
      </w:r>
      <w:r w:rsidR="005A49DA">
        <w:rPr>
          <w:color w:val="auto"/>
        </w:rPr>
        <w:t>(</w:t>
      </w:r>
      <w:r w:rsidR="00CF06EC">
        <w:rPr>
          <w:color w:val="auto"/>
        </w:rPr>
        <w:t>section</w:t>
      </w:r>
      <w:r w:rsidR="005A49DA">
        <w:rPr>
          <w:color w:val="auto"/>
        </w:rPr>
        <w:t xml:space="preserve"> </w:t>
      </w:r>
      <w:r w:rsidR="00E54358">
        <w:rPr>
          <w:color w:val="auto"/>
        </w:rPr>
        <w:t>4</w:t>
      </w:r>
      <w:r w:rsidR="005A49DA">
        <w:rPr>
          <w:color w:val="auto"/>
        </w:rPr>
        <w:t xml:space="preserve">) </w:t>
      </w:r>
      <w:r w:rsidR="005A49DA" w:rsidRPr="005A49DA">
        <w:rPr>
          <w:color w:val="auto"/>
        </w:rPr>
        <w:t xml:space="preserve">or store </w:t>
      </w:r>
      <w:r w:rsidR="00CF06EC">
        <w:rPr>
          <w:color w:val="auto"/>
        </w:rPr>
        <w:t xml:space="preserve">the </w:t>
      </w:r>
      <w:r w:rsidR="005A49DA" w:rsidRPr="005A49DA">
        <w:rPr>
          <w:color w:val="auto"/>
        </w:rPr>
        <w:t xml:space="preserve">pellet at </w:t>
      </w:r>
      <w:r w:rsidR="005A49DA" w:rsidRPr="005A49DA">
        <w:rPr>
          <w:rFonts w:asciiTheme="minorHAnsi" w:hAnsiTheme="minorHAnsi" w:cstheme="minorHAnsi"/>
          <w:color w:val="auto"/>
        </w:rPr>
        <w:t>-20 °C for later DNA isolation</w:t>
      </w:r>
      <w:r w:rsidR="005A49DA">
        <w:rPr>
          <w:color w:val="auto"/>
        </w:rPr>
        <w:t>.</w:t>
      </w:r>
    </w:p>
    <w:p w14:paraId="64F3F8B2" w14:textId="77777777" w:rsidR="0032164D" w:rsidRPr="0032164D" w:rsidRDefault="0032164D" w:rsidP="00C16832">
      <w:pPr>
        <w:widowControl/>
        <w:spacing w:line="0" w:lineRule="atLeast"/>
        <w:textAlignment w:val="center"/>
        <w:rPr>
          <w:b/>
          <w:color w:val="auto"/>
        </w:rPr>
      </w:pPr>
    </w:p>
    <w:p w14:paraId="03C730EF" w14:textId="5840B50A" w:rsidR="0032164D" w:rsidRPr="00F7351E" w:rsidRDefault="001419C7" w:rsidP="00C16832">
      <w:pPr>
        <w:pStyle w:val="ListParagraph"/>
        <w:widowControl/>
        <w:numPr>
          <w:ilvl w:val="0"/>
          <w:numId w:val="10"/>
        </w:numPr>
        <w:spacing w:line="0" w:lineRule="atLeast"/>
        <w:textAlignment w:val="center"/>
        <w:rPr>
          <w:b/>
          <w:color w:val="auto"/>
          <w:highlight w:val="yellow"/>
        </w:rPr>
      </w:pPr>
      <w:r w:rsidRPr="00F7351E">
        <w:rPr>
          <w:b/>
          <w:color w:val="auto"/>
          <w:highlight w:val="yellow"/>
        </w:rPr>
        <w:t>HSPC isolation</w:t>
      </w:r>
      <w:r w:rsidR="00066CC1" w:rsidRPr="00F7351E">
        <w:rPr>
          <w:b/>
          <w:color w:val="auto"/>
          <w:highlight w:val="yellow"/>
        </w:rPr>
        <w:t>, sorting</w:t>
      </w:r>
      <w:r w:rsidR="00CF06EC">
        <w:rPr>
          <w:b/>
          <w:color w:val="auto"/>
          <w:highlight w:val="yellow"/>
        </w:rPr>
        <w:t>,</w:t>
      </w:r>
      <w:r w:rsidR="00066CC1" w:rsidRPr="00F7351E">
        <w:rPr>
          <w:b/>
          <w:color w:val="auto"/>
          <w:highlight w:val="yellow"/>
        </w:rPr>
        <w:t xml:space="preserve"> and culture</w:t>
      </w:r>
    </w:p>
    <w:p w14:paraId="383C579E" w14:textId="77777777" w:rsidR="00F7351E" w:rsidRPr="00F7351E" w:rsidRDefault="00F7351E" w:rsidP="00C16832">
      <w:pPr>
        <w:pStyle w:val="ListParagraph"/>
        <w:widowControl/>
        <w:spacing w:line="0" w:lineRule="atLeast"/>
        <w:ind w:left="0"/>
        <w:textAlignment w:val="center"/>
        <w:rPr>
          <w:rFonts w:asciiTheme="minorHAnsi" w:hAnsiTheme="minorHAnsi" w:cstheme="minorHAnsi"/>
          <w:b/>
          <w:color w:val="auto"/>
        </w:rPr>
      </w:pPr>
    </w:p>
    <w:p w14:paraId="594E6DE3" w14:textId="174ABD74" w:rsidR="0032164D" w:rsidRPr="00F7351E" w:rsidRDefault="003313A5" w:rsidP="00C16832">
      <w:pPr>
        <w:pStyle w:val="ListParagraph"/>
        <w:widowControl/>
        <w:numPr>
          <w:ilvl w:val="1"/>
          <w:numId w:val="10"/>
        </w:numPr>
        <w:spacing w:line="0" w:lineRule="atLeast"/>
        <w:textAlignment w:val="center"/>
        <w:rPr>
          <w:rFonts w:asciiTheme="minorHAnsi" w:hAnsiTheme="minorHAnsi" w:cstheme="minorHAnsi"/>
          <w:b/>
          <w:color w:val="auto"/>
        </w:rPr>
      </w:pPr>
      <w:r w:rsidRPr="00F7351E">
        <w:rPr>
          <w:rFonts w:asciiTheme="minorHAnsi" w:hAnsiTheme="minorHAnsi" w:cstheme="minorHAnsi"/>
          <w:color w:val="auto"/>
        </w:rPr>
        <w:t xml:space="preserve">Spin down </w:t>
      </w:r>
      <w:r w:rsidR="00592A04" w:rsidRPr="00F7351E">
        <w:rPr>
          <w:rFonts w:asciiTheme="minorHAnsi" w:hAnsiTheme="minorHAnsi" w:cstheme="minorHAnsi"/>
          <w:color w:val="auto"/>
        </w:rPr>
        <w:t xml:space="preserve">at </w:t>
      </w:r>
      <w:r w:rsidR="004530D4" w:rsidRPr="00F7351E">
        <w:rPr>
          <w:rFonts w:asciiTheme="minorHAnsi" w:hAnsiTheme="minorHAnsi" w:cstheme="minorHAnsi"/>
          <w:color w:val="222222"/>
          <w:shd w:val="clear" w:color="auto" w:fill="FFFFFF"/>
        </w:rPr>
        <w:t>1</w:t>
      </w:r>
      <w:r w:rsidR="00CF06EC">
        <w:rPr>
          <w:color w:val="auto"/>
        </w:rPr>
        <w:t>–</w:t>
      </w:r>
      <w:r w:rsidR="00FB3DA9" w:rsidRPr="00F7351E">
        <w:rPr>
          <w:rFonts w:asciiTheme="minorHAnsi" w:hAnsiTheme="minorHAnsi" w:cstheme="minorHAnsi"/>
          <w:color w:val="222222"/>
          <w:shd w:val="clear" w:color="auto" w:fill="FFFFFF"/>
        </w:rPr>
        <w:t>2</w:t>
      </w:r>
      <w:r w:rsidR="00CF06EC">
        <w:rPr>
          <w:rFonts w:asciiTheme="minorHAnsi" w:hAnsiTheme="minorHAnsi" w:cstheme="minorHAnsi"/>
          <w:color w:val="222222"/>
          <w:shd w:val="clear" w:color="auto" w:fill="FFFFFF"/>
        </w:rPr>
        <w:t xml:space="preserve"> x </w:t>
      </w:r>
      <w:r w:rsidR="004530D4" w:rsidRPr="00F7351E">
        <w:rPr>
          <w:rFonts w:asciiTheme="minorHAnsi" w:hAnsiTheme="minorHAnsi" w:cstheme="minorHAnsi"/>
          <w:color w:val="222222"/>
          <w:shd w:val="clear" w:color="auto" w:fill="FFFFFF"/>
        </w:rPr>
        <w:t>10</w:t>
      </w:r>
      <w:r w:rsidR="004530D4" w:rsidRPr="00F7351E">
        <w:rPr>
          <w:rFonts w:asciiTheme="minorHAnsi" w:hAnsiTheme="minorHAnsi" w:cstheme="minorHAnsi"/>
          <w:color w:val="222222"/>
          <w:shd w:val="clear" w:color="auto" w:fill="FFFFFF"/>
          <w:vertAlign w:val="superscript"/>
        </w:rPr>
        <w:t xml:space="preserve">7 </w:t>
      </w:r>
      <w:r w:rsidR="009A5EA0" w:rsidRPr="00F7351E">
        <w:rPr>
          <w:rFonts w:asciiTheme="minorHAnsi" w:hAnsiTheme="minorHAnsi" w:cstheme="minorHAnsi"/>
          <w:color w:val="auto"/>
        </w:rPr>
        <w:t xml:space="preserve">mononuclear cells </w:t>
      </w:r>
      <w:r w:rsidR="005A49DA" w:rsidRPr="00F7351E">
        <w:rPr>
          <w:rFonts w:asciiTheme="minorHAnsi" w:hAnsiTheme="minorHAnsi" w:cstheme="minorHAnsi"/>
          <w:color w:val="auto"/>
        </w:rPr>
        <w:t xml:space="preserve">for 5 min at 350 x </w:t>
      </w:r>
      <w:r w:rsidR="005A49DA" w:rsidRPr="00F7351E">
        <w:rPr>
          <w:rFonts w:asciiTheme="minorHAnsi" w:hAnsiTheme="minorHAnsi" w:cstheme="minorHAnsi"/>
          <w:i/>
          <w:color w:val="auto"/>
        </w:rPr>
        <w:t>g</w:t>
      </w:r>
      <w:r w:rsidR="004530D4" w:rsidRPr="00F7351E">
        <w:rPr>
          <w:rFonts w:asciiTheme="minorHAnsi" w:hAnsiTheme="minorHAnsi" w:cstheme="minorHAnsi"/>
          <w:color w:val="auto"/>
        </w:rPr>
        <w:t xml:space="preserve"> and resuspend in 50 μL</w:t>
      </w:r>
      <w:r w:rsidR="00CF06EC">
        <w:rPr>
          <w:rFonts w:asciiTheme="minorHAnsi" w:hAnsiTheme="minorHAnsi" w:cstheme="minorHAnsi"/>
          <w:color w:val="auto"/>
        </w:rPr>
        <w:t xml:space="preserve"> of</w:t>
      </w:r>
      <w:r w:rsidR="004530D4" w:rsidRPr="00F7351E">
        <w:rPr>
          <w:rFonts w:asciiTheme="minorHAnsi" w:hAnsiTheme="minorHAnsi" w:cstheme="minorHAnsi"/>
          <w:color w:val="auto"/>
        </w:rPr>
        <w:t xml:space="preserve"> FACS buffer</w:t>
      </w:r>
      <w:r w:rsidR="00060EAA" w:rsidRPr="00F7351E">
        <w:rPr>
          <w:rFonts w:asciiTheme="minorHAnsi" w:hAnsiTheme="minorHAnsi" w:cstheme="minorHAnsi"/>
          <w:color w:val="auto"/>
        </w:rPr>
        <w:t xml:space="preserve"> (see step 2</w:t>
      </w:r>
      <w:r w:rsidR="00C239C8">
        <w:rPr>
          <w:rFonts w:asciiTheme="minorHAnsi" w:hAnsiTheme="minorHAnsi" w:cstheme="minorHAnsi"/>
          <w:color w:val="auto"/>
        </w:rPr>
        <w:t>.2</w:t>
      </w:r>
      <w:r w:rsidR="00060EAA" w:rsidRPr="00F7351E">
        <w:rPr>
          <w:rFonts w:asciiTheme="minorHAnsi" w:hAnsiTheme="minorHAnsi" w:cstheme="minorHAnsi"/>
          <w:color w:val="auto"/>
        </w:rPr>
        <w:t>.1).</w:t>
      </w:r>
      <w:r w:rsidR="004530D4" w:rsidRPr="00F7351E">
        <w:rPr>
          <w:rFonts w:asciiTheme="minorHAnsi" w:hAnsiTheme="minorHAnsi" w:cstheme="minorHAnsi"/>
          <w:color w:val="auto"/>
        </w:rPr>
        <w:t xml:space="preserve"> Transfer</w:t>
      </w:r>
      <w:r w:rsidR="005D3671" w:rsidRPr="00F7351E">
        <w:rPr>
          <w:rFonts w:asciiTheme="minorHAnsi" w:hAnsiTheme="minorHAnsi" w:cstheme="minorHAnsi"/>
          <w:color w:val="auto"/>
        </w:rPr>
        <w:t xml:space="preserve"> the</w:t>
      </w:r>
      <w:r w:rsidR="004530D4" w:rsidRPr="00F7351E">
        <w:rPr>
          <w:rFonts w:asciiTheme="minorHAnsi" w:hAnsiTheme="minorHAnsi" w:cstheme="minorHAnsi"/>
          <w:color w:val="auto"/>
        </w:rPr>
        <w:t xml:space="preserve"> cells to</w:t>
      </w:r>
      <w:r w:rsidR="005D3671" w:rsidRPr="00F7351E">
        <w:rPr>
          <w:rFonts w:asciiTheme="minorHAnsi" w:hAnsiTheme="minorHAnsi" w:cstheme="minorHAnsi"/>
          <w:color w:val="auto"/>
        </w:rPr>
        <w:t xml:space="preserve"> a</w:t>
      </w:r>
      <w:r w:rsidR="004530D4" w:rsidRPr="00F7351E">
        <w:rPr>
          <w:rFonts w:asciiTheme="minorHAnsi" w:hAnsiTheme="minorHAnsi" w:cstheme="minorHAnsi"/>
          <w:color w:val="auto"/>
        </w:rPr>
        <w:t xml:space="preserve"> microcentrifuge tube. </w:t>
      </w:r>
    </w:p>
    <w:p w14:paraId="75C00952" w14:textId="77777777" w:rsidR="00F7351E" w:rsidRDefault="00F7351E" w:rsidP="00C16832">
      <w:pPr>
        <w:pStyle w:val="ListParagraph"/>
        <w:widowControl/>
        <w:spacing w:line="0" w:lineRule="atLeast"/>
        <w:ind w:left="0"/>
        <w:textAlignment w:val="center"/>
        <w:rPr>
          <w:rFonts w:asciiTheme="minorHAnsi" w:hAnsiTheme="minorHAnsi" w:cstheme="minorHAnsi"/>
          <w:color w:val="auto"/>
        </w:rPr>
      </w:pPr>
    </w:p>
    <w:p w14:paraId="6D5238A9" w14:textId="2952B8D9" w:rsidR="00FB3DA9" w:rsidRPr="00F7351E" w:rsidRDefault="00FB3DA9" w:rsidP="00C16832">
      <w:pPr>
        <w:pStyle w:val="ListParagraph"/>
        <w:widowControl/>
        <w:spacing w:line="0" w:lineRule="atLeast"/>
        <w:ind w:left="0"/>
        <w:textAlignment w:val="center"/>
        <w:rPr>
          <w:rFonts w:asciiTheme="minorHAnsi" w:hAnsiTheme="minorHAnsi" w:cstheme="minorHAnsi"/>
          <w:color w:val="auto"/>
        </w:rPr>
      </w:pPr>
      <w:r>
        <w:rPr>
          <w:rFonts w:asciiTheme="minorHAnsi" w:hAnsiTheme="minorHAnsi" w:cstheme="minorHAnsi"/>
          <w:color w:val="auto"/>
        </w:rPr>
        <w:t>NOTE: When sorting with &gt;2</w:t>
      </w:r>
      <w:r w:rsidR="00CF06EC">
        <w:rPr>
          <w:rFonts w:asciiTheme="minorHAnsi" w:hAnsiTheme="minorHAnsi" w:cstheme="minorHAnsi"/>
          <w:color w:val="auto"/>
        </w:rPr>
        <w:t xml:space="preserve"> x </w:t>
      </w:r>
      <w:r>
        <w:rPr>
          <w:rFonts w:asciiTheme="minorHAnsi" w:hAnsiTheme="minorHAnsi" w:cstheme="minorHAnsi"/>
          <w:color w:val="auto"/>
        </w:rPr>
        <w:t>10</w:t>
      </w:r>
      <w:r>
        <w:rPr>
          <w:rFonts w:asciiTheme="minorHAnsi" w:hAnsiTheme="minorHAnsi" w:cstheme="minorHAnsi"/>
          <w:color w:val="auto"/>
          <w:vertAlign w:val="superscript"/>
        </w:rPr>
        <w:t>7</w:t>
      </w:r>
      <w:r>
        <w:rPr>
          <w:rFonts w:asciiTheme="minorHAnsi" w:hAnsiTheme="minorHAnsi" w:cstheme="minorHAnsi"/>
          <w:color w:val="auto"/>
        </w:rPr>
        <w:t xml:space="preserve"> cells, increase</w:t>
      </w:r>
      <w:r w:rsidR="00CF06EC">
        <w:rPr>
          <w:rFonts w:asciiTheme="minorHAnsi" w:hAnsiTheme="minorHAnsi" w:cstheme="minorHAnsi"/>
          <w:color w:val="auto"/>
        </w:rPr>
        <w:t xml:space="preserve"> the</w:t>
      </w:r>
      <w:r>
        <w:rPr>
          <w:rFonts w:asciiTheme="minorHAnsi" w:hAnsiTheme="minorHAnsi" w:cstheme="minorHAnsi"/>
          <w:color w:val="auto"/>
        </w:rPr>
        <w:t xml:space="preserve"> antibody mix and FACS buffer volumes accordingly.</w:t>
      </w:r>
    </w:p>
    <w:p w14:paraId="2D6E8CD6" w14:textId="77777777" w:rsidR="0032164D" w:rsidRPr="0032164D" w:rsidRDefault="0032164D" w:rsidP="00C16832">
      <w:pPr>
        <w:widowControl/>
        <w:spacing w:line="0" w:lineRule="atLeast"/>
        <w:textAlignment w:val="center"/>
        <w:rPr>
          <w:b/>
          <w:color w:val="auto"/>
        </w:rPr>
      </w:pPr>
    </w:p>
    <w:p w14:paraId="03B2A02A" w14:textId="658A2F07" w:rsidR="007C7D0A" w:rsidRPr="00066CC1" w:rsidRDefault="007C7D0A" w:rsidP="00C16832">
      <w:pPr>
        <w:pStyle w:val="ListParagraph"/>
        <w:widowControl/>
        <w:numPr>
          <w:ilvl w:val="1"/>
          <w:numId w:val="10"/>
        </w:numPr>
        <w:spacing w:line="0" w:lineRule="atLeast"/>
        <w:textAlignment w:val="center"/>
        <w:rPr>
          <w:b/>
          <w:color w:val="auto"/>
        </w:rPr>
      </w:pPr>
      <w:r w:rsidRPr="0032164D">
        <w:rPr>
          <w:color w:val="auto"/>
        </w:rPr>
        <w:t>Prepare</w:t>
      </w:r>
      <w:r w:rsidR="00592A04" w:rsidRPr="0032164D">
        <w:rPr>
          <w:color w:val="auto"/>
        </w:rPr>
        <w:t xml:space="preserve"> a</w:t>
      </w:r>
      <w:r w:rsidR="003313A5" w:rsidRPr="0032164D">
        <w:rPr>
          <w:color w:val="auto"/>
        </w:rPr>
        <w:t xml:space="preserve"> 50 </w:t>
      </w:r>
      <w:r w:rsidR="004530D4" w:rsidRPr="0032164D">
        <w:rPr>
          <w:color w:val="auto"/>
        </w:rPr>
        <w:t xml:space="preserve">μL </w:t>
      </w:r>
      <w:r w:rsidR="00CF06EC">
        <w:rPr>
          <w:color w:val="auto"/>
        </w:rPr>
        <w:t xml:space="preserve">of </w:t>
      </w:r>
      <w:r w:rsidR="003313A5" w:rsidRPr="0032164D">
        <w:rPr>
          <w:color w:val="auto"/>
        </w:rPr>
        <w:t>2</w:t>
      </w:r>
      <w:r w:rsidR="00CF06EC">
        <w:rPr>
          <w:color w:val="auto"/>
        </w:rPr>
        <w:t>x</w:t>
      </w:r>
      <w:r w:rsidR="003313A5" w:rsidRPr="0032164D">
        <w:rPr>
          <w:color w:val="auto"/>
        </w:rPr>
        <w:t xml:space="preserve"> </w:t>
      </w:r>
      <w:r w:rsidR="005A49DA" w:rsidRPr="0032164D">
        <w:rPr>
          <w:color w:val="auto"/>
        </w:rPr>
        <w:t xml:space="preserve">HSC </w:t>
      </w:r>
      <w:r w:rsidR="006C7A2A" w:rsidRPr="0032164D">
        <w:rPr>
          <w:color w:val="auto"/>
        </w:rPr>
        <w:t>staining</w:t>
      </w:r>
      <w:r w:rsidR="003313A5" w:rsidRPr="0032164D">
        <w:rPr>
          <w:color w:val="auto"/>
        </w:rPr>
        <w:t xml:space="preserve"> mix according to the </w:t>
      </w:r>
      <w:r w:rsidR="00F7351E">
        <w:rPr>
          <w:color w:val="auto"/>
        </w:rPr>
        <w:t>recipe seen in</w:t>
      </w:r>
      <w:r w:rsidR="006079E5">
        <w:rPr>
          <w:color w:val="auto"/>
        </w:rPr>
        <w:t xml:space="preserve"> </w:t>
      </w:r>
      <w:r w:rsidR="006079E5" w:rsidRPr="00F7351E">
        <w:rPr>
          <w:b/>
          <w:color w:val="auto"/>
        </w:rPr>
        <w:t>Table 1</w:t>
      </w:r>
      <w:r w:rsidR="00F7351E">
        <w:rPr>
          <w:color w:val="auto"/>
        </w:rPr>
        <w:t>.</w:t>
      </w:r>
    </w:p>
    <w:p w14:paraId="78354B76" w14:textId="31D33C37" w:rsidR="00066CC1" w:rsidRDefault="00066CC1" w:rsidP="00C16832">
      <w:pPr>
        <w:pStyle w:val="ListParagraph"/>
        <w:spacing w:line="0" w:lineRule="atLeast"/>
        <w:ind w:left="0"/>
        <w:rPr>
          <w:b/>
          <w:color w:val="auto"/>
        </w:rPr>
      </w:pPr>
    </w:p>
    <w:p w14:paraId="0FB9E3F9" w14:textId="7DAD50A5" w:rsidR="00F7351E" w:rsidRPr="00F7351E" w:rsidRDefault="00F7351E" w:rsidP="00C16832">
      <w:pPr>
        <w:pStyle w:val="ListParagraph"/>
        <w:spacing w:line="0" w:lineRule="atLeast"/>
        <w:ind w:left="0"/>
        <w:rPr>
          <w:color w:val="auto"/>
        </w:rPr>
      </w:pPr>
      <w:r w:rsidRPr="00F7351E">
        <w:rPr>
          <w:color w:val="auto"/>
        </w:rPr>
        <w:t>[Place Table 1 here]</w:t>
      </w:r>
    </w:p>
    <w:p w14:paraId="45445C0A" w14:textId="77777777" w:rsidR="00F7351E" w:rsidRPr="00066CC1" w:rsidRDefault="00F7351E" w:rsidP="00C16832">
      <w:pPr>
        <w:pStyle w:val="ListParagraph"/>
        <w:spacing w:line="0" w:lineRule="atLeast"/>
        <w:rPr>
          <w:b/>
          <w:color w:val="auto"/>
        </w:rPr>
      </w:pPr>
    </w:p>
    <w:p w14:paraId="02ECD7D5" w14:textId="013B035A" w:rsidR="00066CC1" w:rsidRDefault="00066CC1" w:rsidP="00C16832">
      <w:pPr>
        <w:pStyle w:val="ListParagraph"/>
        <w:widowControl/>
        <w:numPr>
          <w:ilvl w:val="1"/>
          <w:numId w:val="10"/>
        </w:numPr>
        <w:spacing w:line="0" w:lineRule="atLeast"/>
        <w:textAlignment w:val="center"/>
        <w:rPr>
          <w:color w:val="auto"/>
        </w:rPr>
      </w:pPr>
      <w:r w:rsidRPr="00066CC1">
        <w:rPr>
          <w:color w:val="auto"/>
        </w:rPr>
        <w:t xml:space="preserve">Mix 50 μL </w:t>
      </w:r>
      <w:r w:rsidR="00CF06EC">
        <w:rPr>
          <w:color w:val="auto"/>
        </w:rPr>
        <w:t xml:space="preserve">of </w:t>
      </w:r>
      <w:r w:rsidRPr="00066CC1">
        <w:rPr>
          <w:color w:val="auto"/>
        </w:rPr>
        <w:t xml:space="preserve">cell solution with the prepared HSC staining mix and incubate the cells for 15 min at room temperature </w:t>
      </w:r>
      <w:r w:rsidR="00CF06EC">
        <w:rPr>
          <w:color w:val="auto"/>
        </w:rPr>
        <w:t xml:space="preserve">(RT) </w:t>
      </w:r>
      <w:r w:rsidRPr="00066CC1">
        <w:rPr>
          <w:color w:val="auto"/>
        </w:rPr>
        <w:t>or</w:t>
      </w:r>
      <w:r w:rsidR="00CF06EC">
        <w:rPr>
          <w:color w:val="auto"/>
        </w:rPr>
        <w:t xml:space="preserve"> for</w:t>
      </w:r>
      <w:r w:rsidRPr="00066CC1">
        <w:rPr>
          <w:color w:val="auto"/>
        </w:rPr>
        <w:t xml:space="preserve"> 1</w:t>
      </w:r>
      <w:r w:rsidR="00CF06EC">
        <w:rPr>
          <w:color w:val="auto"/>
        </w:rPr>
        <w:t xml:space="preserve"> </w:t>
      </w:r>
      <w:r w:rsidRPr="00066CC1">
        <w:rPr>
          <w:color w:val="auto"/>
        </w:rPr>
        <w:t xml:space="preserve">h on ice for the antibodies to bind. </w:t>
      </w:r>
    </w:p>
    <w:p w14:paraId="518383BE" w14:textId="77777777" w:rsidR="00066CC1" w:rsidRPr="00066CC1" w:rsidRDefault="00066CC1" w:rsidP="00C16832">
      <w:pPr>
        <w:widowControl/>
        <w:spacing w:line="0" w:lineRule="atLeast"/>
        <w:textAlignment w:val="center"/>
        <w:rPr>
          <w:color w:val="auto"/>
        </w:rPr>
      </w:pPr>
    </w:p>
    <w:p w14:paraId="066BE2A2" w14:textId="4FFC4513" w:rsidR="00066CC1" w:rsidRDefault="004530D4" w:rsidP="00C16832">
      <w:pPr>
        <w:pStyle w:val="ListParagraph"/>
        <w:widowControl/>
        <w:numPr>
          <w:ilvl w:val="1"/>
          <w:numId w:val="10"/>
        </w:numPr>
        <w:spacing w:line="0" w:lineRule="atLeast"/>
        <w:textAlignment w:val="center"/>
        <w:rPr>
          <w:color w:val="auto"/>
        </w:rPr>
      </w:pPr>
      <w:r w:rsidRPr="00066CC1">
        <w:rPr>
          <w:color w:val="auto"/>
        </w:rPr>
        <w:t xml:space="preserve">Wash </w:t>
      </w:r>
      <w:r w:rsidR="001419C7" w:rsidRPr="00066CC1">
        <w:rPr>
          <w:color w:val="auto"/>
        </w:rPr>
        <w:t xml:space="preserve">the </w:t>
      </w:r>
      <w:r w:rsidRPr="00066CC1">
        <w:rPr>
          <w:color w:val="auto"/>
        </w:rPr>
        <w:t>cells by adding 1 mL</w:t>
      </w:r>
      <w:r w:rsidR="00CF06EC">
        <w:rPr>
          <w:color w:val="auto"/>
        </w:rPr>
        <w:t xml:space="preserve"> of</w:t>
      </w:r>
      <w:r w:rsidRPr="00066CC1">
        <w:rPr>
          <w:color w:val="auto"/>
        </w:rPr>
        <w:t xml:space="preserve"> FACS buffer and pellet </w:t>
      </w:r>
      <w:r w:rsidR="00592A04" w:rsidRPr="00066CC1">
        <w:rPr>
          <w:color w:val="auto"/>
        </w:rPr>
        <w:t>by centrifuging for 5 min</w:t>
      </w:r>
      <w:r w:rsidRPr="00066CC1">
        <w:rPr>
          <w:color w:val="auto"/>
        </w:rPr>
        <w:t xml:space="preserve"> at 350</w:t>
      </w:r>
      <w:r w:rsidR="00592A04" w:rsidRPr="00066CC1">
        <w:rPr>
          <w:color w:val="auto"/>
        </w:rPr>
        <w:t xml:space="preserve"> x</w:t>
      </w:r>
      <w:r w:rsidRPr="00066CC1">
        <w:rPr>
          <w:color w:val="auto"/>
        </w:rPr>
        <w:t xml:space="preserve"> </w:t>
      </w:r>
      <w:r w:rsidRPr="00066CC1">
        <w:rPr>
          <w:i/>
          <w:color w:val="auto"/>
        </w:rPr>
        <w:t>g</w:t>
      </w:r>
      <w:r w:rsidRPr="00066CC1">
        <w:rPr>
          <w:color w:val="auto"/>
        </w:rPr>
        <w:t xml:space="preserve">. </w:t>
      </w:r>
    </w:p>
    <w:p w14:paraId="676556BB" w14:textId="77777777" w:rsidR="00066CC1" w:rsidRPr="00066CC1" w:rsidRDefault="00066CC1" w:rsidP="00C16832">
      <w:pPr>
        <w:spacing w:line="0" w:lineRule="atLeast"/>
        <w:rPr>
          <w:color w:val="auto"/>
        </w:rPr>
      </w:pPr>
    </w:p>
    <w:p w14:paraId="4F829A80" w14:textId="568127EB" w:rsidR="00262C77" w:rsidRDefault="004530D4" w:rsidP="00C16832">
      <w:pPr>
        <w:pStyle w:val="ListParagraph"/>
        <w:widowControl/>
        <w:numPr>
          <w:ilvl w:val="1"/>
          <w:numId w:val="10"/>
        </w:numPr>
        <w:spacing w:line="0" w:lineRule="atLeast"/>
        <w:textAlignment w:val="center"/>
        <w:rPr>
          <w:color w:val="auto"/>
        </w:rPr>
      </w:pPr>
      <w:r w:rsidRPr="00066CC1">
        <w:rPr>
          <w:color w:val="auto"/>
        </w:rPr>
        <w:t xml:space="preserve">Resuspend </w:t>
      </w:r>
      <w:r w:rsidR="00592A04" w:rsidRPr="00066CC1">
        <w:rPr>
          <w:color w:val="auto"/>
        </w:rPr>
        <w:t xml:space="preserve">the </w:t>
      </w:r>
      <w:r w:rsidRPr="00066CC1">
        <w:rPr>
          <w:color w:val="auto"/>
        </w:rPr>
        <w:t xml:space="preserve">cells in 300 μL </w:t>
      </w:r>
      <w:r w:rsidR="00CF06EC">
        <w:rPr>
          <w:color w:val="auto"/>
        </w:rPr>
        <w:t xml:space="preserve">of </w:t>
      </w:r>
      <w:r w:rsidR="001419C7" w:rsidRPr="00066CC1">
        <w:rPr>
          <w:color w:val="auto"/>
        </w:rPr>
        <w:t xml:space="preserve">FACS buffer </w:t>
      </w:r>
      <w:r w:rsidRPr="00066CC1">
        <w:rPr>
          <w:color w:val="auto"/>
        </w:rPr>
        <w:t xml:space="preserve">and </w:t>
      </w:r>
      <w:r w:rsidR="001419C7" w:rsidRPr="00066CC1">
        <w:rPr>
          <w:color w:val="auto"/>
        </w:rPr>
        <w:t>filter</w:t>
      </w:r>
      <w:r w:rsidRPr="00066CC1">
        <w:rPr>
          <w:color w:val="auto"/>
        </w:rPr>
        <w:t xml:space="preserve"> </w:t>
      </w:r>
      <w:r w:rsidR="00CF06EC">
        <w:rPr>
          <w:color w:val="auto"/>
        </w:rPr>
        <w:t xml:space="preserve">the </w:t>
      </w:r>
      <w:r w:rsidRPr="00066CC1">
        <w:rPr>
          <w:color w:val="auto"/>
        </w:rPr>
        <w:t>cell</w:t>
      </w:r>
      <w:r w:rsidR="00592A04" w:rsidRPr="00066CC1">
        <w:rPr>
          <w:color w:val="auto"/>
        </w:rPr>
        <w:t xml:space="preserve"> suspension</w:t>
      </w:r>
      <w:r w:rsidRPr="00066CC1">
        <w:rPr>
          <w:color w:val="auto"/>
        </w:rPr>
        <w:t xml:space="preserve"> through</w:t>
      </w:r>
      <w:r w:rsidR="00592A04" w:rsidRPr="00066CC1">
        <w:rPr>
          <w:color w:val="auto"/>
        </w:rPr>
        <w:t xml:space="preserve"> </w:t>
      </w:r>
      <w:r w:rsidR="00CF06EC">
        <w:rPr>
          <w:color w:val="auto"/>
        </w:rPr>
        <w:t xml:space="preserve">a </w:t>
      </w:r>
      <w:r w:rsidR="001419C7" w:rsidRPr="00066CC1">
        <w:rPr>
          <w:color w:val="auto"/>
        </w:rPr>
        <w:t>35</w:t>
      </w:r>
      <w:r w:rsidR="00CF06EC">
        <w:rPr>
          <w:color w:val="auto"/>
        </w:rPr>
        <w:t xml:space="preserve"> </w:t>
      </w:r>
      <w:r w:rsidR="001419C7" w:rsidRPr="00066CC1">
        <w:rPr>
          <w:color w:val="auto"/>
        </w:rPr>
        <w:t>µm</w:t>
      </w:r>
      <w:r w:rsidRPr="00066CC1">
        <w:rPr>
          <w:color w:val="auto"/>
        </w:rPr>
        <w:t xml:space="preserve"> </w:t>
      </w:r>
      <w:r w:rsidR="001419C7" w:rsidRPr="00066CC1">
        <w:rPr>
          <w:color w:val="auto"/>
        </w:rPr>
        <w:t>cell strainer</w:t>
      </w:r>
      <w:r w:rsidR="007C7D0A" w:rsidRPr="00066CC1">
        <w:rPr>
          <w:color w:val="auto"/>
        </w:rPr>
        <w:t>-cap</w:t>
      </w:r>
      <w:r w:rsidR="001419C7" w:rsidRPr="00066CC1">
        <w:rPr>
          <w:color w:val="auto"/>
        </w:rPr>
        <w:t>ped</w:t>
      </w:r>
      <w:r w:rsidR="007C7D0A" w:rsidRPr="00066CC1">
        <w:rPr>
          <w:color w:val="auto"/>
        </w:rPr>
        <w:t xml:space="preserve"> 5</w:t>
      </w:r>
      <w:r w:rsidR="00CF06EC">
        <w:rPr>
          <w:color w:val="auto"/>
        </w:rPr>
        <w:t xml:space="preserve"> </w:t>
      </w:r>
      <w:r w:rsidR="007C7D0A" w:rsidRPr="00066CC1">
        <w:rPr>
          <w:color w:val="auto"/>
        </w:rPr>
        <w:t>mL polystyrene tube</w:t>
      </w:r>
      <w:r w:rsidRPr="00066CC1">
        <w:rPr>
          <w:color w:val="auto"/>
        </w:rPr>
        <w:t xml:space="preserve"> to remove cell clumps before fluorescence-activated cell sorting</w:t>
      </w:r>
      <w:r w:rsidR="00592A04" w:rsidRPr="00066CC1">
        <w:rPr>
          <w:color w:val="auto"/>
        </w:rPr>
        <w:t xml:space="preserve"> (FACS)</w:t>
      </w:r>
      <w:r w:rsidRPr="00066CC1">
        <w:rPr>
          <w:color w:val="auto"/>
        </w:rPr>
        <w:t xml:space="preserve">. </w:t>
      </w:r>
    </w:p>
    <w:p w14:paraId="0FE4D2C9" w14:textId="77777777" w:rsidR="00262C77" w:rsidRPr="00F7351E" w:rsidRDefault="00262C77" w:rsidP="00C16832">
      <w:pPr>
        <w:widowControl/>
        <w:spacing w:line="0" w:lineRule="atLeast"/>
        <w:textAlignment w:val="center"/>
        <w:rPr>
          <w:color w:val="auto"/>
        </w:rPr>
      </w:pPr>
    </w:p>
    <w:p w14:paraId="585F0210" w14:textId="70C94B03" w:rsidR="00066CC1" w:rsidRDefault="00AB13D2" w:rsidP="00C16832">
      <w:pPr>
        <w:pStyle w:val="ListParagraph"/>
        <w:widowControl/>
        <w:numPr>
          <w:ilvl w:val="1"/>
          <w:numId w:val="10"/>
        </w:numPr>
        <w:spacing w:line="0" w:lineRule="atLeast"/>
        <w:textAlignment w:val="center"/>
        <w:rPr>
          <w:highlight w:val="yellow"/>
        </w:rPr>
      </w:pPr>
      <w:r w:rsidRPr="00066CC1">
        <w:rPr>
          <w:highlight w:val="yellow"/>
        </w:rPr>
        <w:lastRenderedPageBreak/>
        <w:t xml:space="preserve">Prepare </w:t>
      </w:r>
      <w:r w:rsidR="00CE2062" w:rsidRPr="00066CC1">
        <w:rPr>
          <w:highlight w:val="yellow"/>
        </w:rPr>
        <w:t>25 mL</w:t>
      </w:r>
      <w:r w:rsidR="00931E95" w:rsidRPr="00066CC1">
        <w:rPr>
          <w:highlight w:val="yellow"/>
        </w:rPr>
        <w:t xml:space="preserve"> of</w:t>
      </w:r>
      <w:r w:rsidR="00CE2062" w:rsidRPr="00066CC1">
        <w:rPr>
          <w:highlight w:val="yellow"/>
        </w:rPr>
        <w:t xml:space="preserve"> </w:t>
      </w:r>
      <w:r w:rsidRPr="00066CC1">
        <w:rPr>
          <w:highlight w:val="yellow"/>
        </w:rPr>
        <w:t xml:space="preserve">HSPC </w:t>
      </w:r>
      <w:r w:rsidR="000D4541" w:rsidRPr="00066CC1">
        <w:rPr>
          <w:highlight w:val="yellow"/>
        </w:rPr>
        <w:t>culture medium</w:t>
      </w:r>
      <w:r w:rsidR="00931E95" w:rsidRPr="00066CC1">
        <w:rPr>
          <w:highlight w:val="yellow"/>
        </w:rPr>
        <w:t xml:space="preserve">, </w:t>
      </w:r>
      <w:r w:rsidR="00262C77">
        <w:rPr>
          <w:highlight w:val="yellow"/>
        </w:rPr>
        <w:t>consisting of 1</w:t>
      </w:r>
      <w:r w:rsidR="00AA2BB1">
        <w:rPr>
          <w:highlight w:val="yellow"/>
        </w:rPr>
        <w:t>x</w:t>
      </w:r>
      <w:r w:rsidR="00262C77">
        <w:rPr>
          <w:highlight w:val="yellow"/>
        </w:rPr>
        <w:t xml:space="preserve"> SFEM medium supplemented with </w:t>
      </w:r>
      <w:r w:rsidR="00066CC1" w:rsidRPr="00262C77">
        <w:rPr>
          <w:highlight w:val="yellow"/>
        </w:rPr>
        <w:t>100 ng/mL SCF</w:t>
      </w:r>
      <w:r w:rsidR="00262C77">
        <w:rPr>
          <w:highlight w:val="yellow"/>
        </w:rPr>
        <w:t xml:space="preserve">, </w:t>
      </w:r>
      <w:r w:rsidR="00066CC1" w:rsidRPr="00066CC1">
        <w:rPr>
          <w:highlight w:val="yellow"/>
        </w:rPr>
        <w:t>100 ng/mL Flt3</w:t>
      </w:r>
      <w:r w:rsidR="00262C77">
        <w:rPr>
          <w:highlight w:val="yellow"/>
        </w:rPr>
        <w:t xml:space="preserve">, </w:t>
      </w:r>
      <w:r w:rsidR="00066CC1" w:rsidRPr="00066CC1">
        <w:rPr>
          <w:highlight w:val="yellow"/>
        </w:rPr>
        <w:t>50 ng/mL TPO</w:t>
      </w:r>
      <w:r w:rsidR="00262C77">
        <w:rPr>
          <w:highlight w:val="yellow"/>
        </w:rPr>
        <w:t xml:space="preserve">, </w:t>
      </w:r>
      <w:r w:rsidR="00066CC1" w:rsidRPr="00066CC1">
        <w:rPr>
          <w:highlight w:val="yellow"/>
        </w:rPr>
        <w:t>10 ng/mL IL-3</w:t>
      </w:r>
      <w:r w:rsidR="00262C77">
        <w:rPr>
          <w:highlight w:val="yellow"/>
        </w:rPr>
        <w:t xml:space="preserve">, </w:t>
      </w:r>
      <w:r w:rsidR="00066CC1" w:rsidRPr="00066CC1">
        <w:rPr>
          <w:highlight w:val="yellow"/>
        </w:rPr>
        <w:t>20 ng/mL IL-</w:t>
      </w:r>
      <w:r w:rsidR="00262C77">
        <w:rPr>
          <w:highlight w:val="yellow"/>
        </w:rPr>
        <w:t xml:space="preserve"> </w:t>
      </w:r>
      <w:r w:rsidR="00066CC1" w:rsidRPr="00066CC1">
        <w:rPr>
          <w:highlight w:val="yellow"/>
        </w:rPr>
        <w:t>6</w:t>
      </w:r>
      <w:r w:rsidR="00262C77">
        <w:rPr>
          <w:highlight w:val="yellow"/>
        </w:rPr>
        <w:t>,</w:t>
      </w:r>
      <w:r w:rsidR="00AA2BB1">
        <w:rPr>
          <w:highlight w:val="yellow"/>
        </w:rPr>
        <w:t xml:space="preserve"> and</w:t>
      </w:r>
      <w:r w:rsidR="00262C77">
        <w:rPr>
          <w:highlight w:val="yellow"/>
        </w:rPr>
        <w:t xml:space="preserve"> </w:t>
      </w:r>
      <w:r w:rsidR="00066CC1" w:rsidRPr="00066CC1">
        <w:rPr>
          <w:highlight w:val="yellow"/>
        </w:rPr>
        <w:t xml:space="preserve">100 ng/mL </w:t>
      </w:r>
      <w:r w:rsidR="00AA2BB1">
        <w:rPr>
          <w:highlight w:val="yellow"/>
        </w:rPr>
        <w:t xml:space="preserve">antibiotic formulation (see </w:t>
      </w:r>
      <w:r w:rsidR="00AA2BB1">
        <w:rPr>
          <w:b/>
          <w:highlight w:val="yellow"/>
        </w:rPr>
        <w:t>Table of Materials</w:t>
      </w:r>
      <w:r w:rsidR="00AA2BB1">
        <w:rPr>
          <w:highlight w:val="yellow"/>
        </w:rPr>
        <w:t>)</w:t>
      </w:r>
      <w:r w:rsidR="00262C77">
        <w:rPr>
          <w:highlight w:val="yellow"/>
        </w:rPr>
        <w:t xml:space="preserve">. </w:t>
      </w:r>
    </w:p>
    <w:p w14:paraId="47EAE195" w14:textId="77777777" w:rsidR="003E3A0D" w:rsidRPr="00066CC1" w:rsidRDefault="003E3A0D" w:rsidP="00C16832">
      <w:pPr>
        <w:pStyle w:val="ListParagraph"/>
        <w:widowControl/>
        <w:spacing w:line="0" w:lineRule="atLeast"/>
        <w:ind w:left="360"/>
        <w:textAlignment w:val="center"/>
        <w:rPr>
          <w:highlight w:val="yellow"/>
        </w:rPr>
      </w:pPr>
    </w:p>
    <w:p w14:paraId="272BA9DE" w14:textId="1BF2B848" w:rsidR="00E26AEF" w:rsidRPr="00F7351E" w:rsidRDefault="003E7A2C" w:rsidP="00C16832">
      <w:pPr>
        <w:pStyle w:val="ListParagraph"/>
        <w:widowControl/>
        <w:numPr>
          <w:ilvl w:val="1"/>
          <w:numId w:val="10"/>
        </w:numPr>
        <w:spacing w:line="0" w:lineRule="atLeast"/>
        <w:textAlignment w:val="center"/>
        <w:rPr>
          <w:color w:val="auto"/>
        </w:rPr>
      </w:pPr>
      <w:r w:rsidRPr="00066CC1">
        <w:rPr>
          <w:color w:val="auto"/>
          <w:highlight w:val="yellow"/>
        </w:rPr>
        <w:t xml:space="preserve">Fill </w:t>
      </w:r>
      <w:r w:rsidR="00587FF8" w:rsidRPr="00066CC1">
        <w:rPr>
          <w:color w:val="auto"/>
          <w:highlight w:val="yellow"/>
        </w:rPr>
        <w:t xml:space="preserve">a </w:t>
      </w:r>
      <w:r w:rsidRPr="00066CC1">
        <w:rPr>
          <w:color w:val="auto"/>
          <w:highlight w:val="yellow"/>
        </w:rPr>
        <w:t>384</w:t>
      </w:r>
      <w:r w:rsidR="00CF06EC">
        <w:rPr>
          <w:color w:val="auto"/>
          <w:highlight w:val="yellow"/>
        </w:rPr>
        <w:t xml:space="preserve"> </w:t>
      </w:r>
      <w:r w:rsidRPr="00066CC1">
        <w:rPr>
          <w:color w:val="auto"/>
          <w:highlight w:val="yellow"/>
        </w:rPr>
        <w:t>well cell culture plate with 75</w:t>
      </w:r>
      <w:r w:rsidR="00742143" w:rsidRPr="00066CC1">
        <w:rPr>
          <w:color w:val="auto"/>
          <w:highlight w:val="yellow"/>
        </w:rPr>
        <w:t xml:space="preserve"> μ</w:t>
      </w:r>
      <w:r w:rsidRPr="00066CC1">
        <w:rPr>
          <w:color w:val="auto"/>
          <w:highlight w:val="yellow"/>
        </w:rPr>
        <w:t xml:space="preserve">L </w:t>
      </w:r>
      <w:r w:rsidR="00931E95" w:rsidRPr="00066CC1">
        <w:rPr>
          <w:color w:val="auto"/>
          <w:highlight w:val="yellow"/>
        </w:rPr>
        <w:t xml:space="preserve">of </w:t>
      </w:r>
      <w:r w:rsidRPr="00066CC1">
        <w:rPr>
          <w:color w:val="auto"/>
          <w:highlight w:val="yellow"/>
        </w:rPr>
        <w:t>HSPC culture medium in each well</w:t>
      </w:r>
      <w:r w:rsidR="00931E95" w:rsidRPr="00066CC1">
        <w:rPr>
          <w:color w:val="auto"/>
          <w:highlight w:val="yellow"/>
        </w:rPr>
        <w:t xml:space="preserve">. </w:t>
      </w:r>
    </w:p>
    <w:p w14:paraId="6BC64CD3" w14:textId="77777777" w:rsidR="00F7351E" w:rsidRDefault="00F7351E" w:rsidP="00C16832">
      <w:pPr>
        <w:pStyle w:val="ListParagraph"/>
        <w:widowControl/>
        <w:spacing w:line="0" w:lineRule="atLeast"/>
        <w:ind w:left="0"/>
        <w:textAlignment w:val="center"/>
        <w:rPr>
          <w:color w:val="auto"/>
          <w:highlight w:val="yellow"/>
        </w:rPr>
      </w:pPr>
    </w:p>
    <w:p w14:paraId="7050F37E" w14:textId="499460F2" w:rsidR="00066CC1" w:rsidRPr="00066CC1" w:rsidRDefault="004530D4" w:rsidP="00C16832">
      <w:pPr>
        <w:pStyle w:val="ListParagraph"/>
        <w:widowControl/>
        <w:spacing w:line="0" w:lineRule="atLeast"/>
        <w:ind w:left="0"/>
        <w:textAlignment w:val="center"/>
        <w:rPr>
          <w:color w:val="auto"/>
        </w:rPr>
      </w:pPr>
      <w:r w:rsidRPr="00066CC1">
        <w:rPr>
          <w:color w:val="auto"/>
          <w:highlight w:val="yellow"/>
        </w:rPr>
        <w:t xml:space="preserve">NOTE: </w:t>
      </w:r>
      <w:r w:rsidR="00CF06EC">
        <w:rPr>
          <w:color w:val="auto"/>
          <w:highlight w:val="yellow"/>
        </w:rPr>
        <w:t>T</w:t>
      </w:r>
      <w:r w:rsidRPr="00066CC1">
        <w:rPr>
          <w:color w:val="auto"/>
          <w:highlight w:val="yellow"/>
        </w:rPr>
        <w:t>o prevent</w:t>
      </w:r>
      <w:r w:rsidR="00380C24" w:rsidRPr="00066CC1">
        <w:rPr>
          <w:color w:val="auto"/>
          <w:highlight w:val="yellow"/>
        </w:rPr>
        <w:t xml:space="preserve"> </w:t>
      </w:r>
      <w:r w:rsidR="00931E95" w:rsidRPr="00066CC1">
        <w:rPr>
          <w:color w:val="auto"/>
          <w:highlight w:val="yellow"/>
        </w:rPr>
        <w:t xml:space="preserve">evaporation of the medium in the </w:t>
      </w:r>
      <w:r w:rsidR="00380C24" w:rsidRPr="00066CC1">
        <w:rPr>
          <w:color w:val="auto"/>
          <w:highlight w:val="yellow"/>
        </w:rPr>
        <w:t>outer wells</w:t>
      </w:r>
      <w:r w:rsidRPr="00066CC1">
        <w:rPr>
          <w:color w:val="auto"/>
          <w:highlight w:val="yellow"/>
        </w:rPr>
        <w:t xml:space="preserve">, fill </w:t>
      </w:r>
      <w:r w:rsidR="00931E95" w:rsidRPr="00066CC1">
        <w:rPr>
          <w:color w:val="auto"/>
          <w:highlight w:val="yellow"/>
        </w:rPr>
        <w:t xml:space="preserve">the </w:t>
      </w:r>
      <w:r w:rsidRPr="00066CC1">
        <w:rPr>
          <w:color w:val="auto"/>
          <w:highlight w:val="yellow"/>
        </w:rPr>
        <w:t>outer wells with 75 μL</w:t>
      </w:r>
      <w:r w:rsidR="00931E95" w:rsidRPr="00066CC1">
        <w:rPr>
          <w:color w:val="auto"/>
          <w:highlight w:val="yellow"/>
        </w:rPr>
        <w:t xml:space="preserve"> of</w:t>
      </w:r>
      <w:r w:rsidRPr="00066CC1">
        <w:rPr>
          <w:color w:val="auto"/>
          <w:highlight w:val="yellow"/>
        </w:rPr>
        <w:t xml:space="preserve"> </w:t>
      </w:r>
      <w:r w:rsidR="00AA2BB1">
        <w:rPr>
          <w:color w:val="auto"/>
          <w:highlight w:val="yellow"/>
        </w:rPr>
        <w:t xml:space="preserve">sterile water </w:t>
      </w:r>
      <w:r w:rsidRPr="00066CC1">
        <w:rPr>
          <w:color w:val="auto"/>
          <w:highlight w:val="yellow"/>
        </w:rPr>
        <w:t>or PBS</w:t>
      </w:r>
      <w:r w:rsidR="00CF06EC">
        <w:rPr>
          <w:color w:val="auto"/>
          <w:highlight w:val="yellow"/>
        </w:rPr>
        <w:t>,</w:t>
      </w:r>
      <w:r w:rsidR="00931E95" w:rsidRPr="00066CC1">
        <w:rPr>
          <w:color w:val="auto"/>
          <w:highlight w:val="yellow"/>
        </w:rPr>
        <w:t xml:space="preserve"> and do not </w:t>
      </w:r>
      <w:r w:rsidR="005544CB" w:rsidRPr="00066CC1">
        <w:rPr>
          <w:color w:val="auto"/>
          <w:highlight w:val="yellow"/>
        </w:rPr>
        <w:t xml:space="preserve">use these wells for </w:t>
      </w:r>
      <w:r w:rsidR="001419C7" w:rsidRPr="00066CC1">
        <w:rPr>
          <w:color w:val="auto"/>
          <w:highlight w:val="yellow"/>
        </w:rPr>
        <w:t>cell sorting.</w:t>
      </w:r>
      <w:r w:rsidR="00380C24" w:rsidRPr="00066CC1">
        <w:rPr>
          <w:color w:val="auto"/>
          <w:highlight w:val="yellow"/>
        </w:rPr>
        <w:t xml:space="preserve"> </w:t>
      </w:r>
    </w:p>
    <w:p w14:paraId="1902E4B0" w14:textId="77777777" w:rsidR="00E26AEF" w:rsidRPr="00066CC1" w:rsidRDefault="00E26AEF" w:rsidP="00C16832">
      <w:pPr>
        <w:widowControl/>
        <w:spacing w:line="0" w:lineRule="atLeast"/>
        <w:textAlignment w:val="center"/>
        <w:rPr>
          <w:color w:val="auto"/>
        </w:rPr>
      </w:pPr>
    </w:p>
    <w:p w14:paraId="4724549F" w14:textId="5C5805FE" w:rsidR="00066CC1" w:rsidRPr="00530BAC" w:rsidRDefault="007B61C8" w:rsidP="00C16832">
      <w:pPr>
        <w:widowControl/>
        <w:numPr>
          <w:ilvl w:val="1"/>
          <w:numId w:val="10"/>
        </w:numPr>
        <w:spacing w:line="0" w:lineRule="atLeast"/>
        <w:textAlignment w:val="center"/>
        <w:rPr>
          <w:color w:val="auto"/>
        </w:rPr>
      </w:pPr>
      <w:r w:rsidRPr="00C16832">
        <w:rPr>
          <w:color w:val="auto"/>
          <w:highlight w:val="yellow"/>
        </w:rPr>
        <w:t>Sort</w:t>
      </w:r>
      <w:r w:rsidR="00CF06EC" w:rsidRPr="00C16832">
        <w:rPr>
          <w:color w:val="auto"/>
          <w:highlight w:val="yellow"/>
        </w:rPr>
        <w:t>ing</w:t>
      </w:r>
      <w:r w:rsidRPr="00C16832">
        <w:rPr>
          <w:color w:val="auto"/>
          <w:highlight w:val="yellow"/>
        </w:rPr>
        <w:t xml:space="preserve"> single HS</w:t>
      </w:r>
      <w:r w:rsidR="000D7764" w:rsidRPr="00C16832">
        <w:rPr>
          <w:color w:val="auto"/>
          <w:highlight w:val="yellow"/>
        </w:rPr>
        <w:t>P</w:t>
      </w:r>
      <w:r w:rsidRPr="00C16832">
        <w:rPr>
          <w:color w:val="auto"/>
          <w:highlight w:val="yellow"/>
        </w:rPr>
        <w:t>Cs</w:t>
      </w:r>
    </w:p>
    <w:p w14:paraId="1B37E764" w14:textId="77777777" w:rsidR="00F7351E" w:rsidRPr="00F7351E" w:rsidRDefault="00F7351E" w:rsidP="00C16832">
      <w:pPr>
        <w:pStyle w:val="ListParagraph"/>
        <w:widowControl/>
        <w:spacing w:line="0" w:lineRule="atLeast"/>
        <w:ind w:left="0"/>
        <w:textAlignment w:val="center"/>
        <w:rPr>
          <w:color w:val="auto"/>
        </w:rPr>
      </w:pPr>
    </w:p>
    <w:p w14:paraId="5BE79270" w14:textId="4E363BCA" w:rsidR="00066CC1" w:rsidRPr="00066CC1" w:rsidRDefault="000D7764" w:rsidP="00C16832">
      <w:pPr>
        <w:pStyle w:val="ListParagraph"/>
        <w:widowControl/>
        <w:numPr>
          <w:ilvl w:val="2"/>
          <w:numId w:val="10"/>
        </w:numPr>
        <w:spacing w:line="0" w:lineRule="atLeast"/>
        <w:textAlignment w:val="center"/>
        <w:rPr>
          <w:color w:val="auto"/>
        </w:rPr>
      </w:pPr>
      <w:r w:rsidRPr="00066CC1">
        <w:rPr>
          <w:color w:val="auto"/>
          <w:highlight w:val="yellow"/>
        </w:rPr>
        <w:t>Set gates for</w:t>
      </w:r>
      <w:r w:rsidR="005544CB" w:rsidRPr="00066CC1">
        <w:rPr>
          <w:color w:val="auto"/>
          <w:highlight w:val="yellow"/>
        </w:rPr>
        <w:t xml:space="preserve"> the</w:t>
      </w:r>
      <w:r w:rsidRPr="00066CC1">
        <w:rPr>
          <w:color w:val="auto"/>
          <w:highlight w:val="yellow"/>
        </w:rPr>
        <w:t xml:space="preserve"> HSPC sort</w:t>
      </w:r>
      <w:r w:rsidR="00CF06EC">
        <w:rPr>
          <w:color w:val="auto"/>
          <w:highlight w:val="yellow"/>
        </w:rPr>
        <w:t>ing</w:t>
      </w:r>
      <w:r w:rsidRPr="00066CC1">
        <w:rPr>
          <w:color w:val="auto"/>
          <w:highlight w:val="yellow"/>
        </w:rPr>
        <w:t xml:space="preserve"> based on </w:t>
      </w:r>
      <w:r w:rsidR="005544CB" w:rsidRPr="00066CC1">
        <w:rPr>
          <w:color w:val="auto"/>
          <w:highlight w:val="yellow"/>
        </w:rPr>
        <w:t>a</w:t>
      </w:r>
      <w:r w:rsidR="001419C7" w:rsidRPr="00066CC1">
        <w:rPr>
          <w:color w:val="auto"/>
          <w:highlight w:val="yellow"/>
        </w:rPr>
        <w:t>n</w:t>
      </w:r>
      <w:r w:rsidR="005544CB" w:rsidRPr="00066CC1">
        <w:rPr>
          <w:color w:val="auto"/>
          <w:highlight w:val="yellow"/>
        </w:rPr>
        <w:t xml:space="preserve"> </w:t>
      </w:r>
      <w:r w:rsidRPr="00066CC1">
        <w:rPr>
          <w:color w:val="auto"/>
          <w:highlight w:val="yellow"/>
        </w:rPr>
        <w:t>unstained control</w:t>
      </w:r>
      <w:r w:rsidR="003F275F" w:rsidRPr="00066CC1">
        <w:rPr>
          <w:color w:val="auto"/>
          <w:highlight w:val="yellow"/>
        </w:rPr>
        <w:t xml:space="preserve"> (</w:t>
      </w:r>
      <w:r w:rsidR="00CF06EC">
        <w:rPr>
          <w:color w:val="auto"/>
          <w:highlight w:val="yellow"/>
        </w:rPr>
        <w:t>s</w:t>
      </w:r>
      <w:r w:rsidR="003F275F" w:rsidRPr="00066CC1">
        <w:rPr>
          <w:color w:val="auto"/>
          <w:highlight w:val="yellow"/>
        </w:rPr>
        <w:t>tep 1.9</w:t>
      </w:r>
      <w:r w:rsidR="003112CF" w:rsidRPr="00066CC1">
        <w:rPr>
          <w:color w:val="auto"/>
          <w:highlight w:val="yellow"/>
        </w:rPr>
        <w:t>)</w:t>
      </w:r>
      <w:r w:rsidRPr="00066CC1">
        <w:rPr>
          <w:color w:val="auto"/>
          <w:highlight w:val="yellow"/>
        </w:rPr>
        <w:t xml:space="preserve"> and 10</w:t>
      </w:r>
      <w:r w:rsidR="00CF06EC">
        <w:rPr>
          <w:color w:val="auto"/>
          <w:highlight w:val="yellow"/>
        </w:rPr>
        <w:t>,</w:t>
      </w:r>
      <w:r w:rsidRPr="00066CC1">
        <w:rPr>
          <w:color w:val="auto"/>
          <w:highlight w:val="yellow"/>
        </w:rPr>
        <w:t>000 cells from</w:t>
      </w:r>
      <w:r w:rsidR="009A6084" w:rsidRPr="00066CC1">
        <w:rPr>
          <w:color w:val="auto"/>
          <w:highlight w:val="yellow"/>
        </w:rPr>
        <w:t xml:space="preserve"> the</w:t>
      </w:r>
      <w:r w:rsidRPr="00066CC1">
        <w:rPr>
          <w:color w:val="auto"/>
          <w:highlight w:val="yellow"/>
        </w:rPr>
        <w:t xml:space="preserve"> stained sample. </w:t>
      </w:r>
      <w:r w:rsidR="009A6084" w:rsidRPr="00066CC1">
        <w:rPr>
          <w:color w:val="auto"/>
          <w:highlight w:val="yellow"/>
        </w:rPr>
        <w:t>A r</w:t>
      </w:r>
      <w:r w:rsidR="00EB4678" w:rsidRPr="00066CC1">
        <w:rPr>
          <w:color w:val="auto"/>
          <w:highlight w:val="yellow"/>
        </w:rPr>
        <w:t xml:space="preserve">epresentative </w:t>
      </w:r>
      <w:r w:rsidR="009A6084" w:rsidRPr="00066CC1">
        <w:rPr>
          <w:color w:val="auto"/>
          <w:highlight w:val="yellow"/>
        </w:rPr>
        <w:t xml:space="preserve">result </w:t>
      </w:r>
      <w:r w:rsidR="00B0123A" w:rsidRPr="00066CC1">
        <w:rPr>
          <w:color w:val="auto"/>
          <w:highlight w:val="yellow"/>
        </w:rPr>
        <w:t xml:space="preserve">for setting gates </w:t>
      </w:r>
      <w:r w:rsidR="009A6084" w:rsidRPr="00066CC1">
        <w:rPr>
          <w:color w:val="auto"/>
          <w:highlight w:val="yellow"/>
        </w:rPr>
        <w:t>is depicted in</w:t>
      </w:r>
      <w:r w:rsidR="00EB4678" w:rsidRPr="00066CC1">
        <w:rPr>
          <w:color w:val="auto"/>
          <w:highlight w:val="yellow"/>
        </w:rPr>
        <w:t xml:space="preserve"> </w:t>
      </w:r>
      <w:r w:rsidR="009A6084" w:rsidRPr="00C16832">
        <w:rPr>
          <w:b/>
          <w:color w:val="auto"/>
          <w:highlight w:val="yellow"/>
        </w:rPr>
        <w:t>F</w:t>
      </w:r>
      <w:r w:rsidR="00EB4678" w:rsidRPr="00C16832">
        <w:rPr>
          <w:b/>
          <w:color w:val="auto"/>
          <w:highlight w:val="yellow"/>
        </w:rPr>
        <w:t>igure 1</w:t>
      </w:r>
      <w:r w:rsidR="00EB4678" w:rsidRPr="00066CC1">
        <w:rPr>
          <w:color w:val="auto"/>
          <w:highlight w:val="yellow"/>
        </w:rPr>
        <w:t xml:space="preserve">. </w:t>
      </w:r>
      <w:r w:rsidR="00975077">
        <w:rPr>
          <w:color w:val="auto"/>
          <w:highlight w:val="yellow"/>
        </w:rPr>
        <w:t>Gate s</w:t>
      </w:r>
      <w:r w:rsidR="00EB4678" w:rsidRPr="00066CC1">
        <w:rPr>
          <w:color w:val="auto"/>
          <w:highlight w:val="yellow"/>
        </w:rPr>
        <w:t xml:space="preserve">ingle cells by </w:t>
      </w:r>
      <w:r w:rsidR="00DB0826" w:rsidRPr="00066CC1">
        <w:rPr>
          <w:color w:val="auto"/>
          <w:highlight w:val="yellow"/>
        </w:rPr>
        <w:t>drawing a gate around the linear FSC-height vs</w:t>
      </w:r>
      <w:r w:rsidR="00CF06EC">
        <w:rPr>
          <w:color w:val="auto"/>
          <w:highlight w:val="yellow"/>
        </w:rPr>
        <w:t>.</w:t>
      </w:r>
      <w:r w:rsidR="00DB0826" w:rsidRPr="00066CC1">
        <w:rPr>
          <w:color w:val="auto"/>
          <w:highlight w:val="yellow"/>
        </w:rPr>
        <w:t xml:space="preserve"> FSC-area fraction.</w:t>
      </w:r>
      <w:r w:rsidRPr="00066CC1">
        <w:rPr>
          <w:color w:val="auto"/>
          <w:highlight w:val="yellow"/>
        </w:rPr>
        <w:t xml:space="preserve"> Use unstained control fraction to draw gate for lineage</w:t>
      </w:r>
      <w:r w:rsidRPr="00066CC1">
        <w:rPr>
          <w:color w:val="auto"/>
          <w:highlight w:val="yellow"/>
          <w:vertAlign w:val="superscript"/>
        </w:rPr>
        <w:t>-</w:t>
      </w:r>
      <w:r w:rsidRPr="00066CC1">
        <w:rPr>
          <w:color w:val="auto"/>
          <w:highlight w:val="yellow"/>
        </w:rPr>
        <w:t xml:space="preserve"> fraction. Draw gates for CD34+ cells and further characterize this subset by setting a specific gate for CD38- CD45</w:t>
      </w:r>
      <w:r w:rsidR="001F5D94">
        <w:rPr>
          <w:color w:val="auto"/>
          <w:highlight w:val="yellow"/>
        </w:rPr>
        <w:t>RA</w:t>
      </w:r>
      <w:r w:rsidRPr="00066CC1">
        <w:rPr>
          <w:color w:val="auto"/>
          <w:highlight w:val="yellow"/>
        </w:rPr>
        <w:t xml:space="preserve">- cells. </w:t>
      </w:r>
    </w:p>
    <w:p w14:paraId="64D09DED" w14:textId="77777777" w:rsidR="00066CC1" w:rsidRPr="00066CC1" w:rsidRDefault="00066CC1" w:rsidP="00C16832">
      <w:pPr>
        <w:widowControl/>
        <w:spacing w:line="0" w:lineRule="atLeast"/>
        <w:textAlignment w:val="center"/>
        <w:rPr>
          <w:color w:val="auto"/>
        </w:rPr>
      </w:pPr>
    </w:p>
    <w:p w14:paraId="5C3E1222" w14:textId="7F016EAC" w:rsidR="00CF06EC" w:rsidRPr="00C16832" w:rsidRDefault="003F275F" w:rsidP="00C16832">
      <w:pPr>
        <w:pStyle w:val="ListParagraph"/>
        <w:widowControl/>
        <w:numPr>
          <w:ilvl w:val="2"/>
          <w:numId w:val="10"/>
        </w:numPr>
        <w:spacing w:line="0" w:lineRule="atLeast"/>
        <w:textAlignment w:val="center"/>
        <w:rPr>
          <w:color w:val="auto"/>
        </w:rPr>
      </w:pPr>
      <w:r w:rsidRPr="00066CC1">
        <w:rPr>
          <w:color w:val="auto"/>
          <w:highlight w:val="yellow"/>
        </w:rPr>
        <w:t xml:space="preserve">Load </w:t>
      </w:r>
      <w:r w:rsidR="004775AA">
        <w:rPr>
          <w:color w:val="auto"/>
          <w:highlight w:val="yellow"/>
        </w:rPr>
        <w:t xml:space="preserve">the </w:t>
      </w:r>
      <w:r w:rsidRPr="00066CC1">
        <w:rPr>
          <w:color w:val="auto"/>
          <w:highlight w:val="yellow"/>
        </w:rPr>
        <w:t>384</w:t>
      </w:r>
      <w:r w:rsidR="00CF06EC">
        <w:rPr>
          <w:color w:val="auto"/>
          <w:highlight w:val="yellow"/>
        </w:rPr>
        <w:t xml:space="preserve"> </w:t>
      </w:r>
      <w:r w:rsidRPr="00066CC1">
        <w:rPr>
          <w:color w:val="auto"/>
          <w:highlight w:val="yellow"/>
        </w:rPr>
        <w:t>well plate</w:t>
      </w:r>
      <w:r w:rsidR="004775AA">
        <w:rPr>
          <w:color w:val="auto"/>
          <w:highlight w:val="yellow"/>
        </w:rPr>
        <w:t xml:space="preserve"> on the FACS machine</w:t>
      </w:r>
      <w:r w:rsidRPr="00066CC1">
        <w:rPr>
          <w:color w:val="auto"/>
          <w:highlight w:val="yellow"/>
        </w:rPr>
        <w:t xml:space="preserve"> and sort single cells</w:t>
      </w:r>
      <w:r w:rsidR="000D7764" w:rsidRPr="00066CC1">
        <w:rPr>
          <w:color w:val="auto"/>
          <w:highlight w:val="yellow"/>
        </w:rPr>
        <w:t xml:space="preserve">. </w:t>
      </w:r>
    </w:p>
    <w:p w14:paraId="23BEC8B6" w14:textId="77777777" w:rsidR="00CF06EC" w:rsidRPr="00C16832" w:rsidRDefault="00CF06EC" w:rsidP="00C16832">
      <w:pPr>
        <w:pStyle w:val="ListParagraph"/>
        <w:rPr>
          <w:color w:val="auto"/>
          <w:highlight w:val="yellow"/>
        </w:rPr>
      </w:pPr>
    </w:p>
    <w:p w14:paraId="0A1DF7B3" w14:textId="0F4A5C78" w:rsidR="00066CC1" w:rsidRPr="00066CC1" w:rsidRDefault="00380C24" w:rsidP="00C16832">
      <w:pPr>
        <w:pStyle w:val="ListParagraph"/>
        <w:widowControl/>
        <w:spacing w:line="0" w:lineRule="atLeast"/>
        <w:ind w:left="0"/>
        <w:textAlignment w:val="center"/>
        <w:rPr>
          <w:color w:val="auto"/>
        </w:rPr>
      </w:pPr>
      <w:r w:rsidRPr="00066CC1">
        <w:rPr>
          <w:color w:val="auto"/>
          <w:highlight w:val="yellow"/>
        </w:rPr>
        <w:t xml:space="preserve">NOTE: If applicable to </w:t>
      </w:r>
      <w:r w:rsidR="00376577">
        <w:rPr>
          <w:color w:val="auto"/>
          <w:highlight w:val="yellow"/>
        </w:rPr>
        <w:t>the</w:t>
      </w:r>
      <w:r w:rsidRPr="00066CC1">
        <w:rPr>
          <w:color w:val="auto"/>
          <w:highlight w:val="yellow"/>
        </w:rPr>
        <w:t xml:space="preserve"> FACS-machine</w:t>
      </w:r>
      <w:r w:rsidR="00376577">
        <w:rPr>
          <w:color w:val="auto"/>
          <w:highlight w:val="yellow"/>
        </w:rPr>
        <w:t>,</w:t>
      </w:r>
      <w:r w:rsidRPr="00066CC1">
        <w:rPr>
          <w:color w:val="auto"/>
          <w:highlight w:val="yellow"/>
        </w:rPr>
        <w:t xml:space="preserve"> t</w:t>
      </w:r>
      <w:r w:rsidR="000D7764" w:rsidRPr="00066CC1">
        <w:rPr>
          <w:color w:val="auto"/>
          <w:highlight w:val="yellow"/>
        </w:rPr>
        <w:t xml:space="preserve">oggle </w:t>
      </w:r>
      <w:r w:rsidRPr="00066CC1">
        <w:rPr>
          <w:color w:val="auto"/>
          <w:highlight w:val="yellow"/>
        </w:rPr>
        <w:t xml:space="preserve">on </w:t>
      </w:r>
      <w:r w:rsidR="004775AA">
        <w:rPr>
          <w:color w:val="auto"/>
          <w:highlight w:val="yellow"/>
        </w:rPr>
        <w:t xml:space="preserve">the </w:t>
      </w:r>
      <w:r w:rsidR="000D7764" w:rsidRPr="00066CC1">
        <w:rPr>
          <w:color w:val="auto"/>
          <w:highlight w:val="yellow"/>
        </w:rPr>
        <w:t xml:space="preserve">option to keep index sorting data to enable re-tracing of </w:t>
      </w:r>
      <w:r w:rsidR="004775AA">
        <w:rPr>
          <w:color w:val="auto"/>
          <w:highlight w:val="yellow"/>
        </w:rPr>
        <w:t xml:space="preserve">the </w:t>
      </w:r>
      <w:r w:rsidR="003F275F" w:rsidRPr="00066CC1">
        <w:rPr>
          <w:color w:val="auto"/>
          <w:highlight w:val="yellow"/>
        </w:rPr>
        <w:t>sorted cells</w:t>
      </w:r>
      <w:r w:rsidR="000D7764" w:rsidRPr="00066CC1">
        <w:rPr>
          <w:color w:val="auto"/>
          <w:highlight w:val="yellow"/>
        </w:rPr>
        <w:t xml:space="preserve">. </w:t>
      </w:r>
    </w:p>
    <w:p w14:paraId="17E6058F" w14:textId="77777777" w:rsidR="00066CC1" w:rsidRDefault="00066CC1" w:rsidP="00C16832">
      <w:pPr>
        <w:widowControl/>
        <w:spacing w:line="0" w:lineRule="atLeast"/>
        <w:textAlignment w:val="center"/>
        <w:rPr>
          <w:b/>
          <w:color w:val="auto"/>
          <w:highlight w:val="yellow"/>
        </w:rPr>
      </w:pPr>
    </w:p>
    <w:p w14:paraId="44D2BD62" w14:textId="32CA1108" w:rsidR="00066CC1" w:rsidRPr="00530BAC" w:rsidRDefault="007B61C8" w:rsidP="00C16832">
      <w:pPr>
        <w:widowControl/>
        <w:numPr>
          <w:ilvl w:val="1"/>
          <w:numId w:val="10"/>
        </w:numPr>
        <w:spacing w:line="0" w:lineRule="atLeast"/>
        <w:textAlignment w:val="center"/>
        <w:rPr>
          <w:color w:val="auto"/>
        </w:rPr>
      </w:pPr>
      <w:r w:rsidRPr="00C16832">
        <w:rPr>
          <w:color w:val="auto"/>
          <w:highlight w:val="yellow"/>
        </w:rPr>
        <w:t>Cultur</w:t>
      </w:r>
      <w:r w:rsidR="00CF06EC" w:rsidRPr="00C16832">
        <w:rPr>
          <w:color w:val="auto"/>
          <w:highlight w:val="yellow"/>
        </w:rPr>
        <w:t>ing</w:t>
      </w:r>
      <w:r w:rsidRPr="00C16832">
        <w:rPr>
          <w:color w:val="auto"/>
          <w:highlight w:val="yellow"/>
        </w:rPr>
        <w:t xml:space="preserve"> singl</w:t>
      </w:r>
      <w:r w:rsidR="00F7351E" w:rsidRPr="00C16832">
        <w:rPr>
          <w:color w:val="auto"/>
          <w:highlight w:val="yellow"/>
        </w:rPr>
        <w:t>y-</w:t>
      </w:r>
      <w:r w:rsidRPr="00C16832">
        <w:rPr>
          <w:color w:val="auto"/>
          <w:highlight w:val="yellow"/>
        </w:rPr>
        <w:t>sorted HSCs</w:t>
      </w:r>
    </w:p>
    <w:p w14:paraId="31E3EED5" w14:textId="77777777" w:rsidR="00F7351E" w:rsidRPr="00F7351E" w:rsidRDefault="00F7351E" w:rsidP="00C16832">
      <w:pPr>
        <w:pStyle w:val="ListParagraph"/>
        <w:widowControl/>
        <w:spacing w:line="0" w:lineRule="atLeast"/>
        <w:ind w:left="0"/>
        <w:textAlignment w:val="center"/>
        <w:rPr>
          <w:color w:val="auto"/>
        </w:rPr>
      </w:pPr>
    </w:p>
    <w:p w14:paraId="305DE9D6" w14:textId="0CFC248B" w:rsidR="00376577" w:rsidRPr="00C16832" w:rsidRDefault="00380C24" w:rsidP="00C16832">
      <w:pPr>
        <w:pStyle w:val="ListParagraph"/>
        <w:widowControl/>
        <w:numPr>
          <w:ilvl w:val="2"/>
          <w:numId w:val="10"/>
        </w:numPr>
        <w:spacing w:line="0" w:lineRule="atLeast"/>
        <w:textAlignment w:val="center"/>
        <w:rPr>
          <w:color w:val="auto"/>
        </w:rPr>
      </w:pPr>
      <w:r w:rsidRPr="00066CC1">
        <w:rPr>
          <w:color w:val="auto"/>
          <w:highlight w:val="yellow"/>
        </w:rPr>
        <w:t>Directly transfer</w:t>
      </w:r>
      <w:r w:rsidR="005D3671" w:rsidRPr="00066CC1">
        <w:rPr>
          <w:color w:val="auto"/>
          <w:highlight w:val="yellow"/>
        </w:rPr>
        <w:t xml:space="preserve"> the</w:t>
      </w:r>
      <w:r w:rsidRPr="00066CC1">
        <w:rPr>
          <w:color w:val="auto"/>
          <w:highlight w:val="yellow"/>
        </w:rPr>
        <w:t xml:space="preserve"> 384</w:t>
      </w:r>
      <w:r w:rsidR="00376577">
        <w:rPr>
          <w:color w:val="auto"/>
          <w:highlight w:val="yellow"/>
        </w:rPr>
        <w:t xml:space="preserve"> </w:t>
      </w:r>
      <w:r w:rsidRPr="00066CC1">
        <w:rPr>
          <w:color w:val="auto"/>
          <w:highlight w:val="yellow"/>
        </w:rPr>
        <w:t xml:space="preserve">well plate to </w:t>
      </w:r>
      <w:r w:rsidR="004775AA">
        <w:rPr>
          <w:color w:val="auto"/>
          <w:highlight w:val="yellow"/>
        </w:rPr>
        <w:t xml:space="preserve">a </w:t>
      </w:r>
      <w:r w:rsidRPr="00066CC1">
        <w:rPr>
          <w:color w:val="auto"/>
          <w:highlight w:val="yellow"/>
        </w:rPr>
        <w:t xml:space="preserve">humidified 37 </w:t>
      </w:r>
      <w:r w:rsidRPr="00066CC1">
        <w:rPr>
          <w:rFonts w:asciiTheme="minorHAnsi" w:hAnsiTheme="minorHAnsi" w:cstheme="minorHAnsi"/>
          <w:color w:val="auto"/>
          <w:highlight w:val="yellow"/>
        </w:rPr>
        <w:t>°C incubator</w:t>
      </w:r>
      <w:r w:rsidR="00EB7770" w:rsidRPr="00066CC1">
        <w:rPr>
          <w:rFonts w:asciiTheme="minorHAnsi" w:hAnsiTheme="minorHAnsi" w:cstheme="minorHAnsi"/>
          <w:color w:val="auto"/>
          <w:highlight w:val="yellow"/>
        </w:rPr>
        <w:t xml:space="preserve"> with </w:t>
      </w:r>
      <w:r w:rsidRPr="00066CC1">
        <w:rPr>
          <w:rFonts w:asciiTheme="minorHAnsi" w:hAnsiTheme="minorHAnsi" w:cstheme="minorHAnsi"/>
          <w:color w:val="auto"/>
          <w:highlight w:val="yellow"/>
        </w:rPr>
        <w:t>5% CO</w:t>
      </w:r>
      <w:r w:rsidRPr="00066CC1">
        <w:rPr>
          <w:rFonts w:asciiTheme="minorHAnsi" w:hAnsiTheme="minorHAnsi" w:cstheme="minorHAnsi"/>
          <w:color w:val="auto"/>
          <w:highlight w:val="yellow"/>
          <w:vertAlign w:val="subscript"/>
        </w:rPr>
        <w:t>2</w:t>
      </w:r>
      <w:r w:rsidRPr="00066CC1">
        <w:rPr>
          <w:rFonts w:asciiTheme="minorHAnsi" w:hAnsiTheme="minorHAnsi" w:cstheme="minorHAnsi"/>
          <w:color w:val="auto"/>
          <w:highlight w:val="yellow"/>
        </w:rPr>
        <w:t xml:space="preserve">. </w:t>
      </w:r>
    </w:p>
    <w:p w14:paraId="467B0D51" w14:textId="77777777" w:rsidR="00376577" w:rsidRDefault="00376577" w:rsidP="00C16832">
      <w:pPr>
        <w:pStyle w:val="ListParagraph"/>
        <w:widowControl/>
        <w:spacing w:line="0" w:lineRule="atLeast"/>
        <w:ind w:left="0"/>
        <w:textAlignment w:val="center"/>
        <w:rPr>
          <w:rFonts w:asciiTheme="minorHAnsi" w:hAnsiTheme="minorHAnsi" w:cstheme="minorHAnsi"/>
          <w:color w:val="auto"/>
          <w:highlight w:val="yellow"/>
        </w:rPr>
      </w:pPr>
    </w:p>
    <w:p w14:paraId="32103AA7" w14:textId="4012AAA8" w:rsidR="00066CC1" w:rsidRPr="00066CC1" w:rsidRDefault="00F41B0C" w:rsidP="00C16832">
      <w:pPr>
        <w:pStyle w:val="ListParagraph"/>
        <w:widowControl/>
        <w:spacing w:line="0" w:lineRule="atLeast"/>
        <w:ind w:left="0"/>
        <w:textAlignment w:val="center"/>
        <w:rPr>
          <w:color w:val="auto"/>
        </w:rPr>
      </w:pPr>
      <w:r w:rsidRPr="00066CC1">
        <w:rPr>
          <w:rFonts w:asciiTheme="minorHAnsi" w:hAnsiTheme="minorHAnsi" w:cstheme="minorHAnsi"/>
          <w:color w:val="auto"/>
          <w:highlight w:val="yellow"/>
        </w:rPr>
        <w:t>NOTE: T</w:t>
      </w:r>
      <w:r w:rsidR="000D5FEE" w:rsidRPr="00066CC1">
        <w:rPr>
          <w:rFonts w:asciiTheme="minorHAnsi" w:hAnsiTheme="minorHAnsi" w:cstheme="minorHAnsi"/>
          <w:color w:val="auto"/>
          <w:highlight w:val="yellow"/>
        </w:rPr>
        <w:t>o</w:t>
      </w:r>
      <w:r w:rsidRPr="00066CC1">
        <w:rPr>
          <w:rFonts w:asciiTheme="minorHAnsi" w:hAnsiTheme="minorHAnsi" w:cstheme="minorHAnsi"/>
          <w:color w:val="auto"/>
          <w:highlight w:val="yellow"/>
        </w:rPr>
        <w:t xml:space="preserve"> prevent evaporation during culture, w</w:t>
      </w:r>
      <w:r w:rsidR="003E7A2C" w:rsidRPr="00066CC1">
        <w:rPr>
          <w:color w:val="auto"/>
          <w:highlight w:val="yellow"/>
        </w:rPr>
        <w:t xml:space="preserve">rap </w:t>
      </w:r>
      <w:r w:rsidR="004775AA">
        <w:rPr>
          <w:color w:val="auto"/>
          <w:highlight w:val="yellow"/>
        </w:rPr>
        <w:t xml:space="preserve">the </w:t>
      </w:r>
      <w:r w:rsidR="003E7A2C" w:rsidRPr="00066CC1">
        <w:rPr>
          <w:color w:val="auto"/>
          <w:highlight w:val="yellow"/>
        </w:rPr>
        <w:t>384</w:t>
      </w:r>
      <w:r w:rsidR="00376577">
        <w:rPr>
          <w:color w:val="auto"/>
          <w:highlight w:val="yellow"/>
        </w:rPr>
        <w:t xml:space="preserve"> </w:t>
      </w:r>
      <w:r w:rsidR="003E7A2C" w:rsidRPr="00066CC1">
        <w:rPr>
          <w:color w:val="auto"/>
          <w:highlight w:val="yellow"/>
        </w:rPr>
        <w:t xml:space="preserve">well culture plate </w:t>
      </w:r>
      <w:r w:rsidR="002D62C9" w:rsidRPr="00066CC1">
        <w:rPr>
          <w:color w:val="auto"/>
          <w:highlight w:val="yellow"/>
        </w:rPr>
        <w:t xml:space="preserve">(with lid) </w:t>
      </w:r>
      <w:r w:rsidR="003E7A2C" w:rsidRPr="00066CC1">
        <w:rPr>
          <w:color w:val="auto"/>
          <w:highlight w:val="yellow"/>
        </w:rPr>
        <w:t xml:space="preserve">in </w:t>
      </w:r>
      <w:r w:rsidR="002D62C9" w:rsidRPr="00066CC1">
        <w:rPr>
          <w:color w:val="auto"/>
          <w:highlight w:val="yellow"/>
        </w:rPr>
        <w:t xml:space="preserve">transparent </w:t>
      </w:r>
      <w:r w:rsidRPr="00066CC1">
        <w:rPr>
          <w:color w:val="auto"/>
          <w:highlight w:val="yellow"/>
        </w:rPr>
        <w:t>polyethylene wrap.</w:t>
      </w:r>
    </w:p>
    <w:p w14:paraId="5D72D367" w14:textId="77777777" w:rsidR="00066CC1" w:rsidRPr="00066CC1" w:rsidRDefault="00066CC1" w:rsidP="00C16832">
      <w:pPr>
        <w:widowControl/>
        <w:spacing w:line="0" w:lineRule="atLeast"/>
        <w:textAlignment w:val="center"/>
        <w:rPr>
          <w:color w:val="auto"/>
        </w:rPr>
      </w:pPr>
    </w:p>
    <w:p w14:paraId="5D4209EA" w14:textId="530BB84E" w:rsidR="00066CC1" w:rsidRPr="00066CC1" w:rsidRDefault="00380C24" w:rsidP="00C16832">
      <w:pPr>
        <w:pStyle w:val="ListParagraph"/>
        <w:widowControl/>
        <w:numPr>
          <w:ilvl w:val="2"/>
          <w:numId w:val="10"/>
        </w:numPr>
        <w:spacing w:line="0" w:lineRule="atLeast"/>
        <w:textAlignment w:val="center"/>
        <w:rPr>
          <w:color w:val="auto"/>
        </w:rPr>
      </w:pPr>
      <w:r w:rsidRPr="00066CC1">
        <w:rPr>
          <w:color w:val="auto"/>
          <w:highlight w:val="yellow"/>
        </w:rPr>
        <w:t xml:space="preserve">Keep </w:t>
      </w:r>
      <w:r w:rsidR="00EB7770" w:rsidRPr="00066CC1">
        <w:rPr>
          <w:color w:val="auto"/>
          <w:highlight w:val="yellow"/>
        </w:rPr>
        <w:t xml:space="preserve">the </w:t>
      </w:r>
      <w:r w:rsidRPr="00066CC1">
        <w:rPr>
          <w:color w:val="auto"/>
          <w:highlight w:val="yellow"/>
        </w:rPr>
        <w:t>384</w:t>
      </w:r>
      <w:r w:rsidR="00376577">
        <w:rPr>
          <w:color w:val="auto"/>
          <w:highlight w:val="yellow"/>
        </w:rPr>
        <w:t xml:space="preserve"> </w:t>
      </w:r>
      <w:r w:rsidRPr="00066CC1">
        <w:rPr>
          <w:color w:val="auto"/>
          <w:highlight w:val="yellow"/>
        </w:rPr>
        <w:t xml:space="preserve">well plate in </w:t>
      </w:r>
      <w:r w:rsidR="004775AA">
        <w:rPr>
          <w:color w:val="auto"/>
          <w:highlight w:val="yellow"/>
        </w:rPr>
        <w:t xml:space="preserve">the </w:t>
      </w:r>
      <w:r w:rsidRPr="00066CC1">
        <w:rPr>
          <w:color w:val="auto"/>
          <w:highlight w:val="yellow"/>
        </w:rPr>
        <w:t xml:space="preserve">incubator </w:t>
      </w:r>
      <w:r w:rsidR="003E7A2C" w:rsidRPr="00066CC1">
        <w:rPr>
          <w:color w:val="auto"/>
          <w:highlight w:val="yellow"/>
        </w:rPr>
        <w:t>for 3</w:t>
      </w:r>
      <w:r w:rsidR="00376577">
        <w:rPr>
          <w:color w:val="auto"/>
        </w:rPr>
        <w:t>–</w:t>
      </w:r>
      <w:r w:rsidR="003E7A2C" w:rsidRPr="00066CC1">
        <w:rPr>
          <w:color w:val="auto"/>
          <w:highlight w:val="yellow"/>
        </w:rPr>
        <w:t>4 weeks until visible clones appear</w:t>
      </w:r>
      <w:r w:rsidR="00EB7770" w:rsidRPr="00066CC1">
        <w:rPr>
          <w:color w:val="auto"/>
          <w:highlight w:val="yellow"/>
        </w:rPr>
        <w:t>. R</w:t>
      </w:r>
      <w:r w:rsidR="004530D4" w:rsidRPr="00066CC1">
        <w:rPr>
          <w:color w:val="auto"/>
          <w:highlight w:val="yellow"/>
        </w:rPr>
        <w:t xml:space="preserve">epresentative </w:t>
      </w:r>
      <w:r w:rsidR="005D3671" w:rsidRPr="00066CC1">
        <w:rPr>
          <w:color w:val="auto"/>
          <w:highlight w:val="yellow"/>
        </w:rPr>
        <w:t>images of clonal culture</w:t>
      </w:r>
      <w:r w:rsidR="00EB7770" w:rsidRPr="00066CC1">
        <w:rPr>
          <w:color w:val="auto"/>
          <w:highlight w:val="yellow"/>
        </w:rPr>
        <w:t xml:space="preserve"> are depicted in</w:t>
      </w:r>
      <w:r w:rsidR="004530D4" w:rsidRPr="00066CC1">
        <w:rPr>
          <w:color w:val="auto"/>
          <w:highlight w:val="yellow"/>
        </w:rPr>
        <w:t xml:space="preserve"> </w:t>
      </w:r>
      <w:r w:rsidR="00376577" w:rsidRPr="00C16832">
        <w:rPr>
          <w:b/>
          <w:color w:val="auto"/>
          <w:highlight w:val="yellow"/>
        </w:rPr>
        <w:t>F</w:t>
      </w:r>
      <w:r w:rsidR="004530D4" w:rsidRPr="00C16832">
        <w:rPr>
          <w:b/>
          <w:color w:val="auto"/>
          <w:highlight w:val="yellow"/>
        </w:rPr>
        <w:t>igure 2</w:t>
      </w:r>
      <w:r w:rsidR="003E7A2C" w:rsidRPr="00066CC1">
        <w:rPr>
          <w:color w:val="auto"/>
          <w:highlight w:val="yellow"/>
        </w:rPr>
        <w:t xml:space="preserve">. </w:t>
      </w:r>
      <w:r w:rsidR="00AC1EC4" w:rsidRPr="00066CC1">
        <w:rPr>
          <w:color w:val="auto"/>
          <w:highlight w:val="yellow"/>
        </w:rPr>
        <w:t xml:space="preserve">Based on </w:t>
      </w:r>
      <w:r w:rsidR="00EB7770" w:rsidRPr="00066CC1">
        <w:rPr>
          <w:color w:val="auto"/>
          <w:highlight w:val="yellow"/>
        </w:rPr>
        <w:t xml:space="preserve">the </w:t>
      </w:r>
      <w:r w:rsidR="00AC1EC4" w:rsidRPr="00066CC1">
        <w:rPr>
          <w:color w:val="auto"/>
          <w:highlight w:val="yellow"/>
        </w:rPr>
        <w:t xml:space="preserve">condition of </w:t>
      </w:r>
      <w:r w:rsidR="00EB7770" w:rsidRPr="00066CC1">
        <w:rPr>
          <w:color w:val="auto"/>
          <w:highlight w:val="yellow"/>
        </w:rPr>
        <w:t xml:space="preserve">the </w:t>
      </w:r>
      <w:r w:rsidR="00AC1EC4" w:rsidRPr="00066CC1">
        <w:rPr>
          <w:color w:val="auto"/>
          <w:highlight w:val="yellow"/>
        </w:rPr>
        <w:t>input material 5</w:t>
      </w:r>
      <w:r w:rsidR="00376577">
        <w:rPr>
          <w:color w:val="auto"/>
          <w:highlight w:val="yellow"/>
        </w:rPr>
        <w:t>%</w:t>
      </w:r>
      <w:r w:rsidR="00376577">
        <w:rPr>
          <w:color w:val="auto"/>
        </w:rPr>
        <w:t>–</w:t>
      </w:r>
      <w:r w:rsidR="006B0D2C" w:rsidRPr="00066CC1">
        <w:rPr>
          <w:color w:val="auto"/>
          <w:highlight w:val="yellow"/>
        </w:rPr>
        <w:t>3</w:t>
      </w:r>
      <w:r w:rsidR="00AC1EC4" w:rsidRPr="00066CC1">
        <w:rPr>
          <w:color w:val="auto"/>
          <w:highlight w:val="yellow"/>
        </w:rPr>
        <w:t xml:space="preserve">0% of sorted cells will </w:t>
      </w:r>
      <w:r w:rsidR="00EB7770" w:rsidRPr="00066CC1">
        <w:rPr>
          <w:color w:val="auto"/>
          <w:highlight w:val="yellow"/>
        </w:rPr>
        <w:t xml:space="preserve">clonally </w:t>
      </w:r>
      <w:r w:rsidR="00AC1EC4" w:rsidRPr="00066CC1">
        <w:rPr>
          <w:color w:val="auto"/>
          <w:highlight w:val="yellow"/>
        </w:rPr>
        <w:t>expand.</w:t>
      </w:r>
    </w:p>
    <w:p w14:paraId="4983388A" w14:textId="77777777" w:rsidR="00066CC1" w:rsidRPr="00066CC1" w:rsidRDefault="00066CC1" w:rsidP="00C16832">
      <w:pPr>
        <w:pStyle w:val="ListParagraph"/>
        <w:spacing w:line="0" w:lineRule="atLeast"/>
        <w:rPr>
          <w:b/>
          <w:highlight w:val="yellow"/>
        </w:rPr>
      </w:pPr>
    </w:p>
    <w:p w14:paraId="28807BCA" w14:textId="74A3EA59" w:rsidR="00066CC1" w:rsidRPr="00066CC1" w:rsidRDefault="00EB7770" w:rsidP="00C16832">
      <w:pPr>
        <w:pStyle w:val="ListParagraph"/>
        <w:widowControl/>
        <w:numPr>
          <w:ilvl w:val="0"/>
          <w:numId w:val="10"/>
        </w:numPr>
        <w:spacing w:line="0" w:lineRule="atLeast"/>
        <w:textAlignment w:val="center"/>
        <w:rPr>
          <w:color w:val="auto"/>
        </w:rPr>
      </w:pPr>
      <w:r w:rsidRPr="00066CC1">
        <w:rPr>
          <w:b/>
          <w:highlight w:val="yellow"/>
        </w:rPr>
        <w:t>H</w:t>
      </w:r>
      <w:r w:rsidR="00E532D8" w:rsidRPr="00066CC1">
        <w:rPr>
          <w:b/>
          <w:highlight w:val="yellow"/>
        </w:rPr>
        <w:t>arvest</w:t>
      </w:r>
      <w:r w:rsidR="00376577">
        <w:rPr>
          <w:b/>
          <w:highlight w:val="yellow"/>
        </w:rPr>
        <w:t>ing</w:t>
      </w:r>
      <w:r w:rsidR="00F7351E">
        <w:rPr>
          <w:b/>
          <w:highlight w:val="yellow"/>
        </w:rPr>
        <w:t xml:space="preserve"> </w:t>
      </w:r>
      <w:r w:rsidR="006B0D2C" w:rsidRPr="00066CC1">
        <w:rPr>
          <w:b/>
          <w:highlight w:val="yellow"/>
        </w:rPr>
        <w:t>HSPC</w:t>
      </w:r>
      <w:r w:rsidRPr="00066CC1">
        <w:rPr>
          <w:b/>
          <w:highlight w:val="yellow"/>
        </w:rPr>
        <w:t xml:space="preserve"> clones</w:t>
      </w:r>
    </w:p>
    <w:p w14:paraId="5CBAC774" w14:textId="77777777" w:rsidR="00F7351E" w:rsidRPr="00F7351E" w:rsidRDefault="00F7351E" w:rsidP="00C16832">
      <w:pPr>
        <w:pStyle w:val="ListParagraph"/>
        <w:widowControl/>
        <w:spacing w:line="0" w:lineRule="atLeast"/>
        <w:ind w:left="0"/>
        <w:textAlignment w:val="center"/>
        <w:rPr>
          <w:color w:val="auto"/>
        </w:rPr>
      </w:pPr>
    </w:p>
    <w:p w14:paraId="022B95C4" w14:textId="74E6FE68" w:rsidR="00066CC1" w:rsidRPr="00066CC1" w:rsidRDefault="0032164D" w:rsidP="00C16832">
      <w:pPr>
        <w:pStyle w:val="ListParagraph"/>
        <w:widowControl/>
        <w:numPr>
          <w:ilvl w:val="1"/>
          <w:numId w:val="10"/>
        </w:numPr>
        <w:spacing w:line="0" w:lineRule="atLeast"/>
        <w:textAlignment w:val="center"/>
        <w:rPr>
          <w:color w:val="auto"/>
        </w:rPr>
      </w:pPr>
      <w:r w:rsidRPr="00066CC1">
        <w:rPr>
          <w:color w:val="auto"/>
          <w:highlight w:val="yellow"/>
        </w:rPr>
        <w:t>After</w:t>
      </w:r>
      <w:r w:rsidR="006B0D2C" w:rsidRPr="00066CC1">
        <w:rPr>
          <w:color w:val="auto"/>
          <w:highlight w:val="yellow"/>
        </w:rPr>
        <w:t xml:space="preserve"> </w:t>
      </w:r>
      <w:r w:rsidRPr="00066CC1">
        <w:rPr>
          <w:color w:val="auto"/>
          <w:highlight w:val="yellow"/>
        </w:rPr>
        <w:t xml:space="preserve">4 </w:t>
      </w:r>
      <w:r w:rsidR="006B0D2C" w:rsidRPr="00066CC1">
        <w:rPr>
          <w:color w:val="auto"/>
          <w:highlight w:val="yellow"/>
        </w:rPr>
        <w:t>week</w:t>
      </w:r>
      <w:r w:rsidRPr="00066CC1">
        <w:rPr>
          <w:color w:val="auto"/>
          <w:highlight w:val="yellow"/>
        </w:rPr>
        <w:t xml:space="preserve">s </w:t>
      </w:r>
      <w:r w:rsidR="006B0D2C" w:rsidRPr="00066CC1">
        <w:rPr>
          <w:color w:val="auto"/>
          <w:highlight w:val="yellow"/>
        </w:rPr>
        <w:t>of cultur</w:t>
      </w:r>
      <w:r w:rsidRPr="00066CC1">
        <w:rPr>
          <w:color w:val="auto"/>
          <w:highlight w:val="yellow"/>
        </w:rPr>
        <w:t>ing</w:t>
      </w:r>
      <w:r w:rsidR="006B0D2C" w:rsidRPr="00066CC1">
        <w:rPr>
          <w:color w:val="auto"/>
          <w:highlight w:val="yellow"/>
        </w:rPr>
        <w:t>, d</w:t>
      </w:r>
      <w:r w:rsidR="00A44179" w:rsidRPr="00066CC1">
        <w:rPr>
          <w:color w:val="auto"/>
          <w:highlight w:val="yellow"/>
        </w:rPr>
        <w:t xml:space="preserve">etermine which wells </w:t>
      </w:r>
      <w:r w:rsidR="005D3671" w:rsidRPr="00066CC1">
        <w:rPr>
          <w:color w:val="auto"/>
          <w:highlight w:val="yellow"/>
        </w:rPr>
        <w:t xml:space="preserve">have </w:t>
      </w:r>
      <w:r w:rsidR="004775AA">
        <w:rPr>
          <w:color w:val="auto"/>
          <w:highlight w:val="yellow"/>
        </w:rPr>
        <w:t xml:space="preserve">a </w:t>
      </w:r>
      <w:r w:rsidR="004775AA" w:rsidRPr="00066CC1">
        <w:rPr>
          <w:color w:val="auto"/>
          <w:highlight w:val="yellow"/>
        </w:rPr>
        <w:t>confluenc</w:t>
      </w:r>
      <w:r w:rsidR="004775AA">
        <w:rPr>
          <w:color w:val="auto"/>
          <w:highlight w:val="yellow"/>
        </w:rPr>
        <w:t>y of</w:t>
      </w:r>
      <w:r w:rsidR="004775AA" w:rsidRPr="00066CC1">
        <w:rPr>
          <w:color w:val="auto"/>
          <w:highlight w:val="yellow"/>
        </w:rPr>
        <w:t xml:space="preserve"> </w:t>
      </w:r>
      <w:r w:rsidR="00B545A6" w:rsidRPr="00066CC1">
        <w:rPr>
          <w:color w:val="auto"/>
          <w:highlight w:val="yellow"/>
        </w:rPr>
        <w:t>3</w:t>
      </w:r>
      <w:r w:rsidR="00A44179" w:rsidRPr="00066CC1">
        <w:rPr>
          <w:color w:val="auto"/>
          <w:highlight w:val="yellow"/>
        </w:rPr>
        <w:t xml:space="preserve">0% </w:t>
      </w:r>
      <w:r w:rsidR="005D3671" w:rsidRPr="00066CC1">
        <w:rPr>
          <w:color w:val="auto"/>
          <w:highlight w:val="yellow"/>
        </w:rPr>
        <w:t>or higher.</w:t>
      </w:r>
    </w:p>
    <w:p w14:paraId="55F73CCD" w14:textId="77777777" w:rsidR="00066CC1" w:rsidRPr="00066CC1" w:rsidRDefault="00066CC1" w:rsidP="00C16832">
      <w:pPr>
        <w:widowControl/>
        <w:spacing w:line="0" w:lineRule="atLeast"/>
        <w:textAlignment w:val="center"/>
        <w:rPr>
          <w:color w:val="auto"/>
        </w:rPr>
      </w:pPr>
    </w:p>
    <w:p w14:paraId="3914D4CD" w14:textId="3192679A" w:rsidR="00066CC1" w:rsidRPr="00066CC1" w:rsidRDefault="000D4541" w:rsidP="00C16832">
      <w:pPr>
        <w:pStyle w:val="ListParagraph"/>
        <w:widowControl/>
        <w:numPr>
          <w:ilvl w:val="1"/>
          <w:numId w:val="10"/>
        </w:numPr>
        <w:spacing w:line="0" w:lineRule="atLeast"/>
        <w:textAlignment w:val="center"/>
        <w:rPr>
          <w:color w:val="auto"/>
        </w:rPr>
      </w:pPr>
      <w:r w:rsidRPr="00066CC1">
        <w:rPr>
          <w:color w:val="auto"/>
          <w:highlight w:val="yellow"/>
        </w:rPr>
        <w:t xml:space="preserve">Pre-fill </w:t>
      </w:r>
      <w:r w:rsidR="00376577">
        <w:rPr>
          <w:color w:val="auto"/>
          <w:highlight w:val="yellow"/>
        </w:rPr>
        <w:t>(</w:t>
      </w:r>
      <w:r w:rsidR="00CE2062" w:rsidRPr="00066CC1">
        <w:rPr>
          <w:color w:val="auto"/>
          <w:highlight w:val="yellow"/>
        </w:rPr>
        <w:t>for each clonal outgrowth</w:t>
      </w:r>
      <w:r w:rsidR="00376577">
        <w:rPr>
          <w:color w:val="auto"/>
          <w:highlight w:val="yellow"/>
        </w:rPr>
        <w:t>)</w:t>
      </w:r>
      <w:r w:rsidR="00CE2062" w:rsidRPr="00066CC1">
        <w:rPr>
          <w:color w:val="auto"/>
          <w:highlight w:val="yellow"/>
        </w:rPr>
        <w:t xml:space="preserve"> </w:t>
      </w:r>
      <w:r w:rsidR="00AC1EC4" w:rsidRPr="00066CC1">
        <w:rPr>
          <w:color w:val="auto"/>
          <w:highlight w:val="yellow"/>
        </w:rPr>
        <w:t>1.5</w:t>
      </w:r>
      <w:r w:rsidR="00A45CD5" w:rsidRPr="00066CC1">
        <w:rPr>
          <w:color w:val="auto"/>
          <w:highlight w:val="yellow"/>
        </w:rPr>
        <w:t xml:space="preserve"> </w:t>
      </w:r>
      <w:r w:rsidR="00AC1EC4" w:rsidRPr="00066CC1">
        <w:rPr>
          <w:color w:val="auto"/>
          <w:highlight w:val="yellow"/>
        </w:rPr>
        <w:t>mL microtubes</w:t>
      </w:r>
      <w:r w:rsidRPr="00066CC1">
        <w:rPr>
          <w:color w:val="auto"/>
          <w:highlight w:val="yellow"/>
        </w:rPr>
        <w:t xml:space="preserve"> with </w:t>
      </w:r>
      <w:r w:rsidR="00AC1EC4" w:rsidRPr="00066CC1">
        <w:rPr>
          <w:color w:val="auto"/>
          <w:highlight w:val="yellow"/>
        </w:rPr>
        <w:t>1</w:t>
      </w:r>
      <w:r w:rsidR="00A45CD5" w:rsidRPr="00066CC1">
        <w:rPr>
          <w:color w:val="auto"/>
          <w:highlight w:val="yellow"/>
        </w:rPr>
        <w:t xml:space="preserve"> </w:t>
      </w:r>
      <w:r w:rsidR="00AC1EC4" w:rsidRPr="00066CC1">
        <w:rPr>
          <w:color w:val="auto"/>
          <w:highlight w:val="yellow"/>
        </w:rPr>
        <w:t>mL</w:t>
      </w:r>
      <w:r w:rsidR="00376577">
        <w:rPr>
          <w:color w:val="auto"/>
          <w:highlight w:val="yellow"/>
        </w:rPr>
        <w:t xml:space="preserve"> of</w:t>
      </w:r>
      <w:r w:rsidR="00AC1EC4" w:rsidRPr="00066CC1">
        <w:rPr>
          <w:color w:val="auto"/>
          <w:highlight w:val="yellow"/>
        </w:rPr>
        <w:t xml:space="preserve"> 1% </w:t>
      </w:r>
      <w:r w:rsidRPr="00066CC1">
        <w:rPr>
          <w:color w:val="auto"/>
          <w:highlight w:val="yellow"/>
        </w:rPr>
        <w:t>BSA</w:t>
      </w:r>
      <w:r w:rsidR="00AC1EC4" w:rsidRPr="00066CC1">
        <w:rPr>
          <w:color w:val="auto"/>
          <w:highlight w:val="yellow"/>
        </w:rPr>
        <w:t xml:space="preserve"> in PBS</w:t>
      </w:r>
      <w:r w:rsidRPr="00066CC1">
        <w:rPr>
          <w:color w:val="auto"/>
          <w:highlight w:val="yellow"/>
        </w:rPr>
        <w:t xml:space="preserve"> </w:t>
      </w:r>
      <w:r w:rsidR="00CE2062" w:rsidRPr="00066CC1">
        <w:rPr>
          <w:color w:val="auto"/>
          <w:highlight w:val="yellow"/>
        </w:rPr>
        <w:t xml:space="preserve">and </w:t>
      </w:r>
      <w:r w:rsidR="00EC54C6" w:rsidRPr="00066CC1">
        <w:rPr>
          <w:color w:val="auto"/>
          <w:highlight w:val="yellow"/>
        </w:rPr>
        <w:t xml:space="preserve">label the tube </w:t>
      </w:r>
      <w:r w:rsidR="00CE2062" w:rsidRPr="00066CC1">
        <w:rPr>
          <w:color w:val="auto"/>
          <w:highlight w:val="yellow"/>
        </w:rPr>
        <w:t xml:space="preserve">according to </w:t>
      </w:r>
      <w:r w:rsidR="00EC54C6" w:rsidRPr="00066CC1">
        <w:rPr>
          <w:color w:val="auto"/>
          <w:highlight w:val="yellow"/>
        </w:rPr>
        <w:t xml:space="preserve">the </w:t>
      </w:r>
      <w:r w:rsidR="00CE2062" w:rsidRPr="00066CC1">
        <w:rPr>
          <w:color w:val="auto"/>
          <w:highlight w:val="yellow"/>
        </w:rPr>
        <w:t>corresponding well.</w:t>
      </w:r>
    </w:p>
    <w:p w14:paraId="29FA159F" w14:textId="77777777" w:rsidR="00066CC1" w:rsidRPr="00066CC1" w:rsidRDefault="00066CC1" w:rsidP="00C16832">
      <w:pPr>
        <w:pStyle w:val="ListParagraph"/>
        <w:spacing w:line="0" w:lineRule="atLeast"/>
        <w:rPr>
          <w:highlight w:val="yellow"/>
        </w:rPr>
      </w:pPr>
    </w:p>
    <w:p w14:paraId="1ECE5F40" w14:textId="36752EBA" w:rsidR="00066CC1" w:rsidRPr="00066CC1" w:rsidRDefault="00031154" w:rsidP="00C16832">
      <w:pPr>
        <w:pStyle w:val="ListParagraph"/>
        <w:widowControl/>
        <w:numPr>
          <w:ilvl w:val="1"/>
          <w:numId w:val="10"/>
        </w:numPr>
        <w:spacing w:line="0" w:lineRule="atLeast"/>
        <w:textAlignment w:val="center"/>
        <w:rPr>
          <w:color w:val="auto"/>
        </w:rPr>
      </w:pPr>
      <w:r w:rsidRPr="00066CC1">
        <w:rPr>
          <w:highlight w:val="yellow"/>
        </w:rPr>
        <w:t>Pre-wet</w:t>
      </w:r>
      <w:r w:rsidR="005D3671" w:rsidRPr="00066CC1">
        <w:rPr>
          <w:highlight w:val="yellow"/>
        </w:rPr>
        <w:t xml:space="preserve"> a</w:t>
      </w:r>
      <w:r w:rsidR="00AC1EC4" w:rsidRPr="00066CC1">
        <w:rPr>
          <w:highlight w:val="yellow"/>
        </w:rPr>
        <w:t xml:space="preserve"> pipette tip with 1% BSA in PBS to </w:t>
      </w:r>
      <w:r w:rsidR="00A44179" w:rsidRPr="00066CC1">
        <w:rPr>
          <w:highlight w:val="yellow"/>
        </w:rPr>
        <w:t>minimize the number of cells sticking to the pipette tip</w:t>
      </w:r>
      <w:r w:rsidR="00376577">
        <w:t>.</w:t>
      </w:r>
    </w:p>
    <w:p w14:paraId="694CC836" w14:textId="77777777" w:rsidR="00066CC1" w:rsidRPr="00066CC1" w:rsidRDefault="00066CC1" w:rsidP="00C16832">
      <w:pPr>
        <w:pStyle w:val="ListParagraph"/>
        <w:spacing w:line="0" w:lineRule="atLeast"/>
        <w:rPr>
          <w:highlight w:val="yellow"/>
        </w:rPr>
      </w:pPr>
    </w:p>
    <w:p w14:paraId="64197E22" w14:textId="6C09A6AA" w:rsidR="00066CC1" w:rsidRPr="00066CC1" w:rsidRDefault="000D4541" w:rsidP="00C16832">
      <w:pPr>
        <w:pStyle w:val="ListParagraph"/>
        <w:widowControl/>
        <w:numPr>
          <w:ilvl w:val="1"/>
          <w:numId w:val="10"/>
        </w:numPr>
        <w:spacing w:line="0" w:lineRule="atLeast"/>
        <w:textAlignment w:val="center"/>
        <w:rPr>
          <w:color w:val="auto"/>
        </w:rPr>
      </w:pPr>
      <w:r w:rsidRPr="00066CC1">
        <w:rPr>
          <w:highlight w:val="yellow"/>
        </w:rPr>
        <w:lastRenderedPageBreak/>
        <w:t>Pipet up</w:t>
      </w:r>
      <w:r w:rsidR="00AC1EC4" w:rsidRPr="00066CC1">
        <w:rPr>
          <w:highlight w:val="yellow"/>
        </w:rPr>
        <w:t xml:space="preserve">/down </w:t>
      </w:r>
      <w:r w:rsidR="005D3671" w:rsidRPr="00066CC1">
        <w:rPr>
          <w:highlight w:val="yellow"/>
        </w:rPr>
        <w:t xml:space="preserve">the </w:t>
      </w:r>
      <w:r w:rsidR="00AC1EC4" w:rsidRPr="00066CC1">
        <w:rPr>
          <w:highlight w:val="yellow"/>
        </w:rPr>
        <w:t xml:space="preserve">medium in </w:t>
      </w:r>
      <w:r w:rsidR="005D3671" w:rsidRPr="00066CC1">
        <w:rPr>
          <w:highlight w:val="yellow"/>
        </w:rPr>
        <w:t xml:space="preserve">the </w:t>
      </w:r>
      <w:r w:rsidR="00AC1EC4" w:rsidRPr="00066CC1">
        <w:rPr>
          <w:highlight w:val="yellow"/>
        </w:rPr>
        <w:t>well fiercely (</w:t>
      </w:r>
      <w:r w:rsidR="00031154" w:rsidRPr="00066CC1">
        <w:rPr>
          <w:highlight w:val="yellow"/>
        </w:rPr>
        <w:t xml:space="preserve">at least </w:t>
      </w:r>
      <w:r w:rsidR="00AC1EC4" w:rsidRPr="00066CC1">
        <w:rPr>
          <w:highlight w:val="yellow"/>
        </w:rPr>
        <w:t>5</w:t>
      </w:r>
      <w:r w:rsidR="00031154" w:rsidRPr="00066CC1">
        <w:rPr>
          <w:highlight w:val="yellow"/>
        </w:rPr>
        <w:t xml:space="preserve"> times</w:t>
      </w:r>
      <w:r w:rsidR="00AC1EC4" w:rsidRPr="00066CC1">
        <w:rPr>
          <w:highlight w:val="yellow"/>
        </w:rPr>
        <w:t>)</w:t>
      </w:r>
      <w:r w:rsidR="00380C24" w:rsidRPr="00066CC1">
        <w:rPr>
          <w:highlight w:val="yellow"/>
        </w:rPr>
        <w:t xml:space="preserve"> with </w:t>
      </w:r>
      <w:r w:rsidR="00031154" w:rsidRPr="00066CC1">
        <w:rPr>
          <w:highlight w:val="yellow"/>
        </w:rPr>
        <w:t xml:space="preserve">a </w:t>
      </w:r>
      <w:r w:rsidR="00380C24" w:rsidRPr="00066CC1">
        <w:rPr>
          <w:highlight w:val="yellow"/>
        </w:rPr>
        <w:t>200 μL pipette (set at 75 μL)</w:t>
      </w:r>
      <w:r w:rsidRPr="00066CC1">
        <w:rPr>
          <w:highlight w:val="yellow"/>
        </w:rPr>
        <w:t xml:space="preserve"> </w:t>
      </w:r>
      <w:r w:rsidR="001F5D94">
        <w:rPr>
          <w:highlight w:val="yellow"/>
        </w:rPr>
        <w:t xml:space="preserve">and scrape the bottom of the well </w:t>
      </w:r>
      <w:r w:rsidR="00A44179" w:rsidRPr="00066CC1">
        <w:rPr>
          <w:highlight w:val="yellow"/>
        </w:rPr>
        <w:t>to loosen cells</w:t>
      </w:r>
      <w:r w:rsidR="00902199" w:rsidRPr="00066CC1">
        <w:rPr>
          <w:highlight w:val="yellow"/>
        </w:rPr>
        <w:t xml:space="preserve"> </w:t>
      </w:r>
      <w:r w:rsidR="00A44179" w:rsidRPr="00066CC1">
        <w:rPr>
          <w:highlight w:val="yellow"/>
        </w:rPr>
        <w:t xml:space="preserve">in the </w:t>
      </w:r>
      <w:proofErr w:type="gramStart"/>
      <w:r w:rsidR="00A44179" w:rsidRPr="00066CC1">
        <w:rPr>
          <w:highlight w:val="yellow"/>
        </w:rPr>
        <w:t>well</w:t>
      </w:r>
      <w:r w:rsidR="00376577">
        <w:rPr>
          <w:highlight w:val="yellow"/>
        </w:rPr>
        <w:t>,</w:t>
      </w:r>
      <w:r w:rsidR="00A44179" w:rsidRPr="00066CC1">
        <w:rPr>
          <w:highlight w:val="yellow"/>
        </w:rPr>
        <w:t xml:space="preserve"> and</w:t>
      </w:r>
      <w:proofErr w:type="gramEnd"/>
      <w:r w:rsidR="00A44179" w:rsidRPr="00066CC1">
        <w:rPr>
          <w:highlight w:val="yellow"/>
        </w:rPr>
        <w:t xml:space="preserve"> collect </w:t>
      </w:r>
      <w:r w:rsidR="00031154" w:rsidRPr="00066CC1">
        <w:rPr>
          <w:highlight w:val="yellow"/>
        </w:rPr>
        <w:t xml:space="preserve">the </w:t>
      </w:r>
      <w:r w:rsidR="006B0D2C" w:rsidRPr="00066CC1">
        <w:rPr>
          <w:highlight w:val="yellow"/>
        </w:rPr>
        <w:t xml:space="preserve">cell </w:t>
      </w:r>
      <w:r w:rsidR="00031154" w:rsidRPr="00066CC1">
        <w:rPr>
          <w:highlight w:val="yellow"/>
        </w:rPr>
        <w:t xml:space="preserve">suspension </w:t>
      </w:r>
      <w:r w:rsidR="00A44179" w:rsidRPr="00066CC1">
        <w:rPr>
          <w:highlight w:val="yellow"/>
        </w:rPr>
        <w:t>in</w:t>
      </w:r>
      <w:r w:rsidR="006B0D2C" w:rsidRPr="00066CC1">
        <w:rPr>
          <w:highlight w:val="yellow"/>
        </w:rPr>
        <w:t xml:space="preserve"> the labeled microtube corresponding to the well</w:t>
      </w:r>
      <w:r w:rsidR="00A44179" w:rsidRPr="00066CC1">
        <w:rPr>
          <w:highlight w:val="yellow"/>
        </w:rPr>
        <w:t xml:space="preserve">. </w:t>
      </w:r>
    </w:p>
    <w:p w14:paraId="352BCF2F" w14:textId="77777777" w:rsidR="00066CC1" w:rsidRPr="00066CC1" w:rsidRDefault="00066CC1" w:rsidP="00C16832">
      <w:pPr>
        <w:pStyle w:val="ListParagraph"/>
        <w:spacing w:line="0" w:lineRule="atLeast"/>
        <w:rPr>
          <w:highlight w:val="yellow"/>
        </w:rPr>
      </w:pPr>
    </w:p>
    <w:p w14:paraId="19D26C80" w14:textId="03AA7031" w:rsidR="00482324" w:rsidRPr="00F7351E" w:rsidRDefault="00380C24" w:rsidP="00C16832">
      <w:pPr>
        <w:pStyle w:val="ListParagraph"/>
        <w:widowControl/>
        <w:numPr>
          <w:ilvl w:val="1"/>
          <w:numId w:val="10"/>
        </w:numPr>
        <w:spacing w:line="0" w:lineRule="atLeast"/>
        <w:textAlignment w:val="center"/>
        <w:rPr>
          <w:color w:val="auto"/>
        </w:rPr>
      </w:pPr>
      <w:r w:rsidRPr="00066CC1">
        <w:rPr>
          <w:highlight w:val="yellow"/>
        </w:rPr>
        <w:t>Take up 75 μL of fresh 1% BSA in PBS and repeat pipetting</w:t>
      </w:r>
      <w:r w:rsidR="006B0D2C" w:rsidRPr="00066CC1">
        <w:rPr>
          <w:highlight w:val="yellow"/>
        </w:rPr>
        <w:t xml:space="preserve"> in </w:t>
      </w:r>
      <w:r w:rsidR="00376577">
        <w:rPr>
          <w:highlight w:val="yellow"/>
        </w:rPr>
        <w:t xml:space="preserve">the </w:t>
      </w:r>
      <w:r w:rsidR="006B0D2C" w:rsidRPr="00066CC1">
        <w:rPr>
          <w:highlight w:val="yellow"/>
        </w:rPr>
        <w:t>well</w:t>
      </w:r>
      <w:r w:rsidRPr="00066CC1">
        <w:rPr>
          <w:highlight w:val="yellow"/>
        </w:rPr>
        <w:t xml:space="preserve"> </w:t>
      </w:r>
      <w:r w:rsidR="00B7740B" w:rsidRPr="00066CC1">
        <w:rPr>
          <w:highlight w:val="yellow"/>
        </w:rPr>
        <w:t>to ensure maximum uptake of cells.</w:t>
      </w:r>
    </w:p>
    <w:p w14:paraId="43CDBD01" w14:textId="77777777" w:rsidR="00F7351E" w:rsidRDefault="00F7351E" w:rsidP="00C16832">
      <w:pPr>
        <w:pStyle w:val="ListParagraph"/>
        <w:widowControl/>
        <w:spacing w:line="0" w:lineRule="atLeast"/>
        <w:ind w:left="0"/>
        <w:textAlignment w:val="center"/>
        <w:rPr>
          <w:highlight w:val="yellow"/>
        </w:rPr>
      </w:pPr>
    </w:p>
    <w:p w14:paraId="209A574E" w14:textId="17E83F36" w:rsidR="00066CC1" w:rsidRPr="00482324" w:rsidRDefault="00380C24" w:rsidP="00C16832">
      <w:pPr>
        <w:pStyle w:val="ListParagraph"/>
        <w:widowControl/>
        <w:spacing w:line="0" w:lineRule="atLeast"/>
        <w:ind w:left="0"/>
        <w:textAlignment w:val="center"/>
        <w:rPr>
          <w:color w:val="auto"/>
        </w:rPr>
      </w:pPr>
      <w:r w:rsidRPr="00482324">
        <w:rPr>
          <w:highlight w:val="yellow"/>
        </w:rPr>
        <w:t xml:space="preserve">NOTE: </w:t>
      </w:r>
      <w:r w:rsidR="00C12271" w:rsidRPr="00482324">
        <w:rPr>
          <w:highlight w:val="yellow"/>
        </w:rPr>
        <w:t>Clonally cultured cells</w:t>
      </w:r>
      <w:r w:rsidRPr="00482324">
        <w:rPr>
          <w:highlight w:val="yellow"/>
        </w:rPr>
        <w:t xml:space="preserve"> can stick to bottom of well. </w:t>
      </w:r>
      <w:r w:rsidR="00031154" w:rsidRPr="00482324">
        <w:rPr>
          <w:highlight w:val="yellow"/>
        </w:rPr>
        <w:t>I</w:t>
      </w:r>
      <w:r w:rsidRPr="00482324">
        <w:rPr>
          <w:highlight w:val="yellow"/>
        </w:rPr>
        <w:t xml:space="preserve">nspect </w:t>
      </w:r>
      <w:r w:rsidR="00031154" w:rsidRPr="00482324">
        <w:rPr>
          <w:highlight w:val="yellow"/>
        </w:rPr>
        <w:t xml:space="preserve">the </w:t>
      </w:r>
      <w:r w:rsidRPr="00482324">
        <w:rPr>
          <w:highlight w:val="yellow"/>
        </w:rPr>
        <w:t xml:space="preserve">wells using </w:t>
      </w:r>
      <w:r w:rsidR="00031154" w:rsidRPr="00482324">
        <w:rPr>
          <w:highlight w:val="yellow"/>
        </w:rPr>
        <w:t xml:space="preserve">a </w:t>
      </w:r>
      <w:r w:rsidR="00E532D8" w:rsidRPr="00482324">
        <w:rPr>
          <w:highlight w:val="yellow"/>
        </w:rPr>
        <w:t xml:space="preserve">standard inverted </w:t>
      </w:r>
      <w:r w:rsidR="00031154" w:rsidRPr="00482324">
        <w:rPr>
          <w:highlight w:val="yellow"/>
        </w:rPr>
        <w:t xml:space="preserve">light </w:t>
      </w:r>
      <w:r w:rsidR="00E532D8" w:rsidRPr="00482324">
        <w:rPr>
          <w:highlight w:val="yellow"/>
        </w:rPr>
        <w:t>microscope</w:t>
      </w:r>
      <w:r w:rsidR="00031154" w:rsidRPr="00482324">
        <w:rPr>
          <w:highlight w:val="yellow"/>
        </w:rPr>
        <w:t xml:space="preserve"> to ensure whether all cells have been collected</w:t>
      </w:r>
      <w:r w:rsidR="00E532D8" w:rsidRPr="00482324">
        <w:rPr>
          <w:highlight w:val="yellow"/>
        </w:rPr>
        <w:t xml:space="preserve">. </w:t>
      </w:r>
    </w:p>
    <w:p w14:paraId="27A2C99D" w14:textId="77777777" w:rsidR="00066CC1" w:rsidRPr="00066CC1" w:rsidRDefault="00066CC1" w:rsidP="00C16832">
      <w:pPr>
        <w:pStyle w:val="ListParagraph"/>
        <w:spacing w:line="0" w:lineRule="atLeast"/>
        <w:rPr>
          <w:highlight w:val="yellow"/>
        </w:rPr>
      </w:pPr>
    </w:p>
    <w:p w14:paraId="2EC313C6" w14:textId="2F1934C3" w:rsidR="00066CC1" w:rsidRPr="00066CC1" w:rsidRDefault="006B0D2C" w:rsidP="00C16832">
      <w:pPr>
        <w:pStyle w:val="ListParagraph"/>
        <w:widowControl/>
        <w:numPr>
          <w:ilvl w:val="1"/>
          <w:numId w:val="10"/>
        </w:numPr>
        <w:spacing w:line="0" w:lineRule="atLeast"/>
        <w:textAlignment w:val="center"/>
        <w:rPr>
          <w:color w:val="auto"/>
        </w:rPr>
      </w:pPr>
      <w:r w:rsidRPr="00066CC1">
        <w:rPr>
          <w:highlight w:val="yellow"/>
        </w:rPr>
        <w:t xml:space="preserve">If all wells with </w:t>
      </w:r>
      <w:r w:rsidR="0032164D" w:rsidRPr="00066CC1">
        <w:rPr>
          <w:highlight w:val="yellow"/>
        </w:rPr>
        <w:t>&gt;</w:t>
      </w:r>
      <w:r w:rsidRPr="00066CC1">
        <w:rPr>
          <w:highlight w:val="yellow"/>
        </w:rPr>
        <w:t xml:space="preserve">30% confluency have been harvested, place </w:t>
      </w:r>
      <w:r w:rsidR="00376577">
        <w:rPr>
          <w:highlight w:val="yellow"/>
        </w:rPr>
        <w:t xml:space="preserve">the </w:t>
      </w:r>
      <w:r w:rsidRPr="00066CC1">
        <w:rPr>
          <w:highlight w:val="yellow"/>
        </w:rPr>
        <w:t>384</w:t>
      </w:r>
      <w:r w:rsidR="00376577">
        <w:rPr>
          <w:highlight w:val="yellow"/>
        </w:rPr>
        <w:t xml:space="preserve"> </w:t>
      </w:r>
      <w:r w:rsidRPr="00066CC1">
        <w:rPr>
          <w:highlight w:val="yellow"/>
        </w:rPr>
        <w:t>well plate back in incubator. Clonal cultures can proliferate for up to 5 weeks.</w:t>
      </w:r>
    </w:p>
    <w:p w14:paraId="03A19F00" w14:textId="77777777" w:rsidR="00066CC1" w:rsidRPr="00066CC1" w:rsidRDefault="00066CC1" w:rsidP="00C16832">
      <w:pPr>
        <w:pStyle w:val="ListParagraph"/>
        <w:spacing w:line="0" w:lineRule="atLeast"/>
        <w:rPr>
          <w:highlight w:val="yellow"/>
        </w:rPr>
      </w:pPr>
    </w:p>
    <w:p w14:paraId="6FD6A89C" w14:textId="7509E465" w:rsidR="00066CC1" w:rsidRPr="00066CC1" w:rsidRDefault="000D4541" w:rsidP="00C16832">
      <w:pPr>
        <w:pStyle w:val="ListParagraph"/>
        <w:widowControl/>
        <w:numPr>
          <w:ilvl w:val="1"/>
          <w:numId w:val="10"/>
        </w:numPr>
        <w:spacing w:line="0" w:lineRule="atLeast"/>
        <w:textAlignment w:val="center"/>
        <w:rPr>
          <w:color w:val="auto"/>
        </w:rPr>
      </w:pPr>
      <w:r w:rsidRPr="00066CC1">
        <w:rPr>
          <w:highlight w:val="yellow"/>
        </w:rPr>
        <w:t xml:space="preserve">Spin down </w:t>
      </w:r>
      <w:r w:rsidR="00CF4570" w:rsidRPr="00066CC1">
        <w:rPr>
          <w:highlight w:val="yellow"/>
        </w:rPr>
        <w:t>the cell suspension for</w:t>
      </w:r>
      <w:r w:rsidR="00562DBF" w:rsidRPr="00066CC1">
        <w:rPr>
          <w:highlight w:val="yellow"/>
        </w:rPr>
        <w:t xml:space="preserve"> 5 min at </w:t>
      </w:r>
      <w:r w:rsidR="00B545A6" w:rsidRPr="00066CC1">
        <w:rPr>
          <w:highlight w:val="yellow"/>
        </w:rPr>
        <w:t xml:space="preserve">350 </w:t>
      </w:r>
      <w:r w:rsidR="00CF4570" w:rsidRPr="00066CC1">
        <w:rPr>
          <w:highlight w:val="yellow"/>
        </w:rPr>
        <w:t xml:space="preserve">x </w:t>
      </w:r>
      <w:r w:rsidR="00562DBF" w:rsidRPr="00066CC1">
        <w:rPr>
          <w:i/>
          <w:highlight w:val="yellow"/>
        </w:rPr>
        <w:t>g</w:t>
      </w:r>
      <w:r w:rsidR="00B545A6" w:rsidRPr="00066CC1">
        <w:rPr>
          <w:highlight w:val="yellow"/>
        </w:rPr>
        <w:t>. A small pellet should be visible</w:t>
      </w:r>
      <w:r w:rsidR="00CF4570" w:rsidRPr="00066CC1">
        <w:rPr>
          <w:highlight w:val="yellow"/>
        </w:rPr>
        <w:t>.</w:t>
      </w:r>
    </w:p>
    <w:p w14:paraId="47872831" w14:textId="77777777" w:rsidR="00066CC1" w:rsidRPr="00066CC1" w:rsidRDefault="00066CC1" w:rsidP="00C16832">
      <w:pPr>
        <w:pStyle w:val="ListParagraph"/>
        <w:spacing w:line="0" w:lineRule="atLeast"/>
        <w:rPr>
          <w:highlight w:val="yellow"/>
        </w:rPr>
      </w:pPr>
    </w:p>
    <w:p w14:paraId="56E59320" w14:textId="77777777" w:rsidR="00066CC1" w:rsidRPr="00066CC1" w:rsidRDefault="00B545A6" w:rsidP="00C16832">
      <w:pPr>
        <w:pStyle w:val="ListParagraph"/>
        <w:widowControl/>
        <w:numPr>
          <w:ilvl w:val="1"/>
          <w:numId w:val="10"/>
        </w:numPr>
        <w:spacing w:line="0" w:lineRule="atLeast"/>
        <w:textAlignment w:val="center"/>
        <w:rPr>
          <w:color w:val="auto"/>
        </w:rPr>
      </w:pPr>
      <w:r w:rsidRPr="00066CC1">
        <w:rPr>
          <w:highlight w:val="yellow"/>
        </w:rPr>
        <w:t>C</w:t>
      </w:r>
      <w:r w:rsidR="00562DBF" w:rsidRPr="00066CC1">
        <w:rPr>
          <w:highlight w:val="yellow"/>
        </w:rPr>
        <w:t xml:space="preserve">arefully </w:t>
      </w:r>
      <w:r w:rsidR="00CF4570" w:rsidRPr="00066CC1">
        <w:rPr>
          <w:highlight w:val="yellow"/>
        </w:rPr>
        <w:t xml:space="preserve">remove </w:t>
      </w:r>
      <w:r w:rsidRPr="00066CC1">
        <w:rPr>
          <w:highlight w:val="yellow"/>
        </w:rPr>
        <w:t xml:space="preserve">all but </w:t>
      </w:r>
      <w:r w:rsidR="00CF4570" w:rsidRPr="00066CC1">
        <w:rPr>
          <w:highlight w:val="yellow"/>
        </w:rPr>
        <w:t xml:space="preserve">about </w:t>
      </w:r>
      <w:r w:rsidRPr="00066CC1">
        <w:rPr>
          <w:highlight w:val="yellow"/>
        </w:rPr>
        <w:t>5 μL of supernatant. Cell</w:t>
      </w:r>
      <w:r w:rsidR="000D4541" w:rsidRPr="00066CC1">
        <w:rPr>
          <w:highlight w:val="yellow"/>
        </w:rPr>
        <w:t xml:space="preserve"> pelle</w:t>
      </w:r>
      <w:r w:rsidR="00562DBF" w:rsidRPr="00066CC1">
        <w:rPr>
          <w:highlight w:val="yellow"/>
        </w:rPr>
        <w:t>t</w:t>
      </w:r>
      <w:r w:rsidRPr="00066CC1">
        <w:rPr>
          <w:highlight w:val="yellow"/>
        </w:rPr>
        <w:t>s</w:t>
      </w:r>
      <w:r w:rsidR="00562DBF" w:rsidRPr="00066CC1">
        <w:rPr>
          <w:highlight w:val="yellow"/>
        </w:rPr>
        <w:t xml:space="preserve"> </w:t>
      </w:r>
      <w:r w:rsidRPr="00066CC1">
        <w:rPr>
          <w:highlight w:val="yellow"/>
        </w:rPr>
        <w:t xml:space="preserve">can be </w:t>
      </w:r>
      <w:r w:rsidR="00E532D8" w:rsidRPr="00066CC1">
        <w:rPr>
          <w:highlight w:val="yellow"/>
        </w:rPr>
        <w:t>frozen</w:t>
      </w:r>
      <w:r w:rsidR="00562DBF" w:rsidRPr="00066CC1">
        <w:rPr>
          <w:highlight w:val="yellow"/>
        </w:rPr>
        <w:t xml:space="preserve"> at </w:t>
      </w:r>
      <w:r w:rsidR="00562DBF" w:rsidRPr="00066CC1">
        <w:rPr>
          <w:rFonts w:asciiTheme="minorHAnsi" w:hAnsiTheme="minorHAnsi" w:cstheme="minorHAnsi"/>
          <w:highlight w:val="yellow"/>
        </w:rPr>
        <w:t>-20</w:t>
      </w:r>
      <w:r w:rsidR="002C4173" w:rsidRPr="00066CC1">
        <w:rPr>
          <w:rFonts w:asciiTheme="minorHAnsi" w:hAnsiTheme="minorHAnsi" w:cstheme="minorHAnsi"/>
          <w:highlight w:val="yellow"/>
        </w:rPr>
        <w:t xml:space="preserve"> </w:t>
      </w:r>
      <w:r w:rsidR="00562DBF" w:rsidRPr="00066CC1">
        <w:rPr>
          <w:rFonts w:asciiTheme="minorHAnsi" w:hAnsiTheme="minorHAnsi" w:cstheme="minorHAnsi"/>
          <w:highlight w:val="yellow"/>
        </w:rPr>
        <w:t>°C</w:t>
      </w:r>
      <w:r w:rsidR="00E532D8" w:rsidRPr="00066CC1">
        <w:rPr>
          <w:rFonts w:asciiTheme="minorHAnsi" w:hAnsiTheme="minorHAnsi" w:cstheme="minorHAnsi"/>
          <w:highlight w:val="yellow"/>
        </w:rPr>
        <w:t xml:space="preserve"> and stored for multiple months before DNA isolation.</w:t>
      </w:r>
      <w:r w:rsidR="006B0D2C" w:rsidRPr="00066CC1">
        <w:rPr>
          <w:rFonts w:asciiTheme="minorHAnsi" w:hAnsiTheme="minorHAnsi" w:cstheme="minorHAnsi"/>
          <w:highlight w:val="yellow"/>
        </w:rPr>
        <w:t xml:space="preserve"> </w:t>
      </w:r>
    </w:p>
    <w:p w14:paraId="23FBFFE3" w14:textId="77777777" w:rsidR="00066CC1" w:rsidRDefault="00066CC1" w:rsidP="00C16832">
      <w:pPr>
        <w:pStyle w:val="ListParagraph"/>
        <w:spacing w:line="0" w:lineRule="atLeast"/>
      </w:pPr>
    </w:p>
    <w:p w14:paraId="5FEFA6A7" w14:textId="77777777" w:rsidR="00066CC1" w:rsidRPr="00066CC1" w:rsidRDefault="00E532D8" w:rsidP="00C16832">
      <w:pPr>
        <w:pStyle w:val="ListParagraph"/>
        <w:widowControl/>
        <w:numPr>
          <w:ilvl w:val="0"/>
          <w:numId w:val="10"/>
        </w:numPr>
        <w:spacing w:line="0" w:lineRule="atLeast"/>
        <w:textAlignment w:val="center"/>
        <w:rPr>
          <w:b/>
          <w:color w:val="auto"/>
        </w:rPr>
      </w:pPr>
      <w:r w:rsidRPr="00066CC1">
        <w:rPr>
          <w:b/>
        </w:rPr>
        <w:t>DNA isolation</w:t>
      </w:r>
    </w:p>
    <w:p w14:paraId="5FA5B14B" w14:textId="77777777" w:rsidR="00F7351E" w:rsidRPr="00F7351E" w:rsidRDefault="00F7351E" w:rsidP="00C16832">
      <w:pPr>
        <w:pStyle w:val="ListParagraph"/>
        <w:widowControl/>
        <w:spacing w:line="0" w:lineRule="atLeast"/>
        <w:ind w:left="0"/>
        <w:textAlignment w:val="center"/>
        <w:rPr>
          <w:b/>
          <w:color w:val="auto"/>
        </w:rPr>
      </w:pPr>
    </w:p>
    <w:p w14:paraId="645AAF73" w14:textId="2631CD82" w:rsidR="007B13FE" w:rsidRPr="00066CC1" w:rsidRDefault="007B61C8" w:rsidP="00C16832">
      <w:pPr>
        <w:pStyle w:val="ListParagraph"/>
        <w:widowControl/>
        <w:numPr>
          <w:ilvl w:val="1"/>
          <w:numId w:val="10"/>
        </w:numPr>
        <w:spacing w:line="0" w:lineRule="atLeast"/>
        <w:textAlignment w:val="center"/>
        <w:rPr>
          <w:b/>
          <w:color w:val="auto"/>
        </w:rPr>
      </w:pPr>
      <w:r w:rsidRPr="00E532D8">
        <w:t>Isolate</w:t>
      </w:r>
      <w:r w:rsidR="005D3671">
        <w:t xml:space="preserve"> HSPC and MSC/T-cell</w:t>
      </w:r>
      <w:r w:rsidRPr="00E532D8">
        <w:t xml:space="preserve"> DNA</w:t>
      </w:r>
      <w:r w:rsidR="000D4541" w:rsidRPr="00E532D8">
        <w:t xml:space="preserve"> </w:t>
      </w:r>
      <w:r w:rsidR="00E505F6">
        <w:t>using a</w:t>
      </w:r>
      <w:r w:rsidR="00D13A59">
        <w:t xml:space="preserve"> </w:t>
      </w:r>
      <w:r w:rsidR="00167416">
        <w:t xml:space="preserve">micro-scale DNA isolation kit </w:t>
      </w:r>
      <w:r w:rsidR="00D13A59">
        <w:t>according to th</w:t>
      </w:r>
      <w:r w:rsidR="00167416">
        <w:t xml:space="preserve">e </w:t>
      </w:r>
      <w:r w:rsidR="00D13A59">
        <w:t xml:space="preserve">manufacturer’s instruction </w:t>
      </w:r>
      <w:r w:rsidRPr="00E532D8">
        <w:t xml:space="preserve">with the following </w:t>
      </w:r>
      <w:r w:rsidR="00D13A59" w:rsidRPr="00E532D8">
        <w:t>a</w:t>
      </w:r>
      <w:r w:rsidR="00D13A59">
        <w:t>djustments:</w:t>
      </w:r>
      <w:r w:rsidR="00CD4B0C">
        <w:t xml:space="preserve"> </w:t>
      </w:r>
    </w:p>
    <w:p w14:paraId="3DED25E8" w14:textId="77777777" w:rsidR="005855A4" w:rsidRDefault="005855A4" w:rsidP="00C16832">
      <w:pPr>
        <w:pStyle w:val="ListParagraph"/>
        <w:widowControl/>
        <w:spacing w:line="0" w:lineRule="atLeast"/>
        <w:textAlignment w:val="center"/>
        <w:rPr>
          <w:color w:val="auto"/>
        </w:rPr>
      </w:pPr>
    </w:p>
    <w:p w14:paraId="55A2941B" w14:textId="2CA56A97" w:rsidR="005855A4" w:rsidRDefault="00066CC1" w:rsidP="00C16832">
      <w:pPr>
        <w:pStyle w:val="ListParagraph"/>
        <w:widowControl/>
        <w:numPr>
          <w:ilvl w:val="2"/>
          <w:numId w:val="10"/>
        </w:numPr>
        <w:spacing w:line="0" w:lineRule="atLeast"/>
        <w:textAlignment w:val="center"/>
        <w:rPr>
          <w:color w:val="auto"/>
        </w:rPr>
      </w:pPr>
      <w:r w:rsidRPr="00F7351E">
        <w:rPr>
          <w:color w:val="auto"/>
        </w:rPr>
        <w:t>Add 2</w:t>
      </w:r>
      <w:r w:rsidRPr="007B13FE">
        <w:rPr>
          <w:rFonts w:ascii="Arial" w:hAnsi="Arial" w:cs="Arial"/>
          <w:color w:val="222222"/>
          <w:shd w:val="clear" w:color="auto" w:fill="FFFFFF"/>
        </w:rPr>
        <w:t xml:space="preserve"> </w:t>
      </w:r>
      <w:r w:rsidRPr="00F7351E">
        <w:rPr>
          <w:color w:val="auto"/>
        </w:rPr>
        <w:t>μL</w:t>
      </w:r>
      <w:r w:rsidR="00376577">
        <w:rPr>
          <w:color w:val="auto"/>
        </w:rPr>
        <w:t xml:space="preserve"> of</w:t>
      </w:r>
      <w:r w:rsidRPr="00F7351E">
        <w:rPr>
          <w:color w:val="auto"/>
        </w:rPr>
        <w:t xml:space="preserve"> RN</w:t>
      </w:r>
      <w:r w:rsidR="00975077">
        <w:rPr>
          <w:color w:val="auto"/>
        </w:rPr>
        <w:t>a</w:t>
      </w:r>
      <w:r w:rsidRPr="00F7351E">
        <w:rPr>
          <w:color w:val="auto"/>
        </w:rPr>
        <w:t xml:space="preserve">se A after addition of buffer AL during </w:t>
      </w:r>
      <w:r w:rsidR="00376577">
        <w:rPr>
          <w:color w:val="auto"/>
        </w:rPr>
        <w:t>section</w:t>
      </w:r>
      <w:r w:rsidRPr="00F7351E">
        <w:rPr>
          <w:color w:val="auto"/>
        </w:rPr>
        <w:t xml:space="preserve"> 2. Incubate for 2 min before adding proteinase K.</w:t>
      </w:r>
    </w:p>
    <w:p w14:paraId="2A0281B5" w14:textId="620E098C" w:rsidR="007B13FE" w:rsidRPr="00F7351E" w:rsidRDefault="007B13FE" w:rsidP="00C16832">
      <w:pPr>
        <w:pStyle w:val="ListParagraph"/>
        <w:widowControl/>
        <w:spacing w:line="0" w:lineRule="atLeast"/>
        <w:ind w:firstLine="60"/>
        <w:textAlignment w:val="center"/>
        <w:rPr>
          <w:color w:val="auto"/>
        </w:rPr>
      </w:pPr>
    </w:p>
    <w:p w14:paraId="4C22CA3B" w14:textId="6DD76EB0" w:rsidR="007B13FE" w:rsidRPr="00F7351E" w:rsidRDefault="00066CC1" w:rsidP="00C16832">
      <w:pPr>
        <w:pStyle w:val="ListParagraph"/>
        <w:widowControl/>
        <w:numPr>
          <w:ilvl w:val="2"/>
          <w:numId w:val="10"/>
        </w:numPr>
        <w:spacing w:line="0" w:lineRule="atLeast"/>
        <w:textAlignment w:val="center"/>
        <w:rPr>
          <w:color w:val="auto"/>
        </w:rPr>
      </w:pPr>
      <w:r w:rsidRPr="00F7351E">
        <w:rPr>
          <w:color w:val="auto"/>
        </w:rPr>
        <w:t>Incubate for 30</w:t>
      </w:r>
      <w:r w:rsidR="007B13FE">
        <w:rPr>
          <w:color w:val="auto"/>
        </w:rPr>
        <w:t xml:space="preserve"> </w:t>
      </w:r>
      <w:r w:rsidRPr="00F7351E">
        <w:rPr>
          <w:color w:val="auto"/>
        </w:rPr>
        <w:t xml:space="preserve">min at 56 </w:t>
      </w:r>
      <w:r w:rsidRPr="00F7351E">
        <w:rPr>
          <w:rFonts w:asciiTheme="minorHAnsi" w:hAnsiTheme="minorHAnsi" w:cstheme="minorHAnsi"/>
          <w:color w:val="auto"/>
        </w:rPr>
        <w:t>°</w:t>
      </w:r>
      <w:r w:rsidRPr="00F7351E">
        <w:rPr>
          <w:color w:val="auto"/>
        </w:rPr>
        <w:t>C</w:t>
      </w:r>
      <w:r w:rsidR="007B13FE">
        <w:rPr>
          <w:color w:val="auto"/>
        </w:rPr>
        <w:t xml:space="preserve"> instead of 10 min</w:t>
      </w:r>
      <w:r w:rsidRPr="00F7351E">
        <w:rPr>
          <w:color w:val="auto"/>
        </w:rPr>
        <w:t xml:space="preserve">. </w:t>
      </w:r>
    </w:p>
    <w:p w14:paraId="4A5FFA49" w14:textId="77777777" w:rsidR="005855A4" w:rsidRDefault="005855A4" w:rsidP="00C16832">
      <w:pPr>
        <w:pStyle w:val="ListParagraph"/>
        <w:widowControl/>
        <w:spacing w:line="0" w:lineRule="atLeast"/>
        <w:textAlignment w:val="center"/>
        <w:rPr>
          <w:color w:val="auto"/>
        </w:rPr>
      </w:pPr>
    </w:p>
    <w:p w14:paraId="3CCA010F" w14:textId="7CBE4B7F" w:rsidR="00066CC1" w:rsidRPr="00F7351E" w:rsidRDefault="00066CC1" w:rsidP="00C16832">
      <w:pPr>
        <w:pStyle w:val="ListParagraph"/>
        <w:widowControl/>
        <w:numPr>
          <w:ilvl w:val="2"/>
          <w:numId w:val="10"/>
        </w:numPr>
        <w:spacing w:line="0" w:lineRule="atLeast"/>
        <w:textAlignment w:val="center"/>
        <w:rPr>
          <w:color w:val="auto"/>
        </w:rPr>
      </w:pPr>
      <w:r w:rsidRPr="00F7351E">
        <w:rPr>
          <w:color w:val="auto"/>
        </w:rPr>
        <w:t xml:space="preserve">Elute the DNA by loading the column with 50 μL of </w:t>
      </w:r>
      <w:r w:rsidR="00DC4202">
        <w:rPr>
          <w:color w:val="auto"/>
        </w:rPr>
        <w:t>TE buffer with low EDTA</w:t>
      </w:r>
      <w:r w:rsidR="00DC4202" w:rsidRPr="00F7351E">
        <w:rPr>
          <w:color w:val="auto"/>
        </w:rPr>
        <w:t xml:space="preserve"> </w:t>
      </w:r>
      <w:r w:rsidRPr="00F7351E">
        <w:rPr>
          <w:color w:val="auto"/>
        </w:rPr>
        <w:t xml:space="preserve">(10 mM Tris, 0.1 mM EDTA). For optimal elution, reload the eluate again on the column and spin again. </w:t>
      </w:r>
    </w:p>
    <w:p w14:paraId="7760713F" w14:textId="77777777" w:rsidR="00066CC1" w:rsidRPr="00066CC1" w:rsidRDefault="00066CC1" w:rsidP="00C16832">
      <w:pPr>
        <w:widowControl/>
        <w:spacing w:line="0" w:lineRule="atLeast"/>
        <w:textAlignment w:val="center"/>
        <w:rPr>
          <w:b/>
          <w:color w:val="auto"/>
        </w:rPr>
      </w:pPr>
    </w:p>
    <w:p w14:paraId="65649300" w14:textId="37B642A6" w:rsidR="00050336" w:rsidRPr="00050336" w:rsidRDefault="0055587B" w:rsidP="00C16832">
      <w:pPr>
        <w:pStyle w:val="ListParagraph"/>
        <w:widowControl/>
        <w:numPr>
          <w:ilvl w:val="1"/>
          <w:numId w:val="10"/>
        </w:numPr>
        <w:spacing w:line="0" w:lineRule="atLeast"/>
        <w:textAlignment w:val="center"/>
        <w:rPr>
          <w:b/>
          <w:color w:val="auto"/>
        </w:rPr>
      </w:pPr>
      <w:r>
        <w:t>Determine</w:t>
      </w:r>
      <w:r w:rsidRPr="005D3671">
        <w:t xml:space="preserve"> </w:t>
      </w:r>
      <w:r w:rsidR="00806EE7" w:rsidRPr="005D3671">
        <w:t>the DNA concentration</w:t>
      </w:r>
      <w:r w:rsidR="00154CCC" w:rsidRPr="005D3671">
        <w:t xml:space="preserve"> using</w:t>
      </w:r>
      <w:r>
        <w:t xml:space="preserve"> a DNA </w:t>
      </w:r>
      <w:r w:rsidR="00154CCC" w:rsidRPr="005D3671">
        <w:t>measuring 2</w:t>
      </w:r>
      <w:r w:rsidR="002C4173" w:rsidRPr="005D3671">
        <w:t xml:space="preserve"> </w:t>
      </w:r>
      <w:r w:rsidR="00154CCC" w:rsidRPr="005D3671">
        <w:t>μL</w:t>
      </w:r>
      <w:r w:rsidR="0033515F" w:rsidRPr="005D3671">
        <w:t xml:space="preserve"> </w:t>
      </w:r>
      <w:r w:rsidR="00154CCC" w:rsidRPr="005D3671">
        <w:t>per clone</w:t>
      </w:r>
      <w:r w:rsidR="005D3671" w:rsidRPr="005D3671">
        <w:t>.</w:t>
      </w:r>
      <w:r w:rsidR="00743AC8" w:rsidRPr="005D3671">
        <w:t xml:space="preserve"> </w:t>
      </w:r>
      <w:r w:rsidR="005D3671" w:rsidRPr="005D3671">
        <w:t xml:space="preserve">The </w:t>
      </w:r>
      <w:r w:rsidR="0033515F" w:rsidRPr="005D3671">
        <w:t xml:space="preserve">DNA </w:t>
      </w:r>
      <w:r w:rsidR="005D3671" w:rsidRPr="005D3671">
        <w:t xml:space="preserve">yield </w:t>
      </w:r>
      <w:r w:rsidR="00154CCC" w:rsidRPr="005D3671">
        <w:t>typically varies between 0.5–3 ng/μL</w:t>
      </w:r>
      <w:r w:rsidR="005D3671">
        <w:t xml:space="preserve">. </w:t>
      </w:r>
    </w:p>
    <w:p w14:paraId="6D91579B" w14:textId="77777777" w:rsidR="00050336" w:rsidRPr="00050336" w:rsidRDefault="00050336" w:rsidP="00C16832">
      <w:pPr>
        <w:pStyle w:val="ListParagraph"/>
        <w:widowControl/>
        <w:spacing w:line="0" w:lineRule="atLeast"/>
        <w:ind w:left="360"/>
        <w:textAlignment w:val="center"/>
        <w:rPr>
          <w:b/>
          <w:color w:val="auto"/>
        </w:rPr>
      </w:pPr>
    </w:p>
    <w:p w14:paraId="2895D04F" w14:textId="77777777" w:rsidR="00C239C8" w:rsidRPr="00C239C8" w:rsidRDefault="007B61C8" w:rsidP="00C16832">
      <w:pPr>
        <w:pStyle w:val="ListParagraph"/>
        <w:widowControl/>
        <w:numPr>
          <w:ilvl w:val="0"/>
          <w:numId w:val="10"/>
        </w:numPr>
        <w:spacing w:line="0" w:lineRule="atLeast"/>
        <w:textAlignment w:val="center"/>
        <w:rPr>
          <w:b/>
          <w:color w:val="auto"/>
        </w:rPr>
      </w:pPr>
      <w:r w:rsidRPr="00050336">
        <w:rPr>
          <w:b/>
        </w:rPr>
        <w:t>Sequencing</w:t>
      </w:r>
    </w:p>
    <w:p w14:paraId="7091335D" w14:textId="2BD86B36" w:rsidR="00F7351E" w:rsidRPr="00F7351E" w:rsidRDefault="00C239C8" w:rsidP="00C16832">
      <w:pPr>
        <w:pStyle w:val="ListParagraph"/>
        <w:widowControl/>
        <w:spacing w:line="0" w:lineRule="atLeast"/>
        <w:ind w:left="0"/>
        <w:textAlignment w:val="center"/>
        <w:rPr>
          <w:b/>
          <w:color w:val="auto"/>
        </w:rPr>
      </w:pPr>
      <w:r w:rsidRPr="00F7351E">
        <w:rPr>
          <w:b/>
          <w:color w:val="auto"/>
        </w:rPr>
        <w:t xml:space="preserve"> </w:t>
      </w:r>
    </w:p>
    <w:p w14:paraId="71962D3A" w14:textId="5FD53A48" w:rsidR="00050336" w:rsidRPr="00050336" w:rsidRDefault="001C0D8B" w:rsidP="00C16832">
      <w:pPr>
        <w:pStyle w:val="ListParagraph"/>
        <w:widowControl/>
        <w:numPr>
          <w:ilvl w:val="1"/>
          <w:numId w:val="10"/>
        </w:numPr>
        <w:spacing w:line="0" w:lineRule="atLeast"/>
        <w:textAlignment w:val="center"/>
        <w:rPr>
          <w:b/>
          <w:color w:val="auto"/>
        </w:rPr>
      </w:pPr>
      <w:r w:rsidRPr="00050336">
        <w:rPr>
          <w:color w:val="auto"/>
        </w:rPr>
        <w:t xml:space="preserve">Perform DNA sequencing as described </w:t>
      </w:r>
      <w:r w:rsidR="00BC3F3E">
        <w:rPr>
          <w:color w:val="auto"/>
        </w:rPr>
        <w:t xml:space="preserve">by Jager </w:t>
      </w:r>
      <w:r w:rsidR="00C16832" w:rsidRPr="00C16832">
        <w:rPr>
          <w:color w:val="auto"/>
        </w:rPr>
        <w:t>et al.</w:t>
      </w:r>
      <w:r w:rsidR="00747A32" w:rsidRPr="00050336">
        <w:rPr>
          <w:color w:val="auto"/>
        </w:rPr>
        <w:fldChar w:fldCharType="begin" w:fldLock="1"/>
      </w:r>
      <w:r w:rsidR="00214AEE">
        <w:rPr>
          <w:color w:val="auto"/>
        </w:rPr>
        <w:instrText xml:space="preserve">ADDIN CSL_CITATION {"citationItems":[{"id":"ITEM-1","itemData":{"DOI":"10.1038/nprot.2017.111","ISSN":"17502799","PMID":"29215633","abstract":"Characterization of mutational processes in adult stem cells (ASCs) will improve our understanding of aging-related diseases, such as cancer and organ failure, and may ultimately help prevent the development of these diseases. Here, we present a method for cataloging mutations in individual human ASCs without the necessity of using error-prone whole-genome amplification. Single ASCs are expanded in vitro into clonal organoid cultures to generate sufficient DNA for accurate whole-genome sequencing (WGS) analysis. We developed a data-analysis pipeline that identifies with high confidence somatic variants that accumulated in vivo in the original ASC. These genome-wide mutation catalogs are valuable resources for the characterization of the underlying mutational mechanisms. In addition, this protocol can be used to determine the effects of culture conditions or mutagen exposure on mutation accumulation in ASCs in vitro. Here, we describe a protocol for human liver ASCs that can be completed over a period of 3-4 months with hands-on time of </w:instrText>
      </w:r>
      <w:r w:rsidR="00214AEE">
        <w:rPr>
          <w:rFonts w:ascii="Cambria Math" w:hAnsi="Cambria Math" w:cs="Cambria Math"/>
          <w:color w:val="auto"/>
        </w:rPr>
        <w:instrText>∼</w:instrText>
      </w:r>
      <w:r w:rsidR="00214AEE">
        <w:rPr>
          <w:color w:val="auto"/>
        </w:rPr>
        <w:instrText>5 d.; ","author":[{"dropping-particle":"","family":"Jager","given":"Myrthe","non-dropping-particle":"","parse-names":false,"suffix":""},{"dropping-particle":"","family":"Blokzijl","given":"Francis","non-dropping-particle":"","parse-names":false,"suffix":""},{"dropping-particle":"","family":"Sasselli","given":"Valentina","non-dropping-particle":"","parse-names":false,"suffix":""},{"dropping-particle":"","family":"Boymans","given":"Sander","non-dropping-particle":"","parse-names":false,"suffix":""},{"dropping-particle":"","family":"Janssen","given":"Roel","non-dropping-particle":"","parse-names":false,"suffix":""},{"dropping-particle":"","family":"Besselink","given":"Nicolle","non-dropping-particle":"","parse-names":false,"suffix":""},{"dropping-particle":"","family":"Clevers","given":"Hans","non-dropping-particle":"","parse-names":false,"suffix":""},{"dropping-particle":"","family":"Boxtel","given":"Ruben","non-dropping-particle":"Van","parse-names":false,"suffix":""},{"dropping-particle":"","family":"Cuppen","given":"Edwin","non-dropping-particle":"","parse-names":false,"suffix":""}],"container-title":"Nature Protocols","id":"ITEM-1","issue":"1","issued":{"date-parts":[["2018"]]},"page":"59-78","publisher":"Nature Publishing Group","title":"Measuring mutation accumulation in single human adult stem cells by whole-genome sequencing of organoid cultures","type":"article-journal","volume":"13"},"uris":["http://www.mendeley.com/documents/?uuid=90a859ed-bd41-42e8-89dd-813d9262a4a8"]}],"mendeley":{"formattedCitation":"&lt;sup&gt;13&lt;/sup&gt;","plainTextFormattedCitation":"13","previouslyFormattedCitation":"&lt;sup&gt;13&lt;/sup&gt;"},"properties":{"noteIndex":0},"schema":"https://github.com/citation-style-language/schema/raw/master/csl-citation.json"}</w:instrText>
      </w:r>
      <w:r w:rsidR="00747A32" w:rsidRPr="00050336">
        <w:rPr>
          <w:color w:val="auto"/>
        </w:rPr>
        <w:fldChar w:fldCharType="separate"/>
      </w:r>
      <w:r w:rsidR="009E67D8" w:rsidRPr="00050336">
        <w:rPr>
          <w:noProof/>
          <w:color w:val="auto"/>
          <w:vertAlign w:val="superscript"/>
        </w:rPr>
        <w:t>13</w:t>
      </w:r>
      <w:r w:rsidR="00747A32" w:rsidRPr="00050336">
        <w:rPr>
          <w:color w:val="auto"/>
        </w:rPr>
        <w:fldChar w:fldCharType="end"/>
      </w:r>
    </w:p>
    <w:p w14:paraId="4DB17911" w14:textId="77777777" w:rsidR="00050336" w:rsidRPr="00050336" w:rsidRDefault="00050336" w:rsidP="00C16832">
      <w:pPr>
        <w:widowControl/>
        <w:spacing w:line="0" w:lineRule="atLeast"/>
        <w:textAlignment w:val="center"/>
        <w:rPr>
          <w:b/>
          <w:color w:val="auto"/>
        </w:rPr>
      </w:pPr>
    </w:p>
    <w:p w14:paraId="6D5F4352" w14:textId="77777777" w:rsidR="00050336" w:rsidRPr="00050336" w:rsidRDefault="005D3671" w:rsidP="00C16832">
      <w:pPr>
        <w:pStyle w:val="ListParagraph"/>
        <w:widowControl/>
        <w:numPr>
          <w:ilvl w:val="0"/>
          <w:numId w:val="10"/>
        </w:numPr>
        <w:spacing w:line="0" w:lineRule="atLeast"/>
        <w:textAlignment w:val="center"/>
        <w:rPr>
          <w:b/>
          <w:color w:val="auto"/>
        </w:rPr>
      </w:pPr>
      <w:r w:rsidRPr="00050336">
        <w:rPr>
          <w:b/>
        </w:rPr>
        <w:t>M</w:t>
      </w:r>
      <w:r w:rsidR="00FE7B03" w:rsidRPr="00050336">
        <w:rPr>
          <w:b/>
        </w:rPr>
        <w:t>apping and somatic mutation calling</w:t>
      </w:r>
    </w:p>
    <w:p w14:paraId="46B1AB13" w14:textId="77777777" w:rsidR="00F7351E" w:rsidRPr="00F7351E" w:rsidRDefault="00F7351E" w:rsidP="00C16832">
      <w:pPr>
        <w:pStyle w:val="ListParagraph"/>
        <w:widowControl/>
        <w:spacing w:line="0" w:lineRule="atLeast"/>
        <w:ind w:left="0"/>
        <w:textAlignment w:val="center"/>
        <w:rPr>
          <w:b/>
          <w:color w:val="auto"/>
        </w:rPr>
      </w:pPr>
    </w:p>
    <w:p w14:paraId="0B5D7AC1" w14:textId="63CF5F0B" w:rsidR="00050336" w:rsidRPr="00975077" w:rsidRDefault="00050336" w:rsidP="00C16832">
      <w:pPr>
        <w:pStyle w:val="ListParagraph"/>
        <w:widowControl/>
        <w:numPr>
          <w:ilvl w:val="1"/>
          <w:numId w:val="10"/>
        </w:numPr>
        <w:spacing w:line="0" w:lineRule="atLeast"/>
        <w:textAlignment w:val="center"/>
        <w:rPr>
          <w:b/>
          <w:color w:val="auto"/>
        </w:rPr>
      </w:pPr>
      <w:r>
        <w:rPr>
          <w:color w:val="auto"/>
        </w:rPr>
        <w:t>M</w:t>
      </w:r>
      <w:r w:rsidR="0094437F" w:rsidRPr="00050336">
        <w:rPr>
          <w:color w:val="auto"/>
        </w:rPr>
        <w:t>ap the output of sequencing (FASTQ files) to the reference genome and call mutations as d</w:t>
      </w:r>
      <w:r w:rsidR="0000237A" w:rsidRPr="00050336">
        <w:rPr>
          <w:color w:val="auto"/>
        </w:rPr>
        <w:t xml:space="preserve">escribed in </w:t>
      </w:r>
      <w:r w:rsidR="00AA2BB1">
        <w:rPr>
          <w:color w:val="auto"/>
        </w:rPr>
        <w:t xml:space="preserve">Jager </w:t>
      </w:r>
      <w:r w:rsidR="00C16832" w:rsidRPr="00C16832">
        <w:rPr>
          <w:color w:val="auto"/>
        </w:rPr>
        <w:t>et al.</w:t>
      </w:r>
      <w:r w:rsidR="00747A32" w:rsidRPr="00050336">
        <w:rPr>
          <w:color w:val="auto"/>
        </w:rPr>
        <w:fldChar w:fldCharType="begin" w:fldLock="1"/>
      </w:r>
      <w:r w:rsidR="00214AEE">
        <w:rPr>
          <w:color w:val="auto"/>
        </w:rPr>
        <w:instrText xml:space="preserve">ADDIN CSL_CITATION {"citationItems":[{"id":"ITEM-1","itemData":{"DOI":"10.1038/nprot.2017.111","ISSN":"17502799","PMID":"29215633","abstract":"Characterization of mutational processes in adult stem cells (ASCs) will improve our understanding of aging-related diseases, such as cancer and organ failure, and may ultimately help prevent the development of these diseases. Here, we present a method for cataloging mutations in individual human ASCs without the necessity of using error-prone whole-genome amplification. Single ASCs are expanded in vitro into clonal organoid cultures to generate sufficient DNA for accurate whole-genome sequencing (WGS) analysis. We developed a data-analysis pipeline that identifies with high confidence somatic variants that accumulated in vivo in the original ASC. These genome-wide mutation catalogs are valuable resources for the characterization of the underlying mutational mechanisms. In addition, this protocol can be used to determine the effects of culture conditions or mutagen exposure on mutation accumulation in ASCs in vitro. Here, we describe a protocol for human liver ASCs that can be completed over a period of 3-4 months with hands-on time of </w:instrText>
      </w:r>
      <w:r w:rsidR="00214AEE">
        <w:rPr>
          <w:rFonts w:ascii="Cambria Math" w:hAnsi="Cambria Math" w:cs="Cambria Math"/>
          <w:color w:val="auto"/>
        </w:rPr>
        <w:instrText>∼</w:instrText>
      </w:r>
      <w:r w:rsidR="00214AEE">
        <w:rPr>
          <w:color w:val="auto"/>
        </w:rPr>
        <w:instrText>5 d.; ","author":[{"dropping-particle":"","family":"Jager","given":"Myrthe","non-dropping-particle":"","parse-names":false,"suffix":""},{"dropping-particle":"","family":"Blokzijl","given":"Francis","non-dropping-particle":"","parse-names":false,"suffix":""},{"dropping-particle":"","family":"Sasselli","given":"Valentina","non-dropping-particle":"","parse-names":false,"suffix":""},{"dropping-particle":"","family":"Boymans","given":"Sander","non-dropping-particle":"","parse-names":false,"suffix":""},{"dropping-particle":"","family":"Janssen","given":"Roel","non-dropping-particle":"","parse-names":false,"suffix":""},{"dropping-particle":"","family":"Besselink","given":"Nicolle","non-dropping-particle":"","parse-names":false,"suffix":""},{"dropping-particle":"","family":"Clevers","given":"Hans","non-dropping-particle":"","parse-names":false,"suffix":""},{"dropping-particle":"","family":"Boxtel","given":"Ruben","non-dropping-particle":"Van","parse-names":false,"suffix":""},{"dropping-particle":"","family":"Cuppen","given":"Edwin","non-dropping-particle":"","parse-names":false,"suffix":""}],"container-title":"Nature Protocols","id":"ITEM-1","issue":"1","issued":{"date-parts":[["2018"]]},"page":"59-78","publisher":"Nature Publishing Group","title":"Measuring mutation accumulation in single human adult stem cells by whole-genome sequencing of organoid cultures","type":"article-journal","volume":"13"},"uris":["http://www.mendeley.com/documents/?uuid=90a859ed-bd41-42e8-89dd-813d9262a4a8"]}],"mendeley":{"formattedCitation":"&lt;sup&gt;13&lt;/sup&gt;","plainTextFormattedCitation":"13","previouslyFormattedCitation":"&lt;sup&gt;13&lt;/sup&gt;"},"properties":{"noteIndex":0},"schema":"https://github.com/citation-style-language/schema/raw/master/csl-citation.json"}</w:instrText>
      </w:r>
      <w:r w:rsidR="00747A32" w:rsidRPr="00050336">
        <w:rPr>
          <w:color w:val="auto"/>
        </w:rPr>
        <w:fldChar w:fldCharType="separate"/>
      </w:r>
      <w:r w:rsidR="009E67D8" w:rsidRPr="00050336">
        <w:rPr>
          <w:noProof/>
          <w:color w:val="auto"/>
          <w:vertAlign w:val="superscript"/>
        </w:rPr>
        <w:t>13</w:t>
      </w:r>
      <w:r w:rsidR="00747A32" w:rsidRPr="00050336">
        <w:rPr>
          <w:color w:val="auto"/>
        </w:rPr>
        <w:fldChar w:fldCharType="end"/>
      </w:r>
    </w:p>
    <w:p w14:paraId="257E03F6" w14:textId="77777777" w:rsidR="00975077" w:rsidRPr="00050336" w:rsidRDefault="00975077" w:rsidP="00975077">
      <w:pPr>
        <w:pStyle w:val="ListParagraph"/>
        <w:widowControl/>
        <w:spacing w:line="0" w:lineRule="atLeast"/>
        <w:ind w:left="0"/>
        <w:textAlignment w:val="center"/>
        <w:rPr>
          <w:b/>
          <w:color w:val="auto"/>
        </w:rPr>
      </w:pPr>
    </w:p>
    <w:p w14:paraId="376FFD36" w14:textId="485570A9" w:rsidR="00050336" w:rsidRDefault="00050336" w:rsidP="00C16832">
      <w:pPr>
        <w:pStyle w:val="ListParagraph"/>
        <w:widowControl/>
        <w:numPr>
          <w:ilvl w:val="1"/>
          <w:numId w:val="10"/>
        </w:numPr>
        <w:spacing w:line="0" w:lineRule="atLeast"/>
        <w:textAlignment w:val="center"/>
        <w:rPr>
          <w:b/>
          <w:color w:val="auto"/>
        </w:rPr>
      </w:pPr>
      <w:r w:rsidRPr="00050336">
        <w:rPr>
          <w:color w:val="auto"/>
        </w:rPr>
        <w:lastRenderedPageBreak/>
        <w:t xml:space="preserve"> I</w:t>
      </w:r>
      <w:r w:rsidR="00FE5448">
        <w:t>nspect the</w:t>
      </w:r>
      <w:r w:rsidR="0094437F">
        <w:t xml:space="preserve"> data</w:t>
      </w:r>
      <w:r w:rsidR="004662A2">
        <w:t xml:space="preserve"> </w:t>
      </w:r>
      <w:r w:rsidR="007D0D50" w:rsidRPr="007D0D50">
        <w:t xml:space="preserve">for </w:t>
      </w:r>
      <w:r w:rsidR="00BC01BC" w:rsidRPr="007D0D50">
        <w:t>aberrant</w:t>
      </w:r>
      <w:r w:rsidR="007D0D50" w:rsidRPr="007D0D50">
        <w:t xml:space="preserve"> karyotypic changes in sequenced clone and bulk data</w:t>
      </w:r>
      <w:r w:rsidR="00FE5448">
        <w:t xml:space="preserve"> using a copy</w:t>
      </w:r>
      <w:r w:rsidR="00376577">
        <w:t xml:space="preserve"> </w:t>
      </w:r>
      <w:r w:rsidR="00FE5448">
        <w:t>number analysis</w:t>
      </w:r>
      <w:r w:rsidR="00D0123F">
        <w:t xml:space="preserve"> tool</w:t>
      </w:r>
      <w:r w:rsidR="00FE5448">
        <w:t>, such as Control-FreeC</w:t>
      </w:r>
      <w:r w:rsidR="00FE5448">
        <w:fldChar w:fldCharType="begin" w:fldLock="1"/>
      </w:r>
      <w:r w:rsidR="00214AEE">
        <w:instrText>ADDIN CSL_CITATION {"citationItems":[{"id":"ITEM-1","itemData":{"DOI":"10.1093/bioinformatics/btr670","ISBN":"1367-4811 (Electronic)\\r1367-4803 (Linking)","ISSN":"13674803","PMID":"22155870","abstract":"Summary: More and more cancer studies use next-generation sequencing (NGS) data to detect various types of genomic variation. However, even when researchers have such data at hand, single-nucleotide polymorphism arrays have been considered necessary to assess copy number alterations and especially loss of heterozygosity (LOH). Here, we present the tool Control-FREEC that enables automatic calculation of copy number and allelic content profiles from NGS data, and consequently predicts regions of genomic alteration such as gains, losses and LOH. Taking as input aligned reads, Control-FREEC constructs copy number and B-allele frequency profiles. The profiles are then normalized, segmented and analyzed in order to assign genotype status (copy number and allelic content) to each genomic region. When a matched normal sample is provided, Control-FREEC discriminates somatic from germline events. Control-FREEC is able to analyze overdiploid tumor samples and samples contaminated by normal cells. Low mappability regions can be excluded from the analysis using provided mappability tracks.\\nAvailability: C++ source code is available at: http://bioinfo.curie.fr/projects/freec/\\nContact: freec@curie.fr\\nSupplementary information: Supplementary data are available at Bioinformatics online.","author":[{"dropping-particle":"","family":"Boeva","given":"Valentina","non-dropping-particle":"","parse-names":false,"suffix":""},{"dropping-particle":"","family":"Popova","given":"Tatiana","non-dropping-particle":"","parse-names":false,"suffix":""},{"dropping-particle":"","family":"Bleakley","given":"Kevin","non-dropping-particle":"","parse-names":false,"suffix":""},{"dropping-particle":"","family":"Chiche","given":"Pierre","non-dropping-particle":"","parse-names":false,"suffix":""},{"dropping-particle":"","family":"Cappo","given":"Julie","non-dropping-particle":"","parse-names":false,"suffix":""},{"dropping-particle":"","family":"Schleiermacher","given":"Gudrun","non-dropping-particle":"","parse-names":false,"suffix":""},{"dropping-particle":"","family":"Janoueix-Lerosey","given":"Isabelle","non-dropping-particle":"","parse-names":false,"suffix":""},{"dropping-particle":"","family":"Delattre","given":"Olivier","non-dropping-particle":"","parse-names":false,"suffix":""},{"dropping-particle":"","family":"Barillot","given":"Emmanuel","non-dropping-particle":"","parse-names":false,"suffix":""}],"container-title":"Bioinformatics","id":"ITEM-1","issue":"3","issued":{"date-parts":[["2012"]]},"page":"423-425","title":"Control-FREEC: A tool for assessing copy number and allelic content using next-generation sequencing data","type":"article-journal","volume":"28"},"uris":["http://www.mendeley.com/documents/?uuid=1be2d628-fdbb-4e66-9ed5-fc154ef9e4d7"]}],"mendeley":{"formattedCitation":"&lt;sup&gt;14&lt;/sup&gt;","plainTextFormattedCitation":"14","previouslyFormattedCitation":"&lt;sup&gt;14&lt;/sup&gt;"},"properties":{"noteIndex":0},"schema":"https://github.com/citation-style-language/schema/raw/master/csl-citation.json"}</w:instrText>
      </w:r>
      <w:r w:rsidR="00FE5448">
        <w:fldChar w:fldCharType="separate"/>
      </w:r>
      <w:r w:rsidR="009E67D8" w:rsidRPr="00050336">
        <w:rPr>
          <w:noProof/>
          <w:vertAlign w:val="superscript"/>
        </w:rPr>
        <w:t>14</w:t>
      </w:r>
      <w:r w:rsidR="00FE5448">
        <w:fldChar w:fldCharType="end"/>
      </w:r>
      <w:r w:rsidR="00FE5448">
        <w:t xml:space="preserve">. </w:t>
      </w:r>
      <w:r w:rsidR="00376577">
        <w:t xml:space="preserve">Until </w:t>
      </w:r>
      <w:r w:rsidR="00FE5448">
        <w:t xml:space="preserve">now, we </w:t>
      </w:r>
      <w:r w:rsidR="002C4173">
        <w:t xml:space="preserve">have not reported any HSPCs with karyotypic </w:t>
      </w:r>
      <w:r w:rsidR="00CE2335">
        <w:t>aberrances</w:t>
      </w:r>
      <w:r w:rsidR="002C4173">
        <w:t xml:space="preserve">. </w:t>
      </w:r>
    </w:p>
    <w:p w14:paraId="7EB46F04" w14:textId="77777777" w:rsidR="00050336" w:rsidRPr="00050336" w:rsidRDefault="00050336" w:rsidP="00C16832">
      <w:pPr>
        <w:widowControl/>
        <w:spacing w:line="0" w:lineRule="atLeast"/>
        <w:textAlignment w:val="center"/>
        <w:rPr>
          <w:b/>
          <w:color w:val="auto"/>
        </w:rPr>
      </w:pPr>
    </w:p>
    <w:p w14:paraId="7DF4E6B1" w14:textId="7623189B" w:rsidR="00050336" w:rsidRPr="00050336" w:rsidRDefault="00565570" w:rsidP="00C16832">
      <w:pPr>
        <w:pStyle w:val="ListParagraph"/>
        <w:widowControl/>
        <w:numPr>
          <w:ilvl w:val="1"/>
          <w:numId w:val="10"/>
        </w:numPr>
        <w:spacing w:line="0" w:lineRule="atLeast"/>
        <w:textAlignment w:val="center"/>
        <w:rPr>
          <w:b/>
          <w:color w:val="auto"/>
        </w:rPr>
      </w:pPr>
      <w:r w:rsidRPr="00154CCC">
        <w:t xml:space="preserve">Generate </w:t>
      </w:r>
      <w:r w:rsidR="00BB2092">
        <w:t xml:space="preserve">a </w:t>
      </w:r>
      <w:r w:rsidR="000428CA">
        <w:t>black</w:t>
      </w:r>
      <w:r w:rsidR="00BB2092">
        <w:t>list</w:t>
      </w:r>
      <w:r w:rsidR="000428CA">
        <w:t>, which consists</w:t>
      </w:r>
      <w:r w:rsidR="00BB2092">
        <w:t xml:space="preserve"> of</w:t>
      </w:r>
      <w:r w:rsidR="005C69C3">
        <w:t xml:space="preserve"> a panel of</w:t>
      </w:r>
      <w:r w:rsidR="00BB2092">
        <w:t xml:space="preserve"> unmatched normal</w:t>
      </w:r>
      <w:r w:rsidR="005C69C3">
        <w:t xml:space="preserve"> </w:t>
      </w:r>
      <w:r w:rsidR="00FE5448">
        <w:t>s</w:t>
      </w:r>
      <w:r w:rsidR="005C69C3">
        <w:t>amples</w:t>
      </w:r>
      <w:r w:rsidR="00BB2092">
        <w:t xml:space="preserve"> for filtering purposes</w:t>
      </w:r>
      <w:r w:rsidRPr="00154CCC">
        <w:t xml:space="preserve"> from</w:t>
      </w:r>
      <w:r w:rsidR="00BB2092">
        <w:t xml:space="preserve"> an</w:t>
      </w:r>
      <w:r w:rsidRPr="00154CCC">
        <w:t xml:space="preserve"> own set of samples</w:t>
      </w:r>
      <w:r w:rsidR="008C46F0">
        <w:t xml:space="preserve">, </w:t>
      </w:r>
      <w:r w:rsidR="008A7894">
        <w:t>as</w:t>
      </w:r>
      <w:r w:rsidR="00D345A7">
        <w:t xml:space="preserve"> previously </w:t>
      </w:r>
      <w:r w:rsidR="008A7894">
        <w:t>described</w:t>
      </w:r>
      <w:r w:rsidR="008A7894">
        <w:fldChar w:fldCharType="begin" w:fldLock="1"/>
      </w:r>
      <w:r w:rsidR="00214AEE">
        <w:instrText xml:space="preserve">ADDIN CSL_CITATION {"citationItems":[{"id":"ITEM-1","itemData":{"DOI":"10.1038/nprot.2017.111","ISSN":"17502799","PMID":"29215633","abstract":"Characterization of mutational processes in adult stem cells (ASCs) will improve our understanding of aging-related diseases, such as cancer and organ failure, and may ultimately help prevent the development of these diseases. Here, we present a method for cataloging mutations in individual human ASCs without the necessity of using error-prone whole-genome amplification. Single ASCs are expanded in vitro into clonal organoid cultures to generate sufficient DNA for accurate whole-genome sequencing (WGS) analysis. We developed a data-analysis pipeline that identifies with high confidence somatic variants that accumulated in vivo in the original ASC. These genome-wide mutation catalogs are valuable resources for the characterization of the underlying mutational mechanisms. In addition, this protocol can be used to determine the effects of culture conditions or mutagen exposure on mutation accumulation in ASCs in vitro. Here, we describe a protocol for human liver ASCs that can be completed over a period of 3-4 months with hands-on time of </w:instrText>
      </w:r>
      <w:r w:rsidR="00214AEE">
        <w:rPr>
          <w:rFonts w:ascii="Cambria Math" w:hAnsi="Cambria Math" w:cs="Cambria Math"/>
        </w:rPr>
        <w:instrText>∼</w:instrText>
      </w:r>
      <w:r w:rsidR="00214AEE">
        <w:instrText>5 d.; ","author":[{"dropping-particle":"","family":"Jager","given":"Myrthe","non-dropping-particle":"","parse-names":false,"suffix":""},{"dropping-particle":"","family":"Blokzijl","given":"Francis","non-dropping-particle":"","parse-names":false,"suffix":""},{"dropping-particle":"","family":"Sasselli","given":"Valentina","non-dropping-particle":"","parse-names":false,"suffix":""},{"dropping-particle":"","family":"Boymans","given":"Sander","non-dropping-particle":"","parse-names":false,"suffix":""},{"dropping-particle":"","family":"Janssen","given":"Roel","non-dropping-particle":"","parse-names":false,"suffix":""},{"dropping-particle":"","family":"Besselink","given":"Nicolle","non-dropping-particle":"","parse-names":false,"suffix":""},{"dropping-particle":"","family":"Clevers","given":"Hans","non-dropping-particle":"","parse-names":false,"suffix":""},{"dropping-particle":"","family":"Boxtel","given":"Ruben","non-dropping-particle":"Van","parse-names":false,"suffix":""},{"dropping-particle":"","family":"Cuppen","given":"Edwin","non-dropping-particle":"","parse-names":false,"suffix":""}],"container-title":"Nature Protocols","id":"ITEM-1","issue":"1","issued":{"date-parts":[["2018"]]},"page":"59-78","publisher":"Nature Publishing Group","title":"Measuring mutation accumulation in single human adult stem cells by whole-genome sequencing of organoid cultures","type":"article-journal","volume":"13"},"uris":["http://www.mendeley.com/documents/?uuid=90a859ed-bd41-42e8-89dd-813d9262a4a8"]}],"mendeley":{"formattedCitation":"&lt;sup&gt;13&lt;/sup&gt;","plainTextFormattedCitation":"13","previouslyFormattedCitation":"&lt;sup&gt;13&lt;/sup&gt;"},"properties":{"noteIndex":0},"schema":"https://github.com/citation-style-language/schema/raw/master/csl-citation.json"}</w:instrText>
      </w:r>
      <w:r w:rsidR="008A7894">
        <w:fldChar w:fldCharType="separate"/>
      </w:r>
      <w:r w:rsidR="009E67D8" w:rsidRPr="00050336">
        <w:rPr>
          <w:noProof/>
          <w:vertAlign w:val="superscript"/>
        </w:rPr>
        <w:t>13</w:t>
      </w:r>
      <w:r w:rsidR="008A7894">
        <w:fldChar w:fldCharType="end"/>
      </w:r>
      <w:r w:rsidR="008A7894">
        <w:t>,</w:t>
      </w:r>
      <w:r w:rsidRPr="00154CCC">
        <w:t xml:space="preserve"> or use </w:t>
      </w:r>
      <w:r w:rsidR="00376577">
        <w:t>the following</w:t>
      </w:r>
      <w:r w:rsidRPr="00154CCC">
        <w:t xml:space="preserve"> uploaded blacklist</w:t>
      </w:r>
      <w:r w:rsidR="00376577">
        <w:t>:</w:t>
      </w:r>
      <w:r w:rsidR="008A7894">
        <w:t xml:space="preserve"> </w:t>
      </w:r>
      <w:r w:rsidR="00376577">
        <w:t>&lt;</w:t>
      </w:r>
      <w:r w:rsidR="00376577" w:rsidRPr="00C16832">
        <w:t>https://data.mendeley.com/datasets/9y4yhwt5rp/draft?a=6ce9b571-187d-4cf9-b9af-7082c9f3652e</w:t>
      </w:r>
      <w:r w:rsidR="00376577">
        <w:t>&gt;</w:t>
      </w:r>
      <w:r w:rsidR="008F578D">
        <w:t xml:space="preserve">. </w:t>
      </w:r>
    </w:p>
    <w:p w14:paraId="60E7F30A" w14:textId="77777777" w:rsidR="00050336" w:rsidRPr="00050336" w:rsidRDefault="00050336" w:rsidP="00C16832">
      <w:pPr>
        <w:widowControl/>
        <w:spacing w:line="0" w:lineRule="atLeast"/>
        <w:textAlignment w:val="center"/>
        <w:rPr>
          <w:b/>
          <w:color w:val="auto"/>
        </w:rPr>
      </w:pPr>
    </w:p>
    <w:p w14:paraId="1831D60B" w14:textId="6AACB771" w:rsidR="00050336" w:rsidRPr="00050336" w:rsidRDefault="002A278E" w:rsidP="00C16832">
      <w:pPr>
        <w:pStyle w:val="ListParagraph"/>
        <w:widowControl/>
        <w:numPr>
          <w:ilvl w:val="1"/>
          <w:numId w:val="10"/>
        </w:numPr>
        <w:spacing w:line="0" w:lineRule="atLeast"/>
        <w:textAlignment w:val="center"/>
        <w:rPr>
          <w:b/>
          <w:color w:val="auto"/>
        </w:rPr>
      </w:pPr>
      <w:r w:rsidRPr="00050336">
        <w:rPr>
          <w:color w:val="auto"/>
        </w:rPr>
        <w:t xml:space="preserve">Filter single nucleotide variations using SNVFI </w:t>
      </w:r>
      <w:r w:rsidR="00376577">
        <w:rPr>
          <w:color w:val="auto"/>
        </w:rPr>
        <w:t>&lt;</w:t>
      </w:r>
      <w:r w:rsidR="00376577" w:rsidRPr="00C16832">
        <w:t>https://github.com/ToolsVanBox/SNVFI</w:t>
      </w:r>
      <w:r w:rsidR="00376577">
        <w:rPr>
          <w:rStyle w:val="Hyperlink"/>
          <w:color w:val="auto"/>
          <w:u w:val="none"/>
        </w:rPr>
        <w:t>&gt;</w:t>
      </w:r>
      <w:r w:rsidR="00AA2BB1">
        <w:rPr>
          <w:rStyle w:val="Hyperlink"/>
          <w:color w:val="auto"/>
          <w:u w:val="none"/>
        </w:rPr>
        <w:t>.</w:t>
      </w:r>
    </w:p>
    <w:p w14:paraId="27EFB899" w14:textId="77777777" w:rsidR="00050336" w:rsidRDefault="00050336" w:rsidP="00C16832">
      <w:pPr>
        <w:pStyle w:val="ListParagraph"/>
        <w:spacing w:line="0" w:lineRule="atLeast"/>
      </w:pPr>
    </w:p>
    <w:p w14:paraId="432EFBE4" w14:textId="11961F02" w:rsidR="00050336" w:rsidRPr="00050336" w:rsidRDefault="00E4381F" w:rsidP="00C16832">
      <w:pPr>
        <w:pStyle w:val="ListParagraph"/>
        <w:widowControl/>
        <w:numPr>
          <w:ilvl w:val="2"/>
          <w:numId w:val="10"/>
        </w:numPr>
        <w:spacing w:line="0" w:lineRule="atLeast"/>
        <w:textAlignment w:val="center"/>
        <w:rPr>
          <w:b/>
          <w:color w:val="auto"/>
        </w:rPr>
      </w:pPr>
      <w:r w:rsidRPr="00592B97">
        <w:t xml:space="preserve">Preset </w:t>
      </w:r>
      <w:proofErr w:type="spellStart"/>
      <w:r w:rsidRPr="00592B97">
        <w:t>SNVFI.config</w:t>
      </w:r>
      <w:proofErr w:type="spellEnd"/>
      <w:r w:rsidRPr="00592B97">
        <w:t xml:space="preserve"> file, such that all </w:t>
      </w:r>
      <w:r w:rsidR="001237F6">
        <w:t>paths to helper functions are</w:t>
      </w:r>
      <w:r w:rsidRPr="00592B97">
        <w:t xml:space="preserve"> </w:t>
      </w:r>
      <w:r w:rsidR="00F275DB" w:rsidRPr="00592B97">
        <w:t>correc</w:t>
      </w:r>
      <w:r w:rsidR="001237F6">
        <w:t>t.</w:t>
      </w:r>
      <w:r w:rsidR="00F275DB" w:rsidRPr="00592B97">
        <w:t xml:space="preserve"> </w:t>
      </w:r>
    </w:p>
    <w:p w14:paraId="27F1FDEC" w14:textId="77777777" w:rsidR="00050336" w:rsidRPr="00050336" w:rsidRDefault="00050336" w:rsidP="00C16832">
      <w:pPr>
        <w:widowControl/>
        <w:spacing w:line="0" w:lineRule="atLeast"/>
        <w:textAlignment w:val="center"/>
        <w:rPr>
          <w:b/>
          <w:color w:val="auto"/>
        </w:rPr>
      </w:pPr>
    </w:p>
    <w:p w14:paraId="1E336FE9" w14:textId="7F0649CE" w:rsidR="00050336" w:rsidRPr="00050336" w:rsidRDefault="00C61251" w:rsidP="00C16832">
      <w:pPr>
        <w:pStyle w:val="ListParagraph"/>
        <w:widowControl/>
        <w:numPr>
          <w:ilvl w:val="2"/>
          <w:numId w:val="10"/>
        </w:numPr>
        <w:spacing w:line="0" w:lineRule="atLeast"/>
        <w:textAlignment w:val="center"/>
        <w:rPr>
          <w:b/>
          <w:color w:val="auto"/>
        </w:rPr>
      </w:pPr>
      <w:r w:rsidRPr="00050336">
        <w:rPr>
          <w:color w:val="auto"/>
        </w:rPr>
        <w:t>Run SNVFI with .</w:t>
      </w:r>
      <w:proofErr w:type="spellStart"/>
      <w:r w:rsidRPr="00050336">
        <w:rPr>
          <w:color w:val="auto"/>
        </w:rPr>
        <w:t>ini</w:t>
      </w:r>
      <w:proofErr w:type="spellEnd"/>
      <w:r w:rsidRPr="00050336">
        <w:rPr>
          <w:color w:val="auto"/>
        </w:rPr>
        <w:t xml:space="preserve"> file configured according to the</w:t>
      </w:r>
      <w:r w:rsidR="00AA2BB1">
        <w:rPr>
          <w:color w:val="auto"/>
        </w:rPr>
        <w:t xml:space="preserve"> settings seen in </w:t>
      </w:r>
      <w:r w:rsidR="00AA2BB1" w:rsidRPr="00AA2BB1">
        <w:rPr>
          <w:b/>
          <w:color w:val="auto"/>
        </w:rPr>
        <w:t xml:space="preserve">Supplemental </w:t>
      </w:r>
      <w:r w:rsidR="00AA2BB1">
        <w:rPr>
          <w:b/>
          <w:color w:val="auto"/>
        </w:rPr>
        <w:t>F</w:t>
      </w:r>
      <w:r w:rsidR="00AA2BB1" w:rsidRPr="00AA2BB1">
        <w:rPr>
          <w:b/>
          <w:color w:val="auto"/>
        </w:rPr>
        <w:t>ile 1</w:t>
      </w:r>
      <w:r w:rsidR="00AA2BB1">
        <w:rPr>
          <w:color w:val="auto"/>
        </w:rPr>
        <w:t xml:space="preserve"> (SNVFI.ini)</w:t>
      </w:r>
      <w:r w:rsidR="00711B2F" w:rsidRPr="00050336">
        <w:rPr>
          <w:color w:val="auto"/>
        </w:rPr>
        <w:t xml:space="preserve">. To exclude </w:t>
      </w:r>
      <w:r w:rsidR="00711B2F" w:rsidRPr="00C16832">
        <w:rPr>
          <w:color w:val="auto"/>
        </w:rPr>
        <w:t>in vitro</w:t>
      </w:r>
      <w:r w:rsidR="00711B2F" w:rsidRPr="00050336">
        <w:rPr>
          <w:color w:val="auto"/>
        </w:rPr>
        <w:t xml:space="preserve"> induced mutations we filter for a VAF </w:t>
      </w:r>
      <w:r w:rsidR="00711B2F" w:rsidRPr="00050336">
        <w:rPr>
          <w:color w:val="222222"/>
          <w:shd w:val="clear" w:color="auto" w:fill="FFFFFF"/>
        </w:rPr>
        <w:t>≥0.3</w:t>
      </w:r>
      <w:r w:rsidR="00750903" w:rsidRPr="00050336">
        <w:rPr>
          <w:color w:val="222222"/>
          <w:shd w:val="clear" w:color="auto" w:fill="FFFFFF"/>
        </w:rPr>
        <w:fldChar w:fldCharType="begin" w:fldLock="1"/>
      </w:r>
      <w:r w:rsidR="00FE5448" w:rsidRPr="00050336">
        <w:rPr>
          <w:color w:val="222222"/>
          <w:shd w:val="clear" w:color="auto" w:fill="FFFFFF"/>
        </w:rPr>
        <w:instrText>ADDIN CSL_CITATION {"citationItems":[{"id":"ITEM-1","itemData":{"DOI":"10.1038/nature19768","ISBN":"1476-4687","ISSN":"14764687","PMID":"27698416","abstract":"The gradual accumulation of genetic mutations in human adult stem cells (ASCs) during life is associated with various age-related diseases, including cancer. Extreme variation in cancer risk across tissues was recently proposed to depend on the lifetime number of ASC divisions, owing to unavoidable random mutations that arise during DNA replication. However, the rates and patterns of mutations in normal ASCs remain unknown. Here we determine genome-wide mutation patterns in ASCs of the small intestine, colon and liver of human donors with ages ranging from 3 to 87 years by sequencing clonal organoid cultures derived from primary multipotent cells. Our results show that mutations accumulate steadily over time in all of the assessed tissue types, at a rate of approximately 40 novel mutations per year, despite the large variation in cancer incidence among these tissues. Liver ASCs, however, have different mutation spectra compared to those of the colon and small intestine. Mutational signature analysis reveals that this difference can be attributed to spontaneous deamination of methylated cytosine residues in the colon and small intestine, probably reflecting their high ASC division rate. In liver, a signature with an as-yet-unknown underlying mechanism is predominant. Mutation spectra of driver genes in cancer show high similarity to the tissue-specific ASC mutation spectra, suggesting that intrinsic mutational processes in ASCs can initiate tumorigenesis. Notably, the inter-individual variation in mutation rate and spectra are low, suggesting tissue-specific activity of common mutational processes throughout life.","author":[{"dropping-particle":"","family":"Blokzijl","given":"Francis","non-dropping-particle":"","parse-names":false,"suffix":""},{"dropping-particle":"","family":"Ligt","given":"Joep","non-dropping-particle":"De","parse-names":false,"suffix":""},{"dropping-particle":"","family":"Jager","given":"Myrthe","non-dropping-particle":"","parse-names":false,"suffix":""},{"dropping-particle":"","family":"Sasselli","given":"Valentina","non-dropping-particle":"","parse-names":false,"suffix":""},{"dropping-particle":"","family":"Roerink","given":"Sophie","non-dropping-particle":"","parse-names":false,"suffix":""},{"dropping-particle":"","family":"Sasaki","given":"Nobuo","non-dropping-particle":"","parse-names":false,"suffix":""},{"dropping-particle":"","family":"Huch","given":"Meritxell","non-dropping-particle":"","parse-names":false,"suffix":""},{"dropping-particle":"","family":"Boymans","given":"Sander","non-dropping-particle":"","parse-names":false,"suffix":""},{"dropping-particle":"","family":"Kuijk","given":"Ewart","non-dropping-particle":"","parse-names":false,"suffix":""},{"dropping-particle":"","family":"Prins","given":"Pjotr","non-dropping-particle":"","parse-names":false,"suffix":""},{"dropping-particle":"","family":"Nijman","given":"Isaac J.","non-dropping-particle":"","parse-names":false,"suffix":""},{"dropping-particle":"","family":"Martincorena","given":"Inigo","non-dropping-particle":"","parse-names":false,"suffix":""},{"dropping-particle":"","family":"Mokry","given":"Michal","non-dropping-particle":"","parse-names":false,"suffix":""},{"dropping-particle":"","family":"Wiegerinck","given":"Caroline L.","non-dropping-particle":"","parse-names":false,"suffix":""},{"dropping-particle":"","family":"Middendorp","given":"Sabine","non-dropping-particle":"","parse-names":false,"suffix":""},{"dropping-particle":"","family":"Sato","given":"Toshiro","non-dropping-particle":"","parse-names":false,"suffix":""},{"dropping-particle":"","family":"Schwank","given":"Gerald","non-dropping-particle":"","parse-names":false,"suffix":""},{"dropping-particle":"","family":"Nieuwenhuis","given":"Edward E.S.","non-dropping-particle":"","parse-names":false,"suffix":""},{"dropping-particle":"","family":"Verstegen","given":"Monique M.A.","non-dropping-particle":"","parse-names":false,"suffix":""},{"dropping-particle":"","family":"Laan","given":"Luc J.W.","non-dropping-particle":"Van Der","parse-names":false,"suffix":""},{"dropping-particle":"","family":"Jonge","given":"Jeroen","non-dropping-particle":"De","parse-names":false,"suffix":""},{"dropping-particle":"","family":"Ijzermans","given":"Jan N.M.","non-dropping-particle":"","parse-names":false,"suffix":""},{"dropping-particle":"","family":"Vries","given":"Robert G.","non-dropping-particle":"","parse-names":false,"suffix":""},{"dropping-particle":"","family":"Wetering","given":"Marc","non-dropping-particle":"Van De","parse-names":false,"suffix":""},{"dropping-particle":"","family":"Stratton","given":"Michael R.","non-dropping-particle":"","parse-names":false,"suffix":""},{"dropping-particle":"","family":"Clevers","given":"Hans","non-dropping-particle":"","parse-names":false,"suffix":""},{"dropping-particle":"","family":"Cuppen","given":"Edwin","non-dropping-particle":"","parse-names":false,"suffix":""},{"dropping-particle":"","family":"Boxtel","given":"Ruben","non-dropping-particle":"Van","parse-names":false,"suffix":""}],"container-title":"Nature","id":"ITEM-1","issue":"7624","issued":{"date-parts":[["2016"]]},"page":"260-264","publisher":"Nature Publishing Group","title":"Tissue-specific mutation accumulation in human adult stem cells during life","type":"article-journal","volume":"538"},"uris":["http://www.mendeley.com/documents/?uuid=c8c340d0-6a0a-4990-b2e9-45bdd4b35b9f"]}],"mendeley":{"formattedCitation":"&lt;sup&gt;9&lt;/sup&gt;","plainTextFormattedCitation":"9","previouslyFormattedCitation":"&lt;sup&gt;9&lt;/sup&gt;"},"properties":{"noteIndex":0},"schema":"https://github.com/citation-style-language/schema/raw/master/csl-citation.json"}</w:instrText>
      </w:r>
      <w:r w:rsidR="00750903" w:rsidRPr="00050336">
        <w:rPr>
          <w:color w:val="222222"/>
          <w:shd w:val="clear" w:color="auto" w:fill="FFFFFF"/>
        </w:rPr>
        <w:fldChar w:fldCharType="separate"/>
      </w:r>
      <w:r w:rsidR="00641586" w:rsidRPr="00050336">
        <w:rPr>
          <w:noProof/>
          <w:color w:val="222222"/>
          <w:shd w:val="clear" w:color="auto" w:fill="FFFFFF"/>
          <w:vertAlign w:val="superscript"/>
        </w:rPr>
        <w:t>9</w:t>
      </w:r>
      <w:r w:rsidR="00750903" w:rsidRPr="00050336">
        <w:rPr>
          <w:color w:val="222222"/>
          <w:shd w:val="clear" w:color="auto" w:fill="FFFFFF"/>
        </w:rPr>
        <w:fldChar w:fldCharType="end"/>
      </w:r>
      <w:r w:rsidR="00711B2F" w:rsidRPr="00050336">
        <w:rPr>
          <w:color w:val="222222"/>
          <w:shd w:val="clear" w:color="auto" w:fill="FFFFFF"/>
        </w:rPr>
        <w:t>.</w:t>
      </w:r>
    </w:p>
    <w:p w14:paraId="009CE4EF" w14:textId="77777777" w:rsidR="00050336" w:rsidRPr="00050336" w:rsidRDefault="00050336" w:rsidP="00C16832">
      <w:pPr>
        <w:widowControl/>
        <w:spacing w:line="0" w:lineRule="atLeast"/>
        <w:textAlignment w:val="center"/>
        <w:rPr>
          <w:rFonts w:ascii="Courier" w:hAnsi="Courier"/>
          <w:color w:val="auto"/>
        </w:rPr>
      </w:pPr>
    </w:p>
    <w:p w14:paraId="6DFAC17A" w14:textId="77777777" w:rsidR="004775AA" w:rsidRPr="004775AA" w:rsidRDefault="00050336" w:rsidP="00C16832">
      <w:pPr>
        <w:pStyle w:val="ListParagraph"/>
        <w:widowControl/>
        <w:numPr>
          <w:ilvl w:val="1"/>
          <w:numId w:val="10"/>
        </w:numPr>
        <w:spacing w:line="0" w:lineRule="atLeast"/>
        <w:textAlignment w:val="center"/>
        <w:rPr>
          <w:b/>
          <w:color w:val="auto"/>
        </w:rPr>
      </w:pPr>
      <w:r>
        <w:t>Check the variant allele fraction (VAF) output of SNVFI (</w:t>
      </w:r>
      <w:r w:rsidRPr="00C16832">
        <w:rPr>
          <w:b/>
        </w:rPr>
        <w:t>Figure 4</w:t>
      </w:r>
      <w:r>
        <w:t>). Check whether the peak of the density plot is near 0.5, indicating the sample is clonal.</w:t>
      </w:r>
    </w:p>
    <w:p w14:paraId="2BC3347A" w14:textId="77777777" w:rsidR="004775AA" w:rsidRPr="004775AA" w:rsidRDefault="004775AA" w:rsidP="00C16832">
      <w:pPr>
        <w:widowControl/>
        <w:spacing w:line="0" w:lineRule="atLeast"/>
        <w:textAlignment w:val="center"/>
        <w:rPr>
          <w:b/>
          <w:color w:val="auto"/>
        </w:rPr>
      </w:pPr>
    </w:p>
    <w:p w14:paraId="08358A64" w14:textId="26F74609" w:rsidR="004775AA" w:rsidRPr="00AA2BB1" w:rsidRDefault="00BB2092" w:rsidP="00C16832">
      <w:pPr>
        <w:pStyle w:val="ListParagraph"/>
        <w:widowControl/>
        <w:numPr>
          <w:ilvl w:val="1"/>
          <w:numId w:val="10"/>
        </w:numPr>
        <w:spacing w:line="0" w:lineRule="atLeast"/>
        <w:textAlignment w:val="center"/>
        <w:rPr>
          <w:b/>
          <w:color w:val="auto"/>
        </w:rPr>
      </w:pPr>
      <w:r>
        <w:t xml:space="preserve">OPTIONAL: To determine the </w:t>
      </w:r>
      <w:r w:rsidR="00FE5448">
        <w:t>part of the genome which is covered during filtering, determine the</w:t>
      </w:r>
      <w:r w:rsidR="00711B2F" w:rsidRPr="00FE5448">
        <w:t xml:space="preserve"> callable regions along germline and control</w:t>
      </w:r>
      <w:r w:rsidR="001741A8">
        <w:t xml:space="preserve"> using </w:t>
      </w:r>
      <w:proofErr w:type="spellStart"/>
      <w:r w:rsidR="001741A8">
        <w:t>CallableLoci</w:t>
      </w:r>
      <w:proofErr w:type="spellEnd"/>
      <w:r w:rsidR="001741A8">
        <w:t xml:space="preserve"> from GATK</w:t>
      </w:r>
      <w:r w:rsidR="00AA2BB1">
        <w:t xml:space="preserve"> (Genome </w:t>
      </w:r>
      <w:proofErr w:type="spellStart"/>
      <w:r w:rsidR="00AA2BB1">
        <w:t>Analyziz</w:t>
      </w:r>
      <w:proofErr w:type="spellEnd"/>
      <w:r w:rsidR="00AA2BB1">
        <w:t xml:space="preserve"> </w:t>
      </w:r>
      <w:proofErr w:type="spellStart"/>
      <w:r w:rsidR="00AA2BB1">
        <w:t>ToolKit</w:t>
      </w:r>
      <w:proofErr w:type="spellEnd"/>
      <w:r w:rsidR="00AA2BB1">
        <w:t>):</w:t>
      </w:r>
    </w:p>
    <w:p w14:paraId="07939528" w14:textId="7BBC7731" w:rsidR="004775AA" w:rsidRPr="00AA2BB1" w:rsidRDefault="004775AA" w:rsidP="00C16832">
      <w:pPr>
        <w:pStyle w:val="ListParagraph"/>
        <w:widowControl/>
        <w:spacing w:line="0" w:lineRule="atLeast"/>
        <w:ind w:left="0"/>
        <w:textAlignment w:val="center"/>
        <w:rPr>
          <w:rFonts w:asciiTheme="minorHAnsi" w:hAnsiTheme="minorHAnsi" w:cstheme="minorHAnsi"/>
          <w:b/>
          <w:color w:val="auto"/>
        </w:rPr>
      </w:pPr>
      <w:r w:rsidRPr="00AA2BB1">
        <w:rPr>
          <w:rFonts w:asciiTheme="minorHAnsi" w:hAnsiTheme="minorHAnsi" w:cstheme="minorHAnsi"/>
          <w:b/>
          <w:color w:val="auto"/>
        </w:rPr>
        <w:t>java -jar GenomeAnalysisTK.jar \</w:t>
      </w:r>
    </w:p>
    <w:p w14:paraId="43CDE6F0" w14:textId="29CA8E09" w:rsidR="004775AA" w:rsidRPr="00AA2BB1" w:rsidRDefault="004775AA" w:rsidP="00C16832">
      <w:pPr>
        <w:pStyle w:val="ListParagraph"/>
        <w:widowControl/>
        <w:spacing w:line="0" w:lineRule="atLeast"/>
        <w:ind w:left="0" w:firstLine="720"/>
        <w:textAlignment w:val="center"/>
        <w:rPr>
          <w:rFonts w:asciiTheme="minorHAnsi" w:hAnsiTheme="minorHAnsi" w:cstheme="minorHAnsi"/>
          <w:b/>
          <w:color w:val="auto"/>
        </w:rPr>
      </w:pPr>
      <w:r w:rsidRPr="00AA2BB1">
        <w:rPr>
          <w:rFonts w:asciiTheme="minorHAnsi" w:hAnsiTheme="minorHAnsi" w:cstheme="minorHAnsi"/>
          <w:b/>
          <w:color w:val="auto"/>
        </w:rPr>
        <w:t xml:space="preserve">-T </w:t>
      </w:r>
      <w:proofErr w:type="spellStart"/>
      <w:r w:rsidRPr="00AA2BB1">
        <w:rPr>
          <w:rFonts w:asciiTheme="minorHAnsi" w:hAnsiTheme="minorHAnsi" w:cstheme="minorHAnsi"/>
          <w:b/>
          <w:color w:val="auto"/>
        </w:rPr>
        <w:t>CallableLoci</w:t>
      </w:r>
      <w:proofErr w:type="spellEnd"/>
      <w:r w:rsidRPr="00AA2BB1">
        <w:rPr>
          <w:rFonts w:asciiTheme="minorHAnsi" w:hAnsiTheme="minorHAnsi" w:cstheme="minorHAnsi"/>
          <w:b/>
          <w:color w:val="auto"/>
        </w:rPr>
        <w:t xml:space="preserve"> \</w:t>
      </w:r>
    </w:p>
    <w:p w14:paraId="4D2162FF" w14:textId="0F009DC5" w:rsidR="004775AA" w:rsidRPr="00AA2BB1" w:rsidRDefault="004775AA" w:rsidP="00C16832">
      <w:pPr>
        <w:pStyle w:val="ListParagraph"/>
        <w:widowControl/>
        <w:spacing w:line="0" w:lineRule="atLeast"/>
        <w:ind w:left="0" w:firstLine="720"/>
        <w:textAlignment w:val="center"/>
        <w:rPr>
          <w:rFonts w:asciiTheme="minorHAnsi" w:hAnsiTheme="minorHAnsi" w:cstheme="minorHAnsi"/>
          <w:b/>
          <w:color w:val="auto"/>
        </w:rPr>
      </w:pPr>
      <w:r w:rsidRPr="00AA2BB1">
        <w:rPr>
          <w:rFonts w:asciiTheme="minorHAnsi" w:hAnsiTheme="minorHAnsi" w:cstheme="minorHAnsi"/>
          <w:b/>
          <w:color w:val="auto"/>
        </w:rPr>
        <w:t xml:space="preserve">-R </w:t>
      </w:r>
      <w:proofErr w:type="spellStart"/>
      <w:proofErr w:type="gramStart"/>
      <w:r w:rsidRPr="00AA2BB1">
        <w:rPr>
          <w:rFonts w:asciiTheme="minorHAnsi" w:hAnsiTheme="minorHAnsi" w:cstheme="minorHAnsi"/>
          <w:b/>
          <w:color w:val="auto"/>
        </w:rPr>
        <w:t>reference.fasta</w:t>
      </w:r>
      <w:proofErr w:type="spellEnd"/>
      <w:proofErr w:type="gramEnd"/>
      <w:r w:rsidRPr="00AA2BB1">
        <w:rPr>
          <w:rFonts w:asciiTheme="minorHAnsi" w:hAnsiTheme="minorHAnsi" w:cstheme="minorHAnsi"/>
          <w:b/>
          <w:color w:val="auto"/>
        </w:rPr>
        <w:t xml:space="preserve"> \</w:t>
      </w:r>
    </w:p>
    <w:p w14:paraId="14DFBA5D" w14:textId="25B139CD" w:rsidR="004775AA" w:rsidRPr="00AA2BB1" w:rsidRDefault="004775AA" w:rsidP="00C16832">
      <w:pPr>
        <w:pStyle w:val="ListParagraph"/>
        <w:widowControl/>
        <w:spacing w:line="0" w:lineRule="atLeast"/>
        <w:ind w:left="0" w:firstLine="720"/>
        <w:textAlignment w:val="center"/>
        <w:rPr>
          <w:rFonts w:asciiTheme="minorHAnsi" w:hAnsiTheme="minorHAnsi" w:cstheme="minorHAnsi"/>
          <w:b/>
          <w:color w:val="auto"/>
        </w:rPr>
      </w:pPr>
      <w:r w:rsidRPr="00AA2BB1">
        <w:rPr>
          <w:rFonts w:asciiTheme="minorHAnsi" w:hAnsiTheme="minorHAnsi" w:cstheme="minorHAnsi"/>
          <w:b/>
          <w:color w:val="auto"/>
        </w:rPr>
        <w:t xml:space="preserve">-I </w:t>
      </w:r>
      <w:proofErr w:type="spellStart"/>
      <w:r w:rsidRPr="00AA2BB1">
        <w:rPr>
          <w:rFonts w:asciiTheme="minorHAnsi" w:hAnsiTheme="minorHAnsi" w:cstheme="minorHAnsi"/>
          <w:b/>
          <w:color w:val="auto"/>
        </w:rPr>
        <w:t>myreads.bam</w:t>
      </w:r>
      <w:proofErr w:type="spellEnd"/>
      <w:r w:rsidRPr="00AA2BB1">
        <w:rPr>
          <w:rFonts w:asciiTheme="minorHAnsi" w:hAnsiTheme="minorHAnsi" w:cstheme="minorHAnsi"/>
          <w:b/>
          <w:color w:val="auto"/>
        </w:rPr>
        <w:t xml:space="preserve"> \</w:t>
      </w:r>
    </w:p>
    <w:p w14:paraId="65FD4093" w14:textId="1B033FE5" w:rsidR="004775AA" w:rsidRPr="00AA2BB1" w:rsidRDefault="004775AA" w:rsidP="00C16832">
      <w:pPr>
        <w:pStyle w:val="ListParagraph"/>
        <w:widowControl/>
        <w:spacing w:line="0" w:lineRule="atLeast"/>
        <w:ind w:left="0" w:firstLine="720"/>
        <w:textAlignment w:val="center"/>
        <w:rPr>
          <w:rFonts w:asciiTheme="minorHAnsi" w:hAnsiTheme="minorHAnsi" w:cstheme="minorHAnsi"/>
          <w:b/>
          <w:color w:val="auto"/>
        </w:rPr>
      </w:pPr>
      <w:r w:rsidRPr="00AA2BB1">
        <w:rPr>
          <w:rFonts w:asciiTheme="minorHAnsi" w:hAnsiTheme="minorHAnsi" w:cstheme="minorHAnsi"/>
          <w:b/>
          <w:color w:val="auto"/>
        </w:rPr>
        <w:t>-summary table.txt \</w:t>
      </w:r>
    </w:p>
    <w:p w14:paraId="3FA3297C" w14:textId="66B70689" w:rsidR="004775AA" w:rsidRPr="00AA2BB1" w:rsidRDefault="004775AA" w:rsidP="00C16832">
      <w:pPr>
        <w:pStyle w:val="ListParagraph"/>
        <w:widowControl/>
        <w:spacing w:line="0" w:lineRule="atLeast"/>
        <w:ind w:left="0" w:firstLine="720"/>
        <w:textAlignment w:val="center"/>
        <w:rPr>
          <w:rFonts w:asciiTheme="minorHAnsi" w:hAnsiTheme="minorHAnsi" w:cstheme="minorHAnsi"/>
          <w:color w:val="auto"/>
        </w:rPr>
      </w:pPr>
      <w:r w:rsidRPr="00AA2BB1">
        <w:rPr>
          <w:rFonts w:asciiTheme="minorHAnsi" w:hAnsiTheme="minorHAnsi" w:cstheme="minorHAnsi"/>
          <w:b/>
          <w:color w:val="auto"/>
        </w:rPr>
        <w:t xml:space="preserve">-o </w:t>
      </w:r>
      <w:proofErr w:type="spellStart"/>
      <w:r w:rsidRPr="00AA2BB1">
        <w:rPr>
          <w:rFonts w:asciiTheme="minorHAnsi" w:hAnsiTheme="minorHAnsi" w:cstheme="minorHAnsi"/>
          <w:b/>
          <w:color w:val="auto"/>
        </w:rPr>
        <w:t>callable_status.bed</w:t>
      </w:r>
      <w:proofErr w:type="spellEnd"/>
    </w:p>
    <w:p w14:paraId="64DD1565" w14:textId="77777777" w:rsidR="004775AA" w:rsidRPr="004775AA" w:rsidRDefault="004775AA" w:rsidP="00C16832">
      <w:pPr>
        <w:pStyle w:val="ListParagraph"/>
        <w:widowControl/>
        <w:spacing w:line="0" w:lineRule="atLeast"/>
        <w:ind w:left="0"/>
        <w:textAlignment w:val="center"/>
        <w:rPr>
          <w:b/>
          <w:color w:val="auto"/>
        </w:rPr>
      </w:pPr>
    </w:p>
    <w:p w14:paraId="54DBF723" w14:textId="51705954" w:rsidR="004775AA" w:rsidRPr="00AA2BB1" w:rsidRDefault="004775AA" w:rsidP="00C16832">
      <w:pPr>
        <w:pStyle w:val="ListParagraph"/>
        <w:widowControl/>
        <w:numPr>
          <w:ilvl w:val="1"/>
          <w:numId w:val="10"/>
        </w:numPr>
        <w:spacing w:line="0" w:lineRule="atLeast"/>
        <w:textAlignment w:val="center"/>
        <w:rPr>
          <w:color w:val="auto"/>
        </w:rPr>
      </w:pPr>
      <w:r w:rsidRPr="00AA2BB1">
        <w:rPr>
          <w:color w:val="auto"/>
        </w:rPr>
        <w:t xml:space="preserve">OPTIONAL: Retrieve the Callable regions from the </w:t>
      </w:r>
      <w:proofErr w:type="spellStart"/>
      <w:r w:rsidRPr="00AA2BB1">
        <w:rPr>
          <w:color w:val="auto"/>
        </w:rPr>
        <w:t>CallableLoci</w:t>
      </w:r>
      <w:proofErr w:type="spellEnd"/>
      <w:r w:rsidRPr="00AA2BB1">
        <w:rPr>
          <w:color w:val="auto"/>
        </w:rPr>
        <w:t xml:space="preserve"> output and perform pairwise intersections between the samples and the bulk using the python script CallableLoci_processor.py</w:t>
      </w:r>
      <w:r w:rsidR="00474F22" w:rsidRPr="00AA2BB1">
        <w:rPr>
          <w:color w:val="auto"/>
        </w:rPr>
        <w:t xml:space="preserve"> present at </w:t>
      </w:r>
      <w:r w:rsidR="00376577">
        <w:rPr>
          <w:color w:val="auto"/>
        </w:rPr>
        <w:t>&lt;</w:t>
      </w:r>
      <w:r w:rsidR="00376577" w:rsidRPr="00C16832">
        <w:t>https://data.mendeley.com/datasets/9y4yhwt5rp/draft#folder-13e1f141-12eb-4b05-85c4-d0b198a4ba9b</w:t>
      </w:r>
      <w:r w:rsidR="00376577">
        <w:rPr>
          <w:rStyle w:val="Hyperlink"/>
        </w:rPr>
        <w:t>&gt;</w:t>
      </w:r>
      <w:r w:rsidR="00474F22" w:rsidRPr="00AA2BB1">
        <w:rPr>
          <w:color w:val="auto"/>
        </w:rPr>
        <w:t xml:space="preserve">. </w:t>
      </w:r>
      <w:r w:rsidRPr="00AA2BB1">
        <w:rPr>
          <w:color w:val="auto"/>
        </w:rPr>
        <w:t xml:space="preserve"> The resulting bed files can be used to further filter the output of SNVFI and to inspect the mutational profile in</w:t>
      </w:r>
      <w:r w:rsidR="00AA2BB1">
        <w:rPr>
          <w:color w:val="auto"/>
        </w:rPr>
        <w:t xml:space="preserve"> section</w:t>
      </w:r>
      <w:r w:rsidRPr="00AA2BB1">
        <w:rPr>
          <w:color w:val="auto"/>
        </w:rPr>
        <w:t xml:space="preserve"> 9</w:t>
      </w:r>
      <w:r w:rsidR="00AA2BB1" w:rsidRPr="00AA2BB1">
        <w:rPr>
          <w:color w:val="auto"/>
        </w:rPr>
        <w:t>:</w:t>
      </w:r>
    </w:p>
    <w:p w14:paraId="3B0A4AF6" w14:textId="6AC01BE4" w:rsidR="005855A4" w:rsidRPr="00AA2BB1" w:rsidRDefault="004775AA" w:rsidP="00C16832">
      <w:pPr>
        <w:pStyle w:val="ListParagraph"/>
        <w:widowControl/>
        <w:spacing w:line="0" w:lineRule="atLeast"/>
        <w:ind w:left="0"/>
        <w:textAlignment w:val="center"/>
        <w:rPr>
          <w:rFonts w:asciiTheme="minorHAnsi" w:hAnsiTheme="minorHAnsi" w:cstheme="minorHAnsi"/>
          <w:b/>
          <w:color w:val="auto"/>
        </w:rPr>
      </w:pPr>
      <w:r w:rsidRPr="00AA2BB1">
        <w:rPr>
          <w:rFonts w:asciiTheme="minorHAnsi" w:hAnsiTheme="minorHAnsi" w:cstheme="minorHAnsi"/>
          <w:b/>
          <w:color w:val="auto"/>
        </w:rPr>
        <w:t xml:space="preserve">CallableLoci_processor.py </w:t>
      </w:r>
      <w:proofErr w:type="spellStart"/>
      <w:r w:rsidRPr="00AA2BB1">
        <w:rPr>
          <w:rFonts w:asciiTheme="minorHAnsi" w:hAnsiTheme="minorHAnsi" w:cstheme="minorHAnsi"/>
          <w:b/>
          <w:color w:val="auto"/>
        </w:rPr>
        <w:t>dir_in</w:t>
      </w:r>
      <w:proofErr w:type="spellEnd"/>
      <w:r w:rsidRPr="00AA2BB1">
        <w:rPr>
          <w:rFonts w:asciiTheme="minorHAnsi" w:hAnsiTheme="minorHAnsi" w:cstheme="minorHAnsi"/>
          <w:b/>
          <w:color w:val="auto"/>
        </w:rPr>
        <w:t xml:space="preserve"> </w:t>
      </w:r>
      <w:proofErr w:type="spellStart"/>
      <w:r w:rsidRPr="00AA2BB1">
        <w:rPr>
          <w:rFonts w:asciiTheme="minorHAnsi" w:hAnsiTheme="minorHAnsi" w:cstheme="minorHAnsi"/>
          <w:b/>
          <w:color w:val="auto"/>
        </w:rPr>
        <w:t>dir_out</w:t>
      </w:r>
      <w:proofErr w:type="spellEnd"/>
      <w:r w:rsidRPr="00AA2BB1">
        <w:rPr>
          <w:rFonts w:asciiTheme="minorHAnsi" w:hAnsiTheme="minorHAnsi" w:cstheme="minorHAnsi"/>
          <w:b/>
          <w:color w:val="auto"/>
        </w:rPr>
        <w:t xml:space="preserve"> </w:t>
      </w:r>
      <w:proofErr w:type="spellStart"/>
      <w:r w:rsidRPr="00AA2BB1">
        <w:rPr>
          <w:rFonts w:asciiTheme="minorHAnsi" w:hAnsiTheme="minorHAnsi" w:cstheme="minorHAnsi"/>
          <w:b/>
          <w:color w:val="auto"/>
        </w:rPr>
        <w:t>sample_name</w:t>
      </w:r>
      <w:proofErr w:type="spellEnd"/>
      <w:r w:rsidRPr="00AA2BB1">
        <w:rPr>
          <w:rFonts w:asciiTheme="minorHAnsi" w:hAnsiTheme="minorHAnsi" w:cstheme="minorHAnsi"/>
          <w:b/>
          <w:color w:val="auto"/>
        </w:rPr>
        <w:t xml:space="preserve"> </w:t>
      </w:r>
      <w:proofErr w:type="spellStart"/>
      <w:r w:rsidRPr="00AA2BB1">
        <w:rPr>
          <w:rFonts w:asciiTheme="minorHAnsi" w:hAnsiTheme="minorHAnsi" w:cstheme="minorHAnsi"/>
          <w:b/>
          <w:color w:val="auto"/>
        </w:rPr>
        <w:t>bulk_name</w:t>
      </w:r>
      <w:proofErr w:type="spellEnd"/>
      <w:r w:rsidRPr="00AA2BB1">
        <w:rPr>
          <w:rFonts w:asciiTheme="minorHAnsi" w:hAnsiTheme="minorHAnsi" w:cstheme="minorHAnsi"/>
          <w:b/>
          <w:color w:val="auto"/>
        </w:rPr>
        <w:t xml:space="preserve"> –samples sample1 sample2 sample3</w:t>
      </w:r>
    </w:p>
    <w:p w14:paraId="43EC4D65" w14:textId="02300A5E" w:rsidR="00D345A7" w:rsidRDefault="00D345A7" w:rsidP="00C16832">
      <w:pPr>
        <w:pStyle w:val="ListParagraph"/>
        <w:widowControl/>
        <w:spacing w:line="0" w:lineRule="atLeast"/>
        <w:textAlignment w:val="center"/>
        <w:rPr>
          <w:color w:val="auto"/>
        </w:rPr>
      </w:pPr>
    </w:p>
    <w:p w14:paraId="0B02248C" w14:textId="309B8602" w:rsidR="00050336" w:rsidRPr="00F7351E" w:rsidRDefault="00F048AC" w:rsidP="00C16832">
      <w:pPr>
        <w:pStyle w:val="ListParagraph"/>
        <w:widowControl/>
        <w:numPr>
          <w:ilvl w:val="0"/>
          <w:numId w:val="10"/>
        </w:numPr>
        <w:spacing w:line="0" w:lineRule="atLeast"/>
        <w:textAlignment w:val="center"/>
        <w:rPr>
          <w:color w:val="auto"/>
        </w:rPr>
      </w:pPr>
      <w:r w:rsidRPr="00050336">
        <w:rPr>
          <w:b/>
          <w:color w:val="auto"/>
        </w:rPr>
        <w:t>In</w:t>
      </w:r>
      <w:r w:rsidR="00C01CEB" w:rsidRPr="00050336">
        <w:rPr>
          <w:b/>
          <w:color w:val="auto"/>
        </w:rPr>
        <w:t>del</w:t>
      </w:r>
      <w:r w:rsidR="002A278E" w:rsidRPr="00050336">
        <w:rPr>
          <w:b/>
          <w:color w:val="auto"/>
        </w:rPr>
        <w:t xml:space="preserve"> calling </w:t>
      </w:r>
    </w:p>
    <w:p w14:paraId="5970C08F" w14:textId="77777777" w:rsidR="00F7351E" w:rsidRPr="00050336" w:rsidRDefault="00F7351E" w:rsidP="00C16832">
      <w:pPr>
        <w:pStyle w:val="ListParagraph"/>
        <w:widowControl/>
        <w:spacing w:line="0" w:lineRule="atLeast"/>
        <w:ind w:left="0"/>
        <w:textAlignment w:val="center"/>
        <w:rPr>
          <w:color w:val="auto"/>
        </w:rPr>
      </w:pPr>
    </w:p>
    <w:p w14:paraId="04AE135D" w14:textId="7D5FE4FC" w:rsidR="00050336" w:rsidRPr="00050336" w:rsidRDefault="002A278E" w:rsidP="00C16832">
      <w:pPr>
        <w:pStyle w:val="ListParagraph"/>
        <w:widowControl/>
        <w:numPr>
          <w:ilvl w:val="1"/>
          <w:numId w:val="10"/>
        </w:numPr>
        <w:spacing w:line="0" w:lineRule="atLeast"/>
        <w:textAlignment w:val="center"/>
        <w:rPr>
          <w:color w:val="auto"/>
        </w:rPr>
      </w:pPr>
      <w:r w:rsidRPr="00592B97">
        <w:t xml:space="preserve">Select all </w:t>
      </w:r>
      <w:r w:rsidR="00C01CEB">
        <w:t xml:space="preserve">insertions and deletions </w:t>
      </w:r>
      <w:r w:rsidRPr="00592B97">
        <w:t>(</w:t>
      </w:r>
      <w:r w:rsidR="00C01CEB">
        <w:t>Indels</w:t>
      </w:r>
      <w:r w:rsidRPr="00592B97">
        <w:t>)</w:t>
      </w:r>
      <w:r w:rsidR="00C01CEB">
        <w:t xml:space="preserve"> in the raw_variants.vcf file</w:t>
      </w:r>
      <w:r w:rsidRPr="00592B97">
        <w:t xml:space="preserve"> using GATK </w:t>
      </w:r>
      <w:proofErr w:type="spellStart"/>
      <w:r w:rsidRPr="00592B97">
        <w:t>SelectVariants</w:t>
      </w:r>
      <w:proofErr w:type="spellEnd"/>
      <w:r w:rsidR="00AA2BB1">
        <w:t>:</w:t>
      </w:r>
    </w:p>
    <w:p w14:paraId="5403C49F" w14:textId="7C817E42" w:rsidR="00050336" w:rsidRPr="00AA2BB1" w:rsidRDefault="00050336" w:rsidP="00C16832">
      <w:pPr>
        <w:widowControl/>
        <w:spacing w:line="0" w:lineRule="atLeast"/>
        <w:textAlignment w:val="center"/>
        <w:rPr>
          <w:rFonts w:asciiTheme="minorHAnsi" w:hAnsiTheme="minorHAnsi" w:cstheme="minorHAnsi"/>
          <w:b/>
          <w:color w:val="auto"/>
        </w:rPr>
      </w:pPr>
      <w:r w:rsidRPr="00AA2BB1">
        <w:rPr>
          <w:rFonts w:asciiTheme="minorHAnsi" w:hAnsiTheme="minorHAnsi" w:cstheme="minorHAnsi"/>
          <w:b/>
          <w:color w:val="auto"/>
        </w:rPr>
        <w:t xml:space="preserve">java -Xmx12G </w:t>
      </w:r>
      <w:r w:rsidR="00E64AC2" w:rsidRPr="00AA2BB1">
        <w:rPr>
          <w:rFonts w:asciiTheme="minorHAnsi" w:hAnsiTheme="minorHAnsi" w:cstheme="minorHAnsi"/>
          <w:b/>
          <w:color w:val="auto"/>
        </w:rPr>
        <w:t>\</w:t>
      </w:r>
    </w:p>
    <w:p w14:paraId="2F9AFADA" w14:textId="2A0A7F54" w:rsidR="00050336" w:rsidRPr="00AA2BB1" w:rsidRDefault="00050336" w:rsidP="00C16832">
      <w:pPr>
        <w:widowControl/>
        <w:spacing w:line="0" w:lineRule="atLeast"/>
        <w:ind w:firstLine="720"/>
        <w:textAlignment w:val="center"/>
        <w:rPr>
          <w:rFonts w:asciiTheme="minorHAnsi" w:hAnsiTheme="minorHAnsi" w:cstheme="minorHAnsi"/>
          <w:b/>
          <w:color w:val="auto"/>
        </w:rPr>
      </w:pPr>
      <w:r w:rsidRPr="00AA2BB1">
        <w:rPr>
          <w:rFonts w:asciiTheme="minorHAnsi" w:hAnsiTheme="minorHAnsi" w:cstheme="minorHAnsi"/>
          <w:b/>
          <w:color w:val="auto"/>
        </w:rPr>
        <w:t>-jar GenomeAnalysisTK.jar</w:t>
      </w:r>
      <w:r w:rsidR="00E64AC2" w:rsidRPr="00AA2BB1">
        <w:rPr>
          <w:rFonts w:asciiTheme="minorHAnsi" w:hAnsiTheme="minorHAnsi" w:cstheme="minorHAnsi"/>
          <w:b/>
          <w:color w:val="auto"/>
        </w:rPr>
        <w:t xml:space="preserve"> \</w:t>
      </w:r>
    </w:p>
    <w:p w14:paraId="67965708" w14:textId="3604B082" w:rsidR="00050336" w:rsidRPr="00AA2BB1" w:rsidRDefault="00050336" w:rsidP="00C16832">
      <w:pPr>
        <w:widowControl/>
        <w:spacing w:line="0" w:lineRule="atLeast"/>
        <w:ind w:firstLine="720"/>
        <w:textAlignment w:val="center"/>
        <w:rPr>
          <w:rFonts w:asciiTheme="minorHAnsi" w:hAnsiTheme="minorHAnsi" w:cstheme="minorHAnsi"/>
          <w:b/>
          <w:color w:val="auto"/>
        </w:rPr>
      </w:pPr>
      <w:r w:rsidRPr="00AA2BB1">
        <w:rPr>
          <w:rFonts w:asciiTheme="minorHAnsi" w:hAnsiTheme="minorHAnsi" w:cstheme="minorHAnsi"/>
          <w:b/>
          <w:color w:val="auto"/>
        </w:rPr>
        <w:lastRenderedPageBreak/>
        <w:t xml:space="preserve">-T </w:t>
      </w:r>
      <w:proofErr w:type="spellStart"/>
      <w:r w:rsidRPr="00AA2BB1">
        <w:rPr>
          <w:rFonts w:asciiTheme="minorHAnsi" w:hAnsiTheme="minorHAnsi" w:cstheme="minorHAnsi"/>
          <w:b/>
          <w:color w:val="auto"/>
        </w:rPr>
        <w:t>SelectVariants</w:t>
      </w:r>
      <w:proofErr w:type="spellEnd"/>
      <w:r w:rsidRPr="00AA2BB1">
        <w:rPr>
          <w:rFonts w:asciiTheme="minorHAnsi" w:hAnsiTheme="minorHAnsi" w:cstheme="minorHAnsi"/>
          <w:b/>
          <w:color w:val="auto"/>
        </w:rPr>
        <w:t xml:space="preserve"> </w:t>
      </w:r>
      <w:r w:rsidR="00E64AC2" w:rsidRPr="00AA2BB1">
        <w:rPr>
          <w:rFonts w:asciiTheme="minorHAnsi" w:hAnsiTheme="minorHAnsi" w:cstheme="minorHAnsi"/>
          <w:b/>
          <w:color w:val="auto"/>
        </w:rPr>
        <w:t>\</w:t>
      </w:r>
    </w:p>
    <w:p w14:paraId="0D95C5F2" w14:textId="2BA98F8C" w:rsidR="00050336" w:rsidRPr="00AA2BB1" w:rsidRDefault="00050336" w:rsidP="00C16832">
      <w:pPr>
        <w:widowControl/>
        <w:spacing w:line="0" w:lineRule="atLeast"/>
        <w:ind w:firstLine="720"/>
        <w:textAlignment w:val="center"/>
        <w:rPr>
          <w:rFonts w:asciiTheme="minorHAnsi" w:hAnsiTheme="minorHAnsi" w:cstheme="minorHAnsi"/>
          <w:b/>
          <w:color w:val="auto"/>
        </w:rPr>
      </w:pPr>
      <w:r w:rsidRPr="00AA2BB1">
        <w:rPr>
          <w:rFonts w:asciiTheme="minorHAnsi" w:hAnsiTheme="minorHAnsi" w:cstheme="minorHAnsi"/>
          <w:b/>
          <w:color w:val="auto"/>
        </w:rPr>
        <w:t xml:space="preserve">-R </w:t>
      </w:r>
      <w:proofErr w:type="spellStart"/>
      <w:r w:rsidRPr="00AA2BB1">
        <w:rPr>
          <w:rFonts w:asciiTheme="minorHAnsi" w:hAnsiTheme="minorHAnsi" w:cstheme="minorHAnsi"/>
          <w:b/>
          <w:color w:val="auto"/>
        </w:rPr>
        <w:t>reference_</w:t>
      </w:r>
      <w:proofErr w:type="gramStart"/>
      <w:r w:rsidRPr="00AA2BB1">
        <w:rPr>
          <w:rFonts w:asciiTheme="minorHAnsi" w:hAnsiTheme="minorHAnsi" w:cstheme="minorHAnsi"/>
          <w:b/>
          <w:color w:val="auto"/>
        </w:rPr>
        <w:t>genome.fasta</w:t>
      </w:r>
      <w:proofErr w:type="spellEnd"/>
      <w:proofErr w:type="gramEnd"/>
      <w:r w:rsidR="00E64AC2" w:rsidRPr="00AA2BB1">
        <w:rPr>
          <w:rFonts w:asciiTheme="minorHAnsi" w:hAnsiTheme="minorHAnsi" w:cstheme="minorHAnsi"/>
          <w:b/>
          <w:color w:val="auto"/>
        </w:rPr>
        <w:t xml:space="preserve"> \</w:t>
      </w:r>
    </w:p>
    <w:p w14:paraId="45D787F1" w14:textId="178E66AD" w:rsidR="00050336" w:rsidRPr="00AA2BB1" w:rsidRDefault="00050336" w:rsidP="00C16832">
      <w:pPr>
        <w:pStyle w:val="ListParagraph"/>
        <w:widowControl/>
        <w:spacing w:line="0" w:lineRule="atLeast"/>
        <w:ind w:left="0" w:firstLine="720"/>
        <w:textAlignment w:val="center"/>
        <w:rPr>
          <w:rFonts w:asciiTheme="minorHAnsi" w:hAnsiTheme="minorHAnsi" w:cstheme="minorHAnsi"/>
          <w:b/>
          <w:color w:val="auto"/>
        </w:rPr>
      </w:pPr>
      <w:r w:rsidRPr="00AA2BB1">
        <w:rPr>
          <w:rFonts w:asciiTheme="minorHAnsi" w:hAnsiTheme="minorHAnsi" w:cstheme="minorHAnsi"/>
          <w:b/>
          <w:color w:val="auto"/>
        </w:rPr>
        <w:t>-V raw_variants.vcf</w:t>
      </w:r>
      <w:r w:rsidR="00E64AC2" w:rsidRPr="00AA2BB1">
        <w:rPr>
          <w:rFonts w:asciiTheme="minorHAnsi" w:hAnsiTheme="minorHAnsi" w:cstheme="minorHAnsi"/>
          <w:b/>
          <w:color w:val="auto"/>
        </w:rPr>
        <w:t xml:space="preserve"> \</w:t>
      </w:r>
    </w:p>
    <w:p w14:paraId="7886F6C6" w14:textId="5B23EB1C" w:rsidR="00050336" w:rsidRPr="00AA2BB1" w:rsidRDefault="00050336" w:rsidP="00C16832">
      <w:pPr>
        <w:pStyle w:val="ListParagraph"/>
        <w:widowControl/>
        <w:spacing w:line="0" w:lineRule="atLeast"/>
        <w:ind w:left="0" w:firstLine="720"/>
        <w:textAlignment w:val="center"/>
        <w:rPr>
          <w:rFonts w:asciiTheme="minorHAnsi" w:hAnsiTheme="minorHAnsi" w:cstheme="minorHAnsi"/>
          <w:b/>
          <w:color w:val="auto"/>
        </w:rPr>
      </w:pPr>
      <w:r w:rsidRPr="00AA2BB1">
        <w:rPr>
          <w:rFonts w:asciiTheme="minorHAnsi" w:hAnsiTheme="minorHAnsi" w:cstheme="minorHAnsi"/>
          <w:b/>
          <w:color w:val="auto"/>
        </w:rPr>
        <w:t xml:space="preserve">-o raw_INDELs.vcf </w:t>
      </w:r>
      <w:r w:rsidR="00E64AC2" w:rsidRPr="00AA2BB1">
        <w:rPr>
          <w:rFonts w:asciiTheme="minorHAnsi" w:hAnsiTheme="minorHAnsi" w:cstheme="minorHAnsi"/>
          <w:b/>
          <w:color w:val="auto"/>
        </w:rPr>
        <w:t>\</w:t>
      </w:r>
    </w:p>
    <w:p w14:paraId="6CB5FC0B" w14:textId="77777777" w:rsidR="00050336" w:rsidRPr="00050336" w:rsidRDefault="00050336" w:rsidP="00C16832">
      <w:pPr>
        <w:pStyle w:val="ListParagraph"/>
        <w:widowControl/>
        <w:spacing w:line="0" w:lineRule="atLeast"/>
        <w:ind w:left="0" w:firstLine="720"/>
        <w:textAlignment w:val="center"/>
        <w:rPr>
          <w:rFonts w:ascii="Courier" w:hAnsi="Courier"/>
          <w:color w:val="auto"/>
        </w:rPr>
      </w:pPr>
      <w:r w:rsidRPr="00AA2BB1">
        <w:rPr>
          <w:rFonts w:asciiTheme="minorHAnsi" w:hAnsiTheme="minorHAnsi" w:cstheme="minorHAnsi"/>
          <w:b/>
          <w:color w:val="auto"/>
        </w:rPr>
        <w:t>-</w:t>
      </w:r>
      <w:proofErr w:type="spellStart"/>
      <w:r w:rsidRPr="00AA2BB1">
        <w:rPr>
          <w:rFonts w:asciiTheme="minorHAnsi" w:hAnsiTheme="minorHAnsi" w:cstheme="minorHAnsi"/>
          <w:b/>
          <w:color w:val="auto"/>
        </w:rPr>
        <w:t>selectType</w:t>
      </w:r>
      <w:proofErr w:type="spellEnd"/>
      <w:r w:rsidRPr="00AA2BB1">
        <w:rPr>
          <w:rFonts w:asciiTheme="minorHAnsi" w:hAnsiTheme="minorHAnsi" w:cstheme="minorHAnsi"/>
          <w:b/>
          <w:color w:val="auto"/>
        </w:rPr>
        <w:t xml:space="preserve"> INDEL</w:t>
      </w:r>
    </w:p>
    <w:p w14:paraId="219AE53F" w14:textId="77777777" w:rsidR="00050336" w:rsidRPr="00050336" w:rsidRDefault="00050336" w:rsidP="00C16832">
      <w:pPr>
        <w:widowControl/>
        <w:spacing w:line="0" w:lineRule="atLeast"/>
        <w:textAlignment w:val="center"/>
        <w:rPr>
          <w:color w:val="auto"/>
        </w:rPr>
      </w:pPr>
    </w:p>
    <w:p w14:paraId="699C970F" w14:textId="5FD24EF1" w:rsidR="008729DE" w:rsidRPr="00AA2BB1" w:rsidRDefault="00050336" w:rsidP="00C16832">
      <w:pPr>
        <w:pStyle w:val="ListParagraph"/>
        <w:widowControl/>
        <w:numPr>
          <w:ilvl w:val="1"/>
          <w:numId w:val="10"/>
        </w:numPr>
        <w:spacing w:line="0" w:lineRule="atLeast"/>
        <w:textAlignment w:val="center"/>
        <w:rPr>
          <w:color w:val="auto"/>
        </w:rPr>
      </w:pPr>
      <w:r w:rsidRPr="00050336">
        <w:rPr>
          <w:color w:val="auto"/>
        </w:rPr>
        <w:t xml:space="preserve">Filter raw_INDELS.vcf list using INDELFI </w:t>
      </w:r>
      <w:r w:rsidR="00376577">
        <w:rPr>
          <w:color w:val="auto"/>
        </w:rPr>
        <w:t>&lt;</w:t>
      </w:r>
      <w:hyperlink w:history="1"/>
      <w:r w:rsidR="00376577" w:rsidRPr="00C16832">
        <w:t>https://github.com/ToolsVanBox/INDELFI</w:t>
      </w:r>
      <w:r w:rsidR="00376577">
        <w:rPr>
          <w:color w:val="auto"/>
        </w:rPr>
        <w:t>&gt;</w:t>
      </w:r>
      <w:r w:rsidR="00AA2BB1">
        <w:rPr>
          <w:color w:val="auto"/>
        </w:rPr>
        <w:t>:</w:t>
      </w:r>
    </w:p>
    <w:p w14:paraId="7E7DA1B0" w14:textId="2E3E4905" w:rsidR="00E64AC2" w:rsidRPr="00AA2BB1" w:rsidRDefault="00E64AC2" w:rsidP="00C16832">
      <w:pPr>
        <w:pStyle w:val="ListParagraph"/>
        <w:widowControl/>
        <w:spacing w:line="0" w:lineRule="atLeast"/>
        <w:ind w:left="0"/>
        <w:textAlignment w:val="center"/>
        <w:rPr>
          <w:rFonts w:asciiTheme="minorHAnsi" w:hAnsiTheme="minorHAnsi" w:cstheme="minorHAnsi"/>
          <w:b/>
          <w:color w:val="auto"/>
        </w:rPr>
      </w:pPr>
      <w:proofErr w:type="spellStart"/>
      <w:r w:rsidRPr="00AA2BB1">
        <w:rPr>
          <w:rFonts w:asciiTheme="minorHAnsi" w:hAnsiTheme="minorHAnsi" w:cstheme="minorHAnsi"/>
          <w:b/>
          <w:color w:val="auto"/>
        </w:rPr>
        <w:t>perl</w:t>
      </w:r>
      <w:proofErr w:type="spellEnd"/>
      <w:r w:rsidRPr="00AA2BB1">
        <w:rPr>
          <w:rFonts w:asciiTheme="minorHAnsi" w:hAnsiTheme="minorHAnsi" w:cstheme="minorHAnsi"/>
          <w:b/>
          <w:color w:val="auto"/>
        </w:rPr>
        <w:t xml:space="preserve"> INDELFI.pl -</w:t>
      </w:r>
      <w:proofErr w:type="spellStart"/>
      <w:r w:rsidRPr="00AA2BB1">
        <w:rPr>
          <w:rFonts w:asciiTheme="minorHAnsi" w:hAnsiTheme="minorHAnsi" w:cstheme="minorHAnsi"/>
          <w:b/>
          <w:color w:val="auto"/>
        </w:rPr>
        <w:t>i</w:t>
      </w:r>
      <w:proofErr w:type="spellEnd"/>
      <w:r w:rsidRPr="00AA2BB1">
        <w:rPr>
          <w:rFonts w:asciiTheme="minorHAnsi" w:hAnsiTheme="minorHAnsi" w:cstheme="minorHAnsi"/>
          <w:b/>
          <w:color w:val="auto"/>
        </w:rPr>
        <w:t xml:space="preserve"> input.vcf (from step 8.1) \</w:t>
      </w:r>
    </w:p>
    <w:p w14:paraId="023269F3" w14:textId="1682A783" w:rsidR="00E64AC2" w:rsidRPr="00AA2BB1" w:rsidRDefault="00E64AC2" w:rsidP="00C16832">
      <w:pPr>
        <w:pStyle w:val="ListParagraph"/>
        <w:widowControl/>
        <w:spacing w:line="0" w:lineRule="atLeast"/>
        <w:ind w:left="0" w:firstLine="720"/>
        <w:textAlignment w:val="center"/>
        <w:rPr>
          <w:rFonts w:asciiTheme="minorHAnsi" w:hAnsiTheme="minorHAnsi" w:cstheme="minorHAnsi"/>
          <w:b/>
          <w:color w:val="auto"/>
        </w:rPr>
      </w:pPr>
      <w:r w:rsidRPr="00AA2BB1">
        <w:rPr>
          <w:rFonts w:asciiTheme="minorHAnsi" w:hAnsiTheme="minorHAnsi" w:cstheme="minorHAnsi"/>
          <w:b/>
          <w:color w:val="auto"/>
        </w:rPr>
        <w:t>-s column test sample \</w:t>
      </w:r>
    </w:p>
    <w:p w14:paraId="2066B420" w14:textId="2D611C17" w:rsidR="00E64AC2" w:rsidRPr="00947B9D" w:rsidRDefault="00E64AC2" w:rsidP="00C16832">
      <w:pPr>
        <w:pStyle w:val="ListParagraph"/>
        <w:widowControl/>
        <w:spacing w:line="0" w:lineRule="atLeast"/>
        <w:ind w:left="0" w:firstLine="720"/>
        <w:textAlignment w:val="center"/>
        <w:rPr>
          <w:rFonts w:ascii="Courier" w:hAnsi="Courier"/>
          <w:color w:val="auto"/>
        </w:rPr>
      </w:pPr>
      <w:r w:rsidRPr="00AA2BB1">
        <w:rPr>
          <w:rFonts w:asciiTheme="minorHAnsi" w:hAnsiTheme="minorHAnsi" w:cstheme="minorHAnsi"/>
          <w:b/>
          <w:color w:val="auto"/>
        </w:rPr>
        <w:t>-c column control sample</w:t>
      </w:r>
    </w:p>
    <w:p w14:paraId="461B2798" w14:textId="77777777" w:rsidR="008729DE" w:rsidRPr="008729DE" w:rsidRDefault="008729DE" w:rsidP="00C16832">
      <w:pPr>
        <w:widowControl/>
        <w:spacing w:line="0" w:lineRule="atLeast"/>
        <w:textAlignment w:val="center"/>
        <w:rPr>
          <w:color w:val="auto"/>
        </w:rPr>
      </w:pPr>
    </w:p>
    <w:p w14:paraId="21EADA87" w14:textId="77777777" w:rsidR="008729DE" w:rsidRPr="008729DE" w:rsidRDefault="008729DE" w:rsidP="00C16832">
      <w:pPr>
        <w:pStyle w:val="ListParagraph"/>
        <w:widowControl/>
        <w:numPr>
          <w:ilvl w:val="0"/>
          <w:numId w:val="10"/>
        </w:numPr>
        <w:spacing w:line="0" w:lineRule="atLeast"/>
        <w:textAlignment w:val="center"/>
        <w:rPr>
          <w:b/>
          <w:color w:val="auto"/>
        </w:rPr>
      </w:pPr>
      <w:r w:rsidRPr="008729DE">
        <w:rPr>
          <w:b/>
        </w:rPr>
        <w:t>Mutational profile inspection</w:t>
      </w:r>
    </w:p>
    <w:p w14:paraId="650C1EBB" w14:textId="77777777" w:rsidR="00F7351E" w:rsidRPr="00F7351E" w:rsidRDefault="00F7351E" w:rsidP="00C16832">
      <w:pPr>
        <w:pStyle w:val="ListParagraph"/>
        <w:widowControl/>
        <w:spacing w:line="0" w:lineRule="atLeast"/>
        <w:ind w:left="0"/>
        <w:textAlignment w:val="center"/>
        <w:rPr>
          <w:b/>
          <w:color w:val="auto"/>
        </w:rPr>
      </w:pPr>
    </w:p>
    <w:p w14:paraId="19FDB722" w14:textId="73D734E4" w:rsidR="008729DE" w:rsidRPr="008729DE" w:rsidRDefault="00AA2BB1" w:rsidP="00C16832">
      <w:pPr>
        <w:pStyle w:val="ListParagraph"/>
        <w:widowControl/>
        <w:numPr>
          <w:ilvl w:val="1"/>
          <w:numId w:val="10"/>
        </w:numPr>
        <w:spacing w:line="0" w:lineRule="atLeast"/>
        <w:textAlignment w:val="center"/>
        <w:rPr>
          <w:b/>
          <w:color w:val="auto"/>
        </w:rPr>
      </w:pPr>
      <w:r>
        <w:t>Use the r</w:t>
      </w:r>
      <w:r w:rsidR="00CE2335" w:rsidRPr="008729DE">
        <w:t xml:space="preserve">esulting </w:t>
      </w:r>
      <w:r w:rsidR="00376577">
        <w:t>.</w:t>
      </w:r>
      <w:proofErr w:type="spellStart"/>
      <w:r w:rsidR="001B5E1B" w:rsidRPr="008729DE">
        <w:t>vcf</w:t>
      </w:r>
      <w:proofErr w:type="spellEnd"/>
      <w:r w:rsidR="001B5E1B" w:rsidRPr="008729DE">
        <w:t xml:space="preserve"> files</w:t>
      </w:r>
      <w:r w:rsidR="00CE2335" w:rsidRPr="008729DE">
        <w:t xml:space="preserve"> from SNVFI output</w:t>
      </w:r>
      <w:r w:rsidR="00A95541">
        <w:t xml:space="preserve"> from step 7.6 (or from </w:t>
      </w:r>
      <w:r w:rsidR="00376577">
        <w:t xml:space="preserve">step </w:t>
      </w:r>
      <w:r w:rsidR="00A95541">
        <w:t>7.9 with optional callable loci analysis)</w:t>
      </w:r>
      <w:r w:rsidR="001B5E1B" w:rsidRPr="008729DE">
        <w:t xml:space="preserve"> to </w:t>
      </w:r>
      <w:r w:rsidR="00253EB7" w:rsidRPr="008729DE">
        <w:t>analyze</w:t>
      </w:r>
      <w:r w:rsidR="00CE2062" w:rsidRPr="008729DE">
        <w:t xml:space="preserve"> the genomic mutational profile</w:t>
      </w:r>
      <w:r w:rsidR="00253EB7" w:rsidRPr="008729DE">
        <w:t>, mutation types</w:t>
      </w:r>
      <w:r w:rsidR="00376577">
        <w:t>,</w:t>
      </w:r>
      <w:r w:rsidR="00253EB7" w:rsidRPr="008729DE">
        <w:t xml:space="preserve"> and signature analysis </w:t>
      </w:r>
      <w:r w:rsidR="001B5E1B" w:rsidRPr="008729DE">
        <w:t>using the R p</w:t>
      </w:r>
      <w:r w:rsidR="00CE2062" w:rsidRPr="008729DE">
        <w:t>ackage MutationalPatterns</w:t>
      </w:r>
      <w:r w:rsidR="00641586" w:rsidRPr="008729DE">
        <w:fldChar w:fldCharType="begin" w:fldLock="1"/>
      </w:r>
      <w:r w:rsidR="009E67D8" w:rsidRPr="008729DE">
        <w:instrText>ADDIN CSL_CITATION {"citationItems":[{"id":"ITEM-1","itemData":{"DOI":"10.1186/s13073-018-0539-0","ISBN":"6386458990","ISSN":"1756994X","PMID":"29695279","abstract":"Base substitution catalogues represent historical records of mutational processes that have been active in a cell. Such processes can be distinguished by various characteristics, like mutation type, sequence context, transcriptional and replicative strand bias, genomic distribution and association with (epi)-genomic features. We have created MutationalPatterns, an R/Bioconductor package that allows researchers to characterize a broad range of patterns in base substitution catalogues to dissect the underlying molecular mechanisms. Furthermore, it offers an efficient method to quantify the contribution of known mutational signatures within single samples. This analysis can be used to determine whether certain DNA repair mechanisms are perturbed and to further characterize the processes underlying known mutational signatures. MutationalPatterns allows for easy characterization and visualization of mutational patterns. These analyses willsupport fundamental research into mutational mechanisms and may ultimately improve cancer diagnosis and treatment strategies. MutationalPatterns is freely available at \n                    http://bioconductor.org/packages/MutationalPatterns\n                    \n                  .","author":[{"dropping-particle":"","family":"Blokzijl","given":"Francis","non-dropping-particle":"","parse-names":false,"suffix":""},{"dropping-particle":"","family":"Janssen","given":"Roel","non-dropping-particle":"","parse-names":false,"suffix":""},{"dropping-particle":"","family":"Boxtel","given":"Ruben","non-dropping-particle":"van","parse-names":false,"suffix":""},{"dropping-particle":"","family":"Cuppen","given":"Edwin","non-dropping-particle":"","parse-names":false,"suffix":""}],"container-title":"Genome Medicine","id":"ITEM-1","issue":"1","issued":{"date-parts":[["2018"]]},"page":"1-11","publisher":"Genome Medicine","title":"MutationalPatterns: Comprehensive genome-wide analysis of mutational processes","type":"article-journal","volume":"10"},"uris":["http://www.mendeley.com/documents/?uuid=90ce062b-d30b-4df9-90f1-1ec19116a099"]}],"mendeley":{"formattedCitation":"&lt;sup&gt;15&lt;/sup&gt;","plainTextFormattedCitation":"15","previouslyFormattedCitation":"&lt;sup&gt;15&lt;/sup&gt;"},"properties":{"noteIndex":0},"schema":"https://github.com/citation-style-language/schema/raw/master/csl-citation.json"}</w:instrText>
      </w:r>
      <w:r w:rsidR="00641586" w:rsidRPr="008729DE">
        <w:fldChar w:fldCharType="separate"/>
      </w:r>
      <w:r w:rsidR="00FE5448" w:rsidRPr="008729DE">
        <w:rPr>
          <w:noProof/>
          <w:vertAlign w:val="superscript"/>
        </w:rPr>
        <w:t>15</w:t>
      </w:r>
      <w:r w:rsidR="00641586" w:rsidRPr="008729DE">
        <w:fldChar w:fldCharType="end"/>
      </w:r>
      <w:r w:rsidR="001B5E1B" w:rsidRPr="008729DE">
        <w:t xml:space="preserve">: </w:t>
      </w:r>
      <w:r w:rsidR="00376577">
        <w:t>&lt;</w:t>
      </w:r>
      <w:r w:rsidR="00376577" w:rsidRPr="00C16832">
        <w:t>http://bioconductor.org/packages/release/bioc/html/MutationalPatterns.html</w:t>
      </w:r>
      <w:r w:rsidR="00376577">
        <w:t>&gt;</w:t>
      </w:r>
      <w:r w:rsidR="005D2E4B">
        <w:rPr>
          <w:rStyle w:val="Hyperlink"/>
        </w:rPr>
        <w:t>.</w:t>
      </w:r>
      <w:r w:rsidR="008729DE" w:rsidRPr="00C239C8">
        <w:rPr>
          <w:rStyle w:val="Hyperlink"/>
          <w:u w:val="none"/>
        </w:rPr>
        <w:t xml:space="preserve"> </w:t>
      </w:r>
      <w:r w:rsidR="005A01CA">
        <w:t xml:space="preserve">For </w:t>
      </w:r>
      <w:r w:rsidR="00050336">
        <w:t xml:space="preserve">representative </w:t>
      </w:r>
      <w:r w:rsidR="005D2E4B">
        <w:t>output</w:t>
      </w:r>
      <w:r w:rsidR="005A01CA">
        <w:t xml:space="preserve"> </w:t>
      </w:r>
      <w:r w:rsidR="00376577">
        <w:t>that</w:t>
      </w:r>
      <w:r w:rsidR="005A01CA">
        <w:t xml:space="preserve"> can be produced with the resulting .</w:t>
      </w:r>
      <w:proofErr w:type="spellStart"/>
      <w:r w:rsidR="005A01CA">
        <w:t>vcf</w:t>
      </w:r>
      <w:proofErr w:type="spellEnd"/>
      <w:r w:rsidR="005A01CA">
        <w:t xml:space="preserve"> file such as a 96-</w:t>
      </w:r>
      <w:r w:rsidR="005D2E4B">
        <w:t xml:space="preserve">trinucleotide </w:t>
      </w:r>
      <w:r w:rsidR="005A01CA">
        <w:t xml:space="preserve">mutational spectrum, see </w:t>
      </w:r>
      <w:r w:rsidRPr="00C16832">
        <w:rPr>
          <w:b/>
        </w:rPr>
        <w:t>F</w:t>
      </w:r>
      <w:r w:rsidR="005A01CA" w:rsidRPr="00C16832">
        <w:rPr>
          <w:b/>
        </w:rPr>
        <w:t xml:space="preserve">igure </w:t>
      </w:r>
      <w:r w:rsidR="000C7643" w:rsidRPr="00C16832">
        <w:rPr>
          <w:b/>
        </w:rPr>
        <w:t>5</w:t>
      </w:r>
      <w:r w:rsidR="005A01CA">
        <w:t xml:space="preserve">. </w:t>
      </w:r>
    </w:p>
    <w:p w14:paraId="4DC61616" w14:textId="77777777" w:rsidR="008729DE" w:rsidRPr="008729DE" w:rsidRDefault="008729DE" w:rsidP="00C16832">
      <w:pPr>
        <w:widowControl/>
        <w:spacing w:line="0" w:lineRule="atLeast"/>
        <w:textAlignment w:val="center"/>
        <w:rPr>
          <w:b/>
          <w:color w:val="auto"/>
        </w:rPr>
      </w:pPr>
    </w:p>
    <w:p w14:paraId="032298A4" w14:textId="22150D16" w:rsidR="008729DE" w:rsidRPr="00A15129" w:rsidRDefault="008729DE" w:rsidP="00C16832">
      <w:pPr>
        <w:pStyle w:val="ListParagraph"/>
        <w:widowControl/>
        <w:numPr>
          <w:ilvl w:val="0"/>
          <w:numId w:val="10"/>
        </w:numPr>
        <w:spacing w:line="0" w:lineRule="atLeast"/>
        <w:textAlignment w:val="center"/>
        <w:rPr>
          <w:highlight w:val="yellow"/>
        </w:rPr>
      </w:pPr>
      <w:r w:rsidRPr="00A15129">
        <w:rPr>
          <w:b/>
          <w:highlight w:val="yellow"/>
        </w:rPr>
        <w:t>Construction of a developmental lineage tree using base substitutions</w:t>
      </w:r>
    </w:p>
    <w:p w14:paraId="42C67C61" w14:textId="77777777" w:rsidR="00F7351E" w:rsidRDefault="00F7351E" w:rsidP="00C16832">
      <w:pPr>
        <w:pStyle w:val="ListParagraph"/>
        <w:widowControl/>
        <w:spacing w:line="0" w:lineRule="atLeast"/>
        <w:ind w:left="0"/>
        <w:textAlignment w:val="center"/>
        <w:rPr>
          <w:highlight w:val="yellow"/>
        </w:rPr>
      </w:pPr>
    </w:p>
    <w:p w14:paraId="2CB872D5" w14:textId="7AB104F0" w:rsidR="008729DE" w:rsidRPr="00A15129" w:rsidRDefault="008729DE" w:rsidP="00C16832">
      <w:pPr>
        <w:pStyle w:val="ListParagraph"/>
        <w:widowControl/>
        <w:numPr>
          <w:ilvl w:val="1"/>
          <w:numId w:val="10"/>
        </w:numPr>
        <w:spacing w:line="0" w:lineRule="atLeast"/>
        <w:textAlignment w:val="center"/>
        <w:rPr>
          <w:highlight w:val="yellow"/>
        </w:rPr>
      </w:pPr>
      <w:r w:rsidRPr="00A15129">
        <w:rPr>
          <w:highlight w:val="yellow"/>
        </w:rPr>
        <w:t xml:space="preserve">To construct a developmental lineage tree, </w:t>
      </w:r>
      <w:r w:rsidR="00975077">
        <w:rPr>
          <w:highlight w:val="yellow"/>
        </w:rPr>
        <w:t xml:space="preserve">detect </w:t>
      </w:r>
      <w:r w:rsidRPr="00A15129">
        <w:rPr>
          <w:highlight w:val="yellow"/>
        </w:rPr>
        <w:t xml:space="preserve">shared mutations between clones. Mutations present in the first branches of the lineage tree can also be </w:t>
      </w:r>
      <w:proofErr w:type="spellStart"/>
      <w:r w:rsidR="00A63006">
        <w:rPr>
          <w:highlight w:val="yellow"/>
        </w:rPr>
        <w:t>sub</w:t>
      </w:r>
      <w:bookmarkStart w:id="0" w:name="_GoBack"/>
      <w:bookmarkEnd w:id="0"/>
      <w:r w:rsidR="00A63006">
        <w:rPr>
          <w:highlight w:val="yellow"/>
        </w:rPr>
        <w:t>clonally</w:t>
      </w:r>
      <w:proofErr w:type="spellEnd"/>
      <w:r w:rsidRPr="00A15129">
        <w:rPr>
          <w:highlight w:val="yellow"/>
        </w:rPr>
        <w:t xml:space="preserve"> present in the bulk sample (MSCs/T-cells). Later branching lineages will be defined by mutations shared by HSPC clones only. </w:t>
      </w:r>
    </w:p>
    <w:p w14:paraId="0F7CE8D6" w14:textId="77777777" w:rsidR="008729DE" w:rsidRPr="00A15129" w:rsidRDefault="008729DE" w:rsidP="00C16832">
      <w:pPr>
        <w:widowControl/>
        <w:spacing w:line="0" w:lineRule="atLeast"/>
        <w:textAlignment w:val="center"/>
        <w:rPr>
          <w:highlight w:val="yellow"/>
        </w:rPr>
      </w:pPr>
    </w:p>
    <w:p w14:paraId="4B123E42" w14:textId="504A60DE" w:rsidR="008729DE" w:rsidRPr="00A15129" w:rsidRDefault="008729DE" w:rsidP="00C16832">
      <w:pPr>
        <w:pStyle w:val="ListParagraph"/>
        <w:widowControl/>
        <w:numPr>
          <w:ilvl w:val="1"/>
          <w:numId w:val="10"/>
        </w:numPr>
        <w:spacing w:line="0" w:lineRule="atLeast"/>
        <w:textAlignment w:val="center"/>
        <w:rPr>
          <w:highlight w:val="yellow"/>
        </w:rPr>
      </w:pPr>
      <w:r w:rsidRPr="00A15129">
        <w:rPr>
          <w:highlight w:val="yellow"/>
        </w:rPr>
        <w:t xml:space="preserve">To identify mutations that are present in a subset of the clones and </w:t>
      </w:r>
      <w:proofErr w:type="spellStart"/>
      <w:r w:rsidR="00A63006">
        <w:rPr>
          <w:highlight w:val="yellow"/>
        </w:rPr>
        <w:t>subclonally</w:t>
      </w:r>
      <w:proofErr w:type="spellEnd"/>
      <w:r w:rsidRPr="00A15129">
        <w:rPr>
          <w:highlight w:val="yellow"/>
        </w:rPr>
        <w:t xml:space="preserve"> present in the bulk, perform the following steps.</w:t>
      </w:r>
    </w:p>
    <w:p w14:paraId="5A58CE1C" w14:textId="77777777" w:rsidR="008729DE" w:rsidRPr="00A15129" w:rsidRDefault="008729DE" w:rsidP="00C16832">
      <w:pPr>
        <w:pStyle w:val="ListParagraph"/>
        <w:spacing w:line="0" w:lineRule="atLeast"/>
        <w:rPr>
          <w:highlight w:val="yellow"/>
        </w:rPr>
      </w:pPr>
    </w:p>
    <w:p w14:paraId="4C6EF794" w14:textId="5A4A58D2" w:rsidR="008729DE" w:rsidRDefault="0066700F" w:rsidP="00C16832">
      <w:pPr>
        <w:pStyle w:val="ListParagraph"/>
        <w:widowControl/>
        <w:numPr>
          <w:ilvl w:val="1"/>
          <w:numId w:val="10"/>
        </w:numPr>
        <w:spacing w:line="0" w:lineRule="atLeast"/>
        <w:textAlignment w:val="center"/>
        <w:rPr>
          <w:highlight w:val="yellow"/>
        </w:rPr>
      </w:pPr>
      <w:r>
        <w:rPr>
          <w:highlight w:val="yellow"/>
        </w:rPr>
        <w:t xml:space="preserve">In order to filter for somatic mutations shared between </w:t>
      </w:r>
      <w:r w:rsidR="0000238B">
        <w:rPr>
          <w:highlight w:val="yellow"/>
        </w:rPr>
        <w:t>clones, run the filterSomatic.py script</w:t>
      </w:r>
      <w:r w:rsidR="008322D2">
        <w:rPr>
          <w:highlight w:val="yellow"/>
        </w:rPr>
        <w:t xml:space="preserve"> in a Unix-based terminal.</w:t>
      </w:r>
      <w:r w:rsidR="00474F22">
        <w:rPr>
          <w:highlight w:val="yellow"/>
        </w:rPr>
        <w:t xml:space="preserve"> </w:t>
      </w:r>
      <w:r w:rsidR="00474F22" w:rsidRPr="00AA2BB1">
        <w:t xml:space="preserve">The script can be found at </w:t>
      </w:r>
      <w:r w:rsidR="00376577">
        <w:t>&lt;</w:t>
      </w:r>
      <w:r w:rsidR="00376577" w:rsidRPr="00C16832">
        <w:t>https://data.m</w:t>
      </w:r>
      <w:r w:rsidR="00376577" w:rsidRPr="009A6357">
        <w:rPr>
          <w:color w:val="000000" w:themeColor="text1"/>
        </w:rPr>
        <w:t>endeley.com/datasets/9y4yhwt5rp/draft#folder-13e1f141-12eb-4b05-85c4-d0b198a4ba9b</w:t>
      </w:r>
      <w:r w:rsidR="00376577" w:rsidRPr="009A6357">
        <w:rPr>
          <w:rStyle w:val="Hyperlink"/>
          <w:color w:val="000000" w:themeColor="text1"/>
          <w:u w:val="none"/>
        </w:rPr>
        <w:t>&gt;</w:t>
      </w:r>
      <w:r w:rsidR="00474F22">
        <w:t xml:space="preserve">. </w:t>
      </w:r>
      <w:r w:rsidR="0000238B">
        <w:rPr>
          <w:highlight w:val="yellow"/>
        </w:rPr>
        <w:t xml:space="preserve"> Before running this script, e</w:t>
      </w:r>
      <w:r>
        <w:rPr>
          <w:highlight w:val="yellow"/>
        </w:rPr>
        <w:t>dit the filterSomatic</w:t>
      </w:r>
      <w:r w:rsidR="008729DE" w:rsidRPr="00A15129">
        <w:rPr>
          <w:highlight w:val="yellow"/>
        </w:rPr>
        <w:t xml:space="preserve">.ini </w:t>
      </w:r>
      <w:r>
        <w:rPr>
          <w:highlight w:val="yellow"/>
        </w:rPr>
        <w:t>file</w:t>
      </w:r>
      <w:r w:rsidR="00AA2BB1">
        <w:rPr>
          <w:highlight w:val="yellow"/>
        </w:rPr>
        <w:t xml:space="preserve"> (see </w:t>
      </w:r>
      <w:r w:rsidR="00AA2BB1">
        <w:rPr>
          <w:b/>
          <w:highlight w:val="yellow"/>
        </w:rPr>
        <w:t>Supplemental File 2</w:t>
      </w:r>
      <w:r w:rsidR="00AA2BB1">
        <w:rPr>
          <w:highlight w:val="yellow"/>
        </w:rPr>
        <w:t>)</w:t>
      </w:r>
      <w:r w:rsidR="0000238B">
        <w:rPr>
          <w:highlight w:val="yellow"/>
        </w:rPr>
        <w:t xml:space="preserve"> to </w:t>
      </w:r>
      <w:r w:rsidR="00D745E4">
        <w:rPr>
          <w:highlight w:val="yellow"/>
        </w:rPr>
        <w:t>set the paths</w:t>
      </w:r>
      <w:r w:rsidR="0018503A">
        <w:rPr>
          <w:highlight w:val="yellow"/>
        </w:rPr>
        <w:t xml:space="preserve"> and adjust the other parameters</w:t>
      </w:r>
      <w:r w:rsidR="0000238B">
        <w:rPr>
          <w:highlight w:val="yellow"/>
        </w:rPr>
        <w:t>.</w:t>
      </w:r>
      <w:r>
        <w:rPr>
          <w:highlight w:val="yellow"/>
        </w:rPr>
        <w:t xml:space="preserve"> </w:t>
      </w:r>
    </w:p>
    <w:p w14:paraId="7B09ABA5" w14:textId="77777777" w:rsidR="0000238B" w:rsidRPr="0000238B" w:rsidRDefault="0000238B" w:rsidP="00C16832">
      <w:pPr>
        <w:pStyle w:val="ListParagraph"/>
        <w:spacing w:line="0" w:lineRule="atLeast"/>
        <w:ind w:left="0"/>
        <w:rPr>
          <w:highlight w:val="yellow"/>
        </w:rPr>
      </w:pPr>
    </w:p>
    <w:p w14:paraId="3E9119A3" w14:textId="4A10F681" w:rsidR="0000238B" w:rsidRPr="00AA2BB1" w:rsidRDefault="0000238B" w:rsidP="00C16832">
      <w:pPr>
        <w:pStyle w:val="ListParagraph"/>
        <w:widowControl/>
        <w:numPr>
          <w:ilvl w:val="1"/>
          <w:numId w:val="10"/>
        </w:numPr>
        <w:spacing w:line="0" w:lineRule="atLeast"/>
        <w:textAlignment w:val="center"/>
        <w:rPr>
          <w:rFonts w:asciiTheme="minorHAnsi" w:hAnsiTheme="minorHAnsi" w:cstheme="minorHAnsi"/>
          <w:highlight w:val="yellow"/>
        </w:rPr>
      </w:pPr>
      <w:r>
        <w:rPr>
          <w:highlight w:val="yellow"/>
        </w:rPr>
        <w:t>Run filterSomatic.py</w:t>
      </w:r>
      <w:r w:rsidR="00AA2BB1" w:rsidRPr="00AA2BB1">
        <w:rPr>
          <w:rFonts w:asciiTheme="minorHAnsi" w:hAnsiTheme="minorHAnsi" w:cstheme="minorHAnsi"/>
          <w:highlight w:val="yellow"/>
        </w:rPr>
        <w:t xml:space="preserve"> (</w:t>
      </w:r>
      <w:r w:rsidRPr="00AA2BB1">
        <w:rPr>
          <w:rFonts w:asciiTheme="minorHAnsi" w:hAnsiTheme="minorHAnsi" w:cstheme="minorHAnsi"/>
          <w:b/>
          <w:highlight w:val="yellow"/>
        </w:rPr>
        <w:t>python3 filterSomatic.py -</w:t>
      </w:r>
      <w:proofErr w:type="spellStart"/>
      <w:r w:rsidRPr="00AA2BB1">
        <w:rPr>
          <w:rFonts w:asciiTheme="minorHAnsi" w:hAnsiTheme="minorHAnsi" w:cstheme="minorHAnsi"/>
          <w:b/>
          <w:highlight w:val="yellow"/>
        </w:rPr>
        <w:t>i</w:t>
      </w:r>
      <w:proofErr w:type="spellEnd"/>
      <w:r w:rsidRPr="00AA2BB1">
        <w:rPr>
          <w:rFonts w:asciiTheme="minorHAnsi" w:hAnsiTheme="minorHAnsi" w:cstheme="minorHAnsi"/>
          <w:b/>
          <w:highlight w:val="yellow"/>
        </w:rPr>
        <w:t xml:space="preserve"> filterSomatic.ini</w:t>
      </w:r>
      <w:r w:rsidR="00AA2BB1" w:rsidRPr="00AA2BB1">
        <w:rPr>
          <w:rFonts w:asciiTheme="minorHAnsi" w:hAnsiTheme="minorHAnsi" w:cstheme="minorHAnsi"/>
          <w:highlight w:val="yellow"/>
        </w:rPr>
        <w:t>).</w:t>
      </w:r>
    </w:p>
    <w:p w14:paraId="469A5534" w14:textId="77777777" w:rsidR="0000238B" w:rsidRPr="0000238B" w:rsidRDefault="0000238B" w:rsidP="00C16832">
      <w:pPr>
        <w:widowControl/>
        <w:spacing w:line="0" w:lineRule="atLeast"/>
        <w:textAlignment w:val="center"/>
        <w:rPr>
          <w:highlight w:val="yellow"/>
        </w:rPr>
      </w:pPr>
    </w:p>
    <w:p w14:paraId="1CD45CE1" w14:textId="50730B60" w:rsidR="0088352B" w:rsidRPr="00436C3E" w:rsidRDefault="008729DE" w:rsidP="00C16832">
      <w:pPr>
        <w:pStyle w:val="ListParagraph"/>
        <w:widowControl/>
        <w:numPr>
          <w:ilvl w:val="1"/>
          <w:numId w:val="10"/>
        </w:numPr>
        <w:spacing w:line="0" w:lineRule="atLeast"/>
        <w:textAlignment w:val="center"/>
        <w:rPr>
          <w:highlight w:val="yellow"/>
        </w:rPr>
      </w:pPr>
      <w:r w:rsidRPr="00A15129">
        <w:rPr>
          <w:highlight w:val="yellow"/>
        </w:rPr>
        <w:t xml:space="preserve">Filter for mutations that are </w:t>
      </w:r>
      <w:proofErr w:type="spellStart"/>
      <w:r w:rsidR="00A63006">
        <w:rPr>
          <w:highlight w:val="yellow"/>
        </w:rPr>
        <w:t>subclonally</w:t>
      </w:r>
      <w:proofErr w:type="spellEnd"/>
      <w:r w:rsidRPr="00A15129">
        <w:rPr>
          <w:highlight w:val="yellow"/>
        </w:rPr>
        <w:t xml:space="preserve"> present in the bulk using the </w:t>
      </w:r>
      <w:proofErr w:type="spellStart"/>
      <w:r w:rsidRPr="00A15129">
        <w:rPr>
          <w:highlight w:val="yellow"/>
        </w:rPr>
        <w:t>Determine_lowVAF_</w:t>
      </w:r>
      <w:proofErr w:type="gramStart"/>
      <w:r w:rsidRPr="00A15129">
        <w:rPr>
          <w:highlight w:val="yellow"/>
        </w:rPr>
        <w:t>bulk.R</w:t>
      </w:r>
      <w:proofErr w:type="spellEnd"/>
      <w:proofErr w:type="gramEnd"/>
      <w:r w:rsidRPr="00A15129">
        <w:rPr>
          <w:highlight w:val="yellow"/>
        </w:rPr>
        <w:t xml:space="preserve"> script</w:t>
      </w:r>
      <w:r w:rsidR="008322D2">
        <w:rPr>
          <w:highlight w:val="yellow"/>
        </w:rPr>
        <w:t xml:space="preserve"> in a Unix-based terminal.</w:t>
      </w:r>
      <w:r w:rsidR="00474F22">
        <w:rPr>
          <w:highlight w:val="yellow"/>
        </w:rPr>
        <w:t xml:space="preserve"> The script can be found at </w:t>
      </w:r>
      <w:r w:rsidR="00376577">
        <w:t>&lt;</w:t>
      </w:r>
      <w:r w:rsidR="00376577" w:rsidRPr="00C16832">
        <w:t>https://data.mendeley.com/datasets/9y4yhwt5rp/draft#folder-13e1f141-12eb-4b05-85c4-d0b198a4ba9b</w:t>
      </w:r>
      <w:r w:rsidR="00376577">
        <w:rPr>
          <w:rStyle w:val="Hyperlink"/>
        </w:rPr>
        <w:t>&gt;</w:t>
      </w:r>
      <w:r w:rsidR="00474F22">
        <w:t xml:space="preserve">. </w:t>
      </w:r>
      <w:r w:rsidRPr="00A15129">
        <w:rPr>
          <w:highlight w:val="yellow"/>
        </w:rPr>
        <w:t xml:space="preserve"> This will generate separate </w:t>
      </w:r>
      <w:r w:rsidR="007B13FE">
        <w:rPr>
          <w:highlight w:val="yellow"/>
        </w:rPr>
        <w:t>.</w:t>
      </w:r>
      <w:proofErr w:type="spellStart"/>
      <w:r w:rsidRPr="00A15129">
        <w:rPr>
          <w:highlight w:val="yellow"/>
        </w:rPr>
        <w:t>vcf</w:t>
      </w:r>
      <w:proofErr w:type="spellEnd"/>
      <w:r w:rsidRPr="00A15129">
        <w:rPr>
          <w:highlight w:val="yellow"/>
        </w:rPr>
        <w:t xml:space="preserve"> files for shared and unique SNVs</w:t>
      </w:r>
      <w:r w:rsidR="00436C3E">
        <w:rPr>
          <w:highlight w:val="yellow"/>
        </w:rPr>
        <w:t>:</w:t>
      </w:r>
    </w:p>
    <w:p w14:paraId="09F0A8DD" w14:textId="77777777" w:rsidR="008322D2" w:rsidRPr="00AA2BB1" w:rsidRDefault="0088352B" w:rsidP="00C16832">
      <w:pPr>
        <w:widowControl/>
        <w:spacing w:line="0" w:lineRule="atLeast"/>
        <w:rPr>
          <w:rFonts w:asciiTheme="minorHAnsi" w:hAnsiTheme="minorHAnsi" w:cstheme="minorHAnsi"/>
          <w:b/>
          <w:highlight w:val="yellow"/>
        </w:rPr>
      </w:pPr>
      <w:proofErr w:type="spellStart"/>
      <w:r w:rsidRPr="00AA2BB1">
        <w:rPr>
          <w:rFonts w:asciiTheme="minorHAnsi" w:hAnsiTheme="minorHAnsi" w:cstheme="minorHAnsi"/>
          <w:b/>
          <w:highlight w:val="yellow"/>
        </w:rPr>
        <w:t>Rscript</w:t>
      </w:r>
      <w:proofErr w:type="spellEnd"/>
      <w:r w:rsidRPr="00AA2BB1">
        <w:rPr>
          <w:rFonts w:asciiTheme="minorHAnsi" w:hAnsiTheme="minorHAnsi" w:cstheme="minorHAnsi"/>
          <w:b/>
          <w:highlight w:val="yellow"/>
        </w:rPr>
        <w:t xml:space="preserve"> </w:t>
      </w:r>
      <w:proofErr w:type="spellStart"/>
      <w:r w:rsidRPr="00AA2BB1">
        <w:rPr>
          <w:rFonts w:asciiTheme="minorHAnsi" w:hAnsiTheme="minorHAnsi" w:cstheme="minorHAnsi"/>
          <w:b/>
          <w:highlight w:val="yellow"/>
        </w:rPr>
        <w:t>Determine_lowVAF_</w:t>
      </w:r>
      <w:proofErr w:type="gramStart"/>
      <w:r w:rsidRPr="00AA2BB1">
        <w:rPr>
          <w:rFonts w:asciiTheme="minorHAnsi" w:hAnsiTheme="minorHAnsi" w:cstheme="minorHAnsi"/>
          <w:b/>
          <w:highlight w:val="yellow"/>
        </w:rPr>
        <w:t>bulk.R</w:t>
      </w:r>
      <w:proofErr w:type="spellEnd"/>
      <w:proofErr w:type="gramEnd"/>
      <w:r w:rsidRPr="00AA2BB1">
        <w:rPr>
          <w:rFonts w:asciiTheme="minorHAnsi" w:hAnsiTheme="minorHAnsi" w:cstheme="minorHAnsi"/>
          <w:b/>
          <w:highlight w:val="yellow"/>
        </w:rPr>
        <w:t xml:space="preserve"> </w:t>
      </w:r>
    </w:p>
    <w:p w14:paraId="1F17A259" w14:textId="77777777" w:rsidR="008322D2" w:rsidRPr="00AA2BB1" w:rsidRDefault="0088352B" w:rsidP="00C16832">
      <w:pPr>
        <w:widowControl/>
        <w:spacing w:line="0" w:lineRule="atLeast"/>
        <w:ind w:firstLine="720"/>
        <w:rPr>
          <w:rFonts w:asciiTheme="minorHAnsi" w:hAnsiTheme="minorHAnsi" w:cstheme="minorHAnsi"/>
          <w:b/>
          <w:highlight w:val="yellow"/>
        </w:rPr>
      </w:pPr>
      <w:r w:rsidRPr="00AA2BB1">
        <w:rPr>
          <w:rFonts w:asciiTheme="minorHAnsi" w:hAnsiTheme="minorHAnsi" w:cstheme="minorHAnsi"/>
          <w:b/>
          <w:highlight w:val="yellow"/>
        </w:rPr>
        <w:t>--</w:t>
      </w:r>
      <w:proofErr w:type="spellStart"/>
      <w:r w:rsidRPr="00AA2BB1">
        <w:rPr>
          <w:rFonts w:asciiTheme="minorHAnsi" w:hAnsiTheme="minorHAnsi" w:cstheme="minorHAnsi"/>
          <w:b/>
          <w:highlight w:val="yellow"/>
        </w:rPr>
        <w:t>vcf</w:t>
      </w:r>
      <w:proofErr w:type="spellEnd"/>
      <w:r w:rsidRPr="00AA2BB1">
        <w:rPr>
          <w:rFonts w:asciiTheme="minorHAnsi" w:hAnsiTheme="minorHAnsi" w:cstheme="minorHAnsi"/>
          <w:b/>
          <w:highlight w:val="yellow"/>
        </w:rPr>
        <w:t xml:space="preserve"> Path/To/Filter_somatic_output.vcf </w:t>
      </w:r>
    </w:p>
    <w:p w14:paraId="4E4DF482" w14:textId="77777777" w:rsidR="008322D2" w:rsidRPr="00AA2BB1" w:rsidRDefault="0088352B" w:rsidP="00C16832">
      <w:pPr>
        <w:widowControl/>
        <w:spacing w:line="0" w:lineRule="atLeast"/>
        <w:ind w:firstLine="720"/>
        <w:rPr>
          <w:rFonts w:asciiTheme="minorHAnsi" w:hAnsiTheme="minorHAnsi" w:cstheme="minorHAnsi"/>
          <w:b/>
          <w:highlight w:val="yellow"/>
        </w:rPr>
      </w:pPr>
      <w:r w:rsidRPr="00AA2BB1">
        <w:rPr>
          <w:rFonts w:asciiTheme="minorHAnsi" w:hAnsiTheme="minorHAnsi" w:cstheme="minorHAnsi"/>
          <w:b/>
          <w:highlight w:val="yellow"/>
        </w:rPr>
        <w:lastRenderedPageBreak/>
        <w:t xml:space="preserve">--bulk </w:t>
      </w:r>
      <w:proofErr w:type="spellStart"/>
      <w:r w:rsidRPr="00AA2BB1">
        <w:rPr>
          <w:rFonts w:asciiTheme="minorHAnsi" w:hAnsiTheme="minorHAnsi" w:cstheme="minorHAnsi"/>
          <w:b/>
          <w:highlight w:val="yellow"/>
        </w:rPr>
        <w:t>bulk_name</w:t>
      </w:r>
      <w:proofErr w:type="spellEnd"/>
      <w:r w:rsidRPr="00AA2BB1">
        <w:rPr>
          <w:rFonts w:asciiTheme="minorHAnsi" w:hAnsiTheme="minorHAnsi" w:cstheme="minorHAnsi"/>
          <w:b/>
          <w:highlight w:val="yellow"/>
        </w:rPr>
        <w:t xml:space="preserve"> </w:t>
      </w:r>
    </w:p>
    <w:p w14:paraId="4BBC65B9" w14:textId="77777777" w:rsidR="008322D2" w:rsidRPr="00AA2BB1" w:rsidRDefault="0088352B" w:rsidP="00C16832">
      <w:pPr>
        <w:widowControl/>
        <w:spacing w:line="0" w:lineRule="atLeast"/>
        <w:ind w:firstLine="720"/>
        <w:rPr>
          <w:rFonts w:asciiTheme="minorHAnsi" w:hAnsiTheme="minorHAnsi" w:cstheme="minorHAnsi"/>
          <w:b/>
          <w:highlight w:val="yellow"/>
        </w:rPr>
      </w:pPr>
      <w:r w:rsidRPr="00AA2BB1">
        <w:rPr>
          <w:rFonts w:asciiTheme="minorHAnsi" w:hAnsiTheme="minorHAnsi" w:cstheme="minorHAnsi"/>
          <w:b/>
          <w:highlight w:val="yellow"/>
        </w:rPr>
        <w:t>--</w:t>
      </w:r>
      <w:proofErr w:type="spellStart"/>
      <w:r w:rsidRPr="00AA2BB1">
        <w:rPr>
          <w:rFonts w:asciiTheme="minorHAnsi" w:hAnsiTheme="minorHAnsi" w:cstheme="minorHAnsi"/>
          <w:b/>
          <w:highlight w:val="yellow"/>
        </w:rPr>
        <w:t>sample_name</w:t>
      </w:r>
      <w:proofErr w:type="spellEnd"/>
      <w:r w:rsidRPr="00AA2BB1">
        <w:rPr>
          <w:rFonts w:asciiTheme="minorHAnsi" w:hAnsiTheme="minorHAnsi" w:cstheme="minorHAnsi"/>
          <w:b/>
          <w:highlight w:val="yellow"/>
        </w:rPr>
        <w:t xml:space="preserve"> sample-name </w:t>
      </w:r>
    </w:p>
    <w:p w14:paraId="7DAFB715" w14:textId="77777777" w:rsidR="008322D2" w:rsidRPr="00AA2BB1" w:rsidRDefault="0088352B" w:rsidP="00C16832">
      <w:pPr>
        <w:widowControl/>
        <w:spacing w:line="0" w:lineRule="atLeast"/>
        <w:ind w:firstLine="720"/>
        <w:rPr>
          <w:rFonts w:asciiTheme="minorHAnsi" w:hAnsiTheme="minorHAnsi" w:cstheme="minorHAnsi"/>
          <w:b/>
          <w:highlight w:val="yellow"/>
        </w:rPr>
      </w:pPr>
      <w:r w:rsidRPr="00AA2BB1">
        <w:rPr>
          <w:rFonts w:asciiTheme="minorHAnsi" w:hAnsiTheme="minorHAnsi" w:cstheme="minorHAnsi"/>
          <w:b/>
          <w:highlight w:val="yellow"/>
        </w:rPr>
        <w:t xml:space="preserve">--gender [M|F] </w:t>
      </w:r>
    </w:p>
    <w:p w14:paraId="670D88A5" w14:textId="44005DCD" w:rsidR="0088352B" w:rsidRPr="00AA2BB1" w:rsidRDefault="007B13FE" w:rsidP="00C16832">
      <w:pPr>
        <w:widowControl/>
        <w:spacing w:line="0" w:lineRule="atLeast"/>
        <w:ind w:firstLine="720"/>
        <w:rPr>
          <w:rFonts w:asciiTheme="minorHAnsi" w:hAnsiTheme="minorHAnsi" w:cstheme="minorHAnsi"/>
          <w:b/>
          <w:highlight w:val="yellow"/>
        </w:rPr>
      </w:pPr>
      <w:r w:rsidRPr="00AA2BB1">
        <w:rPr>
          <w:rFonts w:asciiTheme="minorHAnsi" w:hAnsiTheme="minorHAnsi" w:cstheme="minorHAnsi"/>
          <w:b/>
          <w:highlight w:val="yellow"/>
        </w:rPr>
        <w:t>--</w:t>
      </w:r>
      <w:proofErr w:type="spellStart"/>
      <w:r w:rsidR="0088352B" w:rsidRPr="00AA2BB1">
        <w:rPr>
          <w:rFonts w:asciiTheme="minorHAnsi" w:hAnsiTheme="minorHAnsi" w:cstheme="minorHAnsi"/>
          <w:b/>
          <w:highlight w:val="yellow"/>
        </w:rPr>
        <w:t>out_dir</w:t>
      </w:r>
      <w:proofErr w:type="spellEnd"/>
      <w:r w:rsidR="0088352B" w:rsidRPr="00AA2BB1">
        <w:rPr>
          <w:rFonts w:asciiTheme="minorHAnsi" w:hAnsiTheme="minorHAnsi" w:cstheme="minorHAnsi"/>
          <w:b/>
          <w:highlight w:val="yellow"/>
        </w:rPr>
        <w:t xml:space="preserve"> </w:t>
      </w:r>
      <w:proofErr w:type="spellStart"/>
      <w:r w:rsidR="0088352B" w:rsidRPr="00AA2BB1">
        <w:rPr>
          <w:rFonts w:asciiTheme="minorHAnsi" w:hAnsiTheme="minorHAnsi" w:cstheme="minorHAnsi"/>
          <w:b/>
          <w:highlight w:val="yellow"/>
        </w:rPr>
        <w:t>out_dir</w:t>
      </w:r>
      <w:proofErr w:type="spellEnd"/>
    </w:p>
    <w:p w14:paraId="72487233" w14:textId="77777777" w:rsidR="0088352B" w:rsidRPr="0088352B" w:rsidRDefault="0088352B" w:rsidP="00C16832">
      <w:pPr>
        <w:widowControl/>
        <w:spacing w:line="0" w:lineRule="atLeast"/>
        <w:textAlignment w:val="center"/>
      </w:pPr>
    </w:p>
    <w:p w14:paraId="5F4862F0" w14:textId="68883CD6" w:rsidR="0088352B" w:rsidRDefault="0088352B" w:rsidP="00C16832">
      <w:pPr>
        <w:pStyle w:val="ListParagraph"/>
        <w:widowControl/>
        <w:numPr>
          <w:ilvl w:val="1"/>
          <w:numId w:val="10"/>
        </w:numPr>
        <w:spacing w:line="0" w:lineRule="atLeast"/>
        <w:rPr>
          <w:highlight w:val="yellow"/>
        </w:rPr>
      </w:pPr>
      <w:r w:rsidRPr="00641586">
        <w:rPr>
          <w:highlight w:val="yellow"/>
        </w:rPr>
        <w:t xml:space="preserve">Determine all mutations shared </w:t>
      </w:r>
      <w:r>
        <w:rPr>
          <w:highlight w:val="yellow"/>
        </w:rPr>
        <w:t>between</w:t>
      </w:r>
      <w:r w:rsidRPr="00641586">
        <w:rPr>
          <w:highlight w:val="yellow"/>
        </w:rPr>
        <w:t xml:space="preserve"> clones but</w:t>
      </w:r>
      <w:r w:rsidR="00376577">
        <w:rPr>
          <w:highlight w:val="yellow"/>
        </w:rPr>
        <w:t xml:space="preserve"> are</w:t>
      </w:r>
      <w:r w:rsidRPr="00641586">
        <w:rPr>
          <w:highlight w:val="yellow"/>
        </w:rPr>
        <w:t xml:space="preserve"> not present in the bulk sample by overlapping all mutation</w:t>
      </w:r>
      <w:r w:rsidR="00A95541">
        <w:rPr>
          <w:highlight w:val="yellow"/>
        </w:rPr>
        <w:t xml:space="preserve"> positions</w:t>
      </w:r>
      <w:r>
        <w:rPr>
          <w:highlight w:val="yellow"/>
        </w:rPr>
        <w:t xml:space="preserve"> </w:t>
      </w:r>
      <w:r w:rsidR="00A95541">
        <w:rPr>
          <w:highlight w:val="yellow"/>
        </w:rPr>
        <w:t xml:space="preserve">(concatenate </w:t>
      </w:r>
      <w:r>
        <w:rPr>
          <w:highlight w:val="yellow"/>
        </w:rPr>
        <w:t xml:space="preserve">column </w:t>
      </w:r>
      <w:r w:rsidR="00A95541">
        <w:rPr>
          <w:highlight w:val="yellow"/>
        </w:rPr>
        <w:t>1 and 2</w:t>
      </w:r>
      <w:r>
        <w:rPr>
          <w:highlight w:val="yellow"/>
        </w:rPr>
        <w:t xml:space="preserve"> of SNVFI output</w:t>
      </w:r>
      <w:r w:rsidR="00A95541">
        <w:rPr>
          <w:highlight w:val="yellow"/>
        </w:rPr>
        <w:t>)</w:t>
      </w:r>
      <w:r>
        <w:rPr>
          <w:highlight w:val="yellow"/>
        </w:rPr>
        <w:t>.</w:t>
      </w:r>
      <w:r w:rsidR="007B13FE">
        <w:rPr>
          <w:highlight w:val="yellow"/>
        </w:rPr>
        <w:t xml:space="preserve"> </w:t>
      </w:r>
    </w:p>
    <w:p w14:paraId="286A30AB" w14:textId="77777777" w:rsidR="0088352B" w:rsidRPr="0088352B" w:rsidRDefault="0088352B" w:rsidP="00C16832">
      <w:pPr>
        <w:widowControl/>
        <w:spacing w:line="0" w:lineRule="atLeast"/>
        <w:rPr>
          <w:highlight w:val="yellow"/>
        </w:rPr>
      </w:pPr>
    </w:p>
    <w:p w14:paraId="7A1F7ABC" w14:textId="4D92CB36" w:rsidR="007E46F6" w:rsidRDefault="008729DE" w:rsidP="00C16832">
      <w:pPr>
        <w:pStyle w:val="ListParagraph"/>
        <w:widowControl/>
        <w:numPr>
          <w:ilvl w:val="1"/>
          <w:numId w:val="10"/>
        </w:numPr>
        <w:spacing w:line="0" w:lineRule="atLeast"/>
        <w:rPr>
          <w:highlight w:val="yellow"/>
        </w:rPr>
      </w:pPr>
      <w:r w:rsidRPr="00AC08BB">
        <w:rPr>
          <w:highlight w:val="yellow"/>
        </w:rPr>
        <w:t>Exclude false positives obtained during step</w:t>
      </w:r>
      <w:r w:rsidR="00376577">
        <w:rPr>
          <w:highlight w:val="yellow"/>
        </w:rPr>
        <w:t>s</w:t>
      </w:r>
      <w:r w:rsidRPr="00AC08BB">
        <w:rPr>
          <w:highlight w:val="yellow"/>
        </w:rPr>
        <w:t xml:space="preserve"> 10.</w:t>
      </w:r>
      <w:r w:rsidR="000F403E" w:rsidRPr="00AC08BB">
        <w:rPr>
          <w:highlight w:val="yellow"/>
        </w:rPr>
        <w:t>5</w:t>
      </w:r>
      <w:r w:rsidRPr="007E46F6">
        <w:rPr>
          <w:highlight w:val="yellow"/>
        </w:rPr>
        <w:t xml:space="preserve"> and 10.</w:t>
      </w:r>
      <w:r w:rsidR="000F403E" w:rsidRPr="007E46F6">
        <w:rPr>
          <w:highlight w:val="yellow"/>
        </w:rPr>
        <w:t>6</w:t>
      </w:r>
      <w:r w:rsidRPr="007E46F6">
        <w:rPr>
          <w:highlight w:val="yellow"/>
        </w:rPr>
        <w:t xml:space="preserve"> by manual inspection using IGV</w:t>
      </w:r>
      <w:r w:rsidRPr="00AC08BB">
        <w:rPr>
          <w:highlight w:val="yellow"/>
        </w:rPr>
        <w:fldChar w:fldCharType="begin" w:fldLock="1"/>
      </w:r>
      <w:r w:rsidR="00214AEE" w:rsidRPr="007E46F6">
        <w:rPr>
          <w:highlight w:val="yellow"/>
        </w:rPr>
        <w:instrText>ADDIN CSL_CITATION {"citationItems":[{"id":"ITEM-1","itemData":{"DOI":"10.1093/bib/bbs017","ISBN":"1477-4054 (Electronic)\\r1467-5463 (Linking)","ISSN":"14675463","PMID":"22517427","abstract":"Data visualization is an essential component of genomic data analysis. However, the size and diversity of the data sets produced by today's sequencing and array-based profiling methods present major challenges to visualization tools. The Integrative Genomics Viewer (IGV) is a high-performance viewer that efficiently handles large heterogeneous data sets, while providing a smooth and intuitive user experience at all levels of genome resolution. A key characteristic of IGV is its focus on the integrative nature of genomic studies, with support for both array-based and next-generation sequencing data, and the integration of clinical and phenotypic data. Although IGV is often used to view genomic data from public sources, its primary emphasis is to support researchers who wish to visualize and explore their own data sets or those from colleagues. To that end, IGV supports flexible loading of local and remote data sets, and is optimized to provide high-performance data visualization and exploration on standard desktop systems. IGV is freely available for download from http://www.broadinstitute.org/igv, under a GNU LGPL open-source license.","author":[{"dropping-particle":"","family":"Thorvaldsdóttir","given":"Helga","non-dropping-particle":"","parse-names":false,"suffix":""},{"dropping-particle":"","family":"Robinson","given":"James T.","non-dropping-particle":"","parse-names":false,"suffix":""},{"dropping-particle":"","family":"Mesirov","given":"Jill P.","non-dropping-particle":"","parse-names":false,"suffix":""}],"container-title":"Briefings in Bioinformatics","id":"ITEM-1","issue":"2","issued":{"date-parts":[["2013"]]},"page":"178-192","title":"Integrative Genomics Viewer (IGV): High-performance genomics data visualization and exploration","type":"article-journal","volume":"14"},"uris":["http://www.mendeley.com/documents/?uuid=bc4e8a95-f3d3-4c63-9a22-935e5f5793fa"]}],"mendeley":{"formattedCitation":"&lt;sup&gt;16&lt;/sup&gt;","plainTextFormattedCitation":"16","previouslyFormattedCitation":"&lt;sup&gt;16&lt;/sup&gt;"},"properties":{"noteIndex":0},"schema":"https://github.com/citation-style-language/schema/raw/master/csl-citation.json"}</w:instrText>
      </w:r>
      <w:r w:rsidRPr="00AC08BB">
        <w:rPr>
          <w:highlight w:val="yellow"/>
        </w:rPr>
        <w:fldChar w:fldCharType="separate"/>
      </w:r>
      <w:r w:rsidRPr="00AC08BB">
        <w:rPr>
          <w:noProof/>
          <w:highlight w:val="yellow"/>
          <w:vertAlign w:val="superscript"/>
        </w:rPr>
        <w:t>16</w:t>
      </w:r>
      <w:r w:rsidRPr="00AC08BB">
        <w:rPr>
          <w:highlight w:val="yellow"/>
        </w:rPr>
        <w:fldChar w:fldCharType="end"/>
      </w:r>
      <w:r w:rsidRPr="00AC08BB">
        <w:rPr>
          <w:highlight w:val="yellow"/>
        </w:rPr>
        <w:t xml:space="preserve">. Mutations are considered false when </w:t>
      </w:r>
      <w:r w:rsidR="001237F6">
        <w:rPr>
          <w:highlight w:val="yellow"/>
        </w:rPr>
        <w:t xml:space="preserve">not </w:t>
      </w:r>
      <w:r w:rsidRPr="00AC08BB">
        <w:rPr>
          <w:highlight w:val="yellow"/>
        </w:rPr>
        <w:t>present</w:t>
      </w:r>
      <w:r w:rsidR="001237F6">
        <w:rPr>
          <w:highlight w:val="yellow"/>
        </w:rPr>
        <w:t>, when the mutation is present in the germline or when present in poorly mapped regions</w:t>
      </w:r>
      <w:r w:rsidR="007E46F6">
        <w:rPr>
          <w:highlight w:val="yellow"/>
        </w:rPr>
        <w:t xml:space="preserve">, see </w:t>
      </w:r>
      <w:r w:rsidR="00376577" w:rsidRPr="00C16832">
        <w:rPr>
          <w:b/>
          <w:highlight w:val="yellow"/>
        </w:rPr>
        <w:t>F</w:t>
      </w:r>
      <w:r w:rsidR="007E46F6" w:rsidRPr="00C16832">
        <w:rPr>
          <w:b/>
          <w:highlight w:val="yellow"/>
        </w:rPr>
        <w:t>igure 7</w:t>
      </w:r>
      <w:r w:rsidRPr="00AC08BB">
        <w:rPr>
          <w:highlight w:val="yellow"/>
        </w:rPr>
        <w:t xml:space="preserve">. </w:t>
      </w:r>
    </w:p>
    <w:p w14:paraId="16806C06" w14:textId="77777777" w:rsidR="00C239C8" w:rsidRDefault="00C239C8" w:rsidP="00C16832">
      <w:pPr>
        <w:pStyle w:val="ListParagraph"/>
        <w:widowControl/>
        <w:spacing w:line="0" w:lineRule="atLeast"/>
        <w:ind w:left="0"/>
        <w:rPr>
          <w:highlight w:val="yellow"/>
        </w:rPr>
      </w:pPr>
    </w:p>
    <w:p w14:paraId="3EE680CE" w14:textId="1519B6A4" w:rsidR="007E46F6" w:rsidRDefault="008729DE" w:rsidP="00C16832">
      <w:pPr>
        <w:pStyle w:val="ListParagraph"/>
        <w:widowControl/>
        <w:spacing w:line="0" w:lineRule="atLeast"/>
        <w:ind w:left="0"/>
        <w:rPr>
          <w:highlight w:val="yellow"/>
        </w:rPr>
      </w:pPr>
      <w:r w:rsidRPr="00AC08BB">
        <w:rPr>
          <w:highlight w:val="yellow"/>
        </w:rPr>
        <w:t xml:space="preserve">NOTE: We </w:t>
      </w:r>
      <w:r w:rsidR="001237F6">
        <w:rPr>
          <w:highlight w:val="yellow"/>
        </w:rPr>
        <w:t xml:space="preserve">highly </w:t>
      </w:r>
      <w:r w:rsidRPr="00AC08BB">
        <w:rPr>
          <w:highlight w:val="yellow"/>
        </w:rPr>
        <w:t>recommend to re-sequence all shared loci independently using targeted or sanger sequencing.</w:t>
      </w:r>
    </w:p>
    <w:p w14:paraId="0760980F" w14:textId="77777777" w:rsidR="007E46F6" w:rsidRDefault="007E46F6" w:rsidP="00C16832">
      <w:pPr>
        <w:pStyle w:val="ListParagraph"/>
        <w:widowControl/>
        <w:spacing w:line="0" w:lineRule="atLeast"/>
        <w:ind w:left="360"/>
        <w:rPr>
          <w:highlight w:val="yellow"/>
        </w:rPr>
      </w:pPr>
    </w:p>
    <w:p w14:paraId="7B9CF0C3" w14:textId="3F43E239" w:rsidR="0088352B" w:rsidRPr="007E46F6" w:rsidRDefault="008729DE" w:rsidP="00C16832">
      <w:pPr>
        <w:pStyle w:val="ListParagraph"/>
        <w:widowControl/>
        <w:numPr>
          <w:ilvl w:val="1"/>
          <w:numId w:val="10"/>
        </w:numPr>
        <w:spacing w:line="0" w:lineRule="atLeast"/>
        <w:rPr>
          <w:highlight w:val="yellow"/>
        </w:rPr>
      </w:pPr>
      <w:r w:rsidRPr="00AC08BB">
        <w:rPr>
          <w:highlight w:val="yellow"/>
        </w:rPr>
        <w:t xml:space="preserve"> Use the shared mutations obtained during </w:t>
      </w:r>
      <w:r w:rsidR="00E54358" w:rsidRPr="007E46F6">
        <w:rPr>
          <w:highlight w:val="yellow"/>
        </w:rPr>
        <w:t>s</w:t>
      </w:r>
      <w:r w:rsidRPr="007E46F6">
        <w:rPr>
          <w:highlight w:val="yellow"/>
        </w:rPr>
        <w:t>tep</w:t>
      </w:r>
      <w:r w:rsidR="00376577">
        <w:rPr>
          <w:highlight w:val="yellow"/>
        </w:rPr>
        <w:t>s</w:t>
      </w:r>
      <w:r w:rsidRPr="007E46F6">
        <w:rPr>
          <w:highlight w:val="yellow"/>
        </w:rPr>
        <w:t xml:space="preserve"> 10.1 and 10.2 to build a binary table of mutations versus sequenced clones, with 0 indicating </w:t>
      </w:r>
      <w:r w:rsidR="00376577">
        <w:rPr>
          <w:highlight w:val="yellow"/>
        </w:rPr>
        <w:t xml:space="preserve">that </w:t>
      </w:r>
      <w:r w:rsidRPr="007E46F6">
        <w:rPr>
          <w:highlight w:val="yellow"/>
        </w:rPr>
        <w:t xml:space="preserve">the mutation is not present and 1 indicating presence of the mutation. </w:t>
      </w:r>
    </w:p>
    <w:p w14:paraId="45D430E3" w14:textId="77777777" w:rsidR="0088352B" w:rsidRPr="0088352B" w:rsidRDefault="0088352B" w:rsidP="00C16832">
      <w:pPr>
        <w:pStyle w:val="ListParagraph"/>
        <w:spacing w:line="0" w:lineRule="atLeast"/>
        <w:rPr>
          <w:highlight w:val="yellow"/>
        </w:rPr>
      </w:pPr>
    </w:p>
    <w:p w14:paraId="0BAF7128" w14:textId="123533C8" w:rsidR="008729DE" w:rsidRPr="0088352B" w:rsidRDefault="008729DE" w:rsidP="00C16832">
      <w:pPr>
        <w:pStyle w:val="ListParagraph"/>
        <w:widowControl/>
        <w:numPr>
          <w:ilvl w:val="1"/>
          <w:numId w:val="10"/>
        </w:numPr>
        <w:spacing w:line="0" w:lineRule="atLeast"/>
        <w:rPr>
          <w:highlight w:val="yellow"/>
        </w:rPr>
      </w:pPr>
      <w:r w:rsidRPr="0088352B">
        <w:rPr>
          <w:highlight w:val="yellow"/>
        </w:rPr>
        <w:t xml:space="preserve">Output the mutation binary table as in a heatmap together with a dendrogram indicating lineage relationships between cells using R. The heatmap indicates mutations status for each cell. See </w:t>
      </w:r>
      <w:r w:rsidR="008B5AA6">
        <w:rPr>
          <w:highlight w:val="yellow"/>
        </w:rPr>
        <w:t xml:space="preserve">the </w:t>
      </w:r>
      <w:r w:rsidRPr="0088352B">
        <w:rPr>
          <w:highlight w:val="yellow"/>
        </w:rPr>
        <w:t>output of this function (</w:t>
      </w:r>
      <w:r w:rsidRPr="00C16832">
        <w:rPr>
          <w:b/>
          <w:highlight w:val="yellow"/>
        </w:rPr>
        <w:t>Figure 6</w:t>
      </w:r>
      <w:r w:rsidRPr="0088352B">
        <w:rPr>
          <w:highlight w:val="yellow"/>
        </w:rPr>
        <w:t xml:space="preserve">). </w:t>
      </w:r>
    </w:p>
    <w:p w14:paraId="243FC8AF" w14:textId="77777777" w:rsidR="00F35D0B" w:rsidRDefault="00F35D0B" w:rsidP="00C16832">
      <w:pPr>
        <w:pStyle w:val="ListParagraph"/>
        <w:widowControl/>
        <w:spacing w:line="0" w:lineRule="atLeast"/>
        <w:ind w:left="1440"/>
        <w:rPr>
          <w:rFonts w:ascii="Courier" w:eastAsia="HGMaruGothicMPRO" w:hAnsi="Courier"/>
          <w:highlight w:val="yellow"/>
        </w:rPr>
      </w:pPr>
    </w:p>
    <w:p w14:paraId="6A9809C5" w14:textId="72D3D385" w:rsidR="00F35D0B" w:rsidRPr="00C239C8" w:rsidRDefault="00F35D0B" w:rsidP="00C16832">
      <w:pPr>
        <w:pStyle w:val="ListParagraph"/>
        <w:widowControl/>
        <w:spacing w:line="0" w:lineRule="atLeast"/>
        <w:ind w:left="0"/>
        <w:rPr>
          <w:rFonts w:asciiTheme="minorHAnsi" w:eastAsia="HGMaruGothicMPRO" w:hAnsiTheme="minorHAnsi" w:cstheme="minorHAnsi"/>
          <w:b/>
          <w:highlight w:val="yellow"/>
        </w:rPr>
      </w:pPr>
      <w:r w:rsidRPr="00C239C8">
        <w:rPr>
          <w:rFonts w:asciiTheme="minorHAnsi" w:eastAsia="HGMaruGothicMPRO" w:hAnsiTheme="minorHAnsi" w:cstheme="minorHAnsi"/>
          <w:b/>
          <w:highlight w:val="yellow"/>
        </w:rPr>
        <w:t xml:space="preserve">Clones &lt;- </w:t>
      </w:r>
      <w:proofErr w:type="spellStart"/>
      <w:proofErr w:type="gramStart"/>
      <w:r w:rsidRPr="00C239C8">
        <w:rPr>
          <w:rFonts w:asciiTheme="minorHAnsi" w:eastAsia="HGMaruGothicMPRO" w:hAnsiTheme="minorHAnsi" w:cstheme="minorHAnsi"/>
          <w:b/>
          <w:highlight w:val="yellow"/>
        </w:rPr>
        <w:t>read.table</w:t>
      </w:r>
      <w:proofErr w:type="spellEnd"/>
      <w:proofErr w:type="gramEnd"/>
      <w:r w:rsidRPr="00C239C8">
        <w:rPr>
          <w:rFonts w:asciiTheme="minorHAnsi" w:eastAsia="HGMaruGothicMPRO" w:hAnsiTheme="minorHAnsi" w:cstheme="minorHAnsi"/>
          <w:b/>
          <w:highlight w:val="yellow"/>
        </w:rPr>
        <w:t>(“Path/To/</w:t>
      </w:r>
      <w:proofErr w:type="spellStart"/>
      <w:r w:rsidRPr="00C239C8">
        <w:rPr>
          <w:rFonts w:asciiTheme="minorHAnsi" w:eastAsia="HGMaruGothicMPRO" w:hAnsiTheme="minorHAnsi" w:cstheme="minorHAnsi"/>
          <w:b/>
          <w:highlight w:val="yellow"/>
        </w:rPr>
        <w:t>BinaryTable</w:t>
      </w:r>
      <w:proofErr w:type="spellEnd"/>
      <w:r w:rsidRPr="00C239C8">
        <w:rPr>
          <w:rFonts w:asciiTheme="minorHAnsi" w:eastAsia="HGMaruGothicMPRO" w:hAnsiTheme="minorHAnsi" w:cstheme="minorHAnsi"/>
          <w:b/>
          <w:highlight w:val="yellow"/>
        </w:rPr>
        <w:t>”)</w:t>
      </w:r>
    </w:p>
    <w:p w14:paraId="739A50BE" w14:textId="77777777" w:rsidR="00F35D0B" w:rsidRPr="00C239C8" w:rsidRDefault="00F35D0B" w:rsidP="00C16832">
      <w:pPr>
        <w:pStyle w:val="ListParagraph"/>
        <w:widowControl/>
        <w:spacing w:line="0" w:lineRule="atLeast"/>
        <w:ind w:left="0"/>
        <w:rPr>
          <w:rFonts w:asciiTheme="minorHAnsi" w:eastAsia="HGMaruGothicMPRO" w:hAnsiTheme="minorHAnsi" w:cstheme="minorHAnsi"/>
          <w:b/>
          <w:highlight w:val="yellow"/>
        </w:rPr>
      </w:pPr>
    </w:p>
    <w:p w14:paraId="6494C79F" w14:textId="7D1004E0" w:rsidR="008729DE" w:rsidRPr="00C239C8" w:rsidRDefault="008729DE" w:rsidP="00C16832">
      <w:pPr>
        <w:pStyle w:val="ListParagraph"/>
        <w:widowControl/>
        <w:spacing w:line="0" w:lineRule="atLeast"/>
        <w:ind w:left="0"/>
        <w:rPr>
          <w:rFonts w:asciiTheme="minorHAnsi" w:eastAsia="HGMaruGothicMPRO" w:hAnsiTheme="minorHAnsi" w:cstheme="minorHAnsi"/>
          <w:b/>
          <w:highlight w:val="yellow"/>
        </w:rPr>
      </w:pPr>
      <w:proofErr w:type="spellStart"/>
      <w:r w:rsidRPr="00C239C8">
        <w:rPr>
          <w:rFonts w:asciiTheme="minorHAnsi" w:eastAsia="HGMaruGothicMPRO" w:hAnsiTheme="minorHAnsi" w:cstheme="minorHAnsi"/>
          <w:b/>
          <w:highlight w:val="yellow"/>
        </w:rPr>
        <w:t>my_palette</w:t>
      </w:r>
      <w:proofErr w:type="spellEnd"/>
      <w:r w:rsidRPr="00C239C8">
        <w:rPr>
          <w:rFonts w:asciiTheme="minorHAnsi" w:eastAsia="HGMaruGothicMPRO" w:hAnsiTheme="minorHAnsi" w:cstheme="minorHAnsi"/>
          <w:b/>
          <w:highlight w:val="yellow"/>
        </w:rPr>
        <w:t xml:space="preserve"> &lt;- </w:t>
      </w:r>
      <w:proofErr w:type="spellStart"/>
      <w:proofErr w:type="gramStart"/>
      <w:r w:rsidRPr="00C239C8">
        <w:rPr>
          <w:rFonts w:asciiTheme="minorHAnsi" w:eastAsia="HGMaruGothicMPRO" w:hAnsiTheme="minorHAnsi" w:cstheme="minorHAnsi"/>
          <w:b/>
          <w:highlight w:val="yellow"/>
        </w:rPr>
        <w:t>colorRampPalette</w:t>
      </w:r>
      <w:proofErr w:type="spellEnd"/>
      <w:r w:rsidRPr="00C239C8">
        <w:rPr>
          <w:rFonts w:asciiTheme="minorHAnsi" w:eastAsia="HGMaruGothicMPRO" w:hAnsiTheme="minorHAnsi" w:cstheme="minorHAnsi"/>
          <w:b/>
          <w:highlight w:val="yellow"/>
        </w:rPr>
        <w:t>(</w:t>
      </w:r>
      <w:proofErr w:type="gramEnd"/>
      <w:r w:rsidRPr="00C239C8">
        <w:rPr>
          <w:rFonts w:asciiTheme="minorHAnsi" w:eastAsia="HGMaruGothicMPRO" w:hAnsiTheme="minorHAnsi" w:cstheme="minorHAnsi"/>
          <w:b/>
          <w:highlight w:val="yellow"/>
        </w:rPr>
        <w:t>c("#</w:t>
      </w:r>
      <w:proofErr w:type="spellStart"/>
      <w:r w:rsidRPr="00C239C8">
        <w:rPr>
          <w:rFonts w:asciiTheme="minorHAnsi" w:eastAsia="HGMaruGothicMPRO" w:hAnsiTheme="minorHAnsi" w:cstheme="minorHAnsi"/>
          <w:b/>
          <w:highlight w:val="yellow"/>
        </w:rPr>
        <w:t>cccccc</w:t>
      </w:r>
      <w:proofErr w:type="spellEnd"/>
      <w:r w:rsidRPr="00C239C8">
        <w:rPr>
          <w:rFonts w:asciiTheme="minorHAnsi" w:eastAsia="HGMaruGothicMPRO" w:hAnsiTheme="minorHAnsi" w:cstheme="minorHAnsi"/>
          <w:b/>
          <w:highlight w:val="yellow"/>
        </w:rPr>
        <w:t>", "#333333"))(n = 2)</w:t>
      </w:r>
    </w:p>
    <w:p w14:paraId="3ABB1287" w14:textId="77777777" w:rsidR="008729DE" w:rsidRPr="00C239C8" w:rsidRDefault="008729DE" w:rsidP="00C16832">
      <w:pPr>
        <w:pStyle w:val="ListParagraph"/>
        <w:spacing w:line="0" w:lineRule="atLeast"/>
        <w:ind w:left="0"/>
        <w:rPr>
          <w:rFonts w:asciiTheme="minorHAnsi" w:eastAsia="HGMaruGothicMPRO" w:hAnsiTheme="minorHAnsi" w:cstheme="minorHAnsi"/>
          <w:b/>
          <w:highlight w:val="yellow"/>
        </w:rPr>
      </w:pPr>
      <w:proofErr w:type="spellStart"/>
      <w:r w:rsidRPr="00C239C8">
        <w:rPr>
          <w:rFonts w:asciiTheme="minorHAnsi" w:eastAsia="HGMaruGothicMPRO" w:hAnsiTheme="minorHAnsi" w:cstheme="minorHAnsi"/>
          <w:b/>
          <w:highlight w:val="yellow"/>
        </w:rPr>
        <w:t>col_breaks</w:t>
      </w:r>
      <w:proofErr w:type="spellEnd"/>
      <w:r w:rsidRPr="00C239C8">
        <w:rPr>
          <w:rFonts w:asciiTheme="minorHAnsi" w:eastAsia="HGMaruGothicMPRO" w:hAnsiTheme="minorHAnsi" w:cstheme="minorHAnsi"/>
          <w:b/>
          <w:highlight w:val="yellow"/>
        </w:rPr>
        <w:t xml:space="preserve"> &lt;- </w:t>
      </w:r>
      <w:proofErr w:type="gramStart"/>
      <w:r w:rsidRPr="00C239C8">
        <w:rPr>
          <w:rFonts w:asciiTheme="minorHAnsi" w:eastAsia="HGMaruGothicMPRO" w:hAnsiTheme="minorHAnsi" w:cstheme="minorHAnsi"/>
          <w:b/>
          <w:highlight w:val="yellow"/>
        </w:rPr>
        <w:t>c(</w:t>
      </w:r>
      <w:proofErr w:type="gramEnd"/>
      <w:r w:rsidRPr="00C239C8">
        <w:rPr>
          <w:rFonts w:asciiTheme="minorHAnsi" w:eastAsia="HGMaruGothicMPRO" w:hAnsiTheme="minorHAnsi" w:cstheme="minorHAnsi"/>
          <w:b/>
          <w:highlight w:val="yellow"/>
        </w:rPr>
        <w:t>0,0.5,1)</w:t>
      </w:r>
    </w:p>
    <w:p w14:paraId="35C290DF" w14:textId="77777777" w:rsidR="008729DE" w:rsidRPr="00C239C8" w:rsidRDefault="008729DE" w:rsidP="00C16832">
      <w:pPr>
        <w:pStyle w:val="ListParagraph"/>
        <w:spacing w:line="0" w:lineRule="atLeast"/>
        <w:ind w:left="0"/>
        <w:rPr>
          <w:rFonts w:asciiTheme="minorHAnsi" w:eastAsia="HGMaruGothicMPRO" w:hAnsiTheme="minorHAnsi" w:cstheme="minorHAnsi"/>
          <w:b/>
          <w:highlight w:val="yellow"/>
        </w:rPr>
      </w:pPr>
    </w:p>
    <w:p w14:paraId="043C8DF6" w14:textId="0F341427" w:rsidR="008729DE" w:rsidRPr="00C239C8" w:rsidRDefault="008729DE" w:rsidP="00C16832">
      <w:pPr>
        <w:pStyle w:val="ListParagraph"/>
        <w:spacing w:line="0" w:lineRule="atLeast"/>
        <w:ind w:left="0"/>
        <w:rPr>
          <w:rFonts w:asciiTheme="minorHAnsi" w:eastAsia="HGMaruGothicMPRO" w:hAnsiTheme="minorHAnsi" w:cstheme="minorHAnsi"/>
          <w:b/>
          <w:highlight w:val="yellow"/>
        </w:rPr>
      </w:pPr>
      <w:r w:rsidRPr="00C239C8">
        <w:rPr>
          <w:rFonts w:asciiTheme="minorHAnsi" w:eastAsia="HGMaruGothicMPRO" w:hAnsiTheme="minorHAnsi" w:cstheme="minorHAnsi"/>
          <w:b/>
          <w:highlight w:val="yellow"/>
        </w:rPr>
        <w:t xml:space="preserve">heatmap.2(clones, </w:t>
      </w:r>
      <w:proofErr w:type="spellStart"/>
      <w:r w:rsidRPr="00C239C8">
        <w:rPr>
          <w:rFonts w:asciiTheme="minorHAnsi" w:eastAsia="HGMaruGothicMPRO" w:hAnsiTheme="minorHAnsi" w:cstheme="minorHAnsi"/>
          <w:b/>
          <w:highlight w:val="yellow"/>
        </w:rPr>
        <w:t>distfun</w:t>
      </w:r>
      <w:proofErr w:type="spellEnd"/>
      <w:r w:rsidRPr="00C239C8">
        <w:rPr>
          <w:rFonts w:asciiTheme="minorHAnsi" w:eastAsia="HGMaruGothicMPRO" w:hAnsiTheme="minorHAnsi" w:cstheme="minorHAnsi"/>
          <w:b/>
          <w:highlight w:val="yellow"/>
        </w:rPr>
        <w:t xml:space="preserve">=function(x) </w:t>
      </w:r>
      <w:proofErr w:type="spellStart"/>
      <w:proofErr w:type="gramStart"/>
      <w:r w:rsidRPr="00C239C8">
        <w:rPr>
          <w:rFonts w:asciiTheme="minorHAnsi" w:eastAsia="HGMaruGothicMPRO" w:hAnsiTheme="minorHAnsi" w:cstheme="minorHAnsi"/>
          <w:b/>
          <w:highlight w:val="yellow"/>
        </w:rPr>
        <w:t>dist</w:t>
      </w:r>
      <w:proofErr w:type="spellEnd"/>
      <w:r w:rsidRPr="00C239C8">
        <w:rPr>
          <w:rFonts w:asciiTheme="minorHAnsi" w:eastAsia="HGMaruGothicMPRO" w:hAnsiTheme="minorHAnsi" w:cstheme="minorHAnsi"/>
          <w:b/>
          <w:highlight w:val="yellow"/>
        </w:rPr>
        <w:t>(</w:t>
      </w:r>
      <w:proofErr w:type="spellStart"/>
      <w:proofErr w:type="gramEnd"/>
      <w:r w:rsidRPr="00C239C8">
        <w:rPr>
          <w:rFonts w:asciiTheme="minorHAnsi" w:eastAsia="HGMaruGothicMPRO" w:hAnsiTheme="minorHAnsi" w:cstheme="minorHAnsi"/>
          <w:b/>
          <w:highlight w:val="yellow"/>
        </w:rPr>
        <w:t>x,method</w:t>
      </w:r>
      <w:proofErr w:type="spellEnd"/>
      <w:r w:rsidRPr="00C239C8">
        <w:rPr>
          <w:rFonts w:asciiTheme="minorHAnsi" w:eastAsia="HGMaruGothicMPRO" w:hAnsiTheme="minorHAnsi" w:cstheme="minorHAnsi"/>
          <w:b/>
          <w:highlight w:val="yellow"/>
        </w:rPr>
        <w:t xml:space="preserve"> = 'binary'),</w:t>
      </w:r>
    </w:p>
    <w:p w14:paraId="221ECCC4" w14:textId="77777777" w:rsidR="008729DE" w:rsidRPr="00C239C8" w:rsidRDefault="008729DE" w:rsidP="00C16832">
      <w:pPr>
        <w:pStyle w:val="ListParagraph"/>
        <w:spacing w:line="0" w:lineRule="atLeast"/>
        <w:ind w:left="0"/>
        <w:rPr>
          <w:rFonts w:asciiTheme="minorHAnsi" w:eastAsia="HGMaruGothicMPRO" w:hAnsiTheme="minorHAnsi" w:cstheme="minorHAnsi"/>
          <w:b/>
          <w:highlight w:val="yellow"/>
        </w:rPr>
      </w:pPr>
      <w:r w:rsidRPr="00C239C8">
        <w:rPr>
          <w:rFonts w:asciiTheme="minorHAnsi" w:eastAsia="HGMaruGothicMPRO" w:hAnsiTheme="minorHAnsi" w:cstheme="minorHAnsi"/>
          <w:b/>
          <w:highlight w:val="yellow"/>
        </w:rPr>
        <w:t xml:space="preserve">        </w:t>
      </w:r>
      <w:proofErr w:type="spellStart"/>
      <w:r w:rsidRPr="00C239C8">
        <w:rPr>
          <w:rFonts w:asciiTheme="minorHAnsi" w:eastAsia="HGMaruGothicMPRO" w:hAnsiTheme="minorHAnsi" w:cstheme="minorHAnsi"/>
          <w:b/>
          <w:highlight w:val="yellow"/>
        </w:rPr>
        <w:t>hclustfun</w:t>
      </w:r>
      <w:proofErr w:type="spellEnd"/>
      <w:r w:rsidRPr="00C239C8">
        <w:rPr>
          <w:rFonts w:asciiTheme="minorHAnsi" w:eastAsia="HGMaruGothicMPRO" w:hAnsiTheme="minorHAnsi" w:cstheme="minorHAnsi"/>
          <w:b/>
          <w:highlight w:val="yellow"/>
        </w:rPr>
        <w:t xml:space="preserve">=function(x) </w:t>
      </w:r>
      <w:proofErr w:type="spellStart"/>
      <w:proofErr w:type="gramStart"/>
      <w:r w:rsidRPr="00C239C8">
        <w:rPr>
          <w:rFonts w:asciiTheme="minorHAnsi" w:eastAsia="HGMaruGothicMPRO" w:hAnsiTheme="minorHAnsi" w:cstheme="minorHAnsi"/>
          <w:b/>
          <w:highlight w:val="yellow"/>
        </w:rPr>
        <w:t>hclust</w:t>
      </w:r>
      <w:proofErr w:type="spellEnd"/>
      <w:r w:rsidRPr="00C239C8">
        <w:rPr>
          <w:rFonts w:asciiTheme="minorHAnsi" w:eastAsia="HGMaruGothicMPRO" w:hAnsiTheme="minorHAnsi" w:cstheme="minorHAnsi"/>
          <w:b/>
          <w:highlight w:val="yellow"/>
        </w:rPr>
        <w:t>(</w:t>
      </w:r>
      <w:proofErr w:type="spellStart"/>
      <w:proofErr w:type="gramEnd"/>
      <w:r w:rsidRPr="00C239C8">
        <w:rPr>
          <w:rFonts w:asciiTheme="minorHAnsi" w:eastAsia="HGMaruGothicMPRO" w:hAnsiTheme="minorHAnsi" w:cstheme="minorHAnsi"/>
          <w:b/>
          <w:highlight w:val="yellow"/>
        </w:rPr>
        <w:t>x,method</w:t>
      </w:r>
      <w:proofErr w:type="spellEnd"/>
      <w:r w:rsidRPr="00C239C8">
        <w:rPr>
          <w:rFonts w:asciiTheme="minorHAnsi" w:eastAsia="HGMaruGothicMPRO" w:hAnsiTheme="minorHAnsi" w:cstheme="minorHAnsi"/>
          <w:b/>
          <w:highlight w:val="yellow"/>
        </w:rPr>
        <w:t xml:space="preserve"> = average),</w:t>
      </w:r>
    </w:p>
    <w:p w14:paraId="12A2501A" w14:textId="2538E0FA" w:rsidR="008729DE" w:rsidRPr="00C239C8" w:rsidRDefault="008729DE" w:rsidP="00C16832">
      <w:pPr>
        <w:pStyle w:val="ListParagraph"/>
        <w:spacing w:line="0" w:lineRule="atLeast"/>
        <w:ind w:left="0"/>
        <w:rPr>
          <w:rFonts w:asciiTheme="minorHAnsi" w:eastAsia="HGMaruGothicMPRO" w:hAnsiTheme="minorHAnsi" w:cstheme="minorHAnsi"/>
          <w:b/>
          <w:highlight w:val="yellow"/>
        </w:rPr>
      </w:pPr>
      <w:r w:rsidRPr="00C239C8">
        <w:rPr>
          <w:rFonts w:asciiTheme="minorHAnsi" w:eastAsia="HGMaruGothicMPRO" w:hAnsiTheme="minorHAnsi" w:cstheme="minorHAnsi"/>
          <w:b/>
          <w:highlight w:val="yellow"/>
        </w:rPr>
        <w:t xml:space="preserve">        </w:t>
      </w:r>
      <w:r w:rsidR="00F35D0B" w:rsidRPr="00C239C8">
        <w:rPr>
          <w:rFonts w:asciiTheme="minorHAnsi" w:eastAsia="HGMaruGothicMPRO" w:hAnsiTheme="minorHAnsi" w:cstheme="minorHAnsi"/>
          <w:b/>
          <w:highlight w:val="yellow"/>
        </w:rPr>
        <w:t xml:space="preserve">dendrogram = "column", </w:t>
      </w:r>
      <w:proofErr w:type="spellStart"/>
      <w:r w:rsidRPr="00C239C8">
        <w:rPr>
          <w:rFonts w:asciiTheme="minorHAnsi" w:eastAsia="HGMaruGothicMPRO" w:hAnsiTheme="minorHAnsi" w:cstheme="minorHAnsi"/>
          <w:b/>
          <w:highlight w:val="yellow"/>
        </w:rPr>
        <w:t>Rowv</w:t>
      </w:r>
      <w:proofErr w:type="spellEnd"/>
      <w:r w:rsidRPr="00C239C8">
        <w:rPr>
          <w:rFonts w:asciiTheme="minorHAnsi" w:eastAsia="HGMaruGothicMPRO" w:hAnsiTheme="minorHAnsi" w:cstheme="minorHAnsi"/>
          <w:b/>
          <w:highlight w:val="yellow"/>
        </w:rPr>
        <w:t xml:space="preserve"> = F,</w:t>
      </w:r>
    </w:p>
    <w:p w14:paraId="0C2024BB" w14:textId="0368C092" w:rsidR="008729DE" w:rsidRPr="00C239C8" w:rsidRDefault="008729DE" w:rsidP="00C16832">
      <w:pPr>
        <w:pStyle w:val="ListParagraph"/>
        <w:spacing w:line="0" w:lineRule="atLeast"/>
        <w:ind w:left="0"/>
        <w:rPr>
          <w:rFonts w:asciiTheme="minorHAnsi" w:eastAsia="HGMaruGothicMPRO" w:hAnsiTheme="minorHAnsi" w:cstheme="minorHAnsi"/>
          <w:b/>
          <w:highlight w:val="yellow"/>
        </w:rPr>
      </w:pPr>
      <w:r w:rsidRPr="00C239C8">
        <w:rPr>
          <w:rFonts w:asciiTheme="minorHAnsi" w:eastAsia="HGMaruGothicMPRO" w:hAnsiTheme="minorHAnsi" w:cstheme="minorHAnsi"/>
          <w:b/>
          <w:highlight w:val="yellow"/>
        </w:rPr>
        <w:t xml:space="preserve">        col=</w:t>
      </w:r>
      <w:proofErr w:type="spellStart"/>
      <w:r w:rsidRPr="00C239C8">
        <w:rPr>
          <w:rFonts w:asciiTheme="minorHAnsi" w:eastAsia="HGMaruGothicMPRO" w:hAnsiTheme="minorHAnsi" w:cstheme="minorHAnsi"/>
          <w:b/>
          <w:highlight w:val="yellow"/>
        </w:rPr>
        <w:t>my_palette</w:t>
      </w:r>
      <w:proofErr w:type="spellEnd"/>
      <w:r w:rsidRPr="00C239C8">
        <w:rPr>
          <w:rFonts w:asciiTheme="minorHAnsi" w:eastAsia="HGMaruGothicMPRO" w:hAnsiTheme="minorHAnsi" w:cstheme="minorHAnsi"/>
          <w:b/>
          <w:highlight w:val="yellow"/>
        </w:rPr>
        <w:t>, breaks=</w:t>
      </w:r>
      <w:proofErr w:type="spellStart"/>
      <w:r w:rsidRPr="00C239C8">
        <w:rPr>
          <w:rFonts w:asciiTheme="minorHAnsi" w:eastAsia="HGMaruGothicMPRO" w:hAnsiTheme="minorHAnsi" w:cstheme="minorHAnsi"/>
          <w:b/>
          <w:highlight w:val="yellow"/>
        </w:rPr>
        <w:t>col_breaks</w:t>
      </w:r>
      <w:proofErr w:type="spellEnd"/>
      <w:r w:rsidRPr="00C239C8">
        <w:rPr>
          <w:rFonts w:asciiTheme="minorHAnsi" w:eastAsia="HGMaruGothicMPRO" w:hAnsiTheme="minorHAnsi" w:cstheme="minorHAnsi"/>
          <w:b/>
          <w:highlight w:val="yellow"/>
        </w:rPr>
        <w:t>,</w:t>
      </w:r>
    </w:p>
    <w:p w14:paraId="0EB358BD" w14:textId="1D52A47D" w:rsidR="00A15129" w:rsidRDefault="008729DE" w:rsidP="00C16832">
      <w:pPr>
        <w:pStyle w:val="ListParagraph"/>
        <w:spacing w:line="0" w:lineRule="atLeast"/>
        <w:ind w:left="0"/>
        <w:rPr>
          <w:rFonts w:ascii="Courier" w:eastAsia="HGMaruGothicMPRO" w:hAnsi="Courier"/>
          <w:highlight w:val="yellow"/>
        </w:rPr>
      </w:pPr>
      <w:r w:rsidRPr="00C239C8">
        <w:rPr>
          <w:rFonts w:asciiTheme="minorHAnsi" w:eastAsia="HGMaruGothicMPRO" w:hAnsiTheme="minorHAnsi" w:cstheme="minorHAnsi"/>
          <w:b/>
          <w:highlight w:val="yellow"/>
        </w:rPr>
        <w:t xml:space="preserve">        trace="none", density.info="none")</w:t>
      </w:r>
    </w:p>
    <w:p w14:paraId="067D037D" w14:textId="62338224" w:rsidR="00A15129" w:rsidRDefault="00A15129" w:rsidP="00C16832">
      <w:pPr>
        <w:widowControl/>
        <w:spacing w:line="0" w:lineRule="atLeast"/>
        <w:rPr>
          <w:rFonts w:ascii="Courier" w:eastAsia="HGMaruGothicMPRO" w:hAnsi="Courier"/>
          <w:highlight w:val="yellow"/>
        </w:rPr>
      </w:pPr>
    </w:p>
    <w:p w14:paraId="18355A8B" w14:textId="09A51892" w:rsidR="00942E88" w:rsidRDefault="00C60D72" w:rsidP="00C16832">
      <w:pPr>
        <w:pStyle w:val="NormalWeb"/>
        <w:spacing w:beforeAutospacing="0" w:afterAutospacing="0" w:line="0" w:lineRule="atLeast"/>
        <w:rPr>
          <w:rFonts w:cstheme="minorHAnsi"/>
          <w:b/>
          <w:bCs/>
        </w:rPr>
      </w:pPr>
      <w:r w:rsidRPr="00592B97">
        <w:rPr>
          <w:rFonts w:cstheme="minorHAnsi"/>
          <w:b/>
        </w:rPr>
        <w:t>REPRESENTATIVE RESULTS:</w:t>
      </w:r>
      <w:r w:rsidRPr="00592B97">
        <w:rPr>
          <w:rFonts w:cstheme="minorHAnsi"/>
          <w:b/>
          <w:bCs/>
        </w:rPr>
        <w:t xml:space="preserve"> </w:t>
      </w:r>
    </w:p>
    <w:p w14:paraId="1DAC58CE" w14:textId="77777777" w:rsidR="00F7351E" w:rsidRPr="00592B97" w:rsidRDefault="00F7351E" w:rsidP="00C16832">
      <w:pPr>
        <w:pStyle w:val="NormalWeb"/>
        <w:spacing w:beforeAutospacing="0" w:afterAutospacing="0" w:line="0" w:lineRule="atLeast"/>
        <w:rPr>
          <w:rFonts w:cstheme="minorHAnsi"/>
          <w:b/>
          <w:bCs/>
        </w:rPr>
      </w:pPr>
    </w:p>
    <w:p w14:paraId="3A24B1D7" w14:textId="7C8E6EE0" w:rsidR="00D80FEB" w:rsidRPr="00F7351E" w:rsidRDefault="00D80FEB" w:rsidP="00C16832">
      <w:pPr>
        <w:widowControl/>
        <w:spacing w:line="0" w:lineRule="atLeast"/>
        <w:rPr>
          <w:b/>
          <w:color w:val="auto"/>
          <w:szCs w:val="22"/>
        </w:rPr>
      </w:pPr>
      <w:r w:rsidRPr="00F7351E">
        <w:rPr>
          <w:b/>
          <w:color w:val="auto"/>
          <w:szCs w:val="22"/>
        </w:rPr>
        <w:t>Experimental procedure</w:t>
      </w:r>
    </w:p>
    <w:p w14:paraId="31BFFDF1" w14:textId="1EDCB511" w:rsidR="000B0559" w:rsidRPr="00F7351E" w:rsidRDefault="00C655A8" w:rsidP="00C16832">
      <w:pPr>
        <w:widowControl/>
        <w:spacing w:line="0" w:lineRule="atLeast"/>
        <w:rPr>
          <w:color w:val="auto"/>
          <w:szCs w:val="22"/>
        </w:rPr>
      </w:pPr>
      <w:r>
        <w:rPr>
          <w:color w:val="auto"/>
          <w:szCs w:val="22"/>
        </w:rPr>
        <w:t xml:space="preserve">The experimental workflow is depicted in </w:t>
      </w:r>
      <w:r w:rsidRPr="00C16832">
        <w:rPr>
          <w:b/>
          <w:color w:val="auto"/>
          <w:szCs w:val="22"/>
        </w:rPr>
        <w:t>Figure 1</w:t>
      </w:r>
      <w:r>
        <w:rPr>
          <w:color w:val="auto"/>
          <w:szCs w:val="22"/>
        </w:rPr>
        <w:t xml:space="preserve">. Based on </w:t>
      </w:r>
      <w:r w:rsidR="00A63006">
        <w:rPr>
          <w:color w:val="auto"/>
          <w:szCs w:val="22"/>
        </w:rPr>
        <w:t>the</w:t>
      </w:r>
      <w:r>
        <w:rPr>
          <w:color w:val="auto"/>
          <w:szCs w:val="22"/>
        </w:rPr>
        <w:t xml:space="preserve"> type of input material</w:t>
      </w:r>
      <w:r w:rsidR="00A63006">
        <w:rPr>
          <w:color w:val="auto"/>
          <w:szCs w:val="22"/>
        </w:rPr>
        <w:t>,</w:t>
      </w:r>
      <w:r>
        <w:rPr>
          <w:color w:val="auto"/>
          <w:szCs w:val="22"/>
        </w:rPr>
        <w:t xml:space="preserve"> different steps </w:t>
      </w:r>
      <w:r w:rsidR="00A63006">
        <w:rPr>
          <w:color w:val="auto"/>
          <w:szCs w:val="22"/>
        </w:rPr>
        <w:t xml:space="preserve">must </w:t>
      </w:r>
      <w:r>
        <w:rPr>
          <w:color w:val="auto"/>
          <w:szCs w:val="22"/>
        </w:rPr>
        <w:t>be followed.</w:t>
      </w:r>
      <w:r w:rsidR="00244120">
        <w:rPr>
          <w:color w:val="auto"/>
          <w:szCs w:val="22"/>
        </w:rPr>
        <w:t xml:space="preserve"> </w:t>
      </w:r>
      <w:r w:rsidR="007F79B0">
        <w:rPr>
          <w:color w:val="auto"/>
          <w:szCs w:val="22"/>
        </w:rPr>
        <w:t xml:space="preserve">In </w:t>
      </w:r>
      <w:r w:rsidR="007F79B0" w:rsidRPr="00C16832">
        <w:rPr>
          <w:b/>
          <w:color w:val="auto"/>
          <w:szCs w:val="22"/>
        </w:rPr>
        <w:t>Figure 2</w:t>
      </w:r>
      <w:r w:rsidR="007F79B0">
        <w:rPr>
          <w:color w:val="auto"/>
          <w:szCs w:val="22"/>
        </w:rPr>
        <w:t xml:space="preserve"> a</w:t>
      </w:r>
      <w:r w:rsidR="00244120">
        <w:rPr>
          <w:color w:val="auto"/>
          <w:szCs w:val="22"/>
        </w:rPr>
        <w:t xml:space="preserve"> flow</w:t>
      </w:r>
      <w:r w:rsidR="00A63006">
        <w:rPr>
          <w:color w:val="auto"/>
          <w:szCs w:val="22"/>
        </w:rPr>
        <w:t xml:space="preserve"> </w:t>
      </w:r>
      <w:r w:rsidR="00244120">
        <w:rPr>
          <w:color w:val="auto"/>
          <w:szCs w:val="22"/>
        </w:rPr>
        <w:t>cytometric output of a cord blood cell sort</w:t>
      </w:r>
      <w:r w:rsidR="007F79B0">
        <w:rPr>
          <w:color w:val="auto"/>
          <w:szCs w:val="22"/>
        </w:rPr>
        <w:t xml:space="preserve"> is depicted</w:t>
      </w:r>
      <w:r w:rsidR="00244120">
        <w:rPr>
          <w:color w:val="auto"/>
          <w:szCs w:val="22"/>
        </w:rPr>
        <w:t xml:space="preserve">. First, all monocytic cells are selected by loosely drawing a gate around this population. </w:t>
      </w:r>
      <w:r w:rsidR="007F79B0">
        <w:rPr>
          <w:color w:val="auto"/>
          <w:szCs w:val="22"/>
        </w:rPr>
        <w:t xml:space="preserve">Then, singlets are isolated by </w:t>
      </w:r>
      <w:r w:rsidR="001F75F0">
        <w:rPr>
          <w:color w:val="auto"/>
          <w:szCs w:val="22"/>
        </w:rPr>
        <w:t>selecting</w:t>
      </w:r>
      <w:r w:rsidR="007F79B0">
        <w:rPr>
          <w:color w:val="auto"/>
          <w:szCs w:val="22"/>
        </w:rPr>
        <w:t xml:space="preserve"> for cells with a linear FSC-H/FSC-A ratio, as </w:t>
      </w:r>
      <w:r w:rsidR="00A63006">
        <w:rPr>
          <w:color w:val="auto"/>
          <w:szCs w:val="22"/>
        </w:rPr>
        <w:t xml:space="preserve">a </w:t>
      </w:r>
      <w:r w:rsidR="007F79B0">
        <w:rPr>
          <w:color w:val="auto"/>
          <w:szCs w:val="22"/>
        </w:rPr>
        <w:t>lower FSC-H/FSC-A ratio include</w:t>
      </w:r>
      <w:r w:rsidR="00A63006">
        <w:rPr>
          <w:color w:val="auto"/>
          <w:szCs w:val="22"/>
        </w:rPr>
        <w:t>s</w:t>
      </w:r>
      <w:r w:rsidR="007F79B0">
        <w:rPr>
          <w:color w:val="auto"/>
          <w:szCs w:val="22"/>
        </w:rPr>
        <w:t xml:space="preserve"> doublets or cell clumps. Th</w:t>
      </w:r>
      <w:r w:rsidR="00244120">
        <w:rPr>
          <w:color w:val="auto"/>
          <w:szCs w:val="22"/>
        </w:rPr>
        <w:t>e unstained control sample is used to define cell sorting gates</w:t>
      </w:r>
      <w:r w:rsidR="007F79B0">
        <w:rPr>
          <w:color w:val="auto"/>
          <w:szCs w:val="22"/>
        </w:rPr>
        <w:t xml:space="preserve"> </w:t>
      </w:r>
      <w:r w:rsidR="0062481A" w:rsidRPr="00F7351E">
        <w:rPr>
          <w:color w:val="auto"/>
          <w:szCs w:val="22"/>
        </w:rPr>
        <w:t xml:space="preserve">for </w:t>
      </w:r>
      <w:r w:rsidR="00A63006">
        <w:rPr>
          <w:color w:val="auto"/>
          <w:szCs w:val="22"/>
        </w:rPr>
        <w:t>l</w:t>
      </w:r>
      <w:r w:rsidR="0062481A" w:rsidRPr="00F7351E">
        <w:rPr>
          <w:color w:val="auto"/>
          <w:szCs w:val="22"/>
        </w:rPr>
        <w:t>ineage</w:t>
      </w:r>
      <w:r w:rsidR="0062481A" w:rsidRPr="00F7351E">
        <w:rPr>
          <w:color w:val="auto"/>
          <w:szCs w:val="22"/>
          <w:vertAlign w:val="superscript"/>
        </w:rPr>
        <w:t>-</w:t>
      </w:r>
      <w:r w:rsidR="0062481A" w:rsidRPr="00F7351E">
        <w:rPr>
          <w:color w:val="auto"/>
          <w:szCs w:val="22"/>
        </w:rPr>
        <w:t>, CD34</w:t>
      </w:r>
      <w:r w:rsidR="0062481A" w:rsidRPr="00F7351E">
        <w:rPr>
          <w:color w:val="auto"/>
          <w:szCs w:val="22"/>
          <w:vertAlign w:val="superscript"/>
        </w:rPr>
        <w:t>+</w:t>
      </w:r>
      <w:r w:rsidR="0062481A" w:rsidRPr="00F7351E">
        <w:rPr>
          <w:color w:val="auto"/>
          <w:szCs w:val="22"/>
        </w:rPr>
        <w:t>, CD38</w:t>
      </w:r>
      <w:r w:rsidR="0062481A" w:rsidRPr="00F7351E">
        <w:rPr>
          <w:color w:val="auto"/>
          <w:szCs w:val="22"/>
          <w:vertAlign w:val="superscript"/>
        </w:rPr>
        <w:t>-</w:t>
      </w:r>
      <w:r w:rsidR="0062481A" w:rsidRPr="00F7351E">
        <w:rPr>
          <w:color w:val="auto"/>
          <w:szCs w:val="22"/>
        </w:rPr>
        <w:t>, CD45RA</w:t>
      </w:r>
      <w:r w:rsidR="0062481A" w:rsidRPr="00F7351E">
        <w:rPr>
          <w:color w:val="auto"/>
          <w:szCs w:val="22"/>
          <w:vertAlign w:val="superscript"/>
        </w:rPr>
        <w:t>-</w:t>
      </w:r>
      <w:r w:rsidR="0062481A" w:rsidRPr="00F7351E">
        <w:rPr>
          <w:color w:val="auto"/>
          <w:szCs w:val="22"/>
        </w:rPr>
        <w:t xml:space="preserve">. </w:t>
      </w:r>
      <w:r w:rsidR="007F79B0">
        <w:rPr>
          <w:color w:val="auto"/>
          <w:szCs w:val="22"/>
        </w:rPr>
        <w:t>Additionally,</w:t>
      </w:r>
      <w:r w:rsidR="0062481A" w:rsidRPr="00F7351E">
        <w:rPr>
          <w:color w:val="auto"/>
          <w:szCs w:val="22"/>
        </w:rPr>
        <w:t xml:space="preserve"> CD90 and CD49f</w:t>
      </w:r>
      <w:r w:rsidR="007F79B0">
        <w:rPr>
          <w:color w:val="auto"/>
          <w:szCs w:val="22"/>
        </w:rPr>
        <w:t xml:space="preserve"> can be used</w:t>
      </w:r>
      <w:r w:rsidR="0062481A" w:rsidRPr="00F7351E">
        <w:rPr>
          <w:color w:val="auto"/>
          <w:szCs w:val="22"/>
        </w:rPr>
        <w:t xml:space="preserve"> to </w:t>
      </w:r>
      <w:r w:rsidR="00A7719D" w:rsidRPr="00F7351E">
        <w:rPr>
          <w:color w:val="auto"/>
          <w:szCs w:val="22"/>
        </w:rPr>
        <w:t>distinguish</w:t>
      </w:r>
      <w:r w:rsidR="0062481A" w:rsidRPr="00F7351E">
        <w:rPr>
          <w:color w:val="auto"/>
          <w:szCs w:val="22"/>
        </w:rPr>
        <w:t xml:space="preserve"> between progenitor cells or self-renewing stem cells</w:t>
      </w:r>
      <w:r w:rsidR="00A7719D" w:rsidRPr="00F7351E">
        <w:rPr>
          <w:color w:val="auto"/>
          <w:szCs w:val="22"/>
        </w:rPr>
        <w:fldChar w:fldCharType="begin" w:fldLock="1"/>
      </w:r>
      <w:r w:rsidR="00A54299" w:rsidRPr="00F7351E">
        <w:rPr>
          <w:color w:val="auto"/>
          <w:szCs w:val="22"/>
        </w:rPr>
        <w:instrText>ADDIN CSL_CITATION {"citationItems":[{"id":"ITEM-1","itemData":{"DOI":"10.1126/science.1201219","ISBN":"1095-9203 (Electronic)$\\$r0036-8075 (Linking)","ISSN":"00368075","PMID":"21737740","abstract":"Lifelong blood cell production is dependent on rare hematopoietic stem cells (HSCs) to perpetually replenish mature cells via a series of lineage-restricted intermediates. Investigating the molecular state of HSCs is contingent on the ability to purify HSCs away from transiently engrafting cells. We demonstrated that human HSCs remain infrequent, using current purification strategies based on Thy1 (CD90) expression. By tracking the expression of several adhesion molecules in HSC-enriched subsets, we revealed CD49f as a specific HSC marker. Single CD49f+ cells were highly efficient in generating long-term multilineage grafts, and the loss of CD49f expression identified transiently engrafting multipotent progenitors (MPPs). The demarcation of human HSCs and MPPs will enable the investigation of the molecular determinants of HSCs, with a goal of developing stem cell–based therapeutics.","author":[{"dropping-particle":"","family":"Notta","given":"Faiyaz","non-dropping-particle":"","parse-names":false,"suffix":""},{"dropping-particle":"","family":"Doulatov","given":"Sergei","non-dropping-particle":"","parse-names":false,"suffix":""},{"dropping-particle":"","family":"Laurenti","given":"Elisa","non-dropping-particle":"","parse-names":false,"suffix":""},{"dropping-particle":"","family":"Poeppl","given":"Armando","non-dropping-particle":"","parse-names":false,"suffix":""},{"dropping-particle":"","family":"Jurisica","given":"Igor","non-dropping-particle":"","parse-names":false,"suffix":""},{"dropping-particle":"","family":"Dick","given":"John E.","non-dropping-particle":"","parse-names":false,"suffix":""}],"container-title":"Science","id":"ITEM-1","issued":{"date-parts":[["2011"]]},"title":"Isolation of single human hematopoietic stem cells capable of long-term multilineage engraftment","type":"article-journal"},"uris":["http://www.mendeley.com/documents/?uuid=e7883a97-da3d-4273-b6dc-9108c5a479a0"]}],"mendeley":{"formattedCitation":"&lt;sup&gt;17&lt;/sup&gt;","plainTextFormattedCitation":"17","previouslyFormattedCitation":"&lt;sup&gt;17&lt;/sup&gt;"},"properties":{"noteIndex":0},"schema":"https://github.com/citation-style-language/schema/raw/master/csl-citation.json"}</w:instrText>
      </w:r>
      <w:r w:rsidR="00A7719D" w:rsidRPr="00F7351E">
        <w:rPr>
          <w:color w:val="auto"/>
          <w:szCs w:val="22"/>
        </w:rPr>
        <w:fldChar w:fldCharType="separate"/>
      </w:r>
      <w:r w:rsidR="00A7719D" w:rsidRPr="00F7351E">
        <w:rPr>
          <w:noProof/>
          <w:color w:val="auto"/>
          <w:szCs w:val="22"/>
          <w:vertAlign w:val="superscript"/>
        </w:rPr>
        <w:t>17</w:t>
      </w:r>
      <w:r w:rsidR="00A7719D" w:rsidRPr="00F7351E">
        <w:rPr>
          <w:color w:val="auto"/>
          <w:szCs w:val="22"/>
        </w:rPr>
        <w:fldChar w:fldCharType="end"/>
      </w:r>
      <w:r w:rsidR="00A7719D" w:rsidRPr="00F7351E">
        <w:rPr>
          <w:color w:val="auto"/>
          <w:szCs w:val="22"/>
        </w:rPr>
        <w:t xml:space="preserve"> (</w:t>
      </w:r>
      <w:r w:rsidR="00A7719D" w:rsidRPr="00C16832">
        <w:rPr>
          <w:b/>
          <w:color w:val="auto"/>
          <w:szCs w:val="22"/>
        </w:rPr>
        <w:t xml:space="preserve">Figure </w:t>
      </w:r>
      <w:r w:rsidR="000B0559" w:rsidRPr="00C16832">
        <w:rPr>
          <w:b/>
          <w:color w:val="auto"/>
          <w:szCs w:val="22"/>
        </w:rPr>
        <w:t>2</w:t>
      </w:r>
      <w:r w:rsidR="00A7719D" w:rsidRPr="00F7351E">
        <w:rPr>
          <w:color w:val="auto"/>
          <w:szCs w:val="22"/>
        </w:rPr>
        <w:t>).</w:t>
      </w:r>
      <w:r w:rsidR="007F79B0">
        <w:rPr>
          <w:color w:val="auto"/>
          <w:szCs w:val="22"/>
        </w:rPr>
        <w:t xml:space="preserve"> Index sorting </w:t>
      </w:r>
      <w:r w:rsidR="007F79B0">
        <w:rPr>
          <w:color w:val="auto"/>
          <w:szCs w:val="22"/>
        </w:rPr>
        <w:lastRenderedPageBreak/>
        <w:t>enables the re-tracing of individual cells, and the sorted cells are depicted as brown dots.</w:t>
      </w:r>
      <w:r w:rsidR="00FF0DC5" w:rsidRPr="00F7351E">
        <w:rPr>
          <w:color w:val="auto"/>
          <w:szCs w:val="22"/>
        </w:rPr>
        <w:t xml:space="preserve"> </w:t>
      </w:r>
      <w:r w:rsidR="00A7719D" w:rsidRPr="00F7351E">
        <w:rPr>
          <w:color w:val="auto"/>
          <w:szCs w:val="22"/>
        </w:rPr>
        <w:t>During cell culture,</w:t>
      </w:r>
      <w:r w:rsidR="007F79B0">
        <w:rPr>
          <w:color w:val="auto"/>
          <w:szCs w:val="22"/>
        </w:rPr>
        <w:t xml:space="preserve"> individual</w:t>
      </w:r>
      <w:r w:rsidR="00A7719D" w:rsidRPr="00F7351E">
        <w:rPr>
          <w:color w:val="auto"/>
          <w:szCs w:val="22"/>
        </w:rPr>
        <w:t xml:space="preserve"> clones</w:t>
      </w:r>
      <w:r w:rsidR="007F79B0">
        <w:rPr>
          <w:color w:val="auto"/>
          <w:szCs w:val="22"/>
        </w:rPr>
        <w:t xml:space="preserve"> can</w:t>
      </w:r>
      <w:r w:rsidR="00A7719D" w:rsidRPr="00F7351E">
        <w:rPr>
          <w:color w:val="auto"/>
          <w:szCs w:val="22"/>
        </w:rPr>
        <w:t xml:space="preserve"> expand </w:t>
      </w:r>
      <w:r w:rsidR="00D80FEB" w:rsidRPr="00F7351E">
        <w:rPr>
          <w:color w:val="auto"/>
          <w:szCs w:val="22"/>
        </w:rPr>
        <w:t>at</w:t>
      </w:r>
      <w:r w:rsidR="007F79B0">
        <w:rPr>
          <w:color w:val="auto"/>
          <w:szCs w:val="22"/>
        </w:rPr>
        <w:t xml:space="preserve"> a</w:t>
      </w:r>
      <w:r w:rsidR="00D80FEB" w:rsidRPr="00F7351E">
        <w:rPr>
          <w:color w:val="auto"/>
          <w:szCs w:val="22"/>
        </w:rPr>
        <w:t xml:space="preserve"> different pace</w:t>
      </w:r>
      <w:r w:rsidR="00A7719D" w:rsidRPr="00F7351E">
        <w:rPr>
          <w:color w:val="auto"/>
          <w:szCs w:val="22"/>
        </w:rPr>
        <w:t xml:space="preserve">, with some clones expanding within 3 weeks, while other clones </w:t>
      </w:r>
      <w:r w:rsidR="007F79B0">
        <w:rPr>
          <w:color w:val="auto"/>
          <w:szCs w:val="22"/>
        </w:rPr>
        <w:t xml:space="preserve">are only fully expanded </w:t>
      </w:r>
      <w:r w:rsidR="00A7719D" w:rsidRPr="00F7351E">
        <w:rPr>
          <w:color w:val="auto"/>
          <w:szCs w:val="22"/>
        </w:rPr>
        <w:t xml:space="preserve">until </w:t>
      </w:r>
      <w:r w:rsidR="00A7719D" w:rsidRPr="00530BAC">
        <w:rPr>
          <w:color w:val="auto"/>
          <w:szCs w:val="22"/>
        </w:rPr>
        <w:t>the</w:t>
      </w:r>
      <w:r w:rsidR="00A7719D" w:rsidRPr="00F7351E">
        <w:rPr>
          <w:color w:val="auto"/>
          <w:szCs w:val="22"/>
        </w:rPr>
        <w:t xml:space="preserve"> </w:t>
      </w:r>
      <w:r w:rsidR="00A63006">
        <w:rPr>
          <w:color w:val="auto"/>
          <w:szCs w:val="22"/>
        </w:rPr>
        <w:t>fifth</w:t>
      </w:r>
      <w:r w:rsidR="00A7719D" w:rsidRPr="00F7351E">
        <w:rPr>
          <w:color w:val="auto"/>
          <w:szCs w:val="22"/>
        </w:rPr>
        <w:t xml:space="preserve"> week of culture</w:t>
      </w:r>
      <w:r w:rsidR="00D80FEB" w:rsidRPr="00F7351E">
        <w:rPr>
          <w:color w:val="auto"/>
          <w:szCs w:val="22"/>
        </w:rPr>
        <w:t xml:space="preserve">. See </w:t>
      </w:r>
      <w:r w:rsidR="00D80FEB" w:rsidRPr="00C16832">
        <w:rPr>
          <w:b/>
          <w:color w:val="auto"/>
          <w:szCs w:val="22"/>
        </w:rPr>
        <w:t>Figure 3</w:t>
      </w:r>
      <w:proofErr w:type="gramStart"/>
      <w:r w:rsidR="007F79B0" w:rsidRPr="00C16832">
        <w:rPr>
          <w:b/>
          <w:color w:val="auto"/>
          <w:szCs w:val="22"/>
        </w:rPr>
        <w:t>A</w:t>
      </w:r>
      <w:r w:rsidR="008B5AA6" w:rsidRPr="00C16832">
        <w:rPr>
          <w:b/>
          <w:color w:val="auto"/>
          <w:szCs w:val="22"/>
        </w:rPr>
        <w:t>,</w:t>
      </w:r>
      <w:r w:rsidR="007F79B0" w:rsidRPr="00C16832">
        <w:rPr>
          <w:b/>
          <w:color w:val="auto"/>
          <w:szCs w:val="22"/>
        </w:rPr>
        <w:t>B</w:t>
      </w:r>
      <w:proofErr w:type="gramEnd"/>
      <w:r w:rsidR="00D80FEB" w:rsidRPr="00F7351E">
        <w:rPr>
          <w:color w:val="auto"/>
          <w:szCs w:val="22"/>
        </w:rPr>
        <w:t xml:space="preserve"> for representative colony outgrowth</w:t>
      </w:r>
      <w:r w:rsidR="00A7719D" w:rsidRPr="00F7351E">
        <w:rPr>
          <w:color w:val="auto"/>
          <w:szCs w:val="22"/>
        </w:rPr>
        <w:t>.</w:t>
      </w:r>
      <w:r w:rsidR="007F79B0">
        <w:rPr>
          <w:color w:val="auto"/>
          <w:szCs w:val="22"/>
        </w:rPr>
        <w:t xml:space="preserve"> </w:t>
      </w:r>
      <w:r w:rsidR="00B40239">
        <w:rPr>
          <w:color w:val="auto"/>
          <w:szCs w:val="22"/>
        </w:rPr>
        <w:t>A</w:t>
      </w:r>
      <w:r w:rsidR="007F79B0">
        <w:rPr>
          <w:color w:val="auto"/>
          <w:szCs w:val="22"/>
        </w:rPr>
        <w:t xml:space="preserve"> representative picture is shown of a nearly confluent MSC bulk culture at 1</w:t>
      </w:r>
      <w:r w:rsidR="0051341E">
        <w:rPr>
          <w:color w:val="auto"/>
          <w:szCs w:val="22"/>
        </w:rPr>
        <w:t>1</w:t>
      </w:r>
      <w:r w:rsidR="007F79B0">
        <w:rPr>
          <w:color w:val="auto"/>
          <w:szCs w:val="22"/>
        </w:rPr>
        <w:t xml:space="preserve"> </w:t>
      </w:r>
      <w:r w:rsidR="0051341E">
        <w:rPr>
          <w:color w:val="auto"/>
          <w:szCs w:val="22"/>
        </w:rPr>
        <w:t>days</w:t>
      </w:r>
      <w:r w:rsidR="007F79B0">
        <w:rPr>
          <w:color w:val="auto"/>
          <w:szCs w:val="22"/>
        </w:rPr>
        <w:t xml:space="preserve"> </w:t>
      </w:r>
      <w:r w:rsidR="0051341E">
        <w:rPr>
          <w:color w:val="auto"/>
          <w:szCs w:val="22"/>
        </w:rPr>
        <w:t>after</w:t>
      </w:r>
      <w:r w:rsidR="007F79B0">
        <w:rPr>
          <w:color w:val="auto"/>
          <w:szCs w:val="22"/>
        </w:rPr>
        <w:t xml:space="preserve"> plating</w:t>
      </w:r>
      <w:r w:rsidR="001F75F0">
        <w:rPr>
          <w:color w:val="auto"/>
          <w:szCs w:val="22"/>
        </w:rPr>
        <w:t xml:space="preserve"> </w:t>
      </w:r>
      <w:r w:rsidR="00B40239">
        <w:rPr>
          <w:color w:val="auto"/>
          <w:szCs w:val="22"/>
        </w:rPr>
        <w:t>(</w:t>
      </w:r>
      <w:r w:rsidR="00B40239" w:rsidRPr="00C16832">
        <w:rPr>
          <w:b/>
          <w:color w:val="auto"/>
          <w:szCs w:val="22"/>
        </w:rPr>
        <w:t>Figure 3C</w:t>
      </w:r>
      <w:r w:rsidR="00B40239">
        <w:rPr>
          <w:color w:val="auto"/>
          <w:szCs w:val="22"/>
        </w:rPr>
        <w:t>)</w:t>
      </w:r>
      <w:r w:rsidR="007F79B0">
        <w:rPr>
          <w:color w:val="auto"/>
          <w:szCs w:val="22"/>
        </w:rPr>
        <w:t xml:space="preserve">. </w:t>
      </w:r>
    </w:p>
    <w:p w14:paraId="147E3365" w14:textId="77777777" w:rsidR="00D0123F" w:rsidRPr="00F7351E" w:rsidRDefault="00D0123F" w:rsidP="00C16832">
      <w:pPr>
        <w:widowControl/>
        <w:spacing w:line="0" w:lineRule="atLeast"/>
        <w:rPr>
          <w:color w:val="auto"/>
          <w:szCs w:val="22"/>
        </w:rPr>
      </w:pPr>
    </w:p>
    <w:p w14:paraId="2E5ABA2E" w14:textId="133DC29D" w:rsidR="000B0559" w:rsidRPr="00F7351E" w:rsidRDefault="000B0559" w:rsidP="00C16832">
      <w:pPr>
        <w:widowControl/>
        <w:spacing w:line="0" w:lineRule="atLeast"/>
        <w:rPr>
          <w:b/>
          <w:color w:val="auto"/>
          <w:szCs w:val="22"/>
        </w:rPr>
      </w:pPr>
      <w:r w:rsidRPr="00F7351E">
        <w:rPr>
          <w:b/>
          <w:color w:val="auto"/>
          <w:szCs w:val="22"/>
        </w:rPr>
        <w:t xml:space="preserve">Checking quality after </w:t>
      </w:r>
      <w:r w:rsidR="00A54299" w:rsidRPr="00F7351E">
        <w:rPr>
          <w:b/>
          <w:color w:val="auto"/>
          <w:szCs w:val="22"/>
        </w:rPr>
        <w:t>sequencing and mutation analysis</w:t>
      </w:r>
    </w:p>
    <w:p w14:paraId="52797425" w14:textId="5AFEDB2B" w:rsidR="000F403E" w:rsidRDefault="00A63006" w:rsidP="00C16832">
      <w:pPr>
        <w:widowControl/>
        <w:spacing w:line="0" w:lineRule="atLeast"/>
        <w:rPr>
          <w:color w:val="auto"/>
          <w:szCs w:val="22"/>
        </w:rPr>
      </w:pPr>
      <w:r>
        <w:rPr>
          <w:color w:val="auto"/>
          <w:szCs w:val="22"/>
        </w:rPr>
        <w:t>Shown is an e</w:t>
      </w:r>
      <w:r w:rsidR="00A54299" w:rsidRPr="00F7351E">
        <w:rPr>
          <w:color w:val="auto"/>
          <w:szCs w:val="22"/>
        </w:rPr>
        <w:t xml:space="preserve">xample output of </w:t>
      </w:r>
      <w:r>
        <w:rPr>
          <w:color w:val="auto"/>
          <w:szCs w:val="22"/>
        </w:rPr>
        <w:t>the</w:t>
      </w:r>
      <w:r w:rsidR="00A54299" w:rsidRPr="00F7351E">
        <w:rPr>
          <w:color w:val="auto"/>
          <w:szCs w:val="22"/>
        </w:rPr>
        <w:t xml:space="preserve"> copy number analysis generated by Control-FreeC</w:t>
      </w:r>
      <w:r w:rsidR="00A54299" w:rsidRPr="00F7351E">
        <w:rPr>
          <w:color w:val="auto"/>
          <w:szCs w:val="22"/>
        </w:rPr>
        <w:fldChar w:fldCharType="begin" w:fldLock="1"/>
      </w:r>
      <w:r w:rsidR="000F403E" w:rsidRPr="00F7351E">
        <w:rPr>
          <w:color w:val="auto"/>
          <w:szCs w:val="22"/>
        </w:rPr>
        <w:instrText>ADDIN CSL_CITATION {"citationItems":[{"id":"ITEM-1","itemData":{"DOI":"10.1093/bioinformatics/btr670","ISBN":"1367-4811 (Electronic)\\r1367-4803 (Linking)","ISSN":"13674803","PMID":"22155870","abstract":"Summary: More and more cancer studies use next-generation sequencing (NGS) data to detect various types of genomic variation. However, even when researchers have such data at hand, single-nucleotide polymorphism arrays have been considered necessary to assess copy number alterations and especially loss of heterozygosity (LOH). Here, we present the tool Control-FREEC that enables automatic calculation of copy number and allelic content profiles from NGS data, and consequently predicts regions of genomic alteration such as gains, losses and LOH. Taking as input aligned reads, Control-FREEC constructs copy number and B-allele frequency profiles. The profiles are then normalized, segmented and analyzed in order to assign genotype status (copy number and allelic content) to each genomic region. When a matched normal sample is provided, Control-FREEC discriminates somatic from germline events. Control-FREEC is able to analyze overdiploid tumor samples and samples contaminated by normal cells. Low mappability regions can be excluded from the analysis using provided mappability tracks.\\nAvailability: C++ source code is available at: http://bioinfo.curie.fr/projects/freec/\\nContact: freec@curie.fr\\nSupplementary information: Supplementary data are available at Bioinformatics online.","author":[{"dropping-particle":"","family":"Boeva","given":"Valentina","non-dropping-particle":"","parse-names":false,"suffix":""},{"dropping-particle":"","family":"Popova","given":"Tatiana","non-dropping-particle":"","parse-names":false,"suffix":""},{"dropping-particle":"","family":"Bleakley","given":"Kevin","non-dropping-particle":"","parse-names":false,"suffix":""},{"dropping-particle":"","family":"Chiche","given":"Pierre","non-dropping-particle":"","parse-names":false,"suffix":""},{"dropping-particle":"","family":"Cappo","given":"Julie","non-dropping-particle":"","parse-names":false,"suffix":""},{"dropping-particle":"","family":"Schleiermacher","given":"Gudrun","non-dropping-particle":"","parse-names":false,"suffix":""},{"dropping-particle":"","family":"Janoueix-Lerosey","given":"Isabelle","non-dropping-particle":"","parse-names":false,"suffix":""},{"dropping-particle":"","family":"Delattre","given":"Olivier","non-dropping-particle":"","parse-names":false,"suffix":""},{"dropping-particle":"","family":"Barillot","given":"Emmanuel","non-dropping-particle":"","parse-names":false,"suffix":""}],"container-title":"Bioinformatics","id":"ITEM-1","issue":"3","issued":{"date-parts":[["2012"]]},"page":"423-425","title":"Control-FREEC: A tool for assessing copy number and allelic content using next-generation sequencing data","type":"article-journal","volume":"28"},"uris":["http://www.mendeley.com/documents/?uuid=1be2d628-fdbb-4e66-9ed5-fc154ef9e4d7"]}],"mendeley":{"formattedCitation":"&lt;sup&gt;14&lt;/sup&gt;","plainTextFormattedCitation":"14","previouslyFormattedCitation":"&lt;sup&gt;14&lt;/sup&gt;"},"properties":{"noteIndex":0},"schema":"https://github.com/citation-style-language/schema/raw/master/csl-citation.json"}</w:instrText>
      </w:r>
      <w:r w:rsidR="00A54299" w:rsidRPr="00F7351E">
        <w:rPr>
          <w:color w:val="auto"/>
          <w:szCs w:val="22"/>
        </w:rPr>
        <w:fldChar w:fldCharType="separate"/>
      </w:r>
      <w:r w:rsidR="00A54299" w:rsidRPr="00F7351E">
        <w:rPr>
          <w:noProof/>
          <w:color w:val="auto"/>
          <w:szCs w:val="22"/>
          <w:vertAlign w:val="superscript"/>
        </w:rPr>
        <w:t>14</w:t>
      </w:r>
      <w:r w:rsidR="00A54299" w:rsidRPr="00F7351E">
        <w:rPr>
          <w:color w:val="auto"/>
          <w:szCs w:val="22"/>
        </w:rPr>
        <w:fldChar w:fldCharType="end"/>
      </w:r>
      <w:r w:rsidR="004E1D51">
        <w:rPr>
          <w:color w:val="auto"/>
          <w:szCs w:val="22"/>
        </w:rPr>
        <w:t xml:space="preserve"> to check for copy</w:t>
      </w:r>
      <w:r>
        <w:rPr>
          <w:color w:val="auto"/>
          <w:szCs w:val="22"/>
        </w:rPr>
        <w:t xml:space="preserve"> </w:t>
      </w:r>
      <w:r w:rsidR="004E1D51">
        <w:rPr>
          <w:color w:val="auto"/>
          <w:szCs w:val="22"/>
        </w:rPr>
        <w:t>number alterations</w:t>
      </w:r>
      <w:r w:rsidR="005C5C2C">
        <w:rPr>
          <w:color w:val="auto"/>
          <w:szCs w:val="22"/>
        </w:rPr>
        <w:t xml:space="preserve"> </w:t>
      </w:r>
      <w:r w:rsidR="004E1D51">
        <w:rPr>
          <w:color w:val="auto"/>
          <w:szCs w:val="22"/>
        </w:rPr>
        <w:t>(</w:t>
      </w:r>
      <w:r w:rsidR="004E1D51" w:rsidRPr="00C16832">
        <w:rPr>
          <w:b/>
          <w:color w:val="auto"/>
          <w:szCs w:val="22"/>
        </w:rPr>
        <w:t>Figure 4</w:t>
      </w:r>
      <w:r w:rsidR="004E1D51">
        <w:rPr>
          <w:color w:val="auto"/>
          <w:szCs w:val="22"/>
        </w:rPr>
        <w:t>)</w:t>
      </w:r>
      <w:r w:rsidR="00A54299" w:rsidRPr="00F7351E">
        <w:rPr>
          <w:color w:val="auto"/>
          <w:szCs w:val="22"/>
        </w:rPr>
        <w:t>.</w:t>
      </w:r>
      <w:r w:rsidR="004E1D51">
        <w:rPr>
          <w:color w:val="auto"/>
          <w:szCs w:val="22"/>
        </w:rPr>
        <w:t xml:space="preserve"> </w:t>
      </w:r>
      <w:r w:rsidR="000B0559" w:rsidRPr="00F7351E">
        <w:rPr>
          <w:color w:val="auto"/>
          <w:szCs w:val="22"/>
        </w:rPr>
        <w:t>Karyotypic information</w:t>
      </w:r>
      <w:r w:rsidR="00A54299" w:rsidRPr="00F7351E">
        <w:rPr>
          <w:color w:val="auto"/>
          <w:szCs w:val="22"/>
        </w:rPr>
        <w:t xml:space="preserve"> can </w:t>
      </w:r>
      <w:r w:rsidR="000B0559" w:rsidRPr="00F7351E">
        <w:rPr>
          <w:color w:val="auto"/>
          <w:szCs w:val="22"/>
        </w:rPr>
        <w:t>indicate which chromosomes to exclude during a SNVFI run (</w:t>
      </w:r>
      <w:r w:rsidR="008B5AA6">
        <w:rPr>
          <w:color w:val="auto"/>
          <w:szCs w:val="22"/>
        </w:rPr>
        <w:t>s</w:t>
      </w:r>
      <w:r w:rsidR="000B0559" w:rsidRPr="00F7351E">
        <w:rPr>
          <w:color w:val="auto"/>
          <w:szCs w:val="22"/>
        </w:rPr>
        <w:t>tep 7.6)</w:t>
      </w:r>
      <w:r w:rsidR="00A54299" w:rsidRPr="00F7351E">
        <w:rPr>
          <w:color w:val="auto"/>
          <w:szCs w:val="22"/>
        </w:rPr>
        <w:t>.</w:t>
      </w:r>
      <w:r w:rsidR="000B0559" w:rsidRPr="00F7351E">
        <w:rPr>
          <w:color w:val="auto"/>
          <w:szCs w:val="22"/>
        </w:rPr>
        <w:t xml:space="preserve"> </w:t>
      </w:r>
      <w:r w:rsidR="001F75F0">
        <w:rPr>
          <w:color w:val="auto"/>
          <w:szCs w:val="22"/>
        </w:rPr>
        <w:t>T</w:t>
      </w:r>
      <w:r w:rsidR="000B0559" w:rsidRPr="00F7351E">
        <w:rPr>
          <w:color w:val="auto"/>
          <w:szCs w:val="22"/>
        </w:rPr>
        <w:t>he VAF plot</w:t>
      </w:r>
      <w:r w:rsidR="001F75F0">
        <w:rPr>
          <w:color w:val="auto"/>
          <w:szCs w:val="22"/>
        </w:rPr>
        <w:t xml:space="preserve"> created by SNVFI</w:t>
      </w:r>
      <w:r w:rsidR="000B0559" w:rsidRPr="00F7351E">
        <w:rPr>
          <w:color w:val="auto"/>
          <w:szCs w:val="22"/>
        </w:rPr>
        <w:t xml:space="preserve"> (</w:t>
      </w:r>
      <w:r w:rsidR="000B0559" w:rsidRPr="00C16832">
        <w:rPr>
          <w:b/>
          <w:color w:val="auto"/>
          <w:szCs w:val="22"/>
        </w:rPr>
        <w:t>Figure 5</w:t>
      </w:r>
      <w:r w:rsidR="000B0559" w:rsidRPr="00F7351E">
        <w:rPr>
          <w:color w:val="auto"/>
          <w:szCs w:val="22"/>
        </w:rPr>
        <w:t xml:space="preserve">) </w:t>
      </w:r>
      <w:r w:rsidR="00C65DCB">
        <w:rPr>
          <w:color w:val="auto"/>
          <w:szCs w:val="22"/>
        </w:rPr>
        <w:t>is a</w:t>
      </w:r>
      <w:r w:rsidR="00A54299" w:rsidRPr="00F7351E">
        <w:rPr>
          <w:color w:val="auto"/>
          <w:szCs w:val="22"/>
        </w:rPr>
        <w:t xml:space="preserve"> histogram</w:t>
      </w:r>
      <w:r w:rsidR="00C65DCB">
        <w:rPr>
          <w:color w:val="auto"/>
          <w:szCs w:val="22"/>
        </w:rPr>
        <w:t xml:space="preserve"> of variant allele frequencies in the sample</w:t>
      </w:r>
      <w:r w:rsidR="00A54299" w:rsidRPr="00F7351E">
        <w:rPr>
          <w:color w:val="auto"/>
          <w:szCs w:val="22"/>
        </w:rPr>
        <w:t xml:space="preserve">. A peak in the density plot at 0.5 indicates </w:t>
      </w:r>
      <w:r w:rsidR="00F66E30">
        <w:rPr>
          <w:color w:val="auto"/>
          <w:szCs w:val="22"/>
        </w:rPr>
        <w:t>the sample is clonal</w:t>
      </w:r>
      <w:r w:rsidR="00A54299" w:rsidRPr="00F7351E">
        <w:rPr>
          <w:color w:val="auto"/>
          <w:szCs w:val="22"/>
        </w:rPr>
        <w:t xml:space="preserve">. </w:t>
      </w:r>
      <w:r w:rsidR="00B40239">
        <w:rPr>
          <w:color w:val="auto"/>
          <w:szCs w:val="22"/>
        </w:rPr>
        <w:t xml:space="preserve">To get more insight in the underlying biological causes behind mutations, these </w:t>
      </w:r>
      <w:r w:rsidR="00A54299" w:rsidRPr="00F7351E">
        <w:rPr>
          <w:color w:val="auto"/>
          <w:szCs w:val="22"/>
        </w:rPr>
        <w:t xml:space="preserve">can be analyzed using the R package </w:t>
      </w:r>
      <w:r w:rsidR="000F403E" w:rsidRPr="00F7351E">
        <w:rPr>
          <w:color w:val="auto"/>
          <w:szCs w:val="22"/>
        </w:rPr>
        <w:t>M</w:t>
      </w:r>
      <w:r w:rsidR="00A54299" w:rsidRPr="00F7351E">
        <w:rPr>
          <w:color w:val="auto"/>
          <w:szCs w:val="22"/>
        </w:rPr>
        <w:t>utational</w:t>
      </w:r>
      <w:r w:rsidR="000F403E" w:rsidRPr="00F7351E">
        <w:rPr>
          <w:color w:val="auto"/>
          <w:szCs w:val="22"/>
        </w:rPr>
        <w:t>P</w:t>
      </w:r>
      <w:r w:rsidR="00A54299" w:rsidRPr="00F7351E">
        <w:rPr>
          <w:color w:val="auto"/>
          <w:szCs w:val="22"/>
        </w:rPr>
        <w:t>atterns</w:t>
      </w:r>
      <w:r w:rsidR="000F403E" w:rsidRPr="00F7351E">
        <w:rPr>
          <w:color w:val="auto"/>
          <w:szCs w:val="22"/>
        </w:rPr>
        <w:fldChar w:fldCharType="begin" w:fldLock="1"/>
      </w:r>
      <w:r w:rsidR="000F403E" w:rsidRPr="00F7351E">
        <w:rPr>
          <w:color w:val="auto"/>
          <w:szCs w:val="22"/>
        </w:rPr>
        <w:instrText>ADDIN CSL_CITATION {"citationItems":[{"id":"ITEM-1","itemData":{"DOI":"10.1186/s13073-018-0539-0","ISBN":"6386458990","ISSN":"1756994X","PMID":"29695279","abstract":"Base substitution catalogues represent historical records of mutational processes that have been active in a cell. Such processes can be distinguished by various characteristics, like mutation type, sequence context, transcriptional and replicative strand bias, genomic distribution and association with (epi)-genomic features. We have created MutationalPatterns, an R/Bioconductor package that allows researchers to characterize a broad range of patterns in base substitution catalogues to dissect the underlying molecular mechanisms. Furthermore, it offers an efficient method to quantify the contribution of known mutational signatures within single samples. This analysis can be used to determine whether certain DNA repair mechanisms are perturbed and to further characterize the processes underlying known mutational signatures. MutationalPatterns allows for easy characterization and visualization of mutational patterns. These analyses willsupport fundamental research into mutational mechanisms and may ultimately improve cancer diagnosis and treatment strategies. MutationalPatterns is freely available at \n                    http://bioconductor.org/packages/MutationalPatterns\n                    \n                  .","author":[{"dropping-particle":"","family":"Blokzijl","given":"Francis","non-dropping-particle":"","parse-names":false,"suffix":""},{"dropping-particle":"","family":"Janssen","given":"Roel","non-dropping-particle":"","parse-names":false,"suffix":""},{"dropping-particle":"","family":"Boxtel","given":"Ruben","non-dropping-particle":"van","parse-names":false,"suffix":""},{"dropping-particle":"","family":"Cuppen","given":"Edwin","non-dropping-particle":"","parse-names":false,"suffix":""}],"container-title":"Genome Medicine","id":"ITEM-1","issue":"1","issued":{"date-parts":[["2018"]]},"page":"1-11","publisher":"Genome Medicine","title":"MutationalPatterns: Comprehensive genome-wide analysis of mutational processes","type":"article-journal","volume":"10"},"uris":["http://www.mendeley.com/documents/?uuid=90ce062b-d30b-4df9-90f1-1ec19116a099"]}],"mendeley":{"formattedCitation":"&lt;sup&gt;15&lt;/sup&gt;","plainTextFormattedCitation":"15"},"properties":{"noteIndex":0},"schema":"https://github.com/citation-style-language/schema/raw/master/csl-citation.json"}</w:instrText>
      </w:r>
      <w:r w:rsidR="000F403E" w:rsidRPr="00F7351E">
        <w:rPr>
          <w:color w:val="auto"/>
          <w:szCs w:val="22"/>
        </w:rPr>
        <w:fldChar w:fldCharType="separate"/>
      </w:r>
      <w:r w:rsidR="000F403E" w:rsidRPr="00F7351E">
        <w:rPr>
          <w:noProof/>
          <w:color w:val="auto"/>
          <w:szCs w:val="22"/>
          <w:vertAlign w:val="superscript"/>
        </w:rPr>
        <w:t>15</w:t>
      </w:r>
      <w:r w:rsidR="000F403E" w:rsidRPr="00F7351E">
        <w:rPr>
          <w:color w:val="auto"/>
          <w:szCs w:val="22"/>
        </w:rPr>
        <w:fldChar w:fldCharType="end"/>
      </w:r>
      <w:r w:rsidR="000F403E" w:rsidRPr="00F7351E">
        <w:rPr>
          <w:color w:val="auto"/>
          <w:szCs w:val="22"/>
        </w:rPr>
        <w:t xml:space="preserve">. </w:t>
      </w:r>
      <w:r>
        <w:rPr>
          <w:color w:val="auto"/>
          <w:szCs w:val="22"/>
        </w:rPr>
        <w:t>D</w:t>
      </w:r>
      <w:r w:rsidR="000F403E" w:rsidRPr="00F7351E">
        <w:rPr>
          <w:color w:val="auto"/>
          <w:szCs w:val="22"/>
        </w:rPr>
        <w:t>epict</w:t>
      </w:r>
      <w:r>
        <w:rPr>
          <w:color w:val="auto"/>
          <w:szCs w:val="22"/>
        </w:rPr>
        <w:t>ed here is</w:t>
      </w:r>
      <w:r w:rsidR="000F403E" w:rsidRPr="00F7351E">
        <w:rPr>
          <w:color w:val="auto"/>
          <w:szCs w:val="22"/>
        </w:rPr>
        <w:t xml:space="preserve"> a typical analysis producing a</w:t>
      </w:r>
      <w:r w:rsidR="00A54299" w:rsidRPr="00F7351E">
        <w:rPr>
          <w:color w:val="auto"/>
          <w:szCs w:val="22"/>
        </w:rPr>
        <w:t xml:space="preserve"> 96-trinucleotide plot</w:t>
      </w:r>
      <w:r w:rsidR="000F403E" w:rsidRPr="00F7351E">
        <w:rPr>
          <w:color w:val="auto"/>
          <w:szCs w:val="22"/>
        </w:rPr>
        <w:t xml:space="preserve"> (</w:t>
      </w:r>
      <w:r w:rsidR="000F403E" w:rsidRPr="00C16832">
        <w:rPr>
          <w:b/>
          <w:color w:val="auto"/>
          <w:szCs w:val="22"/>
        </w:rPr>
        <w:t xml:space="preserve">Figure </w:t>
      </w:r>
      <w:r w:rsidR="00C65DCB" w:rsidRPr="00C16832">
        <w:rPr>
          <w:b/>
          <w:color w:val="auto"/>
          <w:szCs w:val="22"/>
        </w:rPr>
        <w:t>6</w:t>
      </w:r>
      <w:r w:rsidR="000F403E" w:rsidRPr="00F7351E">
        <w:rPr>
          <w:color w:val="auto"/>
          <w:szCs w:val="22"/>
        </w:rPr>
        <w:t>).</w:t>
      </w:r>
      <w:r w:rsidR="00B40239">
        <w:rPr>
          <w:color w:val="auto"/>
          <w:szCs w:val="22"/>
        </w:rPr>
        <w:t xml:space="preserve"> In addition to quantification of different mutation typ</w:t>
      </w:r>
      <w:r w:rsidR="00424B9A">
        <w:rPr>
          <w:color w:val="auto"/>
          <w:szCs w:val="22"/>
        </w:rPr>
        <w:t xml:space="preserve">es, signature extraction can be </w:t>
      </w:r>
      <w:r w:rsidR="00C65DCB">
        <w:rPr>
          <w:color w:val="auto"/>
          <w:szCs w:val="22"/>
        </w:rPr>
        <w:t xml:space="preserve">also </w:t>
      </w:r>
      <w:r w:rsidR="00424B9A">
        <w:rPr>
          <w:color w:val="auto"/>
          <w:szCs w:val="22"/>
        </w:rPr>
        <w:t>performed</w:t>
      </w:r>
      <w:r w:rsidR="00C65DCB" w:rsidRPr="00C65DCB">
        <w:rPr>
          <w:color w:val="auto"/>
          <w:szCs w:val="22"/>
        </w:rPr>
        <w:t xml:space="preserve"> </w:t>
      </w:r>
      <w:r w:rsidR="00C65DCB">
        <w:rPr>
          <w:color w:val="auto"/>
          <w:szCs w:val="22"/>
        </w:rPr>
        <w:t>with this tool</w:t>
      </w:r>
      <w:r w:rsidR="00424B9A">
        <w:rPr>
          <w:color w:val="auto"/>
          <w:szCs w:val="22"/>
        </w:rPr>
        <w:t xml:space="preserve">. </w:t>
      </w:r>
    </w:p>
    <w:p w14:paraId="799BFD13" w14:textId="51485E6D" w:rsidR="009F7E12" w:rsidRDefault="009F7E12" w:rsidP="00C16832">
      <w:pPr>
        <w:widowControl/>
        <w:spacing w:line="0" w:lineRule="atLeast"/>
        <w:rPr>
          <w:color w:val="auto"/>
          <w:szCs w:val="22"/>
        </w:rPr>
      </w:pPr>
    </w:p>
    <w:p w14:paraId="0A576B7F" w14:textId="71DEF425" w:rsidR="000B0559" w:rsidRPr="00F7351E" w:rsidRDefault="00D0123F" w:rsidP="00C16832">
      <w:pPr>
        <w:widowControl/>
        <w:spacing w:line="0" w:lineRule="atLeast"/>
        <w:rPr>
          <w:b/>
          <w:color w:val="auto"/>
          <w:szCs w:val="22"/>
        </w:rPr>
      </w:pPr>
      <w:r w:rsidRPr="00F7351E">
        <w:rPr>
          <w:b/>
          <w:color w:val="auto"/>
          <w:szCs w:val="22"/>
        </w:rPr>
        <w:t>Constructing a developmental lineage tree</w:t>
      </w:r>
    </w:p>
    <w:p w14:paraId="0FEB56B3" w14:textId="6AF59CCC" w:rsidR="000B0559" w:rsidRPr="00F7351E" w:rsidRDefault="001C6F36" w:rsidP="00C16832">
      <w:pPr>
        <w:widowControl/>
        <w:spacing w:line="0" w:lineRule="atLeast"/>
        <w:rPr>
          <w:color w:val="auto"/>
          <w:szCs w:val="22"/>
        </w:rPr>
      </w:pPr>
      <w:r>
        <w:rPr>
          <w:color w:val="auto"/>
          <w:szCs w:val="22"/>
        </w:rPr>
        <w:t>Mutations sh</w:t>
      </w:r>
      <w:r w:rsidR="00BC3788">
        <w:rPr>
          <w:color w:val="auto"/>
          <w:szCs w:val="22"/>
        </w:rPr>
        <w:t xml:space="preserve">ared </w:t>
      </w:r>
      <w:r>
        <w:rPr>
          <w:color w:val="auto"/>
          <w:szCs w:val="22"/>
        </w:rPr>
        <w:t xml:space="preserve">amongst clones or present in a clone </w:t>
      </w:r>
      <w:r w:rsidR="00A63006">
        <w:rPr>
          <w:color w:val="auto"/>
          <w:szCs w:val="22"/>
        </w:rPr>
        <w:t>(</w:t>
      </w:r>
      <w:r>
        <w:rPr>
          <w:color w:val="auto"/>
          <w:szCs w:val="22"/>
        </w:rPr>
        <w:t>and at low VAF</w:t>
      </w:r>
      <w:r w:rsidR="00A63006">
        <w:rPr>
          <w:color w:val="auto"/>
          <w:szCs w:val="22"/>
        </w:rPr>
        <w:t>)</w:t>
      </w:r>
      <w:r>
        <w:rPr>
          <w:color w:val="auto"/>
          <w:szCs w:val="22"/>
        </w:rPr>
        <w:t xml:space="preserve"> in the germline control</w:t>
      </w:r>
      <w:r w:rsidR="00BC3788">
        <w:rPr>
          <w:color w:val="auto"/>
          <w:szCs w:val="22"/>
        </w:rPr>
        <w:t xml:space="preserve"> are validated using IGV. Mutations are considered true when present in the sample and not </w:t>
      </w:r>
      <w:r>
        <w:rPr>
          <w:color w:val="auto"/>
          <w:szCs w:val="22"/>
        </w:rPr>
        <w:t xml:space="preserve">at high VAF levels </w:t>
      </w:r>
      <w:r w:rsidR="00BC3788">
        <w:rPr>
          <w:color w:val="auto"/>
          <w:szCs w:val="22"/>
        </w:rPr>
        <w:t>in the germline (</w:t>
      </w:r>
      <w:r w:rsidR="00BC3788" w:rsidRPr="00C16832">
        <w:rPr>
          <w:b/>
          <w:color w:val="auto"/>
          <w:szCs w:val="22"/>
        </w:rPr>
        <w:t>Figure 7A</w:t>
      </w:r>
      <w:r w:rsidR="00BC3788">
        <w:rPr>
          <w:color w:val="auto"/>
          <w:szCs w:val="22"/>
        </w:rPr>
        <w:t>).</w:t>
      </w:r>
      <w:r>
        <w:rPr>
          <w:color w:val="auto"/>
          <w:szCs w:val="22"/>
        </w:rPr>
        <w:t xml:space="preserve"> Mutations </w:t>
      </w:r>
      <w:r w:rsidR="00BC3788">
        <w:rPr>
          <w:color w:val="auto"/>
          <w:szCs w:val="22"/>
        </w:rPr>
        <w:t>are considered false when not present in IGV, which can happen in poorly mapped regions (</w:t>
      </w:r>
      <w:r w:rsidR="00BC3788" w:rsidRPr="00C16832">
        <w:rPr>
          <w:b/>
          <w:color w:val="auto"/>
          <w:szCs w:val="22"/>
        </w:rPr>
        <w:t>Figure 7B</w:t>
      </w:r>
      <w:r w:rsidR="00BC3788">
        <w:rPr>
          <w:color w:val="auto"/>
          <w:szCs w:val="22"/>
        </w:rPr>
        <w:t>). In other cases, events detected by SNVFI are missed germline mutations (</w:t>
      </w:r>
      <w:r w:rsidR="00BC3788" w:rsidRPr="00C16832">
        <w:rPr>
          <w:b/>
          <w:color w:val="auto"/>
          <w:szCs w:val="22"/>
        </w:rPr>
        <w:t>Figure 7C</w:t>
      </w:r>
      <w:r w:rsidR="00BC3788">
        <w:rPr>
          <w:color w:val="auto"/>
          <w:szCs w:val="22"/>
        </w:rPr>
        <w:t>).</w:t>
      </w:r>
      <w:r w:rsidR="00A63006">
        <w:rPr>
          <w:color w:val="auto"/>
          <w:szCs w:val="22"/>
        </w:rPr>
        <w:t xml:space="preserve"> I</w:t>
      </w:r>
      <w:r>
        <w:rPr>
          <w:color w:val="auto"/>
          <w:szCs w:val="22"/>
        </w:rPr>
        <w:t>ndependent re-sequencing of mutations</w:t>
      </w:r>
      <w:r w:rsidR="00A63006">
        <w:rPr>
          <w:color w:val="auto"/>
          <w:szCs w:val="22"/>
        </w:rPr>
        <w:t xml:space="preserve"> </w:t>
      </w:r>
      <w:r>
        <w:rPr>
          <w:color w:val="auto"/>
          <w:szCs w:val="22"/>
        </w:rPr>
        <w:t>by targeted re-sequencing</w:t>
      </w:r>
      <w:r w:rsidR="00A63006">
        <w:rPr>
          <w:color w:val="auto"/>
          <w:szCs w:val="22"/>
        </w:rPr>
        <w:t xml:space="preserve"> is highly recommended</w:t>
      </w:r>
      <w:r>
        <w:rPr>
          <w:color w:val="auto"/>
          <w:szCs w:val="22"/>
        </w:rPr>
        <w:t xml:space="preserve"> for these mutations in selected clones. </w:t>
      </w:r>
      <w:r w:rsidR="00BC3788">
        <w:rPr>
          <w:color w:val="auto"/>
          <w:szCs w:val="22"/>
        </w:rPr>
        <w:t xml:space="preserve"> </w:t>
      </w:r>
      <w:r w:rsidR="000F403E" w:rsidRPr="00F7351E">
        <w:rPr>
          <w:color w:val="auto"/>
          <w:szCs w:val="22"/>
        </w:rPr>
        <w:t>After detection of shared somatic mutations between clones, a binary matrix is generated (</w:t>
      </w:r>
      <w:r w:rsidR="008B5AA6">
        <w:rPr>
          <w:color w:val="auto"/>
          <w:szCs w:val="22"/>
        </w:rPr>
        <w:t>s</w:t>
      </w:r>
      <w:r w:rsidR="000F403E" w:rsidRPr="00F7351E">
        <w:rPr>
          <w:color w:val="auto"/>
          <w:szCs w:val="22"/>
        </w:rPr>
        <w:t xml:space="preserve">tep 10.8). A heatmap is constructed containing cells with and without </w:t>
      </w:r>
      <w:r w:rsidR="0099099E">
        <w:rPr>
          <w:color w:val="auto"/>
          <w:szCs w:val="22"/>
        </w:rPr>
        <w:t>the shared mutations A-M</w:t>
      </w:r>
      <w:r w:rsidR="00F66E30">
        <w:rPr>
          <w:color w:val="auto"/>
          <w:szCs w:val="22"/>
        </w:rPr>
        <w:t>. Above this heatmap the developmental lineage tree is indicated</w:t>
      </w:r>
      <w:r w:rsidR="000F403E" w:rsidRPr="00F7351E">
        <w:rPr>
          <w:color w:val="auto"/>
          <w:szCs w:val="22"/>
        </w:rPr>
        <w:t xml:space="preserve"> (</w:t>
      </w:r>
      <w:r w:rsidR="000F403E" w:rsidRPr="00C16832">
        <w:rPr>
          <w:b/>
          <w:color w:val="auto"/>
          <w:szCs w:val="22"/>
        </w:rPr>
        <w:t xml:space="preserve">Figure </w:t>
      </w:r>
      <w:r w:rsidR="009F7E12" w:rsidRPr="00C16832">
        <w:rPr>
          <w:b/>
          <w:color w:val="auto"/>
          <w:szCs w:val="22"/>
        </w:rPr>
        <w:t>8</w:t>
      </w:r>
      <w:r w:rsidR="009F7E12">
        <w:rPr>
          <w:color w:val="auto"/>
          <w:szCs w:val="22"/>
        </w:rPr>
        <w:t>)</w:t>
      </w:r>
      <w:r w:rsidR="000F403E" w:rsidRPr="00F7351E">
        <w:rPr>
          <w:color w:val="auto"/>
          <w:szCs w:val="22"/>
        </w:rPr>
        <w:t>.</w:t>
      </w:r>
    </w:p>
    <w:p w14:paraId="742CF8A9" w14:textId="6828343E" w:rsidR="00E26AEF" w:rsidRPr="00F7351E" w:rsidRDefault="00A7719D" w:rsidP="00C16832">
      <w:pPr>
        <w:widowControl/>
        <w:spacing w:line="0" w:lineRule="atLeast"/>
        <w:rPr>
          <w:color w:val="auto"/>
          <w:szCs w:val="22"/>
        </w:rPr>
      </w:pPr>
      <w:r w:rsidRPr="00F7351E">
        <w:rPr>
          <w:color w:val="auto"/>
          <w:szCs w:val="22"/>
        </w:rPr>
        <w:t xml:space="preserve"> </w:t>
      </w:r>
    </w:p>
    <w:p w14:paraId="30BC18AF" w14:textId="3B029BA3" w:rsidR="00942E88" w:rsidRDefault="00C60D72" w:rsidP="00C16832">
      <w:pPr>
        <w:spacing w:line="0" w:lineRule="atLeast"/>
        <w:rPr>
          <w:rFonts w:cstheme="minorHAnsi"/>
          <w:b/>
        </w:rPr>
      </w:pPr>
      <w:r>
        <w:rPr>
          <w:rFonts w:cstheme="minorHAnsi"/>
          <w:b/>
        </w:rPr>
        <w:t>FIGURE AND TABLE LEGENDS:</w:t>
      </w:r>
    </w:p>
    <w:p w14:paraId="6E198C29" w14:textId="77777777" w:rsidR="008B5AA6" w:rsidRDefault="008B5AA6" w:rsidP="00C16832">
      <w:pPr>
        <w:spacing w:line="0" w:lineRule="atLeast"/>
      </w:pPr>
    </w:p>
    <w:p w14:paraId="4F2C8BE9" w14:textId="6B8D26C8" w:rsidR="00F25C21" w:rsidRPr="00C239C8" w:rsidRDefault="00F25C21" w:rsidP="00C16832">
      <w:pPr>
        <w:spacing w:line="0" w:lineRule="atLeast"/>
        <w:rPr>
          <w:rFonts w:cstheme="minorHAnsi"/>
          <w:b/>
          <w:color w:val="000000" w:themeColor="text1"/>
        </w:rPr>
      </w:pPr>
      <w:r>
        <w:rPr>
          <w:rFonts w:cstheme="minorHAnsi"/>
          <w:b/>
          <w:color w:val="000000" w:themeColor="text1"/>
        </w:rPr>
        <w:t>Figure 1</w:t>
      </w:r>
      <w:r w:rsidR="008B5AA6">
        <w:rPr>
          <w:rFonts w:cstheme="minorHAnsi"/>
          <w:b/>
          <w:color w:val="000000" w:themeColor="text1"/>
        </w:rPr>
        <w:t>:</w:t>
      </w:r>
      <w:r>
        <w:rPr>
          <w:rFonts w:cstheme="minorHAnsi"/>
          <w:b/>
          <w:color w:val="000000" w:themeColor="text1"/>
        </w:rPr>
        <w:t xml:space="preserve"> </w:t>
      </w:r>
      <w:r w:rsidRPr="00C239C8">
        <w:rPr>
          <w:rFonts w:cstheme="minorHAnsi"/>
          <w:b/>
          <w:bCs/>
        </w:rPr>
        <w:t>Flowchart depicting experimental procedure based on input material.</w:t>
      </w:r>
    </w:p>
    <w:p w14:paraId="37E3502A" w14:textId="77777777" w:rsidR="00F25C21" w:rsidRDefault="00F25C21" w:rsidP="00C16832">
      <w:pPr>
        <w:spacing w:line="0" w:lineRule="atLeast"/>
        <w:rPr>
          <w:rFonts w:cstheme="minorHAnsi"/>
          <w:b/>
          <w:color w:val="000000" w:themeColor="text1"/>
        </w:rPr>
      </w:pPr>
    </w:p>
    <w:p w14:paraId="615790DC" w14:textId="0FC07C05" w:rsidR="00255D9A" w:rsidRDefault="008708B0" w:rsidP="00C16832">
      <w:pPr>
        <w:spacing w:line="0" w:lineRule="atLeast"/>
        <w:rPr>
          <w:rFonts w:cstheme="minorHAnsi"/>
          <w:color w:val="000000" w:themeColor="text1"/>
        </w:rPr>
      </w:pPr>
      <w:r w:rsidRPr="00055FEB">
        <w:rPr>
          <w:rFonts w:cstheme="minorHAnsi"/>
          <w:b/>
          <w:color w:val="000000" w:themeColor="text1"/>
        </w:rPr>
        <w:t xml:space="preserve">Figure </w:t>
      </w:r>
      <w:r w:rsidR="00F25C21">
        <w:rPr>
          <w:rFonts w:cstheme="minorHAnsi"/>
          <w:b/>
          <w:color w:val="000000" w:themeColor="text1"/>
        </w:rPr>
        <w:t>2</w:t>
      </w:r>
      <w:r w:rsidR="008B5AA6">
        <w:rPr>
          <w:rFonts w:cstheme="minorHAnsi"/>
          <w:b/>
          <w:color w:val="000000" w:themeColor="text1"/>
        </w:rPr>
        <w:t>:</w:t>
      </w:r>
      <w:r>
        <w:rPr>
          <w:rFonts w:cstheme="minorHAnsi"/>
          <w:color w:val="000000" w:themeColor="text1"/>
        </w:rPr>
        <w:t xml:space="preserve"> </w:t>
      </w:r>
      <w:r w:rsidRPr="00C239C8">
        <w:rPr>
          <w:rFonts w:cstheme="minorHAnsi"/>
          <w:b/>
          <w:color w:val="000000" w:themeColor="text1"/>
        </w:rPr>
        <w:t xml:space="preserve">Cell sorting strategy. </w:t>
      </w:r>
      <w:r>
        <w:rPr>
          <w:rFonts w:cstheme="minorHAnsi"/>
          <w:color w:val="000000" w:themeColor="text1"/>
        </w:rPr>
        <w:t>First, gating is performed on small mononuclear cells</w:t>
      </w:r>
      <w:r w:rsidR="00292EDE">
        <w:rPr>
          <w:rFonts w:cstheme="minorHAnsi"/>
          <w:color w:val="000000" w:themeColor="text1"/>
        </w:rPr>
        <w:t>. Second, single cells are gated by selection of the linear fraction</w:t>
      </w:r>
      <w:r w:rsidR="007B0945">
        <w:rPr>
          <w:rFonts w:cstheme="minorHAnsi"/>
          <w:color w:val="000000" w:themeColor="text1"/>
        </w:rPr>
        <w:t xml:space="preserve">. </w:t>
      </w:r>
      <w:r w:rsidR="00255D9A">
        <w:rPr>
          <w:rFonts w:cstheme="minorHAnsi"/>
          <w:color w:val="000000" w:themeColor="text1"/>
        </w:rPr>
        <w:t>Lineage negative cells are gated</w:t>
      </w:r>
      <w:r w:rsidR="009D6769">
        <w:rPr>
          <w:rFonts w:cstheme="minorHAnsi"/>
          <w:color w:val="000000" w:themeColor="text1"/>
        </w:rPr>
        <w:t>. Al</w:t>
      </w:r>
      <w:r w:rsidR="00255D9A">
        <w:rPr>
          <w:rFonts w:cstheme="minorHAnsi"/>
          <w:color w:val="000000" w:themeColor="text1"/>
        </w:rPr>
        <w:t>l CD34+ CD38- CD45- cells are single cell</w:t>
      </w:r>
      <w:r w:rsidR="00A63006">
        <w:rPr>
          <w:rFonts w:cstheme="minorHAnsi"/>
          <w:color w:val="000000" w:themeColor="text1"/>
        </w:rPr>
        <w:t>-</w:t>
      </w:r>
      <w:r w:rsidR="00255D9A">
        <w:rPr>
          <w:rFonts w:cstheme="minorHAnsi"/>
          <w:color w:val="000000" w:themeColor="text1"/>
        </w:rPr>
        <w:t xml:space="preserve">sorted. </w:t>
      </w:r>
      <w:r w:rsidR="00A63006">
        <w:rPr>
          <w:rFonts w:cstheme="minorHAnsi"/>
          <w:color w:val="000000" w:themeColor="text1"/>
        </w:rPr>
        <w:t>T</w:t>
      </w:r>
      <w:r w:rsidR="000D1354">
        <w:rPr>
          <w:rFonts w:cstheme="minorHAnsi"/>
          <w:color w:val="000000" w:themeColor="text1"/>
        </w:rPr>
        <w:t xml:space="preserve">he fraction of cells </w:t>
      </w:r>
      <w:r w:rsidR="005C5C2C">
        <w:rPr>
          <w:rFonts w:cstheme="minorHAnsi"/>
          <w:color w:val="000000" w:themeColor="text1"/>
        </w:rPr>
        <w:t>in brown</w:t>
      </w:r>
      <w:r w:rsidR="00A63006">
        <w:rPr>
          <w:rFonts w:cstheme="minorHAnsi"/>
          <w:color w:val="000000" w:themeColor="text1"/>
        </w:rPr>
        <w:t xml:space="preserve"> should be noted</w:t>
      </w:r>
      <w:r w:rsidR="005C5C2C">
        <w:rPr>
          <w:rFonts w:cstheme="minorHAnsi"/>
          <w:color w:val="000000" w:themeColor="text1"/>
        </w:rPr>
        <w:t>, which are the sorted cells highlighted by t</w:t>
      </w:r>
      <w:r w:rsidR="000D1354">
        <w:rPr>
          <w:rFonts w:cstheme="minorHAnsi"/>
          <w:color w:val="000000" w:themeColor="text1"/>
        </w:rPr>
        <w:t xml:space="preserve">he option </w:t>
      </w:r>
      <w:r w:rsidR="00A63006">
        <w:rPr>
          <w:rFonts w:cstheme="minorHAnsi"/>
          <w:color w:val="000000" w:themeColor="text1"/>
        </w:rPr>
        <w:t>“</w:t>
      </w:r>
      <w:r w:rsidR="000D1354">
        <w:rPr>
          <w:rFonts w:cstheme="minorHAnsi"/>
          <w:color w:val="000000" w:themeColor="text1"/>
        </w:rPr>
        <w:t>index sorting</w:t>
      </w:r>
      <w:r w:rsidR="00A63006">
        <w:rPr>
          <w:rFonts w:cstheme="minorHAnsi"/>
          <w:color w:val="000000" w:themeColor="text1"/>
        </w:rPr>
        <w:t>”</w:t>
      </w:r>
      <w:r w:rsidR="000D1354">
        <w:rPr>
          <w:rFonts w:cstheme="minorHAnsi"/>
          <w:color w:val="000000" w:themeColor="text1"/>
        </w:rPr>
        <w:t xml:space="preserve">. </w:t>
      </w:r>
    </w:p>
    <w:p w14:paraId="74D6DEB0" w14:textId="63AD5F4F" w:rsidR="00255D9A" w:rsidRDefault="00255D9A" w:rsidP="00C16832">
      <w:pPr>
        <w:spacing w:line="0" w:lineRule="atLeast"/>
        <w:rPr>
          <w:rFonts w:cstheme="minorHAnsi"/>
          <w:color w:val="000000" w:themeColor="text1"/>
        </w:rPr>
      </w:pPr>
    </w:p>
    <w:p w14:paraId="0D2E520A" w14:textId="46D9CC42" w:rsidR="00255D9A" w:rsidRDefault="00255D9A" w:rsidP="00C16832">
      <w:pPr>
        <w:spacing w:line="0" w:lineRule="atLeast"/>
        <w:rPr>
          <w:rFonts w:cstheme="minorHAnsi"/>
          <w:color w:val="000000" w:themeColor="text1"/>
        </w:rPr>
      </w:pPr>
      <w:r w:rsidRPr="00055FEB">
        <w:rPr>
          <w:rFonts w:cstheme="minorHAnsi"/>
          <w:b/>
          <w:color w:val="000000" w:themeColor="text1"/>
        </w:rPr>
        <w:t xml:space="preserve">Figure </w:t>
      </w:r>
      <w:r w:rsidR="00F25C21">
        <w:rPr>
          <w:rFonts w:cstheme="minorHAnsi"/>
          <w:b/>
          <w:color w:val="000000" w:themeColor="text1"/>
        </w:rPr>
        <w:t>3</w:t>
      </w:r>
      <w:r w:rsidR="008B5AA6">
        <w:rPr>
          <w:rFonts w:cstheme="minorHAnsi"/>
          <w:b/>
          <w:color w:val="000000" w:themeColor="text1"/>
        </w:rPr>
        <w:t>:</w:t>
      </w:r>
      <w:r>
        <w:rPr>
          <w:rFonts w:cstheme="minorHAnsi"/>
          <w:color w:val="000000" w:themeColor="text1"/>
        </w:rPr>
        <w:t xml:space="preserve"> </w:t>
      </w:r>
      <w:r w:rsidR="007D0D50" w:rsidRPr="00C239C8">
        <w:rPr>
          <w:rFonts w:cstheme="minorHAnsi"/>
          <w:b/>
          <w:color w:val="000000" w:themeColor="text1"/>
        </w:rPr>
        <w:t>Rep</w:t>
      </w:r>
      <w:r w:rsidR="009D6769" w:rsidRPr="00C239C8">
        <w:rPr>
          <w:rFonts w:cstheme="minorHAnsi"/>
          <w:b/>
          <w:color w:val="000000" w:themeColor="text1"/>
        </w:rPr>
        <w:t>r</w:t>
      </w:r>
      <w:r w:rsidR="007D0D50" w:rsidRPr="00C239C8">
        <w:rPr>
          <w:rFonts w:cstheme="minorHAnsi"/>
          <w:b/>
          <w:color w:val="000000" w:themeColor="text1"/>
        </w:rPr>
        <w:t>esentative cell culture results</w:t>
      </w:r>
      <w:r w:rsidR="00CE1FCA" w:rsidRPr="00C239C8">
        <w:rPr>
          <w:rFonts w:cstheme="minorHAnsi"/>
          <w:b/>
          <w:color w:val="000000" w:themeColor="text1"/>
        </w:rPr>
        <w:t>.</w:t>
      </w:r>
      <w:r w:rsidR="005C69C3" w:rsidRPr="00C239C8">
        <w:rPr>
          <w:rFonts w:cstheme="minorHAnsi"/>
          <w:b/>
          <w:color w:val="000000" w:themeColor="text1"/>
        </w:rPr>
        <w:t xml:space="preserve"> </w:t>
      </w:r>
      <w:r w:rsidR="007A5D26">
        <w:rPr>
          <w:rFonts w:cstheme="minorHAnsi"/>
          <w:color w:val="000000" w:themeColor="text1"/>
        </w:rPr>
        <w:t>Representative</w:t>
      </w:r>
      <w:r w:rsidR="007D0D50">
        <w:rPr>
          <w:rFonts w:cstheme="minorHAnsi"/>
          <w:color w:val="000000" w:themeColor="text1"/>
        </w:rPr>
        <w:t xml:space="preserve"> HSPC</w:t>
      </w:r>
      <w:r>
        <w:rPr>
          <w:rFonts w:cstheme="minorHAnsi"/>
          <w:color w:val="000000" w:themeColor="text1"/>
        </w:rPr>
        <w:t xml:space="preserve"> clones in </w:t>
      </w:r>
      <w:r w:rsidR="00A63006">
        <w:rPr>
          <w:rFonts w:cstheme="minorHAnsi"/>
          <w:color w:val="000000" w:themeColor="text1"/>
        </w:rPr>
        <w:t xml:space="preserve">a </w:t>
      </w:r>
      <w:r>
        <w:rPr>
          <w:rFonts w:cstheme="minorHAnsi"/>
          <w:color w:val="000000" w:themeColor="text1"/>
        </w:rPr>
        <w:t>384</w:t>
      </w:r>
      <w:r w:rsidR="00A63006">
        <w:rPr>
          <w:rFonts w:cstheme="minorHAnsi"/>
          <w:color w:val="000000" w:themeColor="text1"/>
        </w:rPr>
        <w:t xml:space="preserve"> </w:t>
      </w:r>
      <w:r>
        <w:rPr>
          <w:rFonts w:cstheme="minorHAnsi"/>
          <w:color w:val="000000" w:themeColor="text1"/>
        </w:rPr>
        <w:t>well plate</w:t>
      </w:r>
      <w:r w:rsidR="00A63006">
        <w:rPr>
          <w:rFonts w:cstheme="minorHAnsi"/>
          <w:color w:val="000000" w:themeColor="text1"/>
        </w:rPr>
        <w:t xml:space="preserve"> at</w:t>
      </w:r>
      <w:r>
        <w:rPr>
          <w:rFonts w:cstheme="minorHAnsi"/>
          <w:color w:val="000000" w:themeColor="text1"/>
        </w:rPr>
        <w:t xml:space="preserve"> </w:t>
      </w:r>
      <w:r w:rsidR="00A63006">
        <w:rPr>
          <w:rFonts w:cstheme="minorHAnsi"/>
          <w:color w:val="000000" w:themeColor="text1"/>
        </w:rPr>
        <w:t>(</w:t>
      </w:r>
      <w:r w:rsidR="00C65DCB" w:rsidRPr="0058775B">
        <w:rPr>
          <w:rFonts w:cstheme="minorHAnsi"/>
          <w:b/>
          <w:color w:val="000000" w:themeColor="text1"/>
        </w:rPr>
        <w:t>A</w:t>
      </w:r>
      <w:r w:rsidR="00A63006" w:rsidRPr="009A6357">
        <w:rPr>
          <w:rFonts w:cstheme="minorHAnsi"/>
          <w:color w:val="000000" w:themeColor="text1"/>
        </w:rPr>
        <w:t>)</w:t>
      </w:r>
      <w:r>
        <w:rPr>
          <w:rFonts w:cstheme="minorHAnsi"/>
          <w:color w:val="000000" w:themeColor="text1"/>
        </w:rPr>
        <w:t xml:space="preserve"> </w:t>
      </w:r>
      <w:r w:rsidR="00A63006">
        <w:rPr>
          <w:rFonts w:cstheme="minorHAnsi"/>
          <w:color w:val="000000" w:themeColor="text1"/>
        </w:rPr>
        <w:t>2</w:t>
      </w:r>
      <w:r w:rsidR="007D0D50">
        <w:rPr>
          <w:rFonts w:cstheme="minorHAnsi"/>
          <w:color w:val="000000" w:themeColor="text1"/>
        </w:rPr>
        <w:t xml:space="preserve"> </w:t>
      </w:r>
      <w:r>
        <w:rPr>
          <w:rFonts w:cstheme="minorHAnsi"/>
          <w:color w:val="000000" w:themeColor="text1"/>
        </w:rPr>
        <w:t>weeks after plating</w:t>
      </w:r>
      <w:r w:rsidR="007D0D50">
        <w:rPr>
          <w:rFonts w:cstheme="minorHAnsi"/>
          <w:color w:val="000000" w:themeColor="text1"/>
        </w:rPr>
        <w:t xml:space="preserve"> </w:t>
      </w:r>
      <w:r w:rsidR="00C65DCB">
        <w:rPr>
          <w:rFonts w:cstheme="minorHAnsi"/>
          <w:color w:val="000000" w:themeColor="text1"/>
        </w:rPr>
        <w:t xml:space="preserve">and </w:t>
      </w:r>
      <w:r w:rsidR="00A63006">
        <w:rPr>
          <w:rFonts w:cstheme="minorHAnsi"/>
          <w:color w:val="000000" w:themeColor="text1"/>
        </w:rPr>
        <w:t>(</w:t>
      </w:r>
      <w:r w:rsidR="00055FEB">
        <w:rPr>
          <w:rFonts w:cstheme="minorHAnsi"/>
          <w:b/>
          <w:color w:val="000000" w:themeColor="text1"/>
        </w:rPr>
        <w:t>B</w:t>
      </w:r>
      <w:r w:rsidR="00A63006" w:rsidRPr="009A6357">
        <w:rPr>
          <w:rFonts w:cstheme="minorHAnsi"/>
          <w:color w:val="000000" w:themeColor="text1"/>
        </w:rPr>
        <w:t>)</w:t>
      </w:r>
      <w:r w:rsidR="007D0D50">
        <w:rPr>
          <w:rFonts w:cstheme="minorHAnsi"/>
          <w:color w:val="000000" w:themeColor="text1"/>
        </w:rPr>
        <w:t xml:space="preserve"> </w:t>
      </w:r>
      <w:r w:rsidR="00A63006">
        <w:rPr>
          <w:rFonts w:cstheme="minorHAnsi"/>
          <w:color w:val="000000" w:themeColor="text1"/>
        </w:rPr>
        <w:t>4</w:t>
      </w:r>
      <w:r w:rsidR="007D0D50">
        <w:rPr>
          <w:rFonts w:cstheme="minorHAnsi"/>
          <w:color w:val="000000" w:themeColor="text1"/>
        </w:rPr>
        <w:t xml:space="preserve"> weeks after plating. </w:t>
      </w:r>
      <w:r w:rsidR="00A63006">
        <w:rPr>
          <w:rFonts w:cstheme="minorHAnsi"/>
          <w:color w:val="000000" w:themeColor="text1"/>
        </w:rPr>
        <w:t>(</w:t>
      </w:r>
      <w:r w:rsidR="0028026B">
        <w:rPr>
          <w:rFonts w:cstheme="minorHAnsi"/>
          <w:b/>
          <w:color w:val="000000" w:themeColor="text1"/>
        </w:rPr>
        <w:t>C</w:t>
      </w:r>
      <w:r w:rsidR="00A63006" w:rsidRPr="009A6357">
        <w:rPr>
          <w:rFonts w:cstheme="minorHAnsi"/>
          <w:color w:val="000000" w:themeColor="text1"/>
        </w:rPr>
        <w:t>)</w:t>
      </w:r>
      <w:r w:rsidR="007D0D50">
        <w:rPr>
          <w:rFonts w:cstheme="minorHAnsi"/>
          <w:color w:val="000000" w:themeColor="text1"/>
        </w:rPr>
        <w:t xml:space="preserve"> MSC culture </w:t>
      </w:r>
      <w:r w:rsidR="00055FEB">
        <w:rPr>
          <w:rFonts w:cstheme="minorHAnsi"/>
          <w:color w:val="000000" w:themeColor="text1"/>
        </w:rPr>
        <w:t>a</w:t>
      </w:r>
      <w:r w:rsidR="007D0D50">
        <w:rPr>
          <w:rFonts w:cstheme="minorHAnsi"/>
          <w:color w:val="000000" w:themeColor="text1"/>
        </w:rPr>
        <w:t xml:space="preserve">fter </w:t>
      </w:r>
      <w:r w:rsidR="00A63006">
        <w:rPr>
          <w:rFonts w:cstheme="minorHAnsi"/>
          <w:color w:val="000000" w:themeColor="text1"/>
        </w:rPr>
        <w:t>2</w:t>
      </w:r>
      <w:r w:rsidR="007D0D50">
        <w:rPr>
          <w:rFonts w:cstheme="minorHAnsi"/>
          <w:color w:val="000000" w:themeColor="text1"/>
        </w:rPr>
        <w:t xml:space="preserve"> weeks of medium replacement.</w:t>
      </w:r>
      <w:r w:rsidR="0028026B">
        <w:rPr>
          <w:rFonts w:cstheme="minorHAnsi"/>
          <w:color w:val="000000" w:themeColor="text1"/>
        </w:rPr>
        <w:t xml:space="preserve"> Scale bar </w:t>
      </w:r>
      <w:r w:rsidR="00A63006">
        <w:rPr>
          <w:rFonts w:cstheme="minorHAnsi"/>
          <w:color w:val="000000" w:themeColor="text1"/>
        </w:rPr>
        <w:t>=</w:t>
      </w:r>
      <w:r w:rsidR="0028026B">
        <w:rPr>
          <w:rFonts w:cstheme="minorHAnsi"/>
          <w:color w:val="000000" w:themeColor="text1"/>
        </w:rPr>
        <w:t xml:space="preserve"> 100 </w:t>
      </w:r>
      <w:r w:rsidR="0028026B" w:rsidRPr="005D3671">
        <w:rPr>
          <w:color w:val="auto"/>
        </w:rPr>
        <w:t>μ</w:t>
      </w:r>
      <w:r w:rsidR="0028026B">
        <w:rPr>
          <w:color w:val="auto"/>
        </w:rPr>
        <w:t xml:space="preserve">m. </w:t>
      </w:r>
    </w:p>
    <w:p w14:paraId="65278DAD" w14:textId="77777777" w:rsidR="003112CF" w:rsidRDefault="003112CF" w:rsidP="00C16832">
      <w:pPr>
        <w:spacing w:line="0" w:lineRule="atLeast"/>
        <w:rPr>
          <w:rFonts w:cstheme="minorHAnsi"/>
          <w:color w:val="000000" w:themeColor="text1"/>
        </w:rPr>
      </w:pPr>
    </w:p>
    <w:p w14:paraId="11B5310E" w14:textId="3A7D1229" w:rsidR="000C7643" w:rsidRDefault="000C7643" w:rsidP="00C16832">
      <w:pPr>
        <w:widowControl/>
        <w:spacing w:line="0" w:lineRule="atLeast"/>
        <w:rPr>
          <w:rFonts w:cstheme="minorHAnsi"/>
          <w:color w:val="000000" w:themeColor="text1"/>
        </w:rPr>
      </w:pPr>
      <w:r>
        <w:rPr>
          <w:rFonts w:cstheme="minorHAnsi"/>
          <w:b/>
          <w:bCs/>
        </w:rPr>
        <w:t xml:space="preserve">Figure </w:t>
      </w:r>
      <w:r w:rsidR="00F25C21">
        <w:rPr>
          <w:rFonts w:cstheme="minorHAnsi"/>
          <w:b/>
          <w:bCs/>
        </w:rPr>
        <w:t>4</w:t>
      </w:r>
      <w:r w:rsidR="008B5AA6">
        <w:rPr>
          <w:rFonts w:cstheme="minorHAnsi"/>
          <w:b/>
          <w:bCs/>
        </w:rPr>
        <w:t>:</w:t>
      </w:r>
      <w:r w:rsidRPr="00C239C8">
        <w:rPr>
          <w:rFonts w:cstheme="minorHAnsi"/>
          <w:b/>
          <w:bCs/>
        </w:rPr>
        <w:t xml:space="preserve"> Karyotype</w:t>
      </w:r>
      <w:r w:rsidR="00C239C8">
        <w:rPr>
          <w:rFonts w:cstheme="minorHAnsi"/>
          <w:b/>
          <w:bCs/>
        </w:rPr>
        <w:t>s.</w:t>
      </w:r>
      <w:r w:rsidRPr="000C7643">
        <w:rPr>
          <w:rFonts w:cstheme="minorHAnsi"/>
          <w:bCs/>
        </w:rPr>
        <w:t xml:space="preserve"> </w:t>
      </w:r>
      <w:r w:rsidR="00A63006">
        <w:rPr>
          <w:rFonts w:cstheme="minorHAnsi"/>
          <w:bCs/>
        </w:rPr>
        <w:t>(</w:t>
      </w:r>
      <w:r w:rsidR="00C65DCB" w:rsidRPr="001237F6">
        <w:rPr>
          <w:rFonts w:cstheme="minorHAnsi"/>
          <w:b/>
          <w:bCs/>
        </w:rPr>
        <w:t>A</w:t>
      </w:r>
      <w:r w:rsidR="00A63006" w:rsidRPr="009A6357">
        <w:rPr>
          <w:rFonts w:cstheme="minorHAnsi"/>
          <w:bCs/>
        </w:rPr>
        <w:t>)</w:t>
      </w:r>
      <w:r w:rsidR="00C65DCB" w:rsidRPr="009A6357">
        <w:rPr>
          <w:rFonts w:cstheme="minorHAnsi"/>
          <w:bCs/>
        </w:rPr>
        <w:t xml:space="preserve"> </w:t>
      </w:r>
      <w:r w:rsidR="00C239C8">
        <w:rPr>
          <w:rFonts w:cstheme="minorHAnsi"/>
          <w:bCs/>
        </w:rPr>
        <w:t>C</w:t>
      </w:r>
      <w:r w:rsidRPr="000C7643">
        <w:rPr>
          <w:rFonts w:cstheme="minorHAnsi"/>
          <w:bCs/>
        </w:rPr>
        <w:t xml:space="preserve">lonal HSPC culture and </w:t>
      </w:r>
      <w:r w:rsidR="00A63006">
        <w:rPr>
          <w:rFonts w:cstheme="minorHAnsi"/>
          <w:bCs/>
        </w:rPr>
        <w:t>(</w:t>
      </w:r>
      <w:r w:rsidR="00C65DCB" w:rsidRPr="001237F6">
        <w:rPr>
          <w:rFonts w:cstheme="minorHAnsi"/>
          <w:b/>
          <w:bCs/>
        </w:rPr>
        <w:t>B</w:t>
      </w:r>
      <w:r w:rsidR="00A63006" w:rsidRPr="009A6357">
        <w:rPr>
          <w:rFonts w:cstheme="minorHAnsi"/>
          <w:bCs/>
        </w:rPr>
        <w:t>)</w:t>
      </w:r>
      <w:r w:rsidR="00C65DCB" w:rsidRPr="001237F6">
        <w:rPr>
          <w:rFonts w:cstheme="minorHAnsi"/>
          <w:b/>
          <w:bCs/>
        </w:rPr>
        <w:t xml:space="preserve"> </w:t>
      </w:r>
      <w:r w:rsidRPr="000C7643">
        <w:rPr>
          <w:rFonts w:cstheme="minorHAnsi"/>
          <w:bCs/>
        </w:rPr>
        <w:t>MSC bulk sample</w:t>
      </w:r>
      <w:r w:rsidR="007A5D26">
        <w:rPr>
          <w:rFonts w:cstheme="minorHAnsi"/>
          <w:bCs/>
        </w:rPr>
        <w:t xml:space="preserve">. </w:t>
      </w:r>
      <w:r w:rsidR="00C65DCB" w:rsidRPr="001237F6">
        <w:rPr>
          <w:rFonts w:cstheme="minorHAnsi"/>
          <w:bCs/>
        </w:rPr>
        <w:t>The k</w:t>
      </w:r>
      <w:r>
        <w:rPr>
          <w:rFonts w:cstheme="minorHAnsi"/>
          <w:bCs/>
        </w:rPr>
        <w:t>aryotype</w:t>
      </w:r>
      <w:r w:rsidR="00C65DCB">
        <w:rPr>
          <w:rFonts w:cstheme="minorHAnsi"/>
          <w:bCs/>
        </w:rPr>
        <w:t>s</w:t>
      </w:r>
      <w:r>
        <w:rPr>
          <w:rFonts w:cstheme="minorHAnsi"/>
          <w:bCs/>
        </w:rPr>
        <w:t xml:space="preserve"> </w:t>
      </w:r>
      <w:r w:rsidR="00C65DCB">
        <w:rPr>
          <w:rFonts w:cstheme="minorHAnsi"/>
          <w:bCs/>
        </w:rPr>
        <w:t>were</w:t>
      </w:r>
      <w:r w:rsidR="007A5D26">
        <w:rPr>
          <w:rFonts w:cstheme="minorHAnsi"/>
          <w:bCs/>
        </w:rPr>
        <w:t xml:space="preserve"> determined by read-depth analysis</w:t>
      </w:r>
      <w:r w:rsidR="007A5D26" w:rsidRPr="000C7643">
        <w:rPr>
          <w:rFonts w:cstheme="minorHAnsi"/>
          <w:bCs/>
        </w:rPr>
        <w:t>.</w:t>
      </w:r>
      <w:r>
        <w:rPr>
          <w:rFonts w:cstheme="minorHAnsi"/>
          <w:bCs/>
        </w:rPr>
        <w:t xml:space="preserve"> Both graphs indicate a karyotypically normal sample. </w:t>
      </w:r>
    </w:p>
    <w:p w14:paraId="2F62138C" w14:textId="77777777" w:rsidR="000C7643" w:rsidRDefault="000C7643" w:rsidP="00C16832">
      <w:pPr>
        <w:spacing w:line="0" w:lineRule="atLeast"/>
        <w:rPr>
          <w:rFonts w:cstheme="minorHAnsi"/>
          <w:color w:val="000000" w:themeColor="text1"/>
        </w:rPr>
      </w:pPr>
    </w:p>
    <w:p w14:paraId="3B0BB349" w14:textId="73FE1D6E" w:rsidR="00942E88" w:rsidRDefault="00150498" w:rsidP="00C16832">
      <w:pPr>
        <w:spacing w:line="0" w:lineRule="atLeast"/>
        <w:rPr>
          <w:rFonts w:cstheme="minorHAnsi"/>
          <w:color w:val="000000" w:themeColor="text1"/>
        </w:rPr>
      </w:pPr>
      <w:r w:rsidRPr="00055FEB">
        <w:rPr>
          <w:rFonts w:cstheme="minorHAnsi"/>
          <w:b/>
          <w:color w:val="000000" w:themeColor="text1"/>
        </w:rPr>
        <w:t xml:space="preserve">Figure </w:t>
      </w:r>
      <w:r w:rsidR="00F25C21">
        <w:rPr>
          <w:rFonts w:cstheme="minorHAnsi"/>
          <w:b/>
          <w:color w:val="000000" w:themeColor="text1"/>
        </w:rPr>
        <w:t>5</w:t>
      </w:r>
      <w:r w:rsidR="008B5AA6">
        <w:rPr>
          <w:rFonts w:cstheme="minorHAnsi"/>
          <w:b/>
          <w:color w:val="000000" w:themeColor="text1"/>
        </w:rPr>
        <w:t>:</w:t>
      </w:r>
      <w:r>
        <w:rPr>
          <w:rFonts w:cstheme="minorHAnsi"/>
          <w:color w:val="000000" w:themeColor="text1"/>
        </w:rPr>
        <w:t xml:space="preserve"> </w:t>
      </w:r>
      <w:r w:rsidR="00C65DCB" w:rsidRPr="00C239C8">
        <w:rPr>
          <w:rFonts w:cstheme="minorHAnsi"/>
          <w:b/>
          <w:color w:val="000000" w:themeColor="text1"/>
        </w:rPr>
        <w:t>Histogram of v</w:t>
      </w:r>
      <w:r w:rsidRPr="00C239C8">
        <w:rPr>
          <w:rFonts w:cstheme="minorHAnsi"/>
          <w:b/>
          <w:color w:val="000000" w:themeColor="text1"/>
        </w:rPr>
        <w:t>ariant allele frequenc</w:t>
      </w:r>
      <w:r w:rsidR="00C65DCB" w:rsidRPr="00C239C8">
        <w:rPr>
          <w:rFonts w:cstheme="minorHAnsi"/>
          <w:b/>
          <w:color w:val="000000" w:themeColor="text1"/>
        </w:rPr>
        <w:t>ies</w:t>
      </w:r>
      <w:r w:rsidRPr="00C239C8">
        <w:rPr>
          <w:rFonts w:cstheme="minorHAnsi"/>
          <w:b/>
          <w:color w:val="000000" w:themeColor="text1"/>
        </w:rPr>
        <w:t xml:space="preserve">. </w:t>
      </w:r>
      <w:r>
        <w:rPr>
          <w:rFonts w:cstheme="minorHAnsi"/>
          <w:color w:val="000000" w:themeColor="text1"/>
        </w:rPr>
        <w:t>Histogram of variant allele frequencies</w:t>
      </w:r>
      <w:r w:rsidR="00C65DCB">
        <w:rPr>
          <w:rFonts w:cstheme="minorHAnsi"/>
          <w:color w:val="000000" w:themeColor="text1"/>
        </w:rPr>
        <w:t xml:space="preserve"> of the </w:t>
      </w:r>
      <w:r w:rsidR="00C65DCB">
        <w:rPr>
          <w:rFonts w:cstheme="minorHAnsi"/>
          <w:color w:val="000000" w:themeColor="text1"/>
        </w:rPr>
        <w:lastRenderedPageBreak/>
        <w:t>variants in a clone</w:t>
      </w:r>
      <w:r>
        <w:rPr>
          <w:rFonts w:cstheme="minorHAnsi"/>
          <w:color w:val="000000" w:themeColor="text1"/>
        </w:rPr>
        <w:t xml:space="preserve"> before the last filtering step of SNVFI (VAF &gt;0.3). </w:t>
      </w:r>
      <w:r w:rsidR="00C65DCB">
        <w:rPr>
          <w:rFonts w:cstheme="minorHAnsi"/>
          <w:color w:val="000000" w:themeColor="text1"/>
        </w:rPr>
        <w:t xml:space="preserve">A </w:t>
      </w:r>
      <w:r>
        <w:rPr>
          <w:rFonts w:cstheme="minorHAnsi"/>
          <w:color w:val="000000" w:themeColor="text1"/>
        </w:rPr>
        <w:t xml:space="preserve">peak at VAF = 0.5 indicates </w:t>
      </w:r>
      <w:r w:rsidR="00A63006">
        <w:rPr>
          <w:rFonts w:cstheme="minorHAnsi"/>
          <w:color w:val="000000" w:themeColor="text1"/>
        </w:rPr>
        <w:t xml:space="preserve">that </w:t>
      </w:r>
      <w:r w:rsidR="00C65DCB">
        <w:rPr>
          <w:rFonts w:cstheme="minorHAnsi"/>
          <w:color w:val="000000" w:themeColor="text1"/>
        </w:rPr>
        <w:t>the</w:t>
      </w:r>
      <w:r>
        <w:rPr>
          <w:rFonts w:cstheme="minorHAnsi"/>
          <w:color w:val="000000" w:themeColor="text1"/>
        </w:rPr>
        <w:t xml:space="preserve"> sample</w:t>
      </w:r>
      <w:r w:rsidR="00C65DCB">
        <w:rPr>
          <w:rFonts w:cstheme="minorHAnsi"/>
          <w:color w:val="000000" w:themeColor="text1"/>
        </w:rPr>
        <w:t xml:space="preserve"> is clonal</w:t>
      </w:r>
      <w:r>
        <w:rPr>
          <w:rFonts w:cstheme="minorHAnsi"/>
          <w:color w:val="000000" w:themeColor="text1"/>
        </w:rPr>
        <w:t xml:space="preserve">. </w:t>
      </w:r>
      <w:r w:rsidR="008207E8">
        <w:rPr>
          <w:rFonts w:cstheme="minorHAnsi"/>
          <w:color w:val="000000" w:themeColor="text1"/>
        </w:rPr>
        <w:t xml:space="preserve">The </w:t>
      </w:r>
      <w:proofErr w:type="spellStart"/>
      <w:r w:rsidR="008207E8">
        <w:rPr>
          <w:rFonts w:cstheme="minorHAnsi"/>
          <w:color w:val="000000" w:themeColor="text1"/>
        </w:rPr>
        <w:t>subclonal</w:t>
      </w:r>
      <w:proofErr w:type="spellEnd"/>
      <w:r w:rsidR="008207E8">
        <w:rPr>
          <w:rFonts w:cstheme="minorHAnsi"/>
          <w:color w:val="000000" w:themeColor="text1"/>
        </w:rPr>
        <w:t xml:space="preserve"> mutations </w:t>
      </w:r>
      <w:r w:rsidR="00C65DCB">
        <w:rPr>
          <w:rFonts w:cstheme="minorHAnsi"/>
          <w:color w:val="000000" w:themeColor="text1"/>
        </w:rPr>
        <w:t xml:space="preserve">with low VAF are excluded </w:t>
      </w:r>
      <w:r w:rsidR="008207E8">
        <w:rPr>
          <w:rFonts w:cstheme="minorHAnsi"/>
          <w:color w:val="000000" w:themeColor="text1"/>
        </w:rPr>
        <w:t xml:space="preserve">during last filtering step of SNVFI (VAF &gt;0.3). </w:t>
      </w:r>
    </w:p>
    <w:p w14:paraId="4AE9DCD2" w14:textId="77777777" w:rsidR="00150498" w:rsidRDefault="00150498" w:rsidP="00C16832">
      <w:pPr>
        <w:spacing w:line="0" w:lineRule="atLeast"/>
        <w:rPr>
          <w:rFonts w:cstheme="minorHAnsi"/>
          <w:color w:val="000000" w:themeColor="text1"/>
        </w:rPr>
      </w:pPr>
    </w:p>
    <w:p w14:paraId="08C95450" w14:textId="76BC0144" w:rsidR="00150498" w:rsidRDefault="00414451" w:rsidP="00C16832">
      <w:pPr>
        <w:spacing w:line="0" w:lineRule="atLeast"/>
        <w:rPr>
          <w:rFonts w:cstheme="minorHAnsi"/>
          <w:color w:val="000000" w:themeColor="text1"/>
        </w:rPr>
      </w:pPr>
      <w:r w:rsidRPr="00055FEB">
        <w:rPr>
          <w:rFonts w:cstheme="minorHAnsi"/>
          <w:b/>
          <w:color w:val="000000" w:themeColor="text1"/>
        </w:rPr>
        <w:t xml:space="preserve">Figure </w:t>
      </w:r>
      <w:r w:rsidR="00F25C21">
        <w:rPr>
          <w:rFonts w:cstheme="minorHAnsi"/>
          <w:b/>
          <w:color w:val="000000" w:themeColor="text1"/>
        </w:rPr>
        <w:t>6</w:t>
      </w:r>
      <w:r w:rsidR="008B5AA6">
        <w:rPr>
          <w:rFonts w:cstheme="minorHAnsi"/>
          <w:b/>
          <w:color w:val="000000" w:themeColor="text1"/>
        </w:rPr>
        <w:t>:</w:t>
      </w:r>
      <w:r w:rsidR="008A7894" w:rsidRPr="00C239C8">
        <w:rPr>
          <w:rFonts w:cstheme="minorHAnsi"/>
          <w:b/>
          <w:color w:val="000000" w:themeColor="text1"/>
        </w:rPr>
        <w:t xml:space="preserve"> Representative</w:t>
      </w:r>
      <w:r w:rsidR="007A5D26" w:rsidRPr="00C239C8">
        <w:rPr>
          <w:rFonts w:cstheme="minorHAnsi"/>
          <w:b/>
          <w:color w:val="000000" w:themeColor="text1"/>
        </w:rPr>
        <w:t xml:space="preserve"> </w:t>
      </w:r>
      <w:r w:rsidR="00C65DCB" w:rsidRPr="00C239C8">
        <w:rPr>
          <w:rFonts w:cstheme="minorHAnsi"/>
          <w:b/>
          <w:color w:val="000000" w:themeColor="text1"/>
        </w:rPr>
        <w:t xml:space="preserve">mutational </w:t>
      </w:r>
      <w:r w:rsidR="007A5D26" w:rsidRPr="00C239C8">
        <w:rPr>
          <w:rFonts w:cstheme="minorHAnsi"/>
          <w:b/>
          <w:color w:val="000000" w:themeColor="text1"/>
        </w:rPr>
        <w:t>spectrum</w:t>
      </w:r>
      <w:r w:rsidR="00C57DC5" w:rsidRPr="00C239C8">
        <w:rPr>
          <w:rFonts w:cstheme="minorHAnsi"/>
          <w:b/>
          <w:color w:val="000000" w:themeColor="text1"/>
        </w:rPr>
        <w:t xml:space="preserve"> analysis of somatic mutations in a HSPC sample. </w:t>
      </w:r>
      <w:r w:rsidR="007A5D26">
        <w:rPr>
          <w:rFonts w:cstheme="minorHAnsi"/>
          <w:color w:val="000000" w:themeColor="text1"/>
        </w:rPr>
        <w:t>Depicted is the relative contribution of each t</w:t>
      </w:r>
      <w:r>
        <w:rPr>
          <w:rFonts w:cstheme="minorHAnsi"/>
          <w:color w:val="000000" w:themeColor="text1"/>
        </w:rPr>
        <w:t xml:space="preserve">rinucleotide </w:t>
      </w:r>
      <w:r w:rsidR="007A5D26">
        <w:rPr>
          <w:rFonts w:cstheme="minorHAnsi"/>
          <w:color w:val="000000" w:themeColor="text1"/>
        </w:rPr>
        <w:t xml:space="preserve">change (of which the middle base is mutated) to the total spectrum. </w:t>
      </w:r>
    </w:p>
    <w:p w14:paraId="0C11C82D" w14:textId="523C496D" w:rsidR="009D6769" w:rsidRDefault="009D6769" w:rsidP="00C16832">
      <w:pPr>
        <w:spacing w:line="0" w:lineRule="atLeast"/>
        <w:rPr>
          <w:rFonts w:cstheme="minorHAnsi"/>
          <w:color w:val="000000" w:themeColor="text1"/>
        </w:rPr>
      </w:pPr>
    </w:p>
    <w:p w14:paraId="61922B1F" w14:textId="704072E8" w:rsidR="001C6F36" w:rsidRPr="001C6F36" w:rsidRDefault="001C6F36" w:rsidP="00C16832">
      <w:pPr>
        <w:spacing w:line="0" w:lineRule="atLeast"/>
        <w:rPr>
          <w:rFonts w:cstheme="minorHAnsi"/>
          <w:color w:val="000000" w:themeColor="text1"/>
        </w:rPr>
      </w:pPr>
      <w:r w:rsidRPr="00055FEB">
        <w:rPr>
          <w:rFonts w:cstheme="minorHAnsi"/>
          <w:b/>
          <w:color w:val="000000" w:themeColor="text1"/>
        </w:rPr>
        <w:t xml:space="preserve">Figure </w:t>
      </w:r>
      <w:r>
        <w:rPr>
          <w:rFonts w:cstheme="minorHAnsi"/>
          <w:b/>
          <w:color w:val="000000" w:themeColor="text1"/>
        </w:rPr>
        <w:t>7</w:t>
      </w:r>
      <w:r w:rsidR="008B5AA6">
        <w:rPr>
          <w:rFonts w:cstheme="minorHAnsi"/>
          <w:b/>
          <w:color w:val="000000" w:themeColor="text1"/>
        </w:rPr>
        <w:t>:</w:t>
      </w:r>
      <w:r>
        <w:rPr>
          <w:rFonts w:cstheme="minorHAnsi"/>
          <w:color w:val="000000" w:themeColor="text1"/>
        </w:rPr>
        <w:t xml:space="preserve"> </w:t>
      </w:r>
      <w:r w:rsidRPr="00C239C8">
        <w:rPr>
          <w:rFonts w:cstheme="minorHAnsi"/>
          <w:b/>
          <w:color w:val="000000" w:themeColor="text1"/>
        </w:rPr>
        <w:t>Manual inspection of mutations using IGV</w:t>
      </w:r>
      <w:r w:rsidR="00C239C8" w:rsidRPr="00C239C8">
        <w:rPr>
          <w:rFonts w:cstheme="minorHAnsi"/>
          <w:b/>
          <w:color w:val="000000" w:themeColor="text1"/>
          <w:vertAlign w:val="superscript"/>
        </w:rPr>
        <w:t>16</w:t>
      </w:r>
      <w:r w:rsidRPr="00C239C8">
        <w:rPr>
          <w:rFonts w:cstheme="minorHAnsi"/>
          <w:b/>
          <w:color w:val="000000" w:themeColor="text1"/>
        </w:rPr>
        <w:t xml:space="preserve">. </w:t>
      </w:r>
      <w:r w:rsidR="00A63006">
        <w:rPr>
          <w:rFonts w:cstheme="minorHAnsi"/>
          <w:b/>
          <w:color w:val="000000" w:themeColor="text1"/>
        </w:rPr>
        <w:t>(</w:t>
      </w:r>
      <w:r>
        <w:rPr>
          <w:rFonts w:cstheme="minorHAnsi"/>
          <w:b/>
          <w:color w:val="000000" w:themeColor="text1"/>
        </w:rPr>
        <w:t>A</w:t>
      </w:r>
      <w:r w:rsidR="00A63006">
        <w:rPr>
          <w:rFonts w:cstheme="minorHAnsi"/>
          <w:b/>
          <w:color w:val="000000" w:themeColor="text1"/>
        </w:rPr>
        <w:t>)</w:t>
      </w:r>
      <w:r w:rsidR="001237F6">
        <w:rPr>
          <w:rFonts w:cstheme="minorHAnsi"/>
          <w:b/>
          <w:color w:val="000000" w:themeColor="text1"/>
        </w:rPr>
        <w:t xml:space="preserve"> </w:t>
      </w:r>
      <w:r>
        <w:rPr>
          <w:rFonts w:cstheme="minorHAnsi"/>
          <w:color w:val="000000" w:themeColor="text1"/>
        </w:rPr>
        <w:t xml:space="preserve">Mutations are considered true when present in the clone and not in the bulk sample. </w:t>
      </w:r>
      <w:r w:rsidR="00A63006">
        <w:rPr>
          <w:rFonts w:cstheme="minorHAnsi"/>
          <w:color w:val="000000" w:themeColor="text1"/>
        </w:rPr>
        <w:t>(</w:t>
      </w:r>
      <w:r>
        <w:rPr>
          <w:rFonts w:cstheme="minorHAnsi"/>
          <w:b/>
          <w:color w:val="000000" w:themeColor="text1"/>
        </w:rPr>
        <w:t>B</w:t>
      </w:r>
      <w:r w:rsidR="00A63006">
        <w:rPr>
          <w:rFonts w:cstheme="minorHAnsi"/>
          <w:b/>
          <w:color w:val="000000" w:themeColor="text1"/>
        </w:rPr>
        <w:t>)</w:t>
      </w:r>
      <w:r>
        <w:rPr>
          <w:rFonts w:cstheme="minorHAnsi"/>
          <w:color w:val="000000" w:themeColor="text1"/>
        </w:rPr>
        <w:t xml:space="preserve"> Mutation</w:t>
      </w:r>
      <w:r w:rsidR="00A63006">
        <w:rPr>
          <w:rFonts w:cstheme="minorHAnsi"/>
          <w:color w:val="000000" w:themeColor="text1"/>
        </w:rPr>
        <w:t>s are</w:t>
      </w:r>
      <w:r>
        <w:rPr>
          <w:rFonts w:cstheme="minorHAnsi"/>
          <w:color w:val="000000" w:themeColor="text1"/>
        </w:rPr>
        <w:t xml:space="preserve"> considered as false positive</w:t>
      </w:r>
      <w:r w:rsidR="00A63006">
        <w:rPr>
          <w:rFonts w:cstheme="minorHAnsi"/>
          <w:color w:val="000000" w:themeColor="text1"/>
        </w:rPr>
        <w:t>s when</w:t>
      </w:r>
      <w:r>
        <w:rPr>
          <w:rFonts w:cstheme="minorHAnsi"/>
          <w:color w:val="000000" w:themeColor="text1"/>
        </w:rPr>
        <w:t xml:space="preserve"> present in a poorly mapped region. </w:t>
      </w:r>
      <w:r w:rsidR="00A63006">
        <w:rPr>
          <w:rFonts w:cstheme="minorHAnsi"/>
          <w:color w:val="000000" w:themeColor="text1"/>
        </w:rPr>
        <w:t>(</w:t>
      </w:r>
      <w:r>
        <w:rPr>
          <w:rFonts w:cstheme="minorHAnsi"/>
          <w:b/>
          <w:color w:val="000000" w:themeColor="text1"/>
        </w:rPr>
        <w:t>C</w:t>
      </w:r>
      <w:r w:rsidR="00A63006">
        <w:rPr>
          <w:rFonts w:cstheme="minorHAnsi"/>
          <w:b/>
          <w:color w:val="000000" w:themeColor="text1"/>
        </w:rPr>
        <w:t>)</w:t>
      </w:r>
      <w:r>
        <w:rPr>
          <w:rFonts w:cstheme="minorHAnsi"/>
          <w:b/>
          <w:color w:val="000000" w:themeColor="text1"/>
        </w:rPr>
        <w:t xml:space="preserve"> </w:t>
      </w:r>
      <w:r>
        <w:rPr>
          <w:rFonts w:cstheme="minorHAnsi"/>
          <w:color w:val="000000" w:themeColor="text1"/>
        </w:rPr>
        <w:t>Mutation</w:t>
      </w:r>
      <w:r w:rsidR="00A63006">
        <w:rPr>
          <w:rFonts w:cstheme="minorHAnsi"/>
          <w:color w:val="000000" w:themeColor="text1"/>
        </w:rPr>
        <w:t>s are</w:t>
      </w:r>
      <w:r>
        <w:rPr>
          <w:rFonts w:cstheme="minorHAnsi"/>
          <w:color w:val="000000" w:themeColor="text1"/>
        </w:rPr>
        <w:t xml:space="preserve"> considered as false positive</w:t>
      </w:r>
      <w:r w:rsidR="00A63006">
        <w:rPr>
          <w:rFonts w:cstheme="minorHAnsi"/>
          <w:color w:val="000000" w:themeColor="text1"/>
        </w:rPr>
        <w:t>s when</w:t>
      </w:r>
      <w:r>
        <w:rPr>
          <w:rFonts w:cstheme="minorHAnsi"/>
          <w:color w:val="000000" w:themeColor="text1"/>
        </w:rPr>
        <w:t xml:space="preserve"> present in</w:t>
      </w:r>
      <w:r w:rsidR="00A63006">
        <w:rPr>
          <w:rFonts w:cstheme="minorHAnsi"/>
          <w:color w:val="000000" w:themeColor="text1"/>
        </w:rPr>
        <w:t xml:space="preserve"> a</w:t>
      </w:r>
      <w:r>
        <w:rPr>
          <w:rFonts w:cstheme="minorHAnsi"/>
          <w:color w:val="000000" w:themeColor="text1"/>
        </w:rPr>
        <w:t xml:space="preserve"> germline control. </w:t>
      </w:r>
      <w:r w:rsidR="00A63006">
        <w:rPr>
          <w:rFonts w:cstheme="minorHAnsi"/>
          <w:color w:val="000000" w:themeColor="text1"/>
        </w:rPr>
        <w:t>The v</w:t>
      </w:r>
      <w:r>
        <w:rPr>
          <w:rFonts w:cstheme="minorHAnsi"/>
          <w:color w:val="000000" w:themeColor="text1"/>
        </w:rPr>
        <w:t xml:space="preserve">ertical line indicates </w:t>
      </w:r>
      <w:r w:rsidR="00A63006">
        <w:rPr>
          <w:rFonts w:cstheme="minorHAnsi"/>
          <w:color w:val="000000" w:themeColor="text1"/>
        </w:rPr>
        <w:t xml:space="preserve">the </w:t>
      </w:r>
      <w:r>
        <w:rPr>
          <w:rFonts w:cstheme="minorHAnsi"/>
          <w:color w:val="000000" w:themeColor="text1"/>
        </w:rPr>
        <w:t>position of</w:t>
      </w:r>
      <w:r w:rsidR="00A63006">
        <w:rPr>
          <w:rFonts w:cstheme="minorHAnsi"/>
          <w:color w:val="000000" w:themeColor="text1"/>
        </w:rPr>
        <w:t xml:space="preserve"> a</w:t>
      </w:r>
      <w:r>
        <w:rPr>
          <w:rFonts w:cstheme="minorHAnsi"/>
          <w:color w:val="000000" w:themeColor="text1"/>
        </w:rPr>
        <w:t xml:space="preserve"> called mutation</w:t>
      </w:r>
      <w:r w:rsidR="00C239C8">
        <w:rPr>
          <w:rFonts w:cstheme="minorHAnsi"/>
          <w:color w:val="000000" w:themeColor="text1"/>
        </w:rPr>
        <w:t>.</w:t>
      </w:r>
    </w:p>
    <w:p w14:paraId="6DD9AE71" w14:textId="77777777" w:rsidR="001C6F36" w:rsidRDefault="001C6F36" w:rsidP="00C16832">
      <w:pPr>
        <w:spacing w:line="0" w:lineRule="atLeast"/>
        <w:rPr>
          <w:rFonts w:cstheme="minorHAnsi"/>
          <w:color w:val="000000" w:themeColor="text1"/>
        </w:rPr>
      </w:pPr>
    </w:p>
    <w:p w14:paraId="2A6B9486" w14:textId="73853393" w:rsidR="009D6769" w:rsidRDefault="009D6769" w:rsidP="00C16832">
      <w:pPr>
        <w:spacing w:line="0" w:lineRule="atLeast"/>
        <w:rPr>
          <w:rFonts w:cstheme="minorHAnsi"/>
          <w:color w:val="000000" w:themeColor="text1"/>
        </w:rPr>
      </w:pPr>
      <w:r w:rsidRPr="00055FEB">
        <w:rPr>
          <w:rFonts w:cstheme="minorHAnsi"/>
          <w:b/>
          <w:color w:val="000000" w:themeColor="text1"/>
        </w:rPr>
        <w:t xml:space="preserve">Figure </w:t>
      </w:r>
      <w:r w:rsidR="001C6F36">
        <w:rPr>
          <w:rFonts w:cstheme="minorHAnsi"/>
          <w:b/>
          <w:color w:val="000000" w:themeColor="text1"/>
        </w:rPr>
        <w:t>8</w:t>
      </w:r>
      <w:r w:rsidR="008B5AA6">
        <w:rPr>
          <w:rFonts w:cstheme="minorHAnsi"/>
          <w:b/>
          <w:color w:val="000000" w:themeColor="text1"/>
        </w:rPr>
        <w:t>:</w:t>
      </w:r>
      <w:r>
        <w:rPr>
          <w:rFonts w:cstheme="minorHAnsi"/>
          <w:color w:val="000000" w:themeColor="text1"/>
        </w:rPr>
        <w:t xml:space="preserve"> </w:t>
      </w:r>
      <w:r w:rsidR="007A5D26" w:rsidRPr="00C239C8">
        <w:rPr>
          <w:rFonts w:cstheme="minorHAnsi"/>
          <w:b/>
          <w:color w:val="000000" w:themeColor="text1"/>
        </w:rPr>
        <w:t>Construction of a developmental l</w:t>
      </w:r>
      <w:r w:rsidRPr="00C239C8">
        <w:rPr>
          <w:rFonts w:cstheme="minorHAnsi"/>
          <w:b/>
          <w:color w:val="000000" w:themeColor="text1"/>
        </w:rPr>
        <w:t>ineage tree.</w:t>
      </w:r>
      <w:r>
        <w:rPr>
          <w:rFonts w:cstheme="minorHAnsi"/>
          <w:color w:val="000000" w:themeColor="text1"/>
        </w:rPr>
        <w:t xml:space="preserve"> </w:t>
      </w:r>
      <w:r w:rsidR="00021EA7">
        <w:rPr>
          <w:rFonts w:cstheme="minorHAnsi"/>
          <w:color w:val="000000" w:themeColor="text1"/>
        </w:rPr>
        <w:t xml:space="preserve">Depicted is a </w:t>
      </w:r>
      <w:r>
        <w:rPr>
          <w:rFonts w:cstheme="minorHAnsi"/>
          <w:color w:val="000000" w:themeColor="text1"/>
        </w:rPr>
        <w:t xml:space="preserve">dendrogram </w:t>
      </w:r>
      <w:r w:rsidR="00021EA7">
        <w:rPr>
          <w:rFonts w:cstheme="minorHAnsi"/>
          <w:color w:val="000000" w:themeColor="text1"/>
        </w:rPr>
        <w:t>indicating developmental lineages splitting of</w:t>
      </w:r>
      <w:r w:rsidR="00C65DCB">
        <w:rPr>
          <w:rFonts w:cstheme="minorHAnsi"/>
          <w:color w:val="000000" w:themeColor="text1"/>
        </w:rPr>
        <w:t>f</w:t>
      </w:r>
      <w:r w:rsidR="00021EA7">
        <w:rPr>
          <w:rFonts w:cstheme="minorHAnsi"/>
          <w:color w:val="000000" w:themeColor="text1"/>
        </w:rPr>
        <w:t xml:space="preserve"> during development. The heatmap under the dendrogram indicates </w:t>
      </w:r>
      <w:r w:rsidR="00140900">
        <w:rPr>
          <w:rFonts w:cstheme="minorHAnsi"/>
          <w:color w:val="000000" w:themeColor="text1"/>
        </w:rPr>
        <w:t xml:space="preserve">the </w:t>
      </w:r>
      <w:r w:rsidR="00021EA7">
        <w:rPr>
          <w:rFonts w:cstheme="minorHAnsi"/>
          <w:color w:val="000000" w:themeColor="text1"/>
        </w:rPr>
        <w:t>presence of mutations in different clones</w:t>
      </w:r>
      <w:r>
        <w:rPr>
          <w:rFonts w:cstheme="minorHAnsi"/>
          <w:color w:val="000000" w:themeColor="text1"/>
        </w:rPr>
        <w:t xml:space="preserve">. </w:t>
      </w:r>
    </w:p>
    <w:p w14:paraId="23C0204D" w14:textId="79615FD5" w:rsidR="006079E5" w:rsidRDefault="006079E5" w:rsidP="00C16832">
      <w:pPr>
        <w:spacing w:line="0" w:lineRule="atLeast"/>
        <w:rPr>
          <w:rFonts w:cstheme="minorHAnsi"/>
          <w:color w:val="000000" w:themeColor="text1"/>
        </w:rPr>
      </w:pPr>
    </w:p>
    <w:p w14:paraId="27A65914" w14:textId="41F298BE" w:rsidR="006079E5" w:rsidRPr="006079E5" w:rsidRDefault="006079E5" w:rsidP="00C16832">
      <w:pPr>
        <w:spacing w:line="0" w:lineRule="atLeast"/>
        <w:rPr>
          <w:rFonts w:cstheme="minorHAnsi"/>
          <w:color w:val="000000" w:themeColor="text1"/>
        </w:rPr>
      </w:pPr>
      <w:r>
        <w:rPr>
          <w:rFonts w:cstheme="minorHAnsi"/>
          <w:b/>
          <w:color w:val="000000" w:themeColor="text1"/>
        </w:rPr>
        <w:t>Table 1</w:t>
      </w:r>
      <w:r w:rsidR="008B5AA6">
        <w:rPr>
          <w:rFonts w:cstheme="minorHAnsi"/>
          <w:b/>
          <w:color w:val="000000" w:themeColor="text1"/>
        </w:rPr>
        <w:t xml:space="preserve">: </w:t>
      </w:r>
      <w:r w:rsidRPr="00C16832">
        <w:rPr>
          <w:rFonts w:cstheme="minorHAnsi"/>
          <w:b/>
          <w:color w:val="000000" w:themeColor="text1"/>
        </w:rPr>
        <w:t>HSC sorting mix.</w:t>
      </w:r>
      <w:r>
        <w:rPr>
          <w:rFonts w:cstheme="minorHAnsi"/>
          <w:color w:val="000000" w:themeColor="text1"/>
        </w:rPr>
        <w:t xml:space="preserve"> </w:t>
      </w:r>
      <w:r w:rsidR="00530BAC">
        <w:rPr>
          <w:rFonts w:cstheme="minorHAnsi"/>
          <w:color w:val="000000" w:themeColor="text1"/>
        </w:rPr>
        <w:t>Shown is a t</w:t>
      </w:r>
      <w:r>
        <w:rPr>
          <w:rFonts w:cstheme="minorHAnsi"/>
          <w:color w:val="000000" w:themeColor="text1"/>
        </w:rPr>
        <w:t>able indicating the dilutions of antibodies</w:t>
      </w:r>
      <w:r w:rsidR="003D7421">
        <w:rPr>
          <w:rFonts w:cstheme="minorHAnsi"/>
          <w:color w:val="000000" w:themeColor="text1"/>
        </w:rPr>
        <w:t xml:space="preserve"> used</w:t>
      </w:r>
      <w:r>
        <w:rPr>
          <w:rFonts w:cstheme="minorHAnsi"/>
          <w:color w:val="000000" w:themeColor="text1"/>
        </w:rPr>
        <w:t xml:space="preserve"> to sort the HSCs. </w:t>
      </w:r>
    </w:p>
    <w:p w14:paraId="4F3800DC" w14:textId="77777777" w:rsidR="00F7351E" w:rsidRDefault="00F7351E" w:rsidP="00C16832">
      <w:pPr>
        <w:spacing w:line="0" w:lineRule="atLeast"/>
        <w:rPr>
          <w:rFonts w:cstheme="minorHAnsi"/>
          <w:b/>
        </w:rPr>
      </w:pPr>
    </w:p>
    <w:p w14:paraId="5B3853DC" w14:textId="1C8902AA" w:rsidR="00942E88" w:rsidRDefault="00C60D72" w:rsidP="00C16832">
      <w:pPr>
        <w:spacing w:line="0" w:lineRule="atLeast"/>
      </w:pPr>
      <w:r>
        <w:rPr>
          <w:rFonts w:cstheme="minorHAnsi"/>
          <w:b/>
        </w:rPr>
        <w:t>DISCUSSION</w:t>
      </w:r>
      <w:r>
        <w:rPr>
          <w:rFonts w:cstheme="minorHAnsi"/>
          <w:b/>
          <w:bCs/>
        </w:rPr>
        <w:t xml:space="preserve">: </w:t>
      </w:r>
    </w:p>
    <w:p w14:paraId="77B2D96C" w14:textId="208F7723" w:rsidR="00800962" w:rsidRDefault="00530BAC" w:rsidP="00C16832">
      <w:pPr>
        <w:spacing w:line="0" w:lineRule="atLeast"/>
        <w:rPr>
          <w:rFonts w:asciiTheme="minorHAnsi" w:hAnsiTheme="minorHAnsi" w:cstheme="minorHAnsi"/>
          <w:color w:val="00000A"/>
        </w:rPr>
      </w:pPr>
      <w:r>
        <w:rPr>
          <w:rFonts w:asciiTheme="minorHAnsi" w:hAnsiTheme="minorHAnsi" w:cstheme="minorHAnsi"/>
          <w:color w:val="00000A"/>
        </w:rPr>
        <w:t>P</w:t>
      </w:r>
      <w:r w:rsidR="00133933">
        <w:rPr>
          <w:rFonts w:asciiTheme="minorHAnsi" w:hAnsiTheme="minorHAnsi" w:cstheme="minorHAnsi"/>
          <w:color w:val="00000A"/>
        </w:rPr>
        <w:t>resen</w:t>
      </w:r>
      <w:r w:rsidR="0021653C">
        <w:rPr>
          <w:rFonts w:asciiTheme="minorHAnsi" w:hAnsiTheme="minorHAnsi" w:cstheme="minorHAnsi"/>
          <w:color w:val="00000A"/>
        </w:rPr>
        <w:t>t</w:t>
      </w:r>
      <w:r>
        <w:rPr>
          <w:rFonts w:asciiTheme="minorHAnsi" w:hAnsiTheme="minorHAnsi" w:cstheme="minorHAnsi"/>
          <w:color w:val="00000A"/>
        </w:rPr>
        <w:t>ed here is</w:t>
      </w:r>
      <w:r w:rsidR="00133933">
        <w:rPr>
          <w:rFonts w:asciiTheme="minorHAnsi" w:hAnsiTheme="minorHAnsi" w:cstheme="minorHAnsi"/>
          <w:color w:val="00000A"/>
        </w:rPr>
        <w:t xml:space="preserve"> a method to det</w:t>
      </w:r>
      <w:r w:rsidR="00D2596A">
        <w:rPr>
          <w:rFonts w:asciiTheme="minorHAnsi" w:hAnsiTheme="minorHAnsi" w:cstheme="minorHAnsi"/>
          <w:color w:val="00000A"/>
        </w:rPr>
        <w:t xml:space="preserve">ect </w:t>
      </w:r>
      <w:r w:rsidR="0021653C">
        <w:rPr>
          <w:rFonts w:asciiTheme="minorHAnsi" w:hAnsiTheme="minorHAnsi" w:cstheme="minorHAnsi"/>
          <w:color w:val="00000A"/>
        </w:rPr>
        <w:t>mutations</w:t>
      </w:r>
      <w:r w:rsidR="00360A17">
        <w:rPr>
          <w:rFonts w:asciiTheme="minorHAnsi" w:hAnsiTheme="minorHAnsi" w:cstheme="minorHAnsi"/>
          <w:color w:val="00000A"/>
        </w:rPr>
        <w:t xml:space="preserve"> that </w:t>
      </w:r>
      <w:r w:rsidR="00D2596A">
        <w:rPr>
          <w:rFonts w:asciiTheme="minorHAnsi" w:hAnsiTheme="minorHAnsi" w:cstheme="minorHAnsi"/>
          <w:color w:val="00000A"/>
        </w:rPr>
        <w:t>accumulat</w:t>
      </w:r>
      <w:r w:rsidR="0021653C">
        <w:rPr>
          <w:rFonts w:asciiTheme="minorHAnsi" w:hAnsiTheme="minorHAnsi" w:cstheme="minorHAnsi"/>
          <w:color w:val="00000A"/>
        </w:rPr>
        <w:t>e</w:t>
      </w:r>
      <w:r w:rsidR="00021EA7">
        <w:rPr>
          <w:rFonts w:asciiTheme="minorHAnsi" w:hAnsiTheme="minorHAnsi" w:cstheme="minorHAnsi"/>
          <w:color w:val="00000A"/>
        </w:rPr>
        <w:t>d</w:t>
      </w:r>
      <w:r w:rsidR="00F64F14">
        <w:rPr>
          <w:rFonts w:asciiTheme="minorHAnsi" w:hAnsiTheme="minorHAnsi" w:cstheme="minorHAnsi"/>
          <w:color w:val="00000A"/>
        </w:rPr>
        <w:t xml:space="preserve"> during life</w:t>
      </w:r>
      <w:r w:rsidR="00D2596A">
        <w:rPr>
          <w:rFonts w:asciiTheme="minorHAnsi" w:hAnsiTheme="minorHAnsi" w:cstheme="minorHAnsi"/>
          <w:color w:val="00000A"/>
        </w:rPr>
        <w:t xml:space="preserve"> in </w:t>
      </w:r>
      <w:r w:rsidR="00360A17">
        <w:rPr>
          <w:rFonts w:asciiTheme="minorHAnsi" w:hAnsiTheme="minorHAnsi" w:cstheme="minorHAnsi"/>
          <w:color w:val="00000A"/>
        </w:rPr>
        <w:t xml:space="preserve">individual </w:t>
      </w:r>
      <w:r w:rsidR="00F64F14">
        <w:rPr>
          <w:rFonts w:asciiTheme="minorHAnsi" w:hAnsiTheme="minorHAnsi" w:cstheme="minorHAnsi"/>
          <w:color w:val="00000A"/>
        </w:rPr>
        <w:t>HSPCs</w:t>
      </w:r>
      <w:r w:rsidR="00021EA7">
        <w:rPr>
          <w:rFonts w:asciiTheme="minorHAnsi" w:hAnsiTheme="minorHAnsi" w:cstheme="minorHAnsi"/>
          <w:color w:val="00000A"/>
        </w:rPr>
        <w:t xml:space="preserve"> and to construct an </w:t>
      </w:r>
      <w:r w:rsidR="00133933">
        <w:rPr>
          <w:rFonts w:asciiTheme="minorHAnsi" w:hAnsiTheme="minorHAnsi" w:cstheme="minorHAnsi"/>
          <w:color w:val="00000A"/>
        </w:rPr>
        <w:t>early developmental lineage tree</w:t>
      </w:r>
      <w:r w:rsidR="00021EA7">
        <w:rPr>
          <w:rFonts w:asciiTheme="minorHAnsi" w:hAnsiTheme="minorHAnsi" w:cstheme="minorHAnsi"/>
          <w:color w:val="00000A"/>
        </w:rPr>
        <w:t xml:space="preserve"> using these mutation data.</w:t>
      </w:r>
    </w:p>
    <w:p w14:paraId="6D18172F" w14:textId="102BB698" w:rsidR="002513EB" w:rsidRDefault="00800962" w:rsidP="00C16832">
      <w:pPr>
        <w:spacing w:line="0" w:lineRule="atLeast"/>
        <w:rPr>
          <w:rFonts w:asciiTheme="minorHAnsi" w:hAnsiTheme="minorHAnsi" w:cstheme="minorHAnsi"/>
          <w:color w:val="00000A"/>
        </w:rPr>
      </w:pPr>
      <w:r>
        <w:rPr>
          <w:rFonts w:asciiTheme="minorHAnsi" w:hAnsiTheme="minorHAnsi" w:cstheme="minorHAnsi"/>
          <w:color w:val="00000A"/>
        </w:rPr>
        <w:t>S</w:t>
      </w:r>
      <w:r w:rsidR="00133933">
        <w:rPr>
          <w:rFonts w:asciiTheme="minorHAnsi" w:hAnsiTheme="minorHAnsi" w:cstheme="minorHAnsi"/>
          <w:color w:val="00000A"/>
        </w:rPr>
        <w:t>everal critical re</w:t>
      </w:r>
      <w:r w:rsidR="00D2596A">
        <w:rPr>
          <w:rFonts w:asciiTheme="minorHAnsi" w:hAnsiTheme="minorHAnsi" w:cstheme="minorHAnsi"/>
          <w:color w:val="00000A"/>
        </w:rPr>
        <w:t>q</w:t>
      </w:r>
      <w:r w:rsidR="00133933">
        <w:rPr>
          <w:rFonts w:asciiTheme="minorHAnsi" w:hAnsiTheme="minorHAnsi" w:cstheme="minorHAnsi"/>
          <w:color w:val="00000A"/>
        </w:rPr>
        <w:t>uirements must be met</w:t>
      </w:r>
      <w:r>
        <w:rPr>
          <w:rFonts w:asciiTheme="minorHAnsi" w:hAnsiTheme="minorHAnsi" w:cstheme="minorHAnsi"/>
          <w:color w:val="00000A"/>
        </w:rPr>
        <w:t xml:space="preserve"> in order </w:t>
      </w:r>
      <w:r w:rsidR="00B63527">
        <w:rPr>
          <w:rFonts w:asciiTheme="minorHAnsi" w:hAnsiTheme="minorHAnsi" w:cstheme="minorHAnsi"/>
          <w:color w:val="00000A"/>
        </w:rPr>
        <w:t xml:space="preserve">to successfully </w:t>
      </w:r>
      <w:r>
        <w:rPr>
          <w:rFonts w:asciiTheme="minorHAnsi" w:hAnsiTheme="minorHAnsi" w:cstheme="minorHAnsi"/>
          <w:color w:val="00000A"/>
        </w:rPr>
        <w:t>perform th</w:t>
      </w:r>
      <w:r w:rsidR="00021EA7">
        <w:rPr>
          <w:rFonts w:asciiTheme="minorHAnsi" w:hAnsiTheme="minorHAnsi" w:cstheme="minorHAnsi"/>
          <w:color w:val="00000A"/>
        </w:rPr>
        <w:t>ese</w:t>
      </w:r>
      <w:r>
        <w:rPr>
          <w:rFonts w:asciiTheme="minorHAnsi" w:hAnsiTheme="minorHAnsi" w:cstheme="minorHAnsi"/>
          <w:color w:val="00000A"/>
        </w:rPr>
        <w:t xml:space="preserve"> assay</w:t>
      </w:r>
      <w:r w:rsidR="00021EA7">
        <w:rPr>
          <w:rFonts w:asciiTheme="minorHAnsi" w:hAnsiTheme="minorHAnsi" w:cstheme="minorHAnsi"/>
          <w:color w:val="00000A"/>
        </w:rPr>
        <w:t>s</w:t>
      </w:r>
      <w:r>
        <w:rPr>
          <w:rFonts w:asciiTheme="minorHAnsi" w:hAnsiTheme="minorHAnsi" w:cstheme="minorHAnsi"/>
          <w:color w:val="00000A"/>
        </w:rPr>
        <w:t xml:space="preserve">. </w:t>
      </w:r>
      <w:r w:rsidR="00133933">
        <w:rPr>
          <w:rFonts w:asciiTheme="minorHAnsi" w:hAnsiTheme="minorHAnsi" w:cstheme="minorHAnsi"/>
          <w:color w:val="00000A"/>
        </w:rPr>
        <w:t xml:space="preserve">First, the </w:t>
      </w:r>
      <w:r w:rsidR="00C46818">
        <w:rPr>
          <w:rFonts w:asciiTheme="minorHAnsi" w:hAnsiTheme="minorHAnsi" w:cstheme="minorHAnsi"/>
          <w:color w:val="00000A"/>
        </w:rPr>
        <w:t xml:space="preserve">viability of the </w:t>
      </w:r>
      <w:r w:rsidR="003A52C9">
        <w:rPr>
          <w:rFonts w:asciiTheme="minorHAnsi" w:hAnsiTheme="minorHAnsi" w:cstheme="minorHAnsi"/>
          <w:color w:val="00000A"/>
        </w:rPr>
        <w:t>sample</w:t>
      </w:r>
      <w:r w:rsidR="00C46818">
        <w:rPr>
          <w:rFonts w:asciiTheme="minorHAnsi" w:hAnsiTheme="minorHAnsi" w:cstheme="minorHAnsi"/>
          <w:color w:val="00000A"/>
        </w:rPr>
        <w:t xml:space="preserve"> must be ensured</w:t>
      </w:r>
      <w:r w:rsidR="00133933">
        <w:rPr>
          <w:rFonts w:asciiTheme="minorHAnsi" w:hAnsiTheme="minorHAnsi" w:cstheme="minorHAnsi"/>
          <w:color w:val="00000A"/>
        </w:rPr>
        <w:t xml:space="preserve">. </w:t>
      </w:r>
      <w:r w:rsidR="00C46818">
        <w:rPr>
          <w:rFonts w:asciiTheme="minorHAnsi" w:hAnsiTheme="minorHAnsi" w:cstheme="minorHAnsi"/>
          <w:color w:val="00000A"/>
        </w:rPr>
        <w:t>Q</w:t>
      </w:r>
      <w:r w:rsidR="00133933">
        <w:rPr>
          <w:rFonts w:asciiTheme="minorHAnsi" w:hAnsiTheme="minorHAnsi" w:cstheme="minorHAnsi"/>
          <w:color w:val="00000A"/>
        </w:rPr>
        <w:t>uick handling</w:t>
      </w:r>
      <w:r w:rsidR="008C530F">
        <w:rPr>
          <w:rFonts w:asciiTheme="minorHAnsi" w:hAnsiTheme="minorHAnsi" w:cstheme="minorHAnsi"/>
          <w:color w:val="00000A"/>
        </w:rPr>
        <w:t xml:space="preserve"> of </w:t>
      </w:r>
      <w:r w:rsidR="001463FB">
        <w:rPr>
          <w:rFonts w:asciiTheme="minorHAnsi" w:hAnsiTheme="minorHAnsi" w:cstheme="minorHAnsi"/>
          <w:color w:val="00000A"/>
        </w:rPr>
        <w:t xml:space="preserve">the </w:t>
      </w:r>
      <w:r w:rsidR="008C530F">
        <w:rPr>
          <w:rFonts w:asciiTheme="minorHAnsi" w:hAnsiTheme="minorHAnsi" w:cstheme="minorHAnsi"/>
          <w:color w:val="00000A"/>
        </w:rPr>
        <w:t>sample</w:t>
      </w:r>
      <w:r w:rsidR="00C46818">
        <w:rPr>
          <w:rFonts w:asciiTheme="minorHAnsi" w:hAnsiTheme="minorHAnsi" w:cstheme="minorHAnsi"/>
          <w:color w:val="00000A"/>
        </w:rPr>
        <w:t xml:space="preserve"> </w:t>
      </w:r>
      <w:r w:rsidR="00B9636E">
        <w:rPr>
          <w:rFonts w:asciiTheme="minorHAnsi" w:hAnsiTheme="minorHAnsi" w:cstheme="minorHAnsi"/>
          <w:color w:val="00000A"/>
        </w:rPr>
        <w:t>is</w:t>
      </w:r>
      <w:r w:rsidR="00C46818">
        <w:rPr>
          <w:rFonts w:asciiTheme="minorHAnsi" w:hAnsiTheme="minorHAnsi" w:cstheme="minorHAnsi"/>
          <w:color w:val="00000A"/>
        </w:rPr>
        <w:t xml:space="preserve"> key </w:t>
      </w:r>
      <w:r w:rsidR="003A52C9">
        <w:rPr>
          <w:rFonts w:asciiTheme="minorHAnsi" w:hAnsiTheme="minorHAnsi" w:cstheme="minorHAnsi"/>
          <w:color w:val="00000A"/>
        </w:rPr>
        <w:t xml:space="preserve">to </w:t>
      </w:r>
      <w:r w:rsidR="00C46818">
        <w:rPr>
          <w:rFonts w:asciiTheme="minorHAnsi" w:hAnsiTheme="minorHAnsi" w:cstheme="minorHAnsi"/>
          <w:color w:val="00000A"/>
        </w:rPr>
        <w:t xml:space="preserve">ensure </w:t>
      </w:r>
      <w:r w:rsidR="00360A17">
        <w:rPr>
          <w:rFonts w:asciiTheme="minorHAnsi" w:hAnsiTheme="minorHAnsi" w:cstheme="minorHAnsi"/>
          <w:color w:val="00000A"/>
        </w:rPr>
        <w:t>the efficiency of the procedure</w:t>
      </w:r>
      <w:r w:rsidR="00401178">
        <w:rPr>
          <w:rFonts w:asciiTheme="minorHAnsi" w:hAnsiTheme="minorHAnsi" w:cstheme="minorHAnsi"/>
          <w:color w:val="00000A"/>
        </w:rPr>
        <w:t>.</w:t>
      </w:r>
      <w:r w:rsidR="00133933">
        <w:rPr>
          <w:rFonts w:asciiTheme="minorHAnsi" w:hAnsiTheme="minorHAnsi" w:cstheme="minorHAnsi"/>
          <w:color w:val="00000A"/>
        </w:rPr>
        <w:t xml:space="preserve"> </w:t>
      </w:r>
      <w:r w:rsidR="003A52C9">
        <w:rPr>
          <w:rFonts w:asciiTheme="minorHAnsi" w:hAnsiTheme="minorHAnsi" w:cstheme="minorHAnsi"/>
          <w:color w:val="00000A"/>
        </w:rPr>
        <w:t>Second</w:t>
      </w:r>
      <w:r w:rsidR="00133933">
        <w:rPr>
          <w:rFonts w:asciiTheme="minorHAnsi" w:hAnsiTheme="minorHAnsi" w:cstheme="minorHAnsi"/>
          <w:color w:val="00000A"/>
        </w:rPr>
        <w:t>,</w:t>
      </w:r>
      <w:r w:rsidR="00FB43BB">
        <w:rPr>
          <w:rFonts w:asciiTheme="minorHAnsi" w:hAnsiTheme="minorHAnsi" w:cstheme="minorHAnsi"/>
          <w:color w:val="00000A"/>
        </w:rPr>
        <w:t xml:space="preserve"> loss of growth factor </w:t>
      </w:r>
      <w:r w:rsidR="0018241D">
        <w:rPr>
          <w:rFonts w:asciiTheme="minorHAnsi" w:hAnsiTheme="minorHAnsi" w:cstheme="minorHAnsi"/>
          <w:color w:val="00000A"/>
        </w:rPr>
        <w:t>potency</w:t>
      </w:r>
      <w:r w:rsidR="00FB43BB">
        <w:rPr>
          <w:rFonts w:asciiTheme="minorHAnsi" w:hAnsiTheme="minorHAnsi" w:cstheme="minorHAnsi"/>
          <w:color w:val="00000A"/>
        </w:rPr>
        <w:t xml:space="preserve"> will </w:t>
      </w:r>
      <w:r w:rsidR="00021EA7">
        <w:rPr>
          <w:rFonts w:asciiTheme="minorHAnsi" w:hAnsiTheme="minorHAnsi" w:cstheme="minorHAnsi"/>
          <w:color w:val="00000A"/>
        </w:rPr>
        <w:t>negatively affect the</w:t>
      </w:r>
      <w:r w:rsidR="005C69C3">
        <w:rPr>
          <w:rFonts w:asciiTheme="minorHAnsi" w:hAnsiTheme="minorHAnsi" w:cstheme="minorHAnsi"/>
          <w:color w:val="00000A"/>
        </w:rPr>
        <w:t xml:space="preserve"> </w:t>
      </w:r>
      <w:r w:rsidR="00FB43BB">
        <w:rPr>
          <w:rFonts w:asciiTheme="minorHAnsi" w:hAnsiTheme="minorHAnsi" w:cstheme="minorHAnsi"/>
          <w:color w:val="00000A"/>
        </w:rPr>
        <w:t xml:space="preserve">clonal </w:t>
      </w:r>
      <w:r w:rsidR="00021EA7">
        <w:rPr>
          <w:rFonts w:asciiTheme="minorHAnsi" w:hAnsiTheme="minorHAnsi" w:cstheme="minorHAnsi"/>
          <w:color w:val="00000A"/>
        </w:rPr>
        <w:t>expansion of HSPCs</w:t>
      </w:r>
      <w:r w:rsidR="00FB43BB">
        <w:rPr>
          <w:rFonts w:asciiTheme="minorHAnsi" w:hAnsiTheme="minorHAnsi" w:cstheme="minorHAnsi"/>
          <w:color w:val="00000A"/>
        </w:rPr>
        <w:t xml:space="preserve">. To ensure high growth </w:t>
      </w:r>
      <w:r w:rsidR="00366102">
        <w:rPr>
          <w:rFonts w:asciiTheme="minorHAnsi" w:hAnsiTheme="minorHAnsi" w:cstheme="minorHAnsi"/>
          <w:color w:val="00000A"/>
        </w:rPr>
        <w:t>factor poten</w:t>
      </w:r>
      <w:r w:rsidR="0018241D">
        <w:rPr>
          <w:rFonts w:asciiTheme="minorHAnsi" w:hAnsiTheme="minorHAnsi" w:cstheme="minorHAnsi"/>
          <w:color w:val="00000A"/>
        </w:rPr>
        <w:t>cy</w:t>
      </w:r>
      <w:r w:rsidR="00FB43BB">
        <w:rPr>
          <w:rFonts w:asciiTheme="minorHAnsi" w:hAnsiTheme="minorHAnsi" w:cstheme="minorHAnsi"/>
          <w:color w:val="00000A"/>
        </w:rPr>
        <w:t xml:space="preserve">, </w:t>
      </w:r>
      <w:r w:rsidR="00530BAC">
        <w:rPr>
          <w:rFonts w:asciiTheme="minorHAnsi" w:hAnsiTheme="minorHAnsi" w:cstheme="minorHAnsi"/>
          <w:color w:val="00000A"/>
        </w:rPr>
        <w:t xml:space="preserve">it is important to </w:t>
      </w:r>
      <w:r w:rsidR="00021EA7">
        <w:rPr>
          <w:rFonts w:asciiTheme="minorHAnsi" w:hAnsiTheme="minorHAnsi" w:cstheme="minorHAnsi"/>
          <w:color w:val="00000A"/>
        </w:rPr>
        <w:t>avoid freeze-thaw cycles</w:t>
      </w:r>
      <w:r w:rsidR="00530BAC">
        <w:rPr>
          <w:rFonts w:asciiTheme="minorHAnsi" w:hAnsiTheme="minorHAnsi" w:cstheme="minorHAnsi"/>
          <w:color w:val="00000A"/>
        </w:rPr>
        <w:t xml:space="preserve"> </w:t>
      </w:r>
      <w:r w:rsidR="00021EA7">
        <w:rPr>
          <w:rFonts w:asciiTheme="minorHAnsi" w:hAnsiTheme="minorHAnsi" w:cstheme="minorHAnsi"/>
          <w:color w:val="00000A"/>
        </w:rPr>
        <w:t xml:space="preserve">and prepare </w:t>
      </w:r>
      <w:r w:rsidR="00FB43BB">
        <w:rPr>
          <w:rFonts w:asciiTheme="minorHAnsi" w:hAnsiTheme="minorHAnsi" w:cstheme="minorHAnsi"/>
          <w:color w:val="00000A"/>
        </w:rPr>
        <w:t xml:space="preserve">single-use aliquots. </w:t>
      </w:r>
      <w:r w:rsidR="00360A17">
        <w:rPr>
          <w:rFonts w:asciiTheme="minorHAnsi" w:hAnsiTheme="minorHAnsi" w:cstheme="minorHAnsi"/>
          <w:color w:val="00000A"/>
        </w:rPr>
        <w:t>Third, a</w:t>
      </w:r>
      <w:r w:rsidR="006734D1">
        <w:rPr>
          <w:rFonts w:asciiTheme="minorHAnsi" w:hAnsiTheme="minorHAnsi" w:cstheme="minorHAnsi"/>
          <w:color w:val="00000A"/>
        </w:rPr>
        <w:t xml:space="preserve">fter </w:t>
      </w:r>
      <w:r w:rsidR="00021EA7">
        <w:rPr>
          <w:rFonts w:asciiTheme="minorHAnsi" w:hAnsiTheme="minorHAnsi" w:cstheme="minorHAnsi"/>
          <w:color w:val="00000A"/>
        </w:rPr>
        <w:t xml:space="preserve">performing </w:t>
      </w:r>
      <w:r w:rsidR="00360A17">
        <w:rPr>
          <w:rFonts w:asciiTheme="minorHAnsi" w:hAnsiTheme="minorHAnsi" w:cstheme="minorHAnsi"/>
          <w:color w:val="00000A"/>
        </w:rPr>
        <w:t>WGS</w:t>
      </w:r>
      <w:r w:rsidR="00021EA7">
        <w:rPr>
          <w:rFonts w:asciiTheme="minorHAnsi" w:hAnsiTheme="minorHAnsi" w:cstheme="minorHAnsi"/>
          <w:color w:val="00000A"/>
        </w:rPr>
        <w:t xml:space="preserve">, mutation calling and filtering, </w:t>
      </w:r>
      <w:r w:rsidR="00133933">
        <w:rPr>
          <w:rFonts w:asciiTheme="minorHAnsi" w:hAnsiTheme="minorHAnsi" w:cstheme="minorHAnsi"/>
          <w:color w:val="00000A"/>
        </w:rPr>
        <w:t xml:space="preserve">it is crucial </w:t>
      </w:r>
      <w:r w:rsidR="004046D7">
        <w:rPr>
          <w:rFonts w:asciiTheme="minorHAnsi" w:hAnsiTheme="minorHAnsi" w:cstheme="minorHAnsi"/>
          <w:color w:val="00000A"/>
        </w:rPr>
        <w:t>to validate the clonality of the clonal culture.</w:t>
      </w:r>
      <w:r w:rsidR="005C69C3">
        <w:rPr>
          <w:rFonts w:asciiTheme="minorHAnsi" w:hAnsiTheme="minorHAnsi" w:cstheme="minorHAnsi"/>
          <w:color w:val="00000A"/>
        </w:rPr>
        <w:t xml:space="preserve"> </w:t>
      </w:r>
      <w:r w:rsidR="004046D7">
        <w:rPr>
          <w:rFonts w:asciiTheme="minorHAnsi" w:hAnsiTheme="minorHAnsi" w:cstheme="minorHAnsi"/>
          <w:color w:val="00000A"/>
        </w:rPr>
        <w:t xml:space="preserve">To confirm the clonality of the culture, </w:t>
      </w:r>
      <w:r w:rsidR="008A7894">
        <w:rPr>
          <w:rFonts w:asciiTheme="minorHAnsi" w:hAnsiTheme="minorHAnsi" w:cstheme="minorHAnsi"/>
          <w:color w:val="00000A"/>
        </w:rPr>
        <w:t>the VAF of the mutations</w:t>
      </w:r>
      <w:r w:rsidR="003B6EBE">
        <w:rPr>
          <w:rFonts w:asciiTheme="minorHAnsi" w:hAnsiTheme="minorHAnsi" w:cstheme="minorHAnsi"/>
          <w:color w:val="00000A"/>
        </w:rPr>
        <w:t xml:space="preserve"> should cluster </w:t>
      </w:r>
      <w:r w:rsidR="008A7894">
        <w:rPr>
          <w:rFonts w:asciiTheme="minorHAnsi" w:hAnsiTheme="minorHAnsi" w:cstheme="minorHAnsi"/>
          <w:color w:val="00000A"/>
        </w:rPr>
        <w:t>around of</w:t>
      </w:r>
      <w:r w:rsidR="003B6EBE">
        <w:rPr>
          <w:rFonts w:asciiTheme="minorHAnsi" w:hAnsiTheme="minorHAnsi" w:cstheme="minorHAnsi"/>
          <w:color w:val="00000A"/>
        </w:rPr>
        <w:t xml:space="preserve"> 0.5</w:t>
      </w:r>
      <w:r w:rsidR="005C69C3">
        <w:rPr>
          <w:rFonts w:asciiTheme="minorHAnsi" w:hAnsiTheme="minorHAnsi" w:cstheme="minorHAnsi"/>
          <w:color w:val="00000A"/>
        </w:rPr>
        <w:t xml:space="preserve"> </w:t>
      </w:r>
      <w:r w:rsidR="003B6EBE">
        <w:rPr>
          <w:rFonts w:asciiTheme="minorHAnsi" w:hAnsiTheme="minorHAnsi" w:cstheme="minorHAnsi"/>
          <w:color w:val="00000A"/>
        </w:rPr>
        <w:t xml:space="preserve">in a karyotypically normal </w:t>
      </w:r>
      <w:r w:rsidR="008A7894">
        <w:rPr>
          <w:rFonts w:asciiTheme="minorHAnsi" w:hAnsiTheme="minorHAnsi" w:cstheme="minorHAnsi"/>
          <w:color w:val="00000A"/>
        </w:rPr>
        <w:t>sample (</w:t>
      </w:r>
      <w:r w:rsidR="0021653C" w:rsidRPr="00C16832">
        <w:rPr>
          <w:rFonts w:asciiTheme="minorHAnsi" w:hAnsiTheme="minorHAnsi" w:cstheme="minorHAnsi"/>
          <w:b/>
          <w:color w:val="00000A"/>
        </w:rPr>
        <w:t>Figure 3</w:t>
      </w:r>
      <w:r w:rsidR="0021653C">
        <w:rPr>
          <w:rFonts w:asciiTheme="minorHAnsi" w:hAnsiTheme="minorHAnsi" w:cstheme="minorHAnsi"/>
          <w:color w:val="00000A"/>
        </w:rPr>
        <w:t>)</w:t>
      </w:r>
      <w:r w:rsidR="00C46818">
        <w:rPr>
          <w:rFonts w:asciiTheme="minorHAnsi" w:hAnsiTheme="minorHAnsi" w:cstheme="minorHAnsi"/>
          <w:color w:val="00000A"/>
        </w:rPr>
        <w:t xml:space="preserve">. </w:t>
      </w:r>
      <w:r w:rsidR="00133933">
        <w:rPr>
          <w:rFonts w:asciiTheme="minorHAnsi" w:hAnsiTheme="minorHAnsi" w:cstheme="minorHAnsi"/>
          <w:color w:val="00000A"/>
        </w:rPr>
        <w:t xml:space="preserve">In </w:t>
      </w:r>
      <w:r>
        <w:rPr>
          <w:rFonts w:asciiTheme="minorHAnsi" w:hAnsiTheme="minorHAnsi" w:cstheme="minorHAnsi"/>
          <w:color w:val="00000A"/>
        </w:rPr>
        <w:t>cell</w:t>
      </w:r>
      <w:r w:rsidRPr="00800962">
        <w:rPr>
          <w:rFonts w:asciiTheme="minorHAnsi" w:hAnsiTheme="minorHAnsi" w:cstheme="minorHAnsi"/>
          <w:color w:val="00000A"/>
        </w:rPr>
        <w:t>s</w:t>
      </w:r>
      <w:r w:rsidRPr="00800962">
        <w:rPr>
          <w:rStyle w:val="CommentReference"/>
          <w:sz w:val="24"/>
          <w:szCs w:val="24"/>
        </w:rPr>
        <w:t xml:space="preserve"> w</w:t>
      </w:r>
      <w:r w:rsidR="00133933" w:rsidRPr="00800962">
        <w:rPr>
          <w:rFonts w:asciiTheme="minorHAnsi" w:hAnsiTheme="minorHAnsi" w:cstheme="minorHAnsi"/>
          <w:color w:val="00000A"/>
        </w:rPr>
        <w:t>ith a</w:t>
      </w:r>
      <w:r w:rsidR="00133933">
        <w:rPr>
          <w:rFonts w:asciiTheme="minorHAnsi" w:hAnsiTheme="minorHAnsi" w:cstheme="minorHAnsi"/>
          <w:color w:val="00000A"/>
        </w:rPr>
        <w:t xml:space="preserve"> low mutational load</w:t>
      </w:r>
      <w:r w:rsidR="006F30AD">
        <w:rPr>
          <w:rFonts w:asciiTheme="minorHAnsi" w:hAnsiTheme="minorHAnsi" w:cstheme="minorHAnsi"/>
          <w:color w:val="00000A"/>
        </w:rPr>
        <w:t xml:space="preserve">, such as cord blood HSPCs, </w:t>
      </w:r>
      <w:r w:rsidR="003B6EBE">
        <w:rPr>
          <w:rFonts w:asciiTheme="minorHAnsi" w:hAnsiTheme="minorHAnsi" w:cstheme="minorHAnsi"/>
          <w:color w:val="00000A"/>
        </w:rPr>
        <w:t>it is more difficult to determine clonality due to the low mutation numbers.</w:t>
      </w:r>
    </w:p>
    <w:p w14:paraId="5DF74CDE" w14:textId="0917EC7C" w:rsidR="00AF78ED" w:rsidRDefault="00AF78ED" w:rsidP="00C16832">
      <w:pPr>
        <w:spacing w:line="0" w:lineRule="atLeast"/>
        <w:rPr>
          <w:rFonts w:asciiTheme="minorHAnsi" w:hAnsiTheme="minorHAnsi" w:cstheme="minorHAnsi"/>
          <w:color w:val="00000A"/>
        </w:rPr>
      </w:pPr>
    </w:p>
    <w:p w14:paraId="619077E4" w14:textId="780895B2" w:rsidR="00AF78ED" w:rsidRDefault="00E7514D" w:rsidP="00C16832">
      <w:pPr>
        <w:spacing w:line="0" w:lineRule="atLeast"/>
        <w:rPr>
          <w:rFonts w:asciiTheme="minorHAnsi" w:hAnsiTheme="minorHAnsi" w:cstheme="minorHAnsi"/>
          <w:color w:val="00000A"/>
        </w:rPr>
      </w:pPr>
      <w:r>
        <w:rPr>
          <w:rFonts w:asciiTheme="minorHAnsi" w:hAnsiTheme="minorHAnsi" w:cstheme="minorHAnsi"/>
          <w:color w:val="00000A"/>
        </w:rPr>
        <w:t xml:space="preserve">Our approach relies on </w:t>
      </w:r>
      <w:r w:rsidR="00783928" w:rsidRPr="00C16832">
        <w:rPr>
          <w:rFonts w:asciiTheme="minorHAnsi" w:hAnsiTheme="minorHAnsi" w:cstheme="minorHAnsi"/>
          <w:color w:val="00000A"/>
        </w:rPr>
        <w:t>in vitro</w:t>
      </w:r>
      <w:r w:rsidR="00783928">
        <w:rPr>
          <w:rFonts w:asciiTheme="minorHAnsi" w:hAnsiTheme="minorHAnsi" w:cstheme="minorHAnsi"/>
          <w:color w:val="00000A"/>
        </w:rPr>
        <w:t xml:space="preserve"> </w:t>
      </w:r>
      <w:r>
        <w:rPr>
          <w:rFonts w:asciiTheme="minorHAnsi" w:hAnsiTheme="minorHAnsi" w:cstheme="minorHAnsi"/>
          <w:color w:val="00000A"/>
        </w:rPr>
        <w:t xml:space="preserve">expansion of </w:t>
      </w:r>
      <w:r w:rsidR="00783928">
        <w:rPr>
          <w:rFonts w:asciiTheme="minorHAnsi" w:hAnsiTheme="minorHAnsi" w:cstheme="minorHAnsi"/>
          <w:color w:val="00000A"/>
        </w:rPr>
        <w:t xml:space="preserve">single </w:t>
      </w:r>
      <w:r>
        <w:rPr>
          <w:rFonts w:asciiTheme="minorHAnsi" w:hAnsiTheme="minorHAnsi" w:cstheme="minorHAnsi"/>
          <w:color w:val="00000A"/>
        </w:rPr>
        <w:t xml:space="preserve">cells to </w:t>
      </w:r>
      <w:r w:rsidR="00366102">
        <w:rPr>
          <w:rFonts w:asciiTheme="minorHAnsi" w:hAnsiTheme="minorHAnsi" w:cstheme="minorHAnsi"/>
          <w:color w:val="00000A"/>
        </w:rPr>
        <w:t xml:space="preserve">allow </w:t>
      </w:r>
      <w:r w:rsidR="0018241D">
        <w:rPr>
          <w:rFonts w:asciiTheme="minorHAnsi" w:hAnsiTheme="minorHAnsi" w:cstheme="minorHAnsi"/>
          <w:color w:val="00000A"/>
        </w:rPr>
        <w:t xml:space="preserve">for </w:t>
      </w:r>
      <w:r w:rsidR="00783928">
        <w:rPr>
          <w:rFonts w:asciiTheme="minorHAnsi" w:hAnsiTheme="minorHAnsi" w:cstheme="minorHAnsi"/>
          <w:color w:val="00000A"/>
        </w:rPr>
        <w:t xml:space="preserve">WGS. Therefore, our approach is </w:t>
      </w:r>
      <w:r w:rsidR="00366102">
        <w:rPr>
          <w:rFonts w:asciiTheme="minorHAnsi" w:hAnsiTheme="minorHAnsi" w:cstheme="minorHAnsi"/>
          <w:color w:val="00000A"/>
        </w:rPr>
        <w:t>restricted to</w:t>
      </w:r>
      <w:r>
        <w:rPr>
          <w:rFonts w:asciiTheme="minorHAnsi" w:hAnsiTheme="minorHAnsi" w:cstheme="minorHAnsi"/>
          <w:color w:val="00000A"/>
        </w:rPr>
        <w:t xml:space="preserve"> </w:t>
      </w:r>
      <w:r w:rsidR="00783928">
        <w:rPr>
          <w:rFonts w:asciiTheme="minorHAnsi" w:hAnsiTheme="minorHAnsi" w:cstheme="minorHAnsi"/>
          <w:color w:val="00000A"/>
        </w:rPr>
        <w:t xml:space="preserve">cells that have the </w:t>
      </w:r>
      <w:r>
        <w:rPr>
          <w:rFonts w:asciiTheme="minorHAnsi" w:hAnsiTheme="minorHAnsi" w:cstheme="minorHAnsi"/>
          <w:color w:val="00000A"/>
        </w:rPr>
        <w:t>replicative potential</w:t>
      </w:r>
      <w:r w:rsidR="00783928">
        <w:rPr>
          <w:rFonts w:asciiTheme="minorHAnsi" w:hAnsiTheme="minorHAnsi" w:cstheme="minorHAnsi"/>
          <w:color w:val="00000A"/>
        </w:rPr>
        <w:t xml:space="preserve"> to clonally expand</w:t>
      </w:r>
      <w:r>
        <w:rPr>
          <w:rFonts w:asciiTheme="minorHAnsi" w:hAnsiTheme="minorHAnsi" w:cstheme="minorHAnsi"/>
          <w:color w:val="00000A"/>
        </w:rPr>
        <w:t xml:space="preserve">, such as </w:t>
      </w:r>
      <w:r w:rsidR="000253E5">
        <w:rPr>
          <w:rFonts w:asciiTheme="minorHAnsi" w:hAnsiTheme="minorHAnsi" w:cstheme="minorHAnsi"/>
          <w:color w:val="00000A"/>
        </w:rPr>
        <w:t xml:space="preserve">HSPCs. </w:t>
      </w:r>
      <w:r w:rsidR="00783928">
        <w:rPr>
          <w:rFonts w:asciiTheme="minorHAnsi" w:hAnsiTheme="minorHAnsi" w:cstheme="minorHAnsi"/>
          <w:color w:val="00000A"/>
        </w:rPr>
        <w:t>In our hands, a</w:t>
      </w:r>
      <w:r w:rsidR="00E1278E">
        <w:rPr>
          <w:rFonts w:asciiTheme="minorHAnsi" w:hAnsiTheme="minorHAnsi" w:cstheme="minorHAnsi"/>
          <w:color w:val="00000A"/>
        </w:rPr>
        <w:t xml:space="preserve">bout </w:t>
      </w:r>
      <w:r w:rsidR="00620F4C">
        <w:rPr>
          <w:rFonts w:asciiTheme="minorHAnsi" w:hAnsiTheme="minorHAnsi" w:cstheme="minorHAnsi"/>
          <w:color w:val="00000A"/>
        </w:rPr>
        <w:t>5</w:t>
      </w:r>
      <w:r w:rsidR="00530BAC">
        <w:rPr>
          <w:rFonts w:asciiTheme="minorHAnsi" w:hAnsiTheme="minorHAnsi" w:cstheme="minorHAnsi"/>
          <w:color w:val="00000A"/>
        </w:rPr>
        <w:t>%–</w:t>
      </w:r>
      <w:r>
        <w:rPr>
          <w:rFonts w:asciiTheme="minorHAnsi" w:hAnsiTheme="minorHAnsi" w:cstheme="minorHAnsi"/>
          <w:color w:val="00000A"/>
        </w:rPr>
        <w:t xml:space="preserve">30% of all single-sorted cells </w:t>
      </w:r>
      <w:proofErr w:type="gramStart"/>
      <w:r>
        <w:rPr>
          <w:rFonts w:asciiTheme="minorHAnsi" w:hAnsiTheme="minorHAnsi" w:cstheme="minorHAnsi"/>
          <w:color w:val="00000A"/>
        </w:rPr>
        <w:t>are able to</w:t>
      </w:r>
      <w:proofErr w:type="gramEnd"/>
      <w:r>
        <w:rPr>
          <w:rFonts w:asciiTheme="minorHAnsi" w:hAnsiTheme="minorHAnsi" w:cstheme="minorHAnsi"/>
          <w:color w:val="00000A"/>
        </w:rPr>
        <w:t xml:space="preserve"> expand</w:t>
      </w:r>
      <w:r w:rsidR="00366102">
        <w:rPr>
          <w:rFonts w:asciiTheme="minorHAnsi" w:hAnsiTheme="minorHAnsi" w:cstheme="minorHAnsi"/>
          <w:color w:val="00000A"/>
        </w:rPr>
        <w:t xml:space="preserve"> adequately</w:t>
      </w:r>
      <w:r w:rsidR="003B6E82">
        <w:rPr>
          <w:rFonts w:asciiTheme="minorHAnsi" w:hAnsiTheme="minorHAnsi" w:cstheme="minorHAnsi"/>
          <w:color w:val="00000A"/>
        </w:rPr>
        <w:t xml:space="preserve">. </w:t>
      </w:r>
      <w:r w:rsidR="00066CC1">
        <w:rPr>
          <w:rFonts w:asciiTheme="minorHAnsi" w:hAnsiTheme="minorHAnsi" w:cstheme="minorHAnsi"/>
          <w:color w:val="00000A"/>
        </w:rPr>
        <w:t>Reduced o</w:t>
      </w:r>
      <w:r w:rsidR="003B6E82">
        <w:rPr>
          <w:rFonts w:asciiTheme="minorHAnsi" w:hAnsiTheme="minorHAnsi" w:cstheme="minorHAnsi"/>
          <w:color w:val="00000A"/>
        </w:rPr>
        <w:t>utgrowth rates can</w:t>
      </w:r>
      <w:r w:rsidR="005C69C3">
        <w:rPr>
          <w:rFonts w:asciiTheme="minorHAnsi" w:hAnsiTheme="minorHAnsi" w:cstheme="minorHAnsi"/>
          <w:color w:val="00000A"/>
        </w:rPr>
        <w:t xml:space="preserve"> </w:t>
      </w:r>
      <w:r>
        <w:rPr>
          <w:rFonts w:asciiTheme="minorHAnsi" w:hAnsiTheme="minorHAnsi" w:cstheme="minorHAnsi"/>
          <w:color w:val="00000A"/>
        </w:rPr>
        <w:t xml:space="preserve">potentially </w:t>
      </w:r>
      <w:r w:rsidR="00366102">
        <w:rPr>
          <w:rFonts w:asciiTheme="minorHAnsi" w:hAnsiTheme="minorHAnsi" w:cstheme="minorHAnsi"/>
          <w:color w:val="00000A"/>
        </w:rPr>
        <w:t xml:space="preserve">result </w:t>
      </w:r>
      <w:r w:rsidR="0018241D">
        <w:rPr>
          <w:rFonts w:asciiTheme="minorHAnsi" w:hAnsiTheme="minorHAnsi" w:cstheme="minorHAnsi"/>
          <w:color w:val="00000A"/>
        </w:rPr>
        <w:t>in</w:t>
      </w:r>
      <w:r w:rsidR="003B6E82">
        <w:rPr>
          <w:rFonts w:asciiTheme="minorHAnsi" w:hAnsiTheme="minorHAnsi" w:cstheme="minorHAnsi"/>
          <w:color w:val="00000A"/>
        </w:rPr>
        <w:t xml:space="preserve"> a</w:t>
      </w:r>
      <w:r w:rsidR="0018241D">
        <w:rPr>
          <w:rFonts w:asciiTheme="minorHAnsi" w:hAnsiTheme="minorHAnsi" w:cstheme="minorHAnsi"/>
          <w:color w:val="00000A"/>
        </w:rPr>
        <w:t xml:space="preserve"> </w:t>
      </w:r>
      <w:r>
        <w:rPr>
          <w:rFonts w:asciiTheme="minorHAnsi" w:hAnsiTheme="minorHAnsi" w:cstheme="minorHAnsi"/>
          <w:color w:val="00000A"/>
        </w:rPr>
        <w:t xml:space="preserve">selection </w:t>
      </w:r>
      <w:r w:rsidR="003B6E82">
        <w:rPr>
          <w:rFonts w:asciiTheme="minorHAnsi" w:hAnsiTheme="minorHAnsi" w:cstheme="minorHAnsi"/>
          <w:color w:val="00000A"/>
        </w:rPr>
        <w:t>bias</w:t>
      </w:r>
      <w:r>
        <w:rPr>
          <w:rFonts w:asciiTheme="minorHAnsi" w:hAnsiTheme="minorHAnsi" w:cstheme="minorHAnsi"/>
          <w:color w:val="00000A"/>
        </w:rPr>
        <w:t>. As discussed</w:t>
      </w:r>
      <w:r w:rsidR="00F86734">
        <w:rPr>
          <w:rFonts w:asciiTheme="minorHAnsi" w:hAnsiTheme="minorHAnsi" w:cstheme="minorHAnsi"/>
          <w:color w:val="00000A"/>
        </w:rPr>
        <w:t xml:space="preserve"> </w:t>
      </w:r>
      <w:r w:rsidR="00E1278E">
        <w:rPr>
          <w:rFonts w:asciiTheme="minorHAnsi" w:hAnsiTheme="minorHAnsi" w:cstheme="minorHAnsi"/>
          <w:color w:val="00000A"/>
        </w:rPr>
        <w:t>previously</w:t>
      </w:r>
      <w:r>
        <w:rPr>
          <w:rFonts w:asciiTheme="minorHAnsi" w:hAnsiTheme="minorHAnsi" w:cstheme="minorHAnsi"/>
          <w:color w:val="00000A"/>
        </w:rPr>
        <w:t xml:space="preserve">, methods using </w:t>
      </w:r>
      <w:r w:rsidR="00F86734">
        <w:rPr>
          <w:rFonts w:asciiTheme="minorHAnsi" w:hAnsiTheme="minorHAnsi" w:cstheme="minorHAnsi"/>
          <w:color w:val="00000A"/>
        </w:rPr>
        <w:t xml:space="preserve">WGA </w:t>
      </w:r>
      <w:r>
        <w:rPr>
          <w:rFonts w:asciiTheme="minorHAnsi" w:hAnsiTheme="minorHAnsi" w:cstheme="minorHAnsi"/>
          <w:color w:val="00000A"/>
        </w:rPr>
        <w:t>can overcome this selection bias</w:t>
      </w:r>
      <w:r w:rsidR="008F7A1E">
        <w:rPr>
          <w:rFonts w:asciiTheme="minorHAnsi" w:hAnsiTheme="minorHAnsi" w:cstheme="minorHAnsi"/>
          <w:color w:val="00000A"/>
        </w:rPr>
        <w:t xml:space="preserve"> </w:t>
      </w:r>
      <w:r w:rsidR="00366102">
        <w:rPr>
          <w:rFonts w:asciiTheme="minorHAnsi" w:hAnsiTheme="minorHAnsi" w:cstheme="minorHAnsi"/>
          <w:color w:val="00000A"/>
        </w:rPr>
        <w:t>as this technique is</w:t>
      </w:r>
      <w:r w:rsidR="008F7A1E">
        <w:rPr>
          <w:rFonts w:asciiTheme="minorHAnsi" w:hAnsiTheme="minorHAnsi" w:cstheme="minorHAnsi"/>
          <w:color w:val="00000A"/>
        </w:rPr>
        <w:t xml:space="preserve"> </w:t>
      </w:r>
      <w:r w:rsidR="0018241D">
        <w:rPr>
          <w:rFonts w:asciiTheme="minorHAnsi" w:hAnsiTheme="minorHAnsi" w:cstheme="minorHAnsi"/>
          <w:color w:val="00000A"/>
        </w:rPr>
        <w:t>does not rely on the expansion of cells</w:t>
      </w:r>
      <w:r w:rsidR="002825BE">
        <w:rPr>
          <w:rFonts w:asciiTheme="minorHAnsi" w:hAnsiTheme="minorHAnsi" w:cstheme="minorHAnsi"/>
          <w:color w:val="00000A"/>
        </w:rPr>
        <w:t xml:space="preserve">. </w:t>
      </w:r>
      <w:r w:rsidR="006F30AD">
        <w:rPr>
          <w:rFonts w:asciiTheme="minorHAnsi" w:hAnsiTheme="minorHAnsi" w:cstheme="minorHAnsi"/>
          <w:color w:val="00000A"/>
        </w:rPr>
        <w:t xml:space="preserve">However, WGA has its own shortcomings, and </w:t>
      </w:r>
      <w:r w:rsidR="004755CE">
        <w:rPr>
          <w:rFonts w:asciiTheme="minorHAnsi" w:hAnsiTheme="minorHAnsi" w:cstheme="minorHAnsi"/>
          <w:color w:val="00000A"/>
        </w:rPr>
        <w:t>clonal amplification remains the only method to accurately determine the number of mutations in the whole genome</w:t>
      </w:r>
      <w:r w:rsidR="006F30AD">
        <w:rPr>
          <w:rFonts w:asciiTheme="minorHAnsi" w:hAnsiTheme="minorHAnsi" w:cstheme="minorHAnsi"/>
          <w:color w:val="00000A"/>
        </w:rPr>
        <w:t xml:space="preserve"> without allel</w:t>
      </w:r>
      <w:r w:rsidR="008A7894">
        <w:rPr>
          <w:rFonts w:asciiTheme="minorHAnsi" w:hAnsiTheme="minorHAnsi" w:cstheme="minorHAnsi"/>
          <w:color w:val="00000A"/>
        </w:rPr>
        <w:t>ic</w:t>
      </w:r>
      <w:r w:rsidR="006F30AD">
        <w:rPr>
          <w:rFonts w:asciiTheme="minorHAnsi" w:hAnsiTheme="minorHAnsi" w:cstheme="minorHAnsi"/>
          <w:color w:val="00000A"/>
        </w:rPr>
        <w:t xml:space="preserve"> dropout</w:t>
      </w:r>
      <w:r w:rsidR="008A7894">
        <w:rPr>
          <w:rFonts w:asciiTheme="minorHAnsi" w:hAnsiTheme="minorHAnsi" w:cstheme="minorHAnsi"/>
          <w:color w:val="00000A"/>
        </w:rPr>
        <w:t>s</w:t>
      </w:r>
      <w:r w:rsidR="006F30AD">
        <w:rPr>
          <w:rFonts w:asciiTheme="minorHAnsi" w:hAnsiTheme="minorHAnsi" w:cstheme="minorHAnsi"/>
          <w:color w:val="00000A"/>
        </w:rPr>
        <w:t xml:space="preserve"> and equal coverage along </w:t>
      </w:r>
      <w:r w:rsidR="005D3671">
        <w:rPr>
          <w:rFonts w:asciiTheme="minorHAnsi" w:hAnsiTheme="minorHAnsi" w:cstheme="minorHAnsi"/>
          <w:color w:val="00000A"/>
        </w:rPr>
        <w:t>t</w:t>
      </w:r>
      <w:r w:rsidR="006F30AD">
        <w:rPr>
          <w:rFonts w:asciiTheme="minorHAnsi" w:hAnsiTheme="minorHAnsi" w:cstheme="minorHAnsi"/>
          <w:color w:val="00000A"/>
        </w:rPr>
        <w:t>he genome</w:t>
      </w:r>
      <w:r w:rsidR="003B6E82">
        <w:rPr>
          <w:rFonts w:asciiTheme="minorHAnsi" w:hAnsiTheme="minorHAnsi" w:cstheme="minorHAnsi"/>
          <w:color w:val="00000A"/>
        </w:rPr>
        <w:t>, especially in samples with low true somatic mutation numbers.</w:t>
      </w:r>
    </w:p>
    <w:p w14:paraId="557156DE" w14:textId="77777777" w:rsidR="003B6E82" w:rsidRDefault="003B6E82" w:rsidP="00C16832">
      <w:pPr>
        <w:spacing w:line="0" w:lineRule="atLeast"/>
        <w:rPr>
          <w:rFonts w:asciiTheme="minorHAnsi" w:hAnsiTheme="minorHAnsi" w:cstheme="minorHAnsi"/>
          <w:color w:val="00000A"/>
        </w:rPr>
      </w:pPr>
    </w:p>
    <w:p w14:paraId="7E2E2726" w14:textId="14727EC9" w:rsidR="004755CE" w:rsidRDefault="003B6E82" w:rsidP="00C16832">
      <w:pPr>
        <w:spacing w:line="0" w:lineRule="atLeast"/>
        <w:rPr>
          <w:rFonts w:asciiTheme="minorHAnsi" w:hAnsiTheme="minorHAnsi" w:cstheme="minorHAnsi"/>
          <w:color w:val="00000A"/>
        </w:rPr>
      </w:pPr>
      <w:r>
        <w:rPr>
          <w:rFonts w:asciiTheme="minorHAnsi" w:hAnsiTheme="minorHAnsi" w:cstheme="minorHAnsi"/>
          <w:color w:val="00000A"/>
        </w:rPr>
        <w:t xml:space="preserve">The data generated using </w:t>
      </w:r>
      <w:r w:rsidR="00530BAC">
        <w:rPr>
          <w:rFonts w:asciiTheme="minorHAnsi" w:hAnsiTheme="minorHAnsi" w:cstheme="minorHAnsi"/>
          <w:color w:val="00000A"/>
        </w:rPr>
        <w:t xml:space="preserve">this </w:t>
      </w:r>
      <w:r>
        <w:rPr>
          <w:rFonts w:asciiTheme="minorHAnsi" w:hAnsiTheme="minorHAnsi" w:cstheme="minorHAnsi"/>
          <w:color w:val="00000A"/>
        </w:rPr>
        <w:t xml:space="preserve">approach can be used </w:t>
      </w:r>
      <w:r w:rsidR="00983E16">
        <w:rPr>
          <w:rFonts w:asciiTheme="minorHAnsi" w:hAnsiTheme="minorHAnsi" w:cstheme="minorHAnsi"/>
          <w:color w:val="00000A"/>
        </w:rPr>
        <w:t xml:space="preserve">to determine phylogenies of the </w:t>
      </w:r>
      <w:r w:rsidR="00983E16">
        <w:rPr>
          <w:rFonts w:asciiTheme="minorHAnsi" w:hAnsiTheme="minorHAnsi" w:cstheme="minorHAnsi"/>
          <w:color w:val="00000A"/>
        </w:rPr>
        <w:lastRenderedPageBreak/>
        <w:t>hematopoietic system</w:t>
      </w:r>
      <w:r>
        <w:rPr>
          <w:rFonts w:asciiTheme="minorHAnsi" w:hAnsiTheme="minorHAnsi" w:cstheme="minorHAnsi"/>
          <w:color w:val="00000A"/>
        </w:rPr>
        <w:t xml:space="preserve">, as the mutations detected in single cells can be used to dissect cell lineages, as depicted in </w:t>
      </w:r>
      <w:r w:rsidR="00530BAC" w:rsidRPr="00C16832">
        <w:rPr>
          <w:rFonts w:asciiTheme="minorHAnsi" w:hAnsiTheme="minorHAnsi" w:cstheme="minorHAnsi"/>
          <w:b/>
          <w:color w:val="00000A"/>
        </w:rPr>
        <w:t>F</w:t>
      </w:r>
      <w:r w:rsidRPr="00C16832">
        <w:rPr>
          <w:rFonts w:asciiTheme="minorHAnsi" w:hAnsiTheme="minorHAnsi" w:cstheme="minorHAnsi"/>
          <w:b/>
          <w:color w:val="00000A"/>
        </w:rPr>
        <w:t>igure 6</w:t>
      </w:r>
      <w:r>
        <w:rPr>
          <w:rFonts w:asciiTheme="minorHAnsi" w:hAnsiTheme="minorHAnsi" w:cstheme="minorHAnsi"/>
          <w:color w:val="00000A"/>
        </w:rPr>
        <w:t xml:space="preserve">. </w:t>
      </w:r>
      <w:r w:rsidR="00DE7A40">
        <w:rPr>
          <w:rFonts w:asciiTheme="minorHAnsi" w:hAnsiTheme="minorHAnsi" w:cstheme="minorHAnsi"/>
          <w:color w:val="00000A"/>
        </w:rPr>
        <w:t>Typically,</w:t>
      </w:r>
      <w:r w:rsidR="00AF78ED">
        <w:rPr>
          <w:rFonts w:asciiTheme="minorHAnsi" w:hAnsiTheme="minorHAnsi" w:cstheme="minorHAnsi"/>
          <w:color w:val="00000A"/>
        </w:rPr>
        <w:t xml:space="preserve"> one or two mutations </w:t>
      </w:r>
      <w:r w:rsidR="00DE7A40">
        <w:rPr>
          <w:rFonts w:asciiTheme="minorHAnsi" w:hAnsiTheme="minorHAnsi" w:cstheme="minorHAnsi"/>
          <w:color w:val="00000A"/>
        </w:rPr>
        <w:t xml:space="preserve">can </w:t>
      </w:r>
      <w:r w:rsidR="00AF78ED">
        <w:rPr>
          <w:rFonts w:asciiTheme="minorHAnsi" w:hAnsiTheme="minorHAnsi" w:cstheme="minorHAnsi"/>
          <w:color w:val="00000A"/>
        </w:rPr>
        <w:t>defin</w:t>
      </w:r>
      <w:r w:rsidR="00DE7A40">
        <w:rPr>
          <w:rFonts w:asciiTheme="minorHAnsi" w:hAnsiTheme="minorHAnsi" w:cstheme="minorHAnsi"/>
          <w:color w:val="00000A"/>
        </w:rPr>
        <w:t>e</w:t>
      </w:r>
      <w:r>
        <w:rPr>
          <w:rFonts w:asciiTheme="minorHAnsi" w:hAnsiTheme="minorHAnsi" w:cstheme="minorHAnsi"/>
          <w:color w:val="00000A"/>
        </w:rPr>
        <w:t xml:space="preserve"> </w:t>
      </w:r>
      <w:r w:rsidR="00AF78ED">
        <w:rPr>
          <w:rFonts w:asciiTheme="minorHAnsi" w:hAnsiTheme="minorHAnsi" w:cstheme="minorHAnsi"/>
          <w:color w:val="00000A"/>
        </w:rPr>
        <w:t>each branch</w:t>
      </w:r>
      <w:r>
        <w:rPr>
          <w:rFonts w:asciiTheme="minorHAnsi" w:hAnsiTheme="minorHAnsi" w:cstheme="minorHAnsi"/>
          <w:color w:val="00000A"/>
        </w:rPr>
        <w:t xml:space="preserve"> in a healthy donor</w:t>
      </w:r>
      <w:r w:rsidR="00214AEE">
        <w:rPr>
          <w:rFonts w:asciiTheme="minorHAnsi" w:hAnsiTheme="minorHAnsi" w:cstheme="minorHAnsi"/>
          <w:color w:val="00000A"/>
        </w:rPr>
        <w:fldChar w:fldCharType="begin" w:fldLock="1"/>
      </w:r>
      <w:r w:rsidR="006A4E08">
        <w:rPr>
          <w:rFonts w:asciiTheme="minorHAnsi" w:hAnsiTheme="minorHAnsi" w:cstheme="minorHAnsi"/>
          <w:color w:val="00000A"/>
        </w:rPr>
        <w:instrText>ADDIN CSL_CITATION {"citationItems":[{"id":"ITEM-1","itemData":{"DOI":"10.1016/j.celrep.2018.11.014","ISSN":"22111247","abstract":"Mutation accumulation during life can contribute to hematopoietic dysfunction; however, the underlying dynamics are unknown. Somatic mutations in blood progenitors can provide insight into the rate and processes underlying this accumulation, as well as the developmental lineage tree and stem cell division numbers. Here, we catalog mutations in the genomes of human-bone-marrow-derived and umbilical-cord-blood-derived hematopoietic stem and progenitor cells (HSPCs). We find that mutations accumulate gradually during life with approximately 14 base substitutions per year. The majority of mutations were acquired after birth and could be explained by the constant activity of various endogenous mutagenic processes, which also explains the mutation load in acute myeloid leukemia (AML). Using these mutations, we construct a developmental lineage tree of human hematopoiesis, revealing a polyclonal architecture and providing evidence that developmental clones exhibit multipotency. Our approach highlights features of human native hematopoiesis and its implications for leukemogenesis. Osorio et al. report lifelong mutation accumulation in human hematopoietic stem and progenitor cells, which is explained by three distinct mutational signatures. Shared somatic mutations between cells of the same donor enable the construction of a developmental lineage tree and quantification of each branch to mature blood cell populations.","author":[{"dropping-particle":"","family":"Osorio","given":"Fernando G.","non-dropping-particle":"","parse-names":false,"suffix":""},{"dropping-particle":"","family":"Rosendahl Huber","given":"Axel","non-dropping-particle":"","parse-names":false,"suffix":""},{"dropping-particle":"","family":"Oka","given":"Rurika","non-dropping-particle":"","parse-names":false,"suffix":""},{"dropping-particle":"","family":"Verheul","given":"Mark","non-dropping-particle":"","parse-names":false,"suffix":""},{"dropping-particle":"","family":"Patel","given":"Sachin H.","non-dropping-particle":"","parse-names":false,"suffix":""},{"dropping-particle":"","family":"Hasaart","given":"Karlijn","non-dropping-particle":"","parse-names":false,"suffix":""},{"dropping-particle":"","family":"la Fonteijne","given":"Lisanne","non-dropping-particle":"de","parse-names":false,"suffix":""},{"dropping-particle":"","family":"Varela","given":"Ignacio","non-dropping-particle":"","parse-names":false,"suffix":""},{"dropping-particle":"","family":"Camargo","given":"Fernando D.","non-dropping-particle":"","parse-names":false,"suffix":""},{"dropping-particle":"","family":"Boxtel","given":"Ruben","non-dropping-particle":"van","parse-names":false,"suffix":""}],"container-title":"Cell Reports","id":"ITEM-1","issue":"9","issued":{"date-parts":[["2018"]]},"page":"2308-2316.e4","publisher":"ElsevierCompany.","title":"Somatic Mutations Reveal Lineage Relationships and Age-Related Mutagenesis in Human Hematopoiesis","type":"article-journal","volume":"25"},"uris":["http://www.mendeley.com/documents/?uuid=bbfd516e-d775-4afa-809a-b3e4f5a2aac4"]}],"mendeley":{"formattedCitation":"&lt;sup&gt;1&lt;/sup&gt;","plainTextFormattedCitation":"1","previouslyFormattedCitation":"&lt;sup&gt;1&lt;/sup&gt;"},"properties":{"noteIndex":0},"schema":"https://github.com/citation-style-language/schema/raw/master/csl-citation.json"}</w:instrText>
      </w:r>
      <w:r w:rsidR="00214AEE">
        <w:rPr>
          <w:rFonts w:asciiTheme="minorHAnsi" w:hAnsiTheme="minorHAnsi" w:cstheme="minorHAnsi"/>
          <w:color w:val="00000A"/>
        </w:rPr>
        <w:fldChar w:fldCharType="separate"/>
      </w:r>
      <w:r w:rsidR="00214AEE" w:rsidRPr="00214AEE">
        <w:rPr>
          <w:rFonts w:asciiTheme="minorHAnsi" w:hAnsiTheme="minorHAnsi" w:cstheme="minorHAnsi"/>
          <w:noProof/>
          <w:color w:val="00000A"/>
          <w:vertAlign w:val="superscript"/>
        </w:rPr>
        <w:t>1</w:t>
      </w:r>
      <w:r w:rsidR="00214AEE">
        <w:rPr>
          <w:rFonts w:asciiTheme="minorHAnsi" w:hAnsiTheme="minorHAnsi" w:cstheme="minorHAnsi"/>
          <w:color w:val="00000A"/>
        </w:rPr>
        <w:fldChar w:fldCharType="end"/>
      </w:r>
      <w:r w:rsidR="002825BE">
        <w:rPr>
          <w:rFonts w:asciiTheme="minorHAnsi" w:hAnsiTheme="minorHAnsi" w:cstheme="minorHAnsi"/>
          <w:color w:val="00000A"/>
        </w:rPr>
        <w:t>. Since lineage</w:t>
      </w:r>
      <w:r w:rsidR="00315C1A">
        <w:rPr>
          <w:rFonts w:asciiTheme="minorHAnsi" w:hAnsiTheme="minorHAnsi" w:cstheme="minorHAnsi"/>
          <w:color w:val="00000A"/>
        </w:rPr>
        <w:t>s</w:t>
      </w:r>
      <w:r w:rsidR="002825BE">
        <w:rPr>
          <w:rFonts w:asciiTheme="minorHAnsi" w:hAnsiTheme="minorHAnsi" w:cstheme="minorHAnsi"/>
          <w:color w:val="00000A"/>
        </w:rPr>
        <w:t xml:space="preserve"> branch </w:t>
      </w:r>
      <w:r w:rsidR="00315C1A">
        <w:rPr>
          <w:rFonts w:asciiTheme="minorHAnsi" w:hAnsiTheme="minorHAnsi" w:cstheme="minorHAnsi"/>
          <w:color w:val="00000A"/>
        </w:rPr>
        <w:t>early after conception</w:t>
      </w:r>
      <w:r w:rsidR="002825BE">
        <w:rPr>
          <w:rFonts w:asciiTheme="minorHAnsi" w:hAnsiTheme="minorHAnsi" w:cstheme="minorHAnsi"/>
          <w:color w:val="00000A"/>
        </w:rPr>
        <w:t>,</w:t>
      </w:r>
      <w:r w:rsidR="00315C1A">
        <w:rPr>
          <w:rFonts w:asciiTheme="minorHAnsi" w:hAnsiTheme="minorHAnsi" w:cstheme="minorHAnsi"/>
          <w:color w:val="00000A"/>
        </w:rPr>
        <w:t xml:space="preserve"> mutations defining these first branches will also be present </w:t>
      </w:r>
      <w:r w:rsidR="002825BE">
        <w:rPr>
          <w:rFonts w:asciiTheme="minorHAnsi" w:hAnsiTheme="minorHAnsi" w:cstheme="minorHAnsi"/>
          <w:color w:val="00000A"/>
        </w:rPr>
        <w:t xml:space="preserve">with a low VAF in the </w:t>
      </w:r>
      <w:r w:rsidR="00315C1A">
        <w:rPr>
          <w:rFonts w:asciiTheme="minorHAnsi" w:hAnsiTheme="minorHAnsi" w:cstheme="minorHAnsi"/>
          <w:color w:val="00000A"/>
        </w:rPr>
        <w:t>matched normal sample that was used for filtering the germline variants</w:t>
      </w:r>
      <w:r w:rsidR="009E67D8">
        <w:rPr>
          <w:rFonts w:asciiTheme="minorHAnsi" w:hAnsiTheme="minorHAnsi" w:cstheme="minorHAnsi"/>
          <w:color w:val="00000A"/>
        </w:rPr>
        <w:fldChar w:fldCharType="begin" w:fldLock="1"/>
      </w:r>
      <w:r w:rsidR="00A54299">
        <w:rPr>
          <w:rFonts w:asciiTheme="minorHAnsi" w:hAnsiTheme="minorHAnsi" w:cstheme="minorHAnsi"/>
          <w:color w:val="00000A"/>
        </w:rPr>
        <w:instrText>ADDIN CSL_CITATION {"citationItems":[{"id":"ITEM-1","itemData":{"DOI":"10.1038/s41586-018-0497-0","ISBN":"0033-2941 (Print)\\r0033-2941 (Linking)","ISSN":"14764687","PMID":"20229912","abstract":"Haematopoietic stem cells drive blood production, but their population size and lifetime dynamics have not been quantified directly in humans. Here we identified 129,582 spontaneous, genome-wide somatic mutations in 140 single-cell-derived haematopoietic stem and progenitor colonies from a healthy 59-year-old man and applied population-genetics approaches to reconstruct clonal dynamics. Cell divisions from early embryogenesis were evident in the phylogenetic tree; all blood cells were derived from a common ancestor that preceded gastrulation. The size of the stem cell population grew steadily in early life, reaching a stable plateau by adolescence. We estimate the numbers of haematopoietic stem cells that are actively making white blood cells at any one time to be in the range of 50,000–200,000. We observed adult haematopoietic stem cell clones that generate multilineage outputs, including granulocytes and B lymphocytes. Harnessing naturally occurring mutations to report the clonal architecture of an organ enables the high-resolution reconstruction of somatic cell dynamics in humans.","author":[{"dropping-particle":"","family":"Lee-Six","given":"Henry","non-dropping-particle":"","parse-names":false,"suffix":""},{"dropping-particle":"","family":"Øbro","given":"Nina Friesgaard","non-dropping-particle":"","parse-names":false,"suffix":""},{"dropping-particle":"","family":"Shepherd","given":"Mairi S.","non-dropping-particle":"","parse-names":false,"suffix":""},{"dropping-particle":"","family":"Grossmann","given":"Sebastian","non-dropping-particle":"","parse-names":false,"suffix":""},{"dropping-particle":"","family":"Dawson","given":"Kevin","non-dropping-particle":"","parse-names":false,"suffix":""},{"dropping-particle":"","family":"Belmonte","given":"Miriam","non-dropping-particle":"","parse-names":false,"suffix":""},{"dropping-particle":"","family":"Osborne","given":"Robert J.","non-dropping-particle":"","parse-names":false,"suffix":""},{"dropping-particle":"","family":"Huntly","given":"Brian J.P.","non-dropping-particle":"","parse-names":false,"suffix":""},{"dropping-particle":"","family":"Martincorena","given":"Inigo","non-dropping-particle":"","parse-names":false,"suffix":""},{"dropping-particle":"","family":"Anderson","given":"Elizabeth","non-dropping-particle":"","parse-names":false,"suffix":""},{"dropping-particle":"","family":"O’Neill","given":"Laura","non-dropping-particle":"","parse-names":false,"suffix":""},{"dropping-particle":"","family":"Stratton","given":"Michael R.","non-dropping-particle":"","parse-names":false,"suffix":""},{"dropping-particle":"","family":"Laurenti","given":"Elisa","non-dropping-particle":"","parse-names":false,"suffix":""},{"dropping-particle":"","family":"Green","given":"Anthony R.","non-dropping-particle":"","parse-names":false,"suffix":""},{"dropping-particle":"","family":"Kent","given":"David G.","non-dropping-particle":"","parse-names":false,"suffix":""},{"dropping-particle":"","family":"Campbell","given":"Peter J.","non-dropping-particle":"","parse-names":false,"suffix":""}],"container-title":"Nature","id":"ITEM-1","issue":"7724","issued":{"date-parts":[["2018"]]},"page":"473-478","title":"Population dynamics of normal human blood inferred from somatic mutations","type":"article-journal","volume":"561"},"uris":["http://www.mendeley.com/documents/?uuid=7528ee37-cd73-43f5-b1db-fffdd993eff6"]},{"id":"ITEM-2","itemData":{"DOI":"10.1016/j.celrep.2018.11.014","ISSN":"22111247","abstract":"Mutation accumulation during life can contribute to hematopoietic dysfunction; however, the underlying dynamics are unknown. Somatic mutations in blood progenitors can provide insight into the rate and processes underlying this accumulation, as well as the developmental lineage tree and stem cell division numbers. Here, we catalog mutations in the genomes of human-bone-marrow-derived and umbilical-cord-blood-derived hematopoietic stem and progenitor cells (HSPCs). We find that mutations accumulate gradually during life with approximately 14 base substitutions per year. The majority of mutations were acquired after birth and could be explained by the constant activity of various endogenous mutagenic processes, which also explains the mutation load in acute myeloid leukemia (AML). Using these mutations, we construct a developmental lineage tree of human hematopoiesis, revealing a polyclonal architecture and providing evidence that developmental clones exhibit multipotency. Our approach highlights features of human native hematopoiesis and its implications for leukemogenesis. Osorio et al. report lifelong mutation accumulation in human hematopoietic stem and progenitor cells, which is explained by three distinct mutational signatures. Shared somatic mutations between cells of the same donor enable the construction of a developmental lineage tree and quantification of each branch to mature blood cell populations.","author":[{"dropping-particle":"","family":"Osorio","given":"Fernando G.","non-dropping-particle":"","parse-names":false,"suffix":""},{"dropping-particle":"","family":"Rosendahl Huber","given":"Axel","non-dropping-particle":"","parse-names":false,"suffix":""},{"dropping-particle":"","family":"Oka","given":"Rurika","non-dropping-particle":"","parse-names":false,"suffix":""},{"dropping-particle":"","family":"Verheul","given":"Mark","non-dropping-particle":"","parse-names":false,"suffix":""},{"dropping-particle":"","family":"Patel","given":"Sachin H.","non-dropping-particle":"","parse-names":false,"suffix":""},{"dropping-particle":"","family":"Hasaart","given":"Karlijn","non-dropping-particle":"","parse-names":false,"suffix":""},{"dropping-particle":"","family":"la Fonteijne","given":"Lisanne","non-dropping-particle":"de","parse-names":false,"suffix":""},{"dropping-particle":"","family":"Varela","given":"Ignacio","non-dropping-particle":"","parse-names":false,"suffix":""},{"dropping-particle":"","family":"Camargo","given":"Fernando D.","non-dropping-particle":"","parse-names":false,"suffix":""},{"dropping-particle":"","family":"Boxtel","given":"Ruben","non-dropping-particle":"van","parse-names":false,"suffix":""}],"container-title":"Cell Reports","id":"ITEM-2","issue":"9","issued":{"date-parts":[["2018"]]},"page":"2308-2316.e4","publisher":"ElsevierCompany.","title":"Somatic Mutations Reveal Lineage Relationships and Age-Related Mutagenesis in Human Hematopoiesis","type":"article-journal","volume":"25"},"uris":["http://www.mendeley.com/documents/?uuid=bbfd516e-d775-4afa-809a-b3e4f5a2aac4"]},{"id":"ITEM-3","itemData":{"DOI":"10.1038/nature13448","ISBN":"0028-0836\\r1476-4687","ISSN":"14764687","PMID":"25043003","abstract":"The somatic mutations present in the genome of a cell accumulate over the lifetime of a multicellular organism. These mutations can provide insights into the developmental lineage tree, the number of divisions that each cell has undergone and the mutational processes that have been operative. Here we describe whole genomes of clonal lines derived from multiple tissues of healthy mice. Using somatic base substitutions, we reconstructed the early cell divisions of each animal, demonstrating the contributions of embryonic cells to adult tissues. Differences were observed between tissues in the numbers and types of mutations accumulated by each cell, which likely reflect differences in the number of cell divisions they have undergone and varying contributions of different mutational processes. If somatic mutation rates are similar to those in mice, the results indicate that precise insights into development and mutagenesis of normal human cells will be possible.","author":[{"dropping-particle":"","family":"Behjati","given":"Sam","non-dropping-particle":"","parse-names":false,"suffix":""},{"dropping-particle":"","family":"Huch","given":"Meritxell","non-dropping-particle":"","parse-names":false,"suffix":""},{"dropping-particle":"","family":"Boxtel","given":"Ruben","non-dropping-particle":"Van","parse-names":false,"suffix":""},{"dropping-particle":"","family":"Karthaus","given":"Wouter","non-dropping-particle":"","parse-names":false,"suffix":""},{"dropping-particle":"","family":"Wedge","given":"David C.","non-dropping-particle":"","parse-names":false,"suffix":""},{"dropping-particle":"","family":"Tamuri","given":"Asif U.","non-dropping-particle":"","parse-names":false,"suffix":""},{"dropping-particle":"","family":"Martincorena","given":"Iñigo","non-dropping-particle":"","parse-names":false,"suffix":""},{"dropping-particle":"","family":"Petljak","given":"Mia","non-dropping-particle":"","parse-names":false,"suffix":""},{"dropping-particle":"","family":"Alexandrov","given":"Ludmil B.","non-dropping-particle":"","parse-names":false,"suffix":""},{"dropping-particle":"","family":"Gundem","given":"Gunes","non-dropping-particle":"","parse-names":false,"suffix":""},{"dropping-particle":"","family":"Tarpey","given":"Patrick S.","non-dropping-particle":"","parse-names":false,"suffix":""},{"dropping-particle":"","family":"Roerink","given":"Sophie","non-dropping-particle":"","parse-names":false,"suffix":""},{"dropping-particle":"","family":"Blokker","given":"Joyce","non-dropping-particle":"","parse-names":false,"suffix":""},{"dropping-particle":"","family":"Maddison","given":"Mark","non-dropping-particle":"","parse-names":false,"suffix":""},{"dropping-particle":"","family":"Mudie","given":"Laura","non-dropping-particle":"","parse-names":false,"suffix":""},{"dropping-particle":"","family":"Robinson","given":"Ben","non-dropping-particle":"","parse-names":false,"suffix":""},{"dropping-particle":"","family":"Nik-Zainal","given":"Serena","non-dropping-particle":"","parse-names":false,"suffix":""},{"dropping-particle":"","family":"Campbell","given":"Peter","non-dropping-particle":"","parse-names":false,"suffix":""},{"dropping-particle":"","family":"Goldman","given":"Nick","non-dropping-particle":"","parse-names":false,"suffix":""},{"dropping-particle":"","family":"Wetering","given":"Marc","non-dropping-particle":"Van De","parse-names":false,"suffix":""},{"dropping-particle":"","family":"Cuppen","given":"Edwin","non-dropping-particle":"","parse-names":false,"suffix":""},{"dropping-particle":"","family":"Clevers","given":"Hans","non-dropping-particle":"","parse-names":false,"suffix":""},{"dropping-particle":"","family":"Stratton","given":"Michael R.","non-dropping-particle":"","parse-names":false,"suffix":""}],"container-title":"Nature","id":"ITEM-3","issued":{"date-parts":[["2014"]]},"title":"Genome sequencing of normal cells reveals developmental lineages and mutational processes","type":"article-journal"},"uris":["http://www.mendeley.com/documents/?uuid=f8451ed8-717c-3f4d-998a-be9071b556d7"]}],"mendeley":{"formattedCitation":"&lt;sup&gt;1,18,19&lt;/sup&gt;","plainTextFormattedCitation":"1,18,19","previouslyFormattedCitation":"&lt;sup&gt;1,18,19&lt;/sup&gt;"},"properties":{"noteIndex":0},"schema":"https://github.com/citation-style-language/schema/raw/master/csl-citation.json"}</w:instrText>
      </w:r>
      <w:r w:rsidR="009E67D8">
        <w:rPr>
          <w:rFonts w:asciiTheme="minorHAnsi" w:hAnsiTheme="minorHAnsi" w:cstheme="minorHAnsi"/>
          <w:color w:val="00000A"/>
        </w:rPr>
        <w:fldChar w:fldCharType="separate"/>
      </w:r>
      <w:r w:rsidR="00A7719D" w:rsidRPr="00A7719D">
        <w:rPr>
          <w:rFonts w:asciiTheme="minorHAnsi" w:hAnsiTheme="minorHAnsi" w:cstheme="minorHAnsi"/>
          <w:noProof/>
          <w:color w:val="00000A"/>
          <w:vertAlign w:val="superscript"/>
        </w:rPr>
        <w:t>1,18,19</w:t>
      </w:r>
      <w:r w:rsidR="009E67D8">
        <w:rPr>
          <w:rFonts w:asciiTheme="minorHAnsi" w:hAnsiTheme="minorHAnsi" w:cstheme="minorHAnsi"/>
          <w:color w:val="00000A"/>
        </w:rPr>
        <w:fldChar w:fldCharType="end"/>
      </w:r>
      <w:r w:rsidR="002825BE">
        <w:rPr>
          <w:rFonts w:asciiTheme="minorHAnsi" w:hAnsiTheme="minorHAnsi" w:cstheme="minorHAnsi"/>
          <w:color w:val="00000A"/>
        </w:rPr>
        <w:t xml:space="preserve">. In this case, the use of </w:t>
      </w:r>
      <w:r w:rsidR="00315C1A">
        <w:rPr>
          <w:rFonts w:asciiTheme="minorHAnsi" w:hAnsiTheme="minorHAnsi" w:cstheme="minorHAnsi"/>
          <w:color w:val="00000A"/>
        </w:rPr>
        <w:t>non-hematopoietic cells, such as MSCs, are preferred as they are expected to separate very early during development from the hematopoietic system.</w:t>
      </w:r>
      <w:r w:rsidR="002825BE">
        <w:rPr>
          <w:rFonts w:asciiTheme="minorHAnsi" w:hAnsiTheme="minorHAnsi" w:cstheme="minorHAnsi"/>
          <w:color w:val="00000A"/>
        </w:rPr>
        <w:t xml:space="preserve"> </w:t>
      </w:r>
      <w:r w:rsidR="008A7894">
        <w:rPr>
          <w:rFonts w:asciiTheme="minorHAnsi" w:hAnsiTheme="minorHAnsi" w:cstheme="minorHAnsi"/>
          <w:color w:val="00000A"/>
        </w:rPr>
        <w:t>A</w:t>
      </w:r>
      <w:r w:rsidR="002825BE">
        <w:rPr>
          <w:rFonts w:asciiTheme="minorHAnsi" w:hAnsiTheme="minorHAnsi" w:cstheme="minorHAnsi"/>
          <w:color w:val="00000A"/>
        </w:rPr>
        <w:t xml:space="preserve">s T-cells </w:t>
      </w:r>
      <w:r w:rsidR="008A7894">
        <w:rPr>
          <w:rFonts w:asciiTheme="minorHAnsi" w:hAnsiTheme="minorHAnsi" w:cstheme="minorHAnsi"/>
          <w:color w:val="00000A"/>
        </w:rPr>
        <w:t xml:space="preserve">are of hematopoietic </w:t>
      </w:r>
      <w:r w:rsidR="002825BE">
        <w:rPr>
          <w:rFonts w:asciiTheme="minorHAnsi" w:hAnsiTheme="minorHAnsi" w:cstheme="minorHAnsi"/>
          <w:color w:val="00000A"/>
        </w:rPr>
        <w:t>origin</w:t>
      </w:r>
      <w:r w:rsidR="008A7894">
        <w:rPr>
          <w:rFonts w:asciiTheme="minorHAnsi" w:hAnsiTheme="minorHAnsi" w:cstheme="minorHAnsi"/>
          <w:color w:val="00000A"/>
        </w:rPr>
        <w:t xml:space="preserve">, the use of these cells as a matched normal </w:t>
      </w:r>
      <w:r w:rsidR="00315C1A">
        <w:rPr>
          <w:rFonts w:asciiTheme="minorHAnsi" w:hAnsiTheme="minorHAnsi" w:cstheme="minorHAnsi"/>
          <w:color w:val="00000A"/>
        </w:rPr>
        <w:t xml:space="preserve">sample to filter germline variants could therefore </w:t>
      </w:r>
      <w:r w:rsidR="008A7894">
        <w:rPr>
          <w:rFonts w:asciiTheme="minorHAnsi" w:hAnsiTheme="minorHAnsi" w:cstheme="minorHAnsi"/>
          <w:color w:val="00000A"/>
        </w:rPr>
        <w:t>confound the construction of the earliest branching of the developmental lineage tree.</w:t>
      </w:r>
      <w:r w:rsidR="00AF78ED">
        <w:rPr>
          <w:rFonts w:asciiTheme="minorHAnsi" w:hAnsiTheme="minorHAnsi" w:cstheme="minorHAnsi"/>
          <w:color w:val="00000A"/>
        </w:rPr>
        <w:t xml:space="preserve"> </w:t>
      </w:r>
      <w:proofErr w:type="spellStart"/>
      <w:r w:rsidR="00983E16">
        <w:rPr>
          <w:rFonts w:asciiTheme="minorHAnsi" w:hAnsiTheme="minorHAnsi" w:cstheme="minorHAnsi"/>
          <w:color w:val="00000A"/>
        </w:rPr>
        <w:t>Subclonal</w:t>
      </w:r>
      <w:proofErr w:type="spellEnd"/>
      <w:r w:rsidR="00983E16">
        <w:rPr>
          <w:rFonts w:asciiTheme="minorHAnsi" w:hAnsiTheme="minorHAnsi" w:cstheme="minorHAnsi"/>
          <w:color w:val="00000A"/>
        </w:rPr>
        <w:t xml:space="preserve"> presence of </w:t>
      </w:r>
      <w:r w:rsidR="004046D7">
        <w:rPr>
          <w:rFonts w:asciiTheme="minorHAnsi" w:hAnsiTheme="minorHAnsi" w:cstheme="minorHAnsi"/>
          <w:color w:val="00000A"/>
        </w:rPr>
        <w:t>branch-</w:t>
      </w:r>
      <w:r w:rsidR="00315C1A">
        <w:rPr>
          <w:rFonts w:asciiTheme="minorHAnsi" w:hAnsiTheme="minorHAnsi" w:cstheme="minorHAnsi"/>
          <w:color w:val="00000A"/>
        </w:rPr>
        <w:t xml:space="preserve">specific </w:t>
      </w:r>
      <w:r w:rsidR="004755CE">
        <w:rPr>
          <w:rFonts w:asciiTheme="minorHAnsi" w:hAnsiTheme="minorHAnsi" w:cstheme="minorHAnsi"/>
          <w:color w:val="00000A"/>
        </w:rPr>
        <w:t>mutations</w:t>
      </w:r>
      <w:r w:rsidR="00315C1A">
        <w:rPr>
          <w:rFonts w:asciiTheme="minorHAnsi" w:hAnsiTheme="minorHAnsi" w:cstheme="minorHAnsi"/>
          <w:color w:val="00000A"/>
        </w:rPr>
        <w:t xml:space="preserve"> in </w:t>
      </w:r>
      <w:r w:rsidR="00983E16">
        <w:rPr>
          <w:rFonts w:asciiTheme="minorHAnsi" w:hAnsiTheme="minorHAnsi" w:cstheme="minorHAnsi"/>
          <w:color w:val="00000A"/>
        </w:rPr>
        <w:t xml:space="preserve">certain </w:t>
      </w:r>
      <w:r w:rsidR="00315C1A">
        <w:rPr>
          <w:rFonts w:asciiTheme="minorHAnsi" w:hAnsiTheme="minorHAnsi" w:cstheme="minorHAnsi"/>
          <w:color w:val="00000A"/>
        </w:rPr>
        <w:t>mature blood populations</w:t>
      </w:r>
      <w:r w:rsidR="00983E16">
        <w:rPr>
          <w:rFonts w:asciiTheme="minorHAnsi" w:hAnsiTheme="minorHAnsi" w:cstheme="minorHAnsi"/>
          <w:color w:val="00000A"/>
        </w:rPr>
        <w:t xml:space="preserve">, which can be measured by </w:t>
      </w:r>
      <w:r w:rsidR="00315C1A">
        <w:rPr>
          <w:rFonts w:asciiTheme="minorHAnsi" w:hAnsiTheme="minorHAnsi" w:cstheme="minorHAnsi"/>
          <w:color w:val="00000A"/>
        </w:rPr>
        <w:t>targeted deep sequencing</w:t>
      </w:r>
      <w:r w:rsidR="00983E16">
        <w:rPr>
          <w:rFonts w:asciiTheme="minorHAnsi" w:hAnsiTheme="minorHAnsi" w:cstheme="minorHAnsi"/>
          <w:color w:val="00000A"/>
        </w:rPr>
        <w:t xml:space="preserve">, </w:t>
      </w:r>
      <w:r w:rsidR="00983E16" w:rsidRPr="00983E16">
        <w:rPr>
          <w:rFonts w:asciiTheme="minorHAnsi" w:hAnsiTheme="minorHAnsi" w:cstheme="minorHAnsi"/>
          <w:color w:val="00000A"/>
        </w:rPr>
        <w:t xml:space="preserve">will indicate that the progeny of </w:t>
      </w:r>
      <w:r w:rsidR="00983E16">
        <w:rPr>
          <w:rFonts w:asciiTheme="minorHAnsi" w:hAnsiTheme="minorHAnsi" w:cstheme="minorHAnsi"/>
          <w:color w:val="00000A"/>
        </w:rPr>
        <w:t>that branch</w:t>
      </w:r>
      <w:r w:rsidR="00983E16" w:rsidRPr="00983E16">
        <w:rPr>
          <w:rFonts w:asciiTheme="minorHAnsi" w:hAnsiTheme="minorHAnsi" w:cstheme="minorHAnsi"/>
          <w:color w:val="00000A"/>
        </w:rPr>
        <w:t xml:space="preserve"> can give rise to that </w:t>
      </w:r>
      <w:r w:rsidR="00983E16">
        <w:rPr>
          <w:rFonts w:asciiTheme="minorHAnsi" w:hAnsiTheme="minorHAnsi" w:cstheme="minorHAnsi"/>
          <w:color w:val="00000A"/>
        </w:rPr>
        <w:t xml:space="preserve">mature </w:t>
      </w:r>
      <w:r w:rsidR="00983E16" w:rsidRPr="00983E16">
        <w:rPr>
          <w:rFonts w:asciiTheme="minorHAnsi" w:hAnsiTheme="minorHAnsi" w:cstheme="minorHAnsi"/>
          <w:color w:val="00000A"/>
        </w:rPr>
        <w:t>cell type</w:t>
      </w:r>
      <w:r w:rsidR="00983E16">
        <w:rPr>
          <w:rFonts w:asciiTheme="minorHAnsi" w:hAnsiTheme="minorHAnsi" w:cstheme="minorHAnsi"/>
          <w:color w:val="00000A"/>
        </w:rPr>
        <w:t xml:space="preserve">. </w:t>
      </w:r>
      <w:r w:rsidR="002C4068">
        <w:rPr>
          <w:rFonts w:asciiTheme="minorHAnsi" w:hAnsiTheme="minorHAnsi" w:cstheme="minorHAnsi"/>
          <w:color w:val="00000A"/>
        </w:rPr>
        <w:t xml:space="preserve">In addition, </w:t>
      </w:r>
      <w:r w:rsidR="00983E16">
        <w:rPr>
          <w:rFonts w:asciiTheme="minorHAnsi" w:hAnsiTheme="minorHAnsi" w:cstheme="minorHAnsi"/>
          <w:color w:val="00000A"/>
        </w:rPr>
        <w:t xml:space="preserve">our approach allows for assessing </w:t>
      </w:r>
      <w:r w:rsidR="002C4068">
        <w:rPr>
          <w:rFonts w:asciiTheme="minorHAnsi" w:hAnsiTheme="minorHAnsi" w:cstheme="minorHAnsi"/>
          <w:color w:val="00000A"/>
        </w:rPr>
        <w:t xml:space="preserve">the </w:t>
      </w:r>
      <w:r w:rsidR="00983E16">
        <w:rPr>
          <w:rFonts w:asciiTheme="minorHAnsi" w:hAnsiTheme="minorHAnsi" w:cstheme="minorHAnsi"/>
          <w:color w:val="00000A"/>
        </w:rPr>
        <w:t>mutational consequences of mutagenic</w:t>
      </w:r>
      <w:r w:rsidR="002C4068">
        <w:rPr>
          <w:rFonts w:asciiTheme="minorHAnsi" w:hAnsiTheme="minorHAnsi" w:cstheme="minorHAnsi"/>
          <w:color w:val="00000A"/>
        </w:rPr>
        <w:t xml:space="preserve"> </w:t>
      </w:r>
      <w:r w:rsidR="00983E16">
        <w:rPr>
          <w:rFonts w:asciiTheme="minorHAnsi" w:hAnsiTheme="minorHAnsi" w:cstheme="minorHAnsi"/>
          <w:color w:val="00000A"/>
        </w:rPr>
        <w:t xml:space="preserve">exposure </w:t>
      </w:r>
      <w:r w:rsidR="00983E16" w:rsidRPr="00C16832">
        <w:rPr>
          <w:rFonts w:asciiTheme="minorHAnsi" w:hAnsiTheme="minorHAnsi" w:cstheme="minorHAnsi"/>
          <w:color w:val="00000A"/>
        </w:rPr>
        <w:t>in vivo</w:t>
      </w:r>
      <w:r w:rsidR="00983E16">
        <w:rPr>
          <w:rFonts w:asciiTheme="minorHAnsi" w:hAnsiTheme="minorHAnsi" w:cstheme="minorHAnsi"/>
          <w:color w:val="00000A"/>
        </w:rPr>
        <w:t xml:space="preserve"> and ultimately how this may contribute to leukemia development</w:t>
      </w:r>
      <w:r w:rsidR="002C4068">
        <w:rPr>
          <w:rFonts w:asciiTheme="minorHAnsi" w:hAnsiTheme="minorHAnsi" w:cstheme="minorHAnsi"/>
          <w:color w:val="00000A"/>
        </w:rPr>
        <w:t xml:space="preserve">. </w:t>
      </w:r>
    </w:p>
    <w:p w14:paraId="6B556DEA" w14:textId="77777777" w:rsidR="005D3671" w:rsidRDefault="005D3671" w:rsidP="00C16832">
      <w:pPr>
        <w:spacing w:line="0" w:lineRule="atLeast"/>
        <w:rPr>
          <w:rFonts w:asciiTheme="minorHAnsi" w:hAnsiTheme="minorHAnsi" w:cstheme="minorHAnsi"/>
          <w:color w:val="00000A"/>
        </w:rPr>
      </w:pPr>
    </w:p>
    <w:p w14:paraId="0F50308D" w14:textId="7D44CF12" w:rsidR="00942E88" w:rsidRPr="005C3153" w:rsidRDefault="00C60D72" w:rsidP="00C16832">
      <w:pPr>
        <w:pStyle w:val="NormalWeb"/>
        <w:spacing w:beforeAutospacing="0" w:afterAutospacing="0" w:line="0" w:lineRule="atLeast"/>
      </w:pPr>
      <w:r>
        <w:rPr>
          <w:rFonts w:cstheme="minorHAnsi"/>
          <w:b/>
          <w:bCs/>
        </w:rPr>
        <w:t>ACKNOWLEDGMENTS:</w:t>
      </w:r>
    </w:p>
    <w:p w14:paraId="07D05BDD" w14:textId="12AC1169" w:rsidR="00942E88" w:rsidRDefault="005C3153" w:rsidP="00C16832">
      <w:pPr>
        <w:spacing w:line="0" w:lineRule="atLeast"/>
        <w:rPr>
          <w:rFonts w:asciiTheme="minorHAnsi" w:hAnsiTheme="minorHAnsi" w:cstheme="minorHAnsi"/>
          <w:bCs/>
        </w:rPr>
      </w:pPr>
      <w:r w:rsidRPr="005C3153">
        <w:rPr>
          <w:rFonts w:asciiTheme="minorHAnsi" w:hAnsiTheme="minorHAnsi" w:cstheme="minorHAnsi"/>
          <w:bCs/>
        </w:rPr>
        <w:t>﻿</w:t>
      </w:r>
      <w:r>
        <w:rPr>
          <w:rFonts w:asciiTheme="minorHAnsi" w:hAnsiTheme="minorHAnsi" w:cstheme="minorHAnsi"/>
          <w:bCs/>
        </w:rPr>
        <w:t xml:space="preserve">This study was supported by a </w:t>
      </w:r>
      <w:r w:rsidRPr="005C3153">
        <w:rPr>
          <w:rFonts w:asciiTheme="minorHAnsi" w:hAnsiTheme="minorHAnsi" w:cstheme="minorHAnsi"/>
          <w:bCs/>
        </w:rPr>
        <w:t>﻿a VIDI grant of the Netherlands Organization for Scientific Research (NWO) (no. 016.Vidi.171.023) to R.</w:t>
      </w:r>
      <w:r w:rsidR="00530BAC">
        <w:rPr>
          <w:rFonts w:asciiTheme="minorHAnsi" w:hAnsiTheme="minorHAnsi" w:cstheme="minorHAnsi"/>
          <w:bCs/>
        </w:rPr>
        <w:t xml:space="preserve"> </w:t>
      </w:r>
      <w:r w:rsidRPr="005C3153">
        <w:rPr>
          <w:rFonts w:asciiTheme="minorHAnsi" w:hAnsiTheme="minorHAnsi" w:cstheme="minorHAnsi"/>
          <w:bCs/>
        </w:rPr>
        <w:t>v.</w:t>
      </w:r>
      <w:r w:rsidR="00530BAC">
        <w:rPr>
          <w:rFonts w:asciiTheme="minorHAnsi" w:hAnsiTheme="minorHAnsi" w:cstheme="minorHAnsi"/>
          <w:bCs/>
        </w:rPr>
        <w:t xml:space="preserve"> </w:t>
      </w:r>
      <w:r w:rsidRPr="005C3153">
        <w:rPr>
          <w:rFonts w:asciiTheme="minorHAnsi" w:hAnsiTheme="minorHAnsi" w:cstheme="minorHAnsi"/>
          <w:bCs/>
        </w:rPr>
        <w:t>B.</w:t>
      </w:r>
    </w:p>
    <w:p w14:paraId="3B4E2ED5" w14:textId="77777777" w:rsidR="005C3153" w:rsidRPr="005C3153" w:rsidRDefault="005C3153" w:rsidP="00C16832">
      <w:pPr>
        <w:spacing w:line="0" w:lineRule="atLeast"/>
        <w:rPr>
          <w:rFonts w:asciiTheme="minorHAnsi" w:hAnsiTheme="minorHAnsi" w:cstheme="minorHAnsi"/>
          <w:bCs/>
        </w:rPr>
      </w:pPr>
    </w:p>
    <w:p w14:paraId="5F60E208" w14:textId="0ADC545F" w:rsidR="00942E88" w:rsidRDefault="00C60D72" w:rsidP="00C16832">
      <w:pPr>
        <w:pStyle w:val="NormalWeb"/>
        <w:spacing w:beforeAutospacing="0" w:afterAutospacing="0" w:line="0" w:lineRule="atLeast"/>
      </w:pPr>
      <w:r>
        <w:rPr>
          <w:rFonts w:cstheme="minorHAnsi"/>
          <w:b/>
        </w:rPr>
        <w:t>DISCLOSURES</w:t>
      </w:r>
      <w:r>
        <w:rPr>
          <w:rFonts w:cstheme="minorHAnsi"/>
          <w:b/>
          <w:bCs/>
        </w:rPr>
        <w:t xml:space="preserve">: </w:t>
      </w:r>
    </w:p>
    <w:p w14:paraId="247E2B33" w14:textId="6327C090" w:rsidR="00253EB7" w:rsidRDefault="00042D3D" w:rsidP="00C16832">
      <w:pPr>
        <w:spacing w:line="0" w:lineRule="atLeast"/>
        <w:rPr>
          <w:rFonts w:cstheme="minorHAnsi"/>
          <w:color w:val="000000" w:themeColor="text1"/>
        </w:rPr>
      </w:pPr>
      <w:r w:rsidRPr="00042D3D">
        <w:rPr>
          <w:rFonts w:cstheme="minorHAnsi"/>
          <w:color w:val="000000" w:themeColor="text1"/>
        </w:rPr>
        <w:t>The authors have nothing to disclose.</w:t>
      </w:r>
    </w:p>
    <w:p w14:paraId="07134FE0" w14:textId="77777777" w:rsidR="00D55A81" w:rsidRDefault="00D55A81" w:rsidP="00C16832">
      <w:pPr>
        <w:spacing w:line="0" w:lineRule="atLeast"/>
        <w:rPr>
          <w:rFonts w:cstheme="minorHAnsi"/>
          <w:color w:val="000000" w:themeColor="text1"/>
        </w:rPr>
      </w:pPr>
    </w:p>
    <w:p w14:paraId="7F744ADA" w14:textId="45776993" w:rsidR="00942E88" w:rsidRDefault="00253EB7" w:rsidP="00C16832">
      <w:pPr>
        <w:spacing w:line="0" w:lineRule="atLeast"/>
      </w:pPr>
      <w:r>
        <w:rPr>
          <w:rFonts w:cstheme="minorHAnsi"/>
          <w:b/>
          <w:bCs/>
        </w:rPr>
        <w:t>R</w:t>
      </w:r>
      <w:r w:rsidR="00C60D72">
        <w:rPr>
          <w:rFonts w:cstheme="minorHAnsi"/>
          <w:b/>
          <w:bCs/>
        </w:rPr>
        <w:t>EFERENCES:</w:t>
      </w:r>
    </w:p>
    <w:p w14:paraId="0AC26A86" w14:textId="032A770F" w:rsidR="000F403E" w:rsidRPr="000F403E" w:rsidRDefault="005C3153" w:rsidP="00C16832">
      <w:pPr>
        <w:autoSpaceDE w:val="0"/>
        <w:autoSpaceDN w:val="0"/>
        <w:adjustRightInd w:val="0"/>
        <w:spacing w:line="0" w:lineRule="atLeast"/>
        <w:ind w:left="640" w:hanging="640"/>
        <w:rPr>
          <w:noProof/>
        </w:rPr>
      </w:pPr>
      <w:r>
        <w:rPr>
          <w:rFonts w:asciiTheme="minorHAnsi" w:hAnsiTheme="minorHAnsi" w:cstheme="minorHAnsi"/>
          <w:b/>
          <w:color w:val="808080"/>
        </w:rPr>
        <w:fldChar w:fldCharType="begin" w:fldLock="1"/>
      </w:r>
      <w:r w:rsidRPr="0018241D">
        <w:rPr>
          <w:rFonts w:asciiTheme="minorHAnsi" w:hAnsiTheme="minorHAnsi" w:cstheme="minorHAnsi"/>
          <w:b/>
          <w:color w:val="808080"/>
        </w:rPr>
        <w:instrText xml:space="preserve">ADDIN Mendeley Bibliography CSL_BIBLIOGRAPHY </w:instrText>
      </w:r>
      <w:r>
        <w:rPr>
          <w:rFonts w:asciiTheme="minorHAnsi" w:hAnsiTheme="minorHAnsi" w:cstheme="minorHAnsi"/>
          <w:b/>
          <w:color w:val="808080"/>
        </w:rPr>
        <w:fldChar w:fldCharType="separate"/>
      </w:r>
      <w:r w:rsidR="000F403E" w:rsidRPr="000F403E">
        <w:rPr>
          <w:noProof/>
        </w:rPr>
        <w:t>1.</w:t>
      </w:r>
      <w:r w:rsidR="000F403E" w:rsidRPr="000F403E">
        <w:rPr>
          <w:noProof/>
        </w:rPr>
        <w:tab/>
        <w:t xml:space="preserve">Osorio, F. G. </w:t>
      </w:r>
      <w:r w:rsidR="00C16832" w:rsidRPr="00C16832">
        <w:rPr>
          <w:iCs/>
          <w:noProof/>
        </w:rPr>
        <w:t>et al.</w:t>
      </w:r>
      <w:r w:rsidR="000F403E" w:rsidRPr="000F403E">
        <w:rPr>
          <w:noProof/>
        </w:rPr>
        <w:t xml:space="preserve"> Somatic Mutations Reveal Lineage Relationships and Age-Related Mutagenesis in Human Hematopoiesis. </w:t>
      </w:r>
      <w:r w:rsidR="000F403E" w:rsidRPr="000F403E">
        <w:rPr>
          <w:i/>
          <w:iCs/>
          <w:noProof/>
        </w:rPr>
        <w:t>Cell Reports</w:t>
      </w:r>
      <w:r w:rsidR="00530BAC">
        <w:rPr>
          <w:i/>
          <w:iCs/>
          <w:noProof/>
        </w:rPr>
        <w:t>.</w:t>
      </w:r>
      <w:r w:rsidR="000F403E" w:rsidRPr="000F403E">
        <w:rPr>
          <w:noProof/>
        </w:rPr>
        <w:t xml:space="preserve"> </w:t>
      </w:r>
      <w:r w:rsidR="000F403E" w:rsidRPr="000F403E">
        <w:rPr>
          <w:b/>
          <w:bCs/>
          <w:noProof/>
        </w:rPr>
        <w:t>25,</w:t>
      </w:r>
      <w:r w:rsidR="000F403E" w:rsidRPr="000F403E">
        <w:rPr>
          <w:noProof/>
        </w:rPr>
        <w:t xml:space="preserve"> 2308–2316.e4 (2018).</w:t>
      </w:r>
    </w:p>
    <w:p w14:paraId="5F7D4B81" w14:textId="46975074" w:rsidR="000F403E" w:rsidRPr="000F403E" w:rsidRDefault="000F403E" w:rsidP="00C16832">
      <w:pPr>
        <w:autoSpaceDE w:val="0"/>
        <w:autoSpaceDN w:val="0"/>
        <w:adjustRightInd w:val="0"/>
        <w:spacing w:line="0" w:lineRule="atLeast"/>
        <w:ind w:left="640" w:hanging="640"/>
        <w:rPr>
          <w:noProof/>
        </w:rPr>
      </w:pPr>
      <w:r w:rsidRPr="000F403E">
        <w:rPr>
          <w:noProof/>
        </w:rPr>
        <w:t>2.</w:t>
      </w:r>
      <w:r w:rsidRPr="000F403E">
        <w:rPr>
          <w:noProof/>
        </w:rPr>
        <w:tab/>
        <w:t xml:space="preserve">Genovese, G. </w:t>
      </w:r>
      <w:r w:rsidR="00C16832" w:rsidRPr="00C16832">
        <w:rPr>
          <w:iCs/>
          <w:noProof/>
        </w:rPr>
        <w:t>et al.</w:t>
      </w:r>
      <w:r w:rsidRPr="000F403E">
        <w:rPr>
          <w:noProof/>
        </w:rPr>
        <w:t xml:space="preserve"> Clonal Hematopoiesis and Blood-Cancer Risk Inferred from Blood DNA Sequence. </w:t>
      </w:r>
      <w:r w:rsidRPr="000F403E">
        <w:rPr>
          <w:i/>
          <w:iCs/>
          <w:noProof/>
        </w:rPr>
        <w:t>New England Journal of Medicine</w:t>
      </w:r>
      <w:r w:rsidR="00530BAC">
        <w:rPr>
          <w:i/>
          <w:iCs/>
          <w:noProof/>
        </w:rPr>
        <w:t>.</w:t>
      </w:r>
      <w:r w:rsidRPr="000F403E">
        <w:rPr>
          <w:noProof/>
        </w:rPr>
        <w:t xml:space="preserve"> </w:t>
      </w:r>
      <w:r w:rsidRPr="000F403E">
        <w:rPr>
          <w:b/>
          <w:bCs/>
          <w:noProof/>
        </w:rPr>
        <w:t>371,</w:t>
      </w:r>
      <w:r w:rsidRPr="000F403E">
        <w:rPr>
          <w:noProof/>
        </w:rPr>
        <w:t xml:space="preserve"> 2477–2487 (2014).</w:t>
      </w:r>
    </w:p>
    <w:p w14:paraId="64C66FE0" w14:textId="44B6AEE4" w:rsidR="000F403E" w:rsidRPr="000F403E" w:rsidRDefault="000F403E" w:rsidP="00C16832">
      <w:pPr>
        <w:autoSpaceDE w:val="0"/>
        <w:autoSpaceDN w:val="0"/>
        <w:adjustRightInd w:val="0"/>
        <w:spacing w:line="0" w:lineRule="atLeast"/>
        <w:ind w:left="640" w:hanging="640"/>
        <w:rPr>
          <w:noProof/>
        </w:rPr>
      </w:pPr>
      <w:r w:rsidRPr="000F403E">
        <w:rPr>
          <w:noProof/>
        </w:rPr>
        <w:t>3.</w:t>
      </w:r>
      <w:r w:rsidRPr="000F403E">
        <w:rPr>
          <w:noProof/>
        </w:rPr>
        <w:tab/>
        <w:t xml:space="preserve">Jaiswal, S. </w:t>
      </w:r>
      <w:r w:rsidR="00C16832" w:rsidRPr="00C16832">
        <w:rPr>
          <w:iCs/>
          <w:noProof/>
        </w:rPr>
        <w:t>et al.</w:t>
      </w:r>
      <w:r w:rsidRPr="000F403E">
        <w:rPr>
          <w:noProof/>
        </w:rPr>
        <w:t xml:space="preserve"> Age-Related Clonal Hematopoiesis Associated with Adverse Outcomes. </w:t>
      </w:r>
      <w:r w:rsidRPr="000F403E">
        <w:rPr>
          <w:i/>
          <w:iCs/>
          <w:noProof/>
        </w:rPr>
        <w:t>New England Journal of Medicine</w:t>
      </w:r>
      <w:r w:rsidR="00530BAC">
        <w:rPr>
          <w:i/>
          <w:iCs/>
          <w:noProof/>
        </w:rPr>
        <w:t>.</w:t>
      </w:r>
      <w:r w:rsidRPr="000F403E">
        <w:rPr>
          <w:noProof/>
        </w:rPr>
        <w:t xml:space="preserve"> </w:t>
      </w:r>
      <w:r w:rsidRPr="000F403E">
        <w:rPr>
          <w:b/>
          <w:bCs/>
          <w:noProof/>
        </w:rPr>
        <w:t>371,</w:t>
      </w:r>
      <w:r w:rsidRPr="000F403E">
        <w:rPr>
          <w:noProof/>
        </w:rPr>
        <w:t xml:space="preserve"> 2488–2498 (2014).</w:t>
      </w:r>
    </w:p>
    <w:p w14:paraId="2BBEC050" w14:textId="0776A2EA" w:rsidR="000F403E" w:rsidRPr="000F403E" w:rsidRDefault="000F403E" w:rsidP="00C16832">
      <w:pPr>
        <w:autoSpaceDE w:val="0"/>
        <w:autoSpaceDN w:val="0"/>
        <w:adjustRightInd w:val="0"/>
        <w:spacing w:line="0" w:lineRule="atLeast"/>
        <w:ind w:left="640" w:hanging="640"/>
        <w:rPr>
          <w:noProof/>
        </w:rPr>
      </w:pPr>
      <w:r w:rsidRPr="000F403E">
        <w:rPr>
          <w:noProof/>
        </w:rPr>
        <w:t>4.</w:t>
      </w:r>
      <w:r w:rsidRPr="000F403E">
        <w:rPr>
          <w:noProof/>
        </w:rPr>
        <w:tab/>
        <w:t>Young, A. L., Challen, G. A., Birmann, B. M.</w:t>
      </w:r>
      <w:r w:rsidR="00530BAC">
        <w:rPr>
          <w:noProof/>
        </w:rPr>
        <w:t>,</w:t>
      </w:r>
      <w:r w:rsidRPr="000F403E">
        <w:rPr>
          <w:noProof/>
        </w:rPr>
        <w:t xml:space="preserve"> Druley, T. E. Clonal haematopoiesis harbouring AML-associated mutations is ubiquitous in healthy adults. </w:t>
      </w:r>
      <w:r w:rsidRPr="000F403E">
        <w:rPr>
          <w:i/>
          <w:iCs/>
          <w:noProof/>
        </w:rPr>
        <w:t>Nature Communications</w:t>
      </w:r>
      <w:r w:rsidR="00530BAC">
        <w:rPr>
          <w:i/>
          <w:iCs/>
          <w:noProof/>
        </w:rPr>
        <w:t>.</w:t>
      </w:r>
      <w:r w:rsidRPr="000F403E">
        <w:rPr>
          <w:noProof/>
        </w:rPr>
        <w:t xml:space="preserve"> </w:t>
      </w:r>
      <w:r w:rsidRPr="000F403E">
        <w:rPr>
          <w:b/>
          <w:bCs/>
          <w:noProof/>
        </w:rPr>
        <w:t>7,</w:t>
      </w:r>
      <w:r w:rsidRPr="000F403E">
        <w:rPr>
          <w:noProof/>
        </w:rPr>
        <w:t xml:space="preserve"> 1–7 (2016).</w:t>
      </w:r>
    </w:p>
    <w:p w14:paraId="4FE49208" w14:textId="6D549FD4" w:rsidR="000F403E" w:rsidRPr="000F403E" w:rsidRDefault="000F403E" w:rsidP="00C16832">
      <w:pPr>
        <w:autoSpaceDE w:val="0"/>
        <w:autoSpaceDN w:val="0"/>
        <w:adjustRightInd w:val="0"/>
        <w:spacing w:line="0" w:lineRule="atLeast"/>
        <w:ind w:left="640" w:hanging="640"/>
        <w:rPr>
          <w:noProof/>
        </w:rPr>
      </w:pPr>
      <w:r w:rsidRPr="000F403E">
        <w:rPr>
          <w:noProof/>
        </w:rPr>
        <w:t>5.</w:t>
      </w:r>
      <w:r w:rsidRPr="000F403E">
        <w:rPr>
          <w:noProof/>
        </w:rPr>
        <w:tab/>
        <w:t>Alexandrov, L. B., Nik-Zainal, S., Wedge, D. C., Campbell, P. J.</w:t>
      </w:r>
      <w:r w:rsidR="00530BAC">
        <w:rPr>
          <w:noProof/>
        </w:rPr>
        <w:t>,</w:t>
      </w:r>
      <w:r w:rsidRPr="000F403E">
        <w:rPr>
          <w:noProof/>
        </w:rPr>
        <w:t xml:space="preserve"> Stratton, M. R. Deciphering Signatures of Mutational Processes Operative in Human Cancer. </w:t>
      </w:r>
      <w:r w:rsidRPr="000F403E">
        <w:rPr>
          <w:i/>
          <w:iCs/>
          <w:noProof/>
        </w:rPr>
        <w:t>Cell Reports</w:t>
      </w:r>
      <w:r w:rsidR="00530BAC">
        <w:rPr>
          <w:i/>
          <w:iCs/>
          <w:noProof/>
        </w:rPr>
        <w:t>.</w:t>
      </w:r>
      <w:r w:rsidRPr="000F403E">
        <w:rPr>
          <w:noProof/>
        </w:rPr>
        <w:t xml:space="preserve"> </w:t>
      </w:r>
      <w:r w:rsidRPr="000F403E">
        <w:rPr>
          <w:b/>
          <w:bCs/>
          <w:noProof/>
        </w:rPr>
        <w:t>3,</w:t>
      </w:r>
      <w:r w:rsidRPr="000F403E">
        <w:rPr>
          <w:noProof/>
        </w:rPr>
        <w:t xml:space="preserve"> 246–259 (2013).</w:t>
      </w:r>
    </w:p>
    <w:p w14:paraId="0EC31600" w14:textId="18D74DE2" w:rsidR="000F403E" w:rsidRPr="000F403E" w:rsidRDefault="000F403E" w:rsidP="00C16832">
      <w:pPr>
        <w:autoSpaceDE w:val="0"/>
        <w:autoSpaceDN w:val="0"/>
        <w:adjustRightInd w:val="0"/>
        <w:spacing w:line="0" w:lineRule="atLeast"/>
        <w:ind w:left="640" w:hanging="640"/>
        <w:rPr>
          <w:noProof/>
        </w:rPr>
      </w:pPr>
      <w:r w:rsidRPr="000F403E">
        <w:rPr>
          <w:noProof/>
        </w:rPr>
        <w:t>6.</w:t>
      </w:r>
      <w:r w:rsidRPr="000F403E">
        <w:rPr>
          <w:noProof/>
        </w:rPr>
        <w:tab/>
        <w:t xml:space="preserve">Alexandrov, L. B. </w:t>
      </w:r>
      <w:r w:rsidR="00C16832" w:rsidRPr="00C16832">
        <w:rPr>
          <w:iCs/>
          <w:noProof/>
        </w:rPr>
        <w:t>et al.</w:t>
      </w:r>
      <w:r w:rsidRPr="000F403E">
        <w:rPr>
          <w:noProof/>
        </w:rPr>
        <w:t xml:space="preserve"> Signatures of mutational processes in human cancer. </w:t>
      </w:r>
      <w:r w:rsidRPr="000F403E">
        <w:rPr>
          <w:i/>
          <w:iCs/>
          <w:noProof/>
        </w:rPr>
        <w:t>Nature</w:t>
      </w:r>
      <w:r w:rsidR="00530BAC">
        <w:rPr>
          <w:i/>
          <w:iCs/>
          <w:noProof/>
        </w:rPr>
        <w:t>.</w:t>
      </w:r>
      <w:r w:rsidRPr="000F403E">
        <w:rPr>
          <w:noProof/>
        </w:rPr>
        <w:t xml:space="preserve"> </w:t>
      </w:r>
      <w:r w:rsidRPr="000F403E">
        <w:rPr>
          <w:b/>
          <w:bCs/>
          <w:noProof/>
        </w:rPr>
        <w:t>500,</w:t>
      </w:r>
      <w:r w:rsidRPr="000F403E">
        <w:rPr>
          <w:noProof/>
        </w:rPr>
        <w:t xml:space="preserve"> 415–421 (2013).</w:t>
      </w:r>
    </w:p>
    <w:p w14:paraId="6D2FB059" w14:textId="4E948920" w:rsidR="000F403E" w:rsidRPr="000F403E" w:rsidRDefault="000F403E" w:rsidP="00C16832">
      <w:pPr>
        <w:autoSpaceDE w:val="0"/>
        <w:autoSpaceDN w:val="0"/>
        <w:adjustRightInd w:val="0"/>
        <w:spacing w:line="0" w:lineRule="atLeast"/>
        <w:ind w:left="640" w:hanging="640"/>
        <w:rPr>
          <w:noProof/>
        </w:rPr>
      </w:pPr>
      <w:r w:rsidRPr="000F403E">
        <w:rPr>
          <w:noProof/>
        </w:rPr>
        <w:t>7.</w:t>
      </w:r>
      <w:r w:rsidRPr="000F403E">
        <w:rPr>
          <w:noProof/>
        </w:rPr>
        <w:tab/>
        <w:t xml:space="preserve">Alexandrov, L. </w:t>
      </w:r>
      <w:r w:rsidR="00C16832" w:rsidRPr="00C16832">
        <w:rPr>
          <w:iCs/>
          <w:noProof/>
        </w:rPr>
        <w:t>et al.</w:t>
      </w:r>
      <w:r w:rsidRPr="000F403E">
        <w:rPr>
          <w:noProof/>
        </w:rPr>
        <w:t xml:space="preserve"> The Repertoire of Mutational Signatures in Human Cancer. </w:t>
      </w:r>
      <w:r w:rsidRPr="000F403E">
        <w:rPr>
          <w:i/>
          <w:iCs/>
          <w:noProof/>
        </w:rPr>
        <w:t>bioRxiv</w:t>
      </w:r>
      <w:r w:rsidR="00530BAC">
        <w:rPr>
          <w:noProof/>
        </w:rPr>
        <w:t>.</w:t>
      </w:r>
      <w:r w:rsidRPr="000F403E">
        <w:rPr>
          <w:noProof/>
        </w:rPr>
        <w:t xml:space="preserve"> doi:10.1101/322859</w:t>
      </w:r>
      <w:r w:rsidR="00530BAC">
        <w:rPr>
          <w:noProof/>
        </w:rPr>
        <w:t xml:space="preserve"> (2018).</w:t>
      </w:r>
    </w:p>
    <w:p w14:paraId="598D48EE" w14:textId="2099769D" w:rsidR="000F403E" w:rsidRPr="000F403E" w:rsidRDefault="000F403E" w:rsidP="00C16832">
      <w:pPr>
        <w:autoSpaceDE w:val="0"/>
        <w:autoSpaceDN w:val="0"/>
        <w:adjustRightInd w:val="0"/>
        <w:spacing w:line="0" w:lineRule="atLeast"/>
        <w:ind w:left="640" w:hanging="640"/>
        <w:rPr>
          <w:noProof/>
        </w:rPr>
      </w:pPr>
      <w:r w:rsidRPr="000F403E">
        <w:rPr>
          <w:noProof/>
        </w:rPr>
        <w:t>8.</w:t>
      </w:r>
      <w:r w:rsidRPr="000F403E">
        <w:rPr>
          <w:noProof/>
        </w:rPr>
        <w:tab/>
        <w:t xml:space="preserve">Behjati, S. </w:t>
      </w:r>
      <w:r w:rsidR="00C16832" w:rsidRPr="00C16832">
        <w:rPr>
          <w:iCs/>
          <w:noProof/>
        </w:rPr>
        <w:t>et al.</w:t>
      </w:r>
      <w:r w:rsidRPr="000F403E">
        <w:rPr>
          <w:noProof/>
        </w:rPr>
        <w:t xml:space="preserve"> Genome sequencing of normal cells reveals developmental lineages and mutational processes. </w:t>
      </w:r>
      <w:r w:rsidRPr="000F403E">
        <w:rPr>
          <w:i/>
          <w:iCs/>
          <w:noProof/>
        </w:rPr>
        <w:t>Nature</w:t>
      </w:r>
      <w:r w:rsidR="00530BAC">
        <w:rPr>
          <w:i/>
          <w:iCs/>
          <w:noProof/>
        </w:rPr>
        <w:t>.</w:t>
      </w:r>
      <w:r w:rsidRPr="000F403E">
        <w:rPr>
          <w:noProof/>
        </w:rPr>
        <w:t xml:space="preserve"> </w:t>
      </w:r>
      <w:r w:rsidRPr="000F403E">
        <w:rPr>
          <w:b/>
          <w:bCs/>
          <w:noProof/>
        </w:rPr>
        <w:t>513,</w:t>
      </w:r>
      <w:r w:rsidRPr="000F403E">
        <w:rPr>
          <w:noProof/>
        </w:rPr>
        <w:t xml:space="preserve"> 422–425 (2014).</w:t>
      </w:r>
    </w:p>
    <w:p w14:paraId="1C33C361" w14:textId="48A9126E" w:rsidR="000F403E" w:rsidRPr="000F403E" w:rsidRDefault="000F403E" w:rsidP="00C16832">
      <w:pPr>
        <w:autoSpaceDE w:val="0"/>
        <w:autoSpaceDN w:val="0"/>
        <w:adjustRightInd w:val="0"/>
        <w:spacing w:line="0" w:lineRule="atLeast"/>
        <w:ind w:left="640" w:hanging="640"/>
        <w:rPr>
          <w:noProof/>
        </w:rPr>
      </w:pPr>
      <w:r w:rsidRPr="000F403E">
        <w:rPr>
          <w:noProof/>
        </w:rPr>
        <w:t>9.</w:t>
      </w:r>
      <w:r w:rsidRPr="000F403E">
        <w:rPr>
          <w:noProof/>
        </w:rPr>
        <w:tab/>
        <w:t xml:space="preserve">Blokzijl, F. </w:t>
      </w:r>
      <w:r w:rsidR="00C16832" w:rsidRPr="00C16832">
        <w:rPr>
          <w:iCs/>
          <w:noProof/>
        </w:rPr>
        <w:t>et al.</w:t>
      </w:r>
      <w:r w:rsidRPr="000F403E">
        <w:rPr>
          <w:noProof/>
        </w:rPr>
        <w:t xml:space="preserve"> Tissue-specific mutation accumulation in human adult stem cells during life. </w:t>
      </w:r>
      <w:r w:rsidRPr="000F403E">
        <w:rPr>
          <w:i/>
          <w:iCs/>
          <w:noProof/>
        </w:rPr>
        <w:t>Nature</w:t>
      </w:r>
      <w:r w:rsidR="00530BAC">
        <w:rPr>
          <w:i/>
          <w:iCs/>
          <w:noProof/>
        </w:rPr>
        <w:t>.</w:t>
      </w:r>
      <w:r w:rsidRPr="000F403E">
        <w:rPr>
          <w:noProof/>
        </w:rPr>
        <w:t xml:space="preserve"> </w:t>
      </w:r>
      <w:r w:rsidRPr="000F403E">
        <w:rPr>
          <w:b/>
          <w:bCs/>
          <w:noProof/>
        </w:rPr>
        <w:t>538,</w:t>
      </w:r>
      <w:r w:rsidRPr="000F403E">
        <w:rPr>
          <w:noProof/>
        </w:rPr>
        <w:t xml:space="preserve"> 260–264 (2016).</w:t>
      </w:r>
    </w:p>
    <w:p w14:paraId="08DB2FD1" w14:textId="11BDFA45" w:rsidR="000F403E" w:rsidRPr="000F403E" w:rsidRDefault="000F403E" w:rsidP="00C16832">
      <w:pPr>
        <w:autoSpaceDE w:val="0"/>
        <w:autoSpaceDN w:val="0"/>
        <w:adjustRightInd w:val="0"/>
        <w:spacing w:line="0" w:lineRule="atLeast"/>
        <w:ind w:left="640" w:hanging="640"/>
        <w:rPr>
          <w:noProof/>
        </w:rPr>
      </w:pPr>
      <w:r w:rsidRPr="000F403E">
        <w:rPr>
          <w:noProof/>
        </w:rPr>
        <w:t>10.</w:t>
      </w:r>
      <w:r w:rsidRPr="000F403E">
        <w:rPr>
          <w:noProof/>
        </w:rPr>
        <w:tab/>
        <w:t>Gawad, C., Koh, W.</w:t>
      </w:r>
      <w:r w:rsidR="00530BAC">
        <w:rPr>
          <w:noProof/>
        </w:rPr>
        <w:t>,</w:t>
      </w:r>
      <w:r w:rsidRPr="000F403E">
        <w:rPr>
          <w:noProof/>
        </w:rPr>
        <w:t xml:space="preserve"> Quake, S. R. Single-cell genome sequencing: Current state of the science. </w:t>
      </w:r>
      <w:r w:rsidRPr="000F403E">
        <w:rPr>
          <w:i/>
          <w:iCs/>
          <w:noProof/>
        </w:rPr>
        <w:t>Nature Reviews Genetics</w:t>
      </w:r>
      <w:r w:rsidR="00530BAC">
        <w:rPr>
          <w:i/>
          <w:iCs/>
          <w:noProof/>
        </w:rPr>
        <w:t>.</w:t>
      </w:r>
      <w:r w:rsidRPr="000F403E">
        <w:rPr>
          <w:noProof/>
        </w:rPr>
        <w:t xml:space="preserve"> </w:t>
      </w:r>
      <w:r w:rsidRPr="000F403E">
        <w:rPr>
          <w:b/>
          <w:bCs/>
          <w:noProof/>
        </w:rPr>
        <w:t>17,</w:t>
      </w:r>
      <w:r w:rsidRPr="000F403E">
        <w:rPr>
          <w:noProof/>
        </w:rPr>
        <w:t xml:space="preserve"> 175–188 (2016).</w:t>
      </w:r>
    </w:p>
    <w:p w14:paraId="5BC614A7" w14:textId="1E913518" w:rsidR="000F403E" w:rsidRPr="000F403E" w:rsidRDefault="000F403E" w:rsidP="00C16832">
      <w:pPr>
        <w:autoSpaceDE w:val="0"/>
        <w:autoSpaceDN w:val="0"/>
        <w:adjustRightInd w:val="0"/>
        <w:spacing w:line="0" w:lineRule="atLeast"/>
        <w:ind w:left="640" w:hanging="640"/>
        <w:rPr>
          <w:noProof/>
        </w:rPr>
      </w:pPr>
      <w:r w:rsidRPr="000F403E">
        <w:rPr>
          <w:noProof/>
        </w:rPr>
        <w:lastRenderedPageBreak/>
        <w:t>11.</w:t>
      </w:r>
      <w:r w:rsidRPr="000F403E">
        <w:rPr>
          <w:noProof/>
        </w:rPr>
        <w:tab/>
        <w:t xml:space="preserve">Dong, X. </w:t>
      </w:r>
      <w:r w:rsidR="00C16832" w:rsidRPr="00C16832">
        <w:rPr>
          <w:iCs/>
          <w:noProof/>
        </w:rPr>
        <w:t>et al.</w:t>
      </w:r>
      <w:r w:rsidRPr="000F403E">
        <w:rPr>
          <w:noProof/>
        </w:rPr>
        <w:t xml:space="preserve"> Accurate identification of single-nucleotide variants in whole-genome-amplified single cells. </w:t>
      </w:r>
      <w:r w:rsidRPr="000F403E">
        <w:rPr>
          <w:i/>
          <w:iCs/>
          <w:noProof/>
        </w:rPr>
        <w:t>Nature Methods</w:t>
      </w:r>
      <w:r w:rsidR="00530BAC">
        <w:rPr>
          <w:i/>
          <w:iCs/>
          <w:noProof/>
        </w:rPr>
        <w:t>.</w:t>
      </w:r>
      <w:r w:rsidRPr="000F403E">
        <w:rPr>
          <w:noProof/>
        </w:rPr>
        <w:t xml:space="preserve"> </w:t>
      </w:r>
      <w:r w:rsidRPr="000F403E">
        <w:rPr>
          <w:b/>
          <w:bCs/>
          <w:noProof/>
        </w:rPr>
        <w:t>14,</w:t>
      </w:r>
      <w:r w:rsidRPr="000F403E">
        <w:rPr>
          <w:noProof/>
        </w:rPr>
        <w:t xml:space="preserve"> 491–493 (2017).</w:t>
      </w:r>
    </w:p>
    <w:p w14:paraId="59133F8E" w14:textId="1A770852" w:rsidR="000F403E" w:rsidRPr="000F403E" w:rsidRDefault="000F403E" w:rsidP="00C16832">
      <w:pPr>
        <w:autoSpaceDE w:val="0"/>
        <w:autoSpaceDN w:val="0"/>
        <w:adjustRightInd w:val="0"/>
        <w:spacing w:line="0" w:lineRule="atLeast"/>
        <w:ind w:left="640" w:hanging="640"/>
        <w:rPr>
          <w:noProof/>
        </w:rPr>
      </w:pPr>
      <w:r w:rsidRPr="000F403E">
        <w:rPr>
          <w:noProof/>
        </w:rPr>
        <w:t>12.</w:t>
      </w:r>
      <w:r w:rsidRPr="000F403E">
        <w:rPr>
          <w:noProof/>
        </w:rPr>
        <w:tab/>
        <w:t xml:space="preserve">Welch, J. S. </w:t>
      </w:r>
      <w:r w:rsidR="00C16832" w:rsidRPr="00C16832">
        <w:rPr>
          <w:iCs/>
          <w:noProof/>
        </w:rPr>
        <w:t>et al.</w:t>
      </w:r>
      <w:r w:rsidRPr="000F403E">
        <w:rPr>
          <w:noProof/>
        </w:rPr>
        <w:t xml:space="preserve"> </w:t>
      </w:r>
      <w:r w:rsidRPr="00C16832">
        <w:rPr>
          <w:iCs/>
          <w:noProof/>
        </w:rPr>
        <w:t>The origin and evolution of mutations in acute myeloid leukemia</w:t>
      </w:r>
      <w:r w:rsidRPr="00530BAC">
        <w:rPr>
          <w:noProof/>
        </w:rPr>
        <w:t>.</w:t>
      </w:r>
      <w:r w:rsidRPr="000F403E">
        <w:rPr>
          <w:noProof/>
        </w:rPr>
        <w:t xml:space="preserve"> </w:t>
      </w:r>
      <w:r w:rsidRPr="000F403E">
        <w:rPr>
          <w:i/>
          <w:iCs/>
          <w:noProof/>
        </w:rPr>
        <w:t>Cell</w:t>
      </w:r>
      <w:r w:rsidR="00530BAC">
        <w:rPr>
          <w:i/>
          <w:iCs/>
          <w:noProof/>
        </w:rPr>
        <w:t>.</w:t>
      </w:r>
      <w:r w:rsidRPr="000F403E">
        <w:rPr>
          <w:noProof/>
        </w:rPr>
        <w:t xml:space="preserve"> </w:t>
      </w:r>
      <w:r w:rsidRPr="000F403E">
        <w:rPr>
          <w:b/>
          <w:bCs/>
          <w:noProof/>
        </w:rPr>
        <w:t>150,</w:t>
      </w:r>
      <w:r w:rsidRPr="000F403E">
        <w:rPr>
          <w:noProof/>
        </w:rPr>
        <w:t xml:space="preserve"> (2012).</w:t>
      </w:r>
    </w:p>
    <w:p w14:paraId="527A1236" w14:textId="4C4C4E63" w:rsidR="000F403E" w:rsidRPr="000F403E" w:rsidRDefault="000F403E" w:rsidP="00C16832">
      <w:pPr>
        <w:autoSpaceDE w:val="0"/>
        <w:autoSpaceDN w:val="0"/>
        <w:adjustRightInd w:val="0"/>
        <w:spacing w:line="0" w:lineRule="atLeast"/>
        <w:ind w:left="640" w:hanging="640"/>
        <w:rPr>
          <w:noProof/>
        </w:rPr>
      </w:pPr>
      <w:r w:rsidRPr="000F403E">
        <w:rPr>
          <w:noProof/>
        </w:rPr>
        <w:t>13.</w:t>
      </w:r>
      <w:r w:rsidRPr="000F403E">
        <w:rPr>
          <w:noProof/>
        </w:rPr>
        <w:tab/>
        <w:t xml:space="preserve">Jager, M. </w:t>
      </w:r>
      <w:r w:rsidR="00C16832" w:rsidRPr="00C16832">
        <w:rPr>
          <w:iCs/>
          <w:noProof/>
        </w:rPr>
        <w:t>et al.</w:t>
      </w:r>
      <w:r w:rsidRPr="000F403E">
        <w:rPr>
          <w:noProof/>
        </w:rPr>
        <w:t xml:space="preserve"> Measuring mutation accumulation in single human adult stem cells by whole-genome sequencing of organoid cultures. </w:t>
      </w:r>
      <w:r w:rsidRPr="000F403E">
        <w:rPr>
          <w:i/>
          <w:iCs/>
          <w:noProof/>
        </w:rPr>
        <w:t>Nature Protocols</w:t>
      </w:r>
      <w:r w:rsidR="00530BAC">
        <w:rPr>
          <w:i/>
          <w:iCs/>
          <w:noProof/>
        </w:rPr>
        <w:t>.</w:t>
      </w:r>
      <w:r w:rsidRPr="000F403E">
        <w:rPr>
          <w:noProof/>
        </w:rPr>
        <w:t xml:space="preserve"> </w:t>
      </w:r>
      <w:r w:rsidRPr="000F403E">
        <w:rPr>
          <w:b/>
          <w:bCs/>
          <w:noProof/>
        </w:rPr>
        <w:t>13,</w:t>
      </w:r>
      <w:r w:rsidRPr="000F403E">
        <w:rPr>
          <w:noProof/>
        </w:rPr>
        <w:t xml:space="preserve"> 59–78 (2018).</w:t>
      </w:r>
    </w:p>
    <w:p w14:paraId="3019837A" w14:textId="013A6FEC" w:rsidR="000F403E" w:rsidRPr="000F403E" w:rsidRDefault="000F403E" w:rsidP="00C16832">
      <w:pPr>
        <w:autoSpaceDE w:val="0"/>
        <w:autoSpaceDN w:val="0"/>
        <w:adjustRightInd w:val="0"/>
        <w:spacing w:line="0" w:lineRule="atLeast"/>
        <w:ind w:left="640" w:hanging="640"/>
        <w:rPr>
          <w:noProof/>
        </w:rPr>
      </w:pPr>
      <w:r w:rsidRPr="000F403E">
        <w:rPr>
          <w:noProof/>
        </w:rPr>
        <w:t>14.</w:t>
      </w:r>
      <w:r w:rsidRPr="000F403E">
        <w:rPr>
          <w:noProof/>
        </w:rPr>
        <w:tab/>
        <w:t xml:space="preserve">Boeva, V. </w:t>
      </w:r>
      <w:r w:rsidR="00C16832" w:rsidRPr="00C16832">
        <w:rPr>
          <w:iCs/>
          <w:noProof/>
        </w:rPr>
        <w:t>et al.</w:t>
      </w:r>
      <w:r w:rsidRPr="000F403E">
        <w:rPr>
          <w:noProof/>
        </w:rPr>
        <w:t xml:space="preserve"> Control-FREEC: A tool for assessing copy number and allelic content using next-generation sequencing data. </w:t>
      </w:r>
      <w:r w:rsidRPr="000F403E">
        <w:rPr>
          <w:i/>
          <w:iCs/>
          <w:noProof/>
        </w:rPr>
        <w:t>Bioinformatics</w:t>
      </w:r>
      <w:r w:rsidR="00530BAC">
        <w:rPr>
          <w:i/>
          <w:iCs/>
          <w:noProof/>
        </w:rPr>
        <w:t>.</w:t>
      </w:r>
      <w:r w:rsidRPr="000F403E">
        <w:rPr>
          <w:noProof/>
        </w:rPr>
        <w:t xml:space="preserve"> </w:t>
      </w:r>
      <w:r w:rsidRPr="000F403E">
        <w:rPr>
          <w:b/>
          <w:bCs/>
          <w:noProof/>
        </w:rPr>
        <w:t>28,</w:t>
      </w:r>
      <w:r w:rsidRPr="000F403E">
        <w:rPr>
          <w:noProof/>
        </w:rPr>
        <w:t xml:space="preserve"> 423–425 (2012).</w:t>
      </w:r>
    </w:p>
    <w:p w14:paraId="5DD59B56" w14:textId="4036D7AC" w:rsidR="000F403E" w:rsidRPr="000F403E" w:rsidRDefault="000F403E" w:rsidP="00C16832">
      <w:pPr>
        <w:autoSpaceDE w:val="0"/>
        <w:autoSpaceDN w:val="0"/>
        <w:adjustRightInd w:val="0"/>
        <w:spacing w:line="0" w:lineRule="atLeast"/>
        <w:ind w:left="640" w:hanging="640"/>
        <w:rPr>
          <w:noProof/>
        </w:rPr>
      </w:pPr>
      <w:r w:rsidRPr="000F403E">
        <w:rPr>
          <w:noProof/>
        </w:rPr>
        <w:t>15.</w:t>
      </w:r>
      <w:r w:rsidRPr="000F403E">
        <w:rPr>
          <w:noProof/>
        </w:rPr>
        <w:tab/>
        <w:t>Blokzijl, F., Janssen, R., van Boxtel, R.</w:t>
      </w:r>
      <w:r w:rsidR="00530BAC">
        <w:rPr>
          <w:noProof/>
        </w:rPr>
        <w:t>,</w:t>
      </w:r>
      <w:r w:rsidRPr="000F403E">
        <w:rPr>
          <w:noProof/>
        </w:rPr>
        <w:t xml:space="preserve"> Cuppen, E. MutationalPatterns: Comprehensive genome-wide analysis of mutational processes. </w:t>
      </w:r>
      <w:r w:rsidRPr="000F403E">
        <w:rPr>
          <w:i/>
          <w:iCs/>
          <w:noProof/>
        </w:rPr>
        <w:t>Genome Medicine</w:t>
      </w:r>
      <w:r w:rsidR="00530BAC">
        <w:rPr>
          <w:i/>
          <w:iCs/>
          <w:noProof/>
        </w:rPr>
        <w:t>.</w:t>
      </w:r>
      <w:r w:rsidRPr="000F403E">
        <w:rPr>
          <w:noProof/>
        </w:rPr>
        <w:t xml:space="preserve"> </w:t>
      </w:r>
      <w:r w:rsidRPr="000F403E">
        <w:rPr>
          <w:b/>
          <w:bCs/>
          <w:noProof/>
        </w:rPr>
        <w:t>10,</w:t>
      </w:r>
      <w:r w:rsidRPr="000F403E">
        <w:rPr>
          <w:noProof/>
        </w:rPr>
        <w:t xml:space="preserve"> 1–11 (2018).</w:t>
      </w:r>
    </w:p>
    <w:p w14:paraId="66B51F09" w14:textId="12FCBA94" w:rsidR="000F403E" w:rsidRPr="000F403E" w:rsidRDefault="000F403E" w:rsidP="00C16832">
      <w:pPr>
        <w:autoSpaceDE w:val="0"/>
        <w:autoSpaceDN w:val="0"/>
        <w:adjustRightInd w:val="0"/>
        <w:spacing w:line="0" w:lineRule="atLeast"/>
        <w:ind w:left="640" w:hanging="640"/>
        <w:rPr>
          <w:noProof/>
        </w:rPr>
      </w:pPr>
      <w:r w:rsidRPr="000F403E">
        <w:rPr>
          <w:noProof/>
        </w:rPr>
        <w:t>16.</w:t>
      </w:r>
      <w:r w:rsidRPr="000F403E">
        <w:rPr>
          <w:noProof/>
        </w:rPr>
        <w:tab/>
        <w:t>Thorvaldsdóttir, H., Robinson, J. T.</w:t>
      </w:r>
      <w:r w:rsidR="00530BAC">
        <w:rPr>
          <w:noProof/>
        </w:rPr>
        <w:t>,</w:t>
      </w:r>
      <w:r w:rsidRPr="000F403E">
        <w:rPr>
          <w:noProof/>
        </w:rPr>
        <w:t xml:space="preserve"> Mesirov, J. P. Integrative Genomics Viewer (IGV): High-performance genomics data visualization and exploration. </w:t>
      </w:r>
      <w:r w:rsidRPr="000F403E">
        <w:rPr>
          <w:i/>
          <w:iCs/>
          <w:noProof/>
        </w:rPr>
        <w:t>Briefings in Bioinformatics</w:t>
      </w:r>
      <w:r w:rsidR="00530BAC">
        <w:rPr>
          <w:i/>
          <w:iCs/>
          <w:noProof/>
        </w:rPr>
        <w:t>.</w:t>
      </w:r>
      <w:r w:rsidRPr="000F403E">
        <w:rPr>
          <w:noProof/>
        </w:rPr>
        <w:t xml:space="preserve"> </w:t>
      </w:r>
      <w:r w:rsidRPr="000F403E">
        <w:rPr>
          <w:b/>
          <w:bCs/>
          <w:noProof/>
        </w:rPr>
        <w:t>14,</w:t>
      </w:r>
      <w:r w:rsidRPr="000F403E">
        <w:rPr>
          <w:noProof/>
        </w:rPr>
        <w:t xml:space="preserve"> 178–192 (2013).</w:t>
      </w:r>
    </w:p>
    <w:p w14:paraId="4D749295" w14:textId="0C12E434" w:rsidR="000F403E" w:rsidRPr="000F403E" w:rsidRDefault="000F403E" w:rsidP="00C16832">
      <w:pPr>
        <w:autoSpaceDE w:val="0"/>
        <w:autoSpaceDN w:val="0"/>
        <w:adjustRightInd w:val="0"/>
        <w:spacing w:line="0" w:lineRule="atLeast"/>
        <w:ind w:left="640" w:hanging="640"/>
        <w:rPr>
          <w:noProof/>
        </w:rPr>
      </w:pPr>
      <w:r w:rsidRPr="000F403E">
        <w:rPr>
          <w:noProof/>
        </w:rPr>
        <w:t>17.</w:t>
      </w:r>
      <w:r w:rsidRPr="000F403E">
        <w:rPr>
          <w:noProof/>
        </w:rPr>
        <w:tab/>
        <w:t xml:space="preserve">Notta, F. </w:t>
      </w:r>
      <w:r w:rsidR="00C16832" w:rsidRPr="00C16832">
        <w:rPr>
          <w:iCs/>
          <w:noProof/>
        </w:rPr>
        <w:t>et al.</w:t>
      </w:r>
      <w:r w:rsidRPr="000F403E">
        <w:rPr>
          <w:noProof/>
        </w:rPr>
        <w:t xml:space="preserve"> Isolation of single human hematopoietic stem cells capable of long-term multilineage engraftment. </w:t>
      </w:r>
      <w:r w:rsidRPr="000F403E">
        <w:rPr>
          <w:i/>
          <w:iCs/>
          <w:noProof/>
        </w:rPr>
        <w:t>Science</w:t>
      </w:r>
      <w:r w:rsidR="00530BAC">
        <w:rPr>
          <w:i/>
          <w:iCs/>
          <w:noProof/>
        </w:rPr>
        <w:t>.</w:t>
      </w:r>
      <w:r w:rsidRPr="000F403E">
        <w:rPr>
          <w:noProof/>
        </w:rPr>
        <w:t xml:space="preserve"> doi:10.1126/science.1201219</w:t>
      </w:r>
      <w:r w:rsidR="00530BAC">
        <w:rPr>
          <w:noProof/>
        </w:rPr>
        <w:t xml:space="preserve"> (2011).</w:t>
      </w:r>
    </w:p>
    <w:p w14:paraId="0C2830B4" w14:textId="07FBF435" w:rsidR="000F403E" w:rsidRPr="000F403E" w:rsidRDefault="000F403E" w:rsidP="00C16832">
      <w:pPr>
        <w:autoSpaceDE w:val="0"/>
        <w:autoSpaceDN w:val="0"/>
        <w:adjustRightInd w:val="0"/>
        <w:spacing w:line="0" w:lineRule="atLeast"/>
        <w:ind w:left="640" w:hanging="640"/>
        <w:rPr>
          <w:noProof/>
        </w:rPr>
      </w:pPr>
      <w:r w:rsidRPr="000F403E">
        <w:rPr>
          <w:noProof/>
        </w:rPr>
        <w:t>18.</w:t>
      </w:r>
      <w:r w:rsidRPr="000F403E">
        <w:rPr>
          <w:noProof/>
        </w:rPr>
        <w:tab/>
        <w:t xml:space="preserve">Lee-Six, H. </w:t>
      </w:r>
      <w:r w:rsidR="00C16832" w:rsidRPr="00C16832">
        <w:rPr>
          <w:iCs/>
          <w:noProof/>
        </w:rPr>
        <w:t>et al.</w:t>
      </w:r>
      <w:r w:rsidRPr="000F403E">
        <w:rPr>
          <w:noProof/>
        </w:rPr>
        <w:t xml:space="preserve"> Population dynamics of normal human blood inferred from somatic mutations. </w:t>
      </w:r>
      <w:r w:rsidRPr="000F403E">
        <w:rPr>
          <w:i/>
          <w:iCs/>
          <w:noProof/>
        </w:rPr>
        <w:t>Nature</w:t>
      </w:r>
      <w:r w:rsidR="00530BAC">
        <w:rPr>
          <w:i/>
          <w:iCs/>
          <w:noProof/>
        </w:rPr>
        <w:t>.</w:t>
      </w:r>
      <w:r w:rsidRPr="000F403E">
        <w:rPr>
          <w:noProof/>
        </w:rPr>
        <w:t xml:space="preserve"> </w:t>
      </w:r>
      <w:r w:rsidRPr="000F403E">
        <w:rPr>
          <w:b/>
          <w:bCs/>
          <w:noProof/>
        </w:rPr>
        <w:t>561,</w:t>
      </w:r>
      <w:r w:rsidRPr="000F403E">
        <w:rPr>
          <w:noProof/>
        </w:rPr>
        <w:t xml:space="preserve"> 473–478 (2018).</w:t>
      </w:r>
    </w:p>
    <w:p w14:paraId="7CE1234F" w14:textId="583305DE" w:rsidR="000F403E" w:rsidRPr="000F403E" w:rsidRDefault="000F403E" w:rsidP="00C16832">
      <w:pPr>
        <w:autoSpaceDE w:val="0"/>
        <w:autoSpaceDN w:val="0"/>
        <w:adjustRightInd w:val="0"/>
        <w:spacing w:line="0" w:lineRule="atLeast"/>
        <w:ind w:left="640" w:hanging="640"/>
        <w:rPr>
          <w:noProof/>
        </w:rPr>
      </w:pPr>
      <w:r w:rsidRPr="000F403E">
        <w:rPr>
          <w:noProof/>
        </w:rPr>
        <w:t>19.</w:t>
      </w:r>
      <w:r w:rsidRPr="000F403E">
        <w:rPr>
          <w:noProof/>
        </w:rPr>
        <w:tab/>
        <w:t xml:space="preserve">Behjati, S. </w:t>
      </w:r>
      <w:r w:rsidR="00C16832" w:rsidRPr="00C16832">
        <w:rPr>
          <w:iCs/>
          <w:noProof/>
        </w:rPr>
        <w:t>et al.</w:t>
      </w:r>
      <w:r w:rsidRPr="000F403E">
        <w:rPr>
          <w:noProof/>
        </w:rPr>
        <w:t xml:space="preserve"> Genome sequencing of normal cells reveals developmental lineages and mutational processes. </w:t>
      </w:r>
      <w:r w:rsidRPr="000F403E">
        <w:rPr>
          <w:i/>
          <w:iCs/>
          <w:noProof/>
        </w:rPr>
        <w:t>Nature</w:t>
      </w:r>
      <w:r w:rsidR="00530BAC">
        <w:rPr>
          <w:i/>
          <w:iCs/>
          <w:noProof/>
        </w:rPr>
        <w:t>.</w:t>
      </w:r>
      <w:r w:rsidRPr="000F403E">
        <w:rPr>
          <w:noProof/>
        </w:rPr>
        <w:t xml:space="preserve"> doi:10.1038/nature13448</w:t>
      </w:r>
      <w:r w:rsidR="00530BAC">
        <w:rPr>
          <w:noProof/>
        </w:rPr>
        <w:t xml:space="preserve"> (2014).</w:t>
      </w:r>
    </w:p>
    <w:p w14:paraId="656FAEF1" w14:textId="653D95E2" w:rsidR="00942E88" w:rsidRDefault="005C3153" w:rsidP="00C16832">
      <w:pPr>
        <w:autoSpaceDE w:val="0"/>
        <w:autoSpaceDN w:val="0"/>
        <w:adjustRightInd w:val="0"/>
        <w:spacing w:line="0" w:lineRule="atLeast"/>
        <w:rPr>
          <w:rFonts w:asciiTheme="minorHAnsi" w:hAnsiTheme="minorHAnsi" w:cstheme="minorHAnsi"/>
          <w:b/>
          <w:color w:val="808080"/>
        </w:rPr>
      </w:pPr>
      <w:r>
        <w:rPr>
          <w:rFonts w:asciiTheme="minorHAnsi" w:hAnsiTheme="minorHAnsi" w:cstheme="minorHAnsi"/>
          <w:b/>
          <w:color w:val="808080"/>
        </w:rPr>
        <w:fldChar w:fldCharType="end"/>
      </w:r>
    </w:p>
    <w:sectPr w:rsidR="00942E88">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FE4D9" w14:textId="77777777" w:rsidR="001D40E2" w:rsidRDefault="001D40E2">
      <w:r>
        <w:separator/>
      </w:r>
    </w:p>
  </w:endnote>
  <w:endnote w:type="continuationSeparator" w:id="0">
    <w:p w14:paraId="4FBB47E7" w14:textId="77777777" w:rsidR="001D40E2" w:rsidRDefault="001D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auto"/>
    <w:pitch w:val="variable"/>
    <w:sig w:usb0="00000003" w:usb1="00000000" w:usb2="00000000" w:usb3="00000000" w:csb0="00000003" w:csb1="00000000"/>
  </w:font>
  <w:font w:name="HGMaruGothicMPRO">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985753"/>
      <w:docPartObj>
        <w:docPartGallery w:val="Page Numbers (Bottom of Page)"/>
        <w:docPartUnique/>
      </w:docPartObj>
    </w:sdtPr>
    <w:sdtEndPr/>
    <w:sdtContent>
      <w:p w14:paraId="615CA1D2" w14:textId="3B39FCBD" w:rsidR="00C16832" w:rsidRDefault="00C16832">
        <w:pPr>
          <w:pStyle w:val="Footer"/>
        </w:pPr>
      </w:p>
      <w:p w14:paraId="0B50988E" w14:textId="3D82E374" w:rsidR="00C16832" w:rsidRDefault="001D40E2">
        <w:pPr>
          <w:pStyle w:val="Footer"/>
        </w:pPr>
      </w:p>
    </w:sdtContent>
  </w:sdt>
  <w:p w14:paraId="2DF9365C" w14:textId="77777777" w:rsidR="00C16832" w:rsidRDefault="00C168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772FE" w14:textId="77777777" w:rsidR="00C16832" w:rsidRDefault="00C16832">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E9874" w14:textId="77777777" w:rsidR="001D40E2" w:rsidRDefault="001D40E2">
      <w:r>
        <w:separator/>
      </w:r>
    </w:p>
  </w:footnote>
  <w:footnote w:type="continuationSeparator" w:id="0">
    <w:p w14:paraId="778E031A" w14:textId="77777777" w:rsidR="001D40E2" w:rsidRDefault="001D4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9F7AE" w14:textId="77777777" w:rsidR="00C16832" w:rsidRDefault="00C16832">
    <w:pPr>
      <w:pStyle w:val="Header"/>
      <w:tabs>
        <w:tab w:val="left" w:pos="5724"/>
      </w:tabs>
      <w:rPr>
        <w:b/>
        <w:color w:val="1F497D"/>
        <w:sz w:val="28"/>
        <w:szCs w:val="28"/>
      </w:rPr>
    </w:pP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64C5C"/>
    <w:multiLevelType w:val="hybridMultilevel"/>
    <w:tmpl w:val="9970C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2474C"/>
    <w:multiLevelType w:val="multilevel"/>
    <w:tmpl w:val="CF4AD810"/>
    <w:lvl w:ilvl="0">
      <w:start w:val="3"/>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24D773AF"/>
    <w:multiLevelType w:val="multilevel"/>
    <w:tmpl w:val="8D36FC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7D85382"/>
    <w:multiLevelType w:val="hybridMultilevel"/>
    <w:tmpl w:val="EAE039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D1D16E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639A5299"/>
    <w:multiLevelType w:val="multilevel"/>
    <w:tmpl w:val="F48C4B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7491C37"/>
    <w:multiLevelType w:val="multilevel"/>
    <w:tmpl w:val="187A76B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697D1BD8"/>
    <w:multiLevelType w:val="multilevel"/>
    <w:tmpl w:val="AEF6A1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A24077F"/>
    <w:multiLevelType w:val="multilevel"/>
    <w:tmpl w:val="7A4653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FE84B10"/>
    <w:multiLevelType w:val="multilevel"/>
    <w:tmpl w:val="06FA06CE"/>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4"/>
  </w:num>
  <w:num w:numId="2">
    <w:abstractNumId w:val="8"/>
  </w:num>
  <w:num w:numId="3">
    <w:abstractNumId w:val="2"/>
  </w:num>
  <w:num w:numId="4">
    <w:abstractNumId w:val="7"/>
  </w:num>
  <w:num w:numId="5">
    <w:abstractNumId w:val="5"/>
  </w:num>
  <w:num w:numId="6">
    <w:abstractNumId w:val="6"/>
  </w:num>
  <w:num w:numId="7">
    <w:abstractNumId w:val="1"/>
  </w:num>
  <w:num w:numId="8">
    <w:abstractNumId w:val="0"/>
  </w:num>
  <w:num w:numId="9">
    <w:abstractNumId w:val="3"/>
  </w:num>
  <w:num w:numId="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E88"/>
    <w:rsid w:val="0000237A"/>
    <w:rsid w:val="0000238B"/>
    <w:rsid w:val="00007841"/>
    <w:rsid w:val="00012A43"/>
    <w:rsid w:val="0001457C"/>
    <w:rsid w:val="000177C7"/>
    <w:rsid w:val="00017C55"/>
    <w:rsid w:val="0002009D"/>
    <w:rsid w:val="00021EA7"/>
    <w:rsid w:val="000253E5"/>
    <w:rsid w:val="00031154"/>
    <w:rsid w:val="000363B5"/>
    <w:rsid w:val="000428CA"/>
    <w:rsid w:val="00042D3D"/>
    <w:rsid w:val="00046EAA"/>
    <w:rsid w:val="00050336"/>
    <w:rsid w:val="000528EC"/>
    <w:rsid w:val="00055B09"/>
    <w:rsid w:val="00055FEB"/>
    <w:rsid w:val="00060EAA"/>
    <w:rsid w:val="00063DE0"/>
    <w:rsid w:val="00066CC1"/>
    <w:rsid w:val="00070557"/>
    <w:rsid w:val="00080CF8"/>
    <w:rsid w:val="00087F9F"/>
    <w:rsid w:val="0009286A"/>
    <w:rsid w:val="000954B1"/>
    <w:rsid w:val="000B0559"/>
    <w:rsid w:val="000C7643"/>
    <w:rsid w:val="000D1354"/>
    <w:rsid w:val="000D277D"/>
    <w:rsid w:val="000D4541"/>
    <w:rsid w:val="000D556C"/>
    <w:rsid w:val="000D5FEE"/>
    <w:rsid w:val="000D7764"/>
    <w:rsid w:val="000E1E22"/>
    <w:rsid w:val="000E3DA7"/>
    <w:rsid w:val="000E6BF0"/>
    <w:rsid w:val="000F403E"/>
    <w:rsid w:val="00106D0A"/>
    <w:rsid w:val="00106D13"/>
    <w:rsid w:val="00116641"/>
    <w:rsid w:val="00117D1F"/>
    <w:rsid w:val="00122347"/>
    <w:rsid w:val="001237F6"/>
    <w:rsid w:val="001249BB"/>
    <w:rsid w:val="00133128"/>
    <w:rsid w:val="00133933"/>
    <w:rsid w:val="00134680"/>
    <w:rsid w:val="001371A4"/>
    <w:rsid w:val="00140900"/>
    <w:rsid w:val="001419C7"/>
    <w:rsid w:val="00141CD2"/>
    <w:rsid w:val="00143DDA"/>
    <w:rsid w:val="001463FB"/>
    <w:rsid w:val="00150498"/>
    <w:rsid w:val="00150511"/>
    <w:rsid w:val="001517B2"/>
    <w:rsid w:val="00154CCC"/>
    <w:rsid w:val="001559FE"/>
    <w:rsid w:val="0015631E"/>
    <w:rsid w:val="00167416"/>
    <w:rsid w:val="00170EB9"/>
    <w:rsid w:val="001741A8"/>
    <w:rsid w:val="001752CD"/>
    <w:rsid w:val="00177D14"/>
    <w:rsid w:val="0018241D"/>
    <w:rsid w:val="0018503A"/>
    <w:rsid w:val="0018706F"/>
    <w:rsid w:val="00190182"/>
    <w:rsid w:val="001937C8"/>
    <w:rsid w:val="001A3358"/>
    <w:rsid w:val="001A5611"/>
    <w:rsid w:val="001B3162"/>
    <w:rsid w:val="001B343E"/>
    <w:rsid w:val="001B5E1B"/>
    <w:rsid w:val="001B61E5"/>
    <w:rsid w:val="001C0D8B"/>
    <w:rsid w:val="001C16F7"/>
    <w:rsid w:val="001C28C8"/>
    <w:rsid w:val="001C4AE8"/>
    <w:rsid w:val="001C6F36"/>
    <w:rsid w:val="001D40E2"/>
    <w:rsid w:val="001D67B1"/>
    <w:rsid w:val="001E6DC0"/>
    <w:rsid w:val="001F0DCF"/>
    <w:rsid w:val="001F1832"/>
    <w:rsid w:val="001F45D7"/>
    <w:rsid w:val="001F5D94"/>
    <w:rsid w:val="001F75F0"/>
    <w:rsid w:val="00203322"/>
    <w:rsid w:val="00206604"/>
    <w:rsid w:val="00214AEE"/>
    <w:rsid w:val="0021653C"/>
    <w:rsid w:val="00216F82"/>
    <w:rsid w:val="002178B0"/>
    <w:rsid w:val="00220944"/>
    <w:rsid w:val="00224011"/>
    <w:rsid w:val="002263A4"/>
    <w:rsid w:val="00241BD0"/>
    <w:rsid w:val="00244120"/>
    <w:rsid w:val="00250B9E"/>
    <w:rsid w:val="002513EB"/>
    <w:rsid w:val="00253EB7"/>
    <w:rsid w:val="00255D9A"/>
    <w:rsid w:val="0025758B"/>
    <w:rsid w:val="00262C77"/>
    <w:rsid w:val="00264B0B"/>
    <w:rsid w:val="00264F0A"/>
    <w:rsid w:val="002758D5"/>
    <w:rsid w:val="00275BA6"/>
    <w:rsid w:val="0028026B"/>
    <w:rsid w:val="002815D3"/>
    <w:rsid w:val="002825BE"/>
    <w:rsid w:val="00282668"/>
    <w:rsid w:val="002850BA"/>
    <w:rsid w:val="00285762"/>
    <w:rsid w:val="00292EDE"/>
    <w:rsid w:val="00293EC1"/>
    <w:rsid w:val="002951A8"/>
    <w:rsid w:val="002A2175"/>
    <w:rsid w:val="002A278E"/>
    <w:rsid w:val="002A2864"/>
    <w:rsid w:val="002A66A1"/>
    <w:rsid w:val="002A7819"/>
    <w:rsid w:val="002B42BB"/>
    <w:rsid w:val="002B49BC"/>
    <w:rsid w:val="002B6F87"/>
    <w:rsid w:val="002C4068"/>
    <w:rsid w:val="002C4173"/>
    <w:rsid w:val="002D02A0"/>
    <w:rsid w:val="002D62C9"/>
    <w:rsid w:val="002D7272"/>
    <w:rsid w:val="002D784F"/>
    <w:rsid w:val="002E3439"/>
    <w:rsid w:val="002E7581"/>
    <w:rsid w:val="003033E1"/>
    <w:rsid w:val="003112CF"/>
    <w:rsid w:val="00315AA9"/>
    <w:rsid w:val="00315C1A"/>
    <w:rsid w:val="0032164D"/>
    <w:rsid w:val="003217EF"/>
    <w:rsid w:val="00330D34"/>
    <w:rsid w:val="003313A5"/>
    <w:rsid w:val="00331CF8"/>
    <w:rsid w:val="0033515F"/>
    <w:rsid w:val="00352D02"/>
    <w:rsid w:val="00353EF0"/>
    <w:rsid w:val="003555B3"/>
    <w:rsid w:val="0035639D"/>
    <w:rsid w:val="0035705F"/>
    <w:rsid w:val="00360A17"/>
    <w:rsid w:val="00361866"/>
    <w:rsid w:val="00361C22"/>
    <w:rsid w:val="00366102"/>
    <w:rsid w:val="00376577"/>
    <w:rsid w:val="00376716"/>
    <w:rsid w:val="0038058E"/>
    <w:rsid w:val="00380C24"/>
    <w:rsid w:val="00380E39"/>
    <w:rsid w:val="003A52C9"/>
    <w:rsid w:val="003B6E82"/>
    <w:rsid w:val="003B6EBE"/>
    <w:rsid w:val="003B7460"/>
    <w:rsid w:val="003C1B49"/>
    <w:rsid w:val="003C2972"/>
    <w:rsid w:val="003D4B42"/>
    <w:rsid w:val="003D5CFE"/>
    <w:rsid w:val="003D7421"/>
    <w:rsid w:val="003E3A0D"/>
    <w:rsid w:val="003E3AFC"/>
    <w:rsid w:val="003E526C"/>
    <w:rsid w:val="003E59CB"/>
    <w:rsid w:val="003E7A2C"/>
    <w:rsid w:val="003F02FA"/>
    <w:rsid w:val="003F1966"/>
    <w:rsid w:val="003F275F"/>
    <w:rsid w:val="004008F6"/>
    <w:rsid w:val="00401178"/>
    <w:rsid w:val="004046D7"/>
    <w:rsid w:val="00410E2A"/>
    <w:rsid w:val="00414451"/>
    <w:rsid w:val="0042409D"/>
    <w:rsid w:val="00424B9A"/>
    <w:rsid w:val="00432E7C"/>
    <w:rsid w:val="004359B1"/>
    <w:rsid w:val="00436C3E"/>
    <w:rsid w:val="00436D7C"/>
    <w:rsid w:val="004376F3"/>
    <w:rsid w:val="004456CE"/>
    <w:rsid w:val="00451DAD"/>
    <w:rsid w:val="004530D4"/>
    <w:rsid w:val="004565DF"/>
    <w:rsid w:val="004621D2"/>
    <w:rsid w:val="00464A99"/>
    <w:rsid w:val="004662A2"/>
    <w:rsid w:val="004705E2"/>
    <w:rsid w:val="00472E20"/>
    <w:rsid w:val="0047474A"/>
    <w:rsid w:val="00474F22"/>
    <w:rsid w:val="004755CE"/>
    <w:rsid w:val="004766AD"/>
    <w:rsid w:val="004775AA"/>
    <w:rsid w:val="00482324"/>
    <w:rsid w:val="00484445"/>
    <w:rsid w:val="00485074"/>
    <w:rsid w:val="0049485F"/>
    <w:rsid w:val="004A27D5"/>
    <w:rsid w:val="004A4F4A"/>
    <w:rsid w:val="004A555F"/>
    <w:rsid w:val="004D06B5"/>
    <w:rsid w:val="004D0FB3"/>
    <w:rsid w:val="004D2639"/>
    <w:rsid w:val="004D37BA"/>
    <w:rsid w:val="004E0819"/>
    <w:rsid w:val="004E1D51"/>
    <w:rsid w:val="004E21C2"/>
    <w:rsid w:val="004E246A"/>
    <w:rsid w:val="004E6CC7"/>
    <w:rsid w:val="004F33F0"/>
    <w:rsid w:val="005018BC"/>
    <w:rsid w:val="00502877"/>
    <w:rsid w:val="00504D64"/>
    <w:rsid w:val="00507C5B"/>
    <w:rsid w:val="0051341E"/>
    <w:rsid w:val="00514598"/>
    <w:rsid w:val="00526346"/>
    <w:rsid w:val="00530BAC"/>
    <w:rsid w:val="00533122"/>
    <w:rsid w:val="005361FB"/>
    <w:rsid w:val="005373D9"/>
    <w:rsid w:val="00540206"/>
    <w:rsid w:val="005412C4"/>
    <w:rsid w:val="005453AD"/>
    <w:rsid w:val="00552341"/>
    <w:rsid w:val="005544CB"/>
    <w:rsid w:val="0055587B"/>
    <w:rsid w:val="00562DBF"/>
    <w:rsid w:val="00565570"/>
    <w:rsid w:val="00566342"/>
    <w:rsid w:val="00567D56"/>
    <w:rsid w:val="00572BAF"/>
    <w:rsid w:val="00576AAB"/>
    <w:rsid w:val="005831E9"/>
    <w:rsid w:val="005855A4"/>
    <w:rsid w:val="00586A05"/>
    <w:rsid w:val="00587FF8"/>
    <w:rsid w:val="00592A04"/>
    <w:rsid w:val="00592B97"/>
    <w:rsid w:val="00595704"/>
    <w:rsid w:val="00596165"/>
    <w:rsid w:val="00596492"/>
    <w:rsid w:val="005A01CA"/>
    <w:rsid w:val="005A0982"/>
    <w:rsid w:val="005A285B"/>
    <w:rsid w:val="005A40EB"/>
    <w:rsid w:val="005A49DA"/>
    <w:rsid w:val="005A4A31"/>
    <w:rsid w:val="005B60DB"/>
    <w:rsid w:val="005C3153"/>
    <w:rsid w:val="005C3C8C"/>
    <w:rsid w:val="005C5C2C"/>
    <w:rsid w:val="005C69C3"/>
    <w:rsid w:val="005D048D"/>
    <w:rsid w:val="005D2E4B"/>
    <w:rsid w:val="005D3671"/>
    <w:rsid w:val="005D4AF3"/>
    <w:rsid w:val="005E5365"/>
    <w:rsid w:val="005E6989"/>
    <w:rsid w:val="006079E5"/>
    <w:rsid w:val="006121AE"/>
    <w:rsid w:val="006144AD"/>
    <w:rsid w:val="00620F4C"/>
    <w:rsid w:val="0062481A"/>
    <w:rsid w:val="00632483"/>
    <w:rsid w:val="00641586"/>
    <w:rsid w:val="0064358B"/>
    <w:rsid w:val="00654C44"/>
    <w:rsid w:val="006603E2"/>
    <w:rsid w:val="0066093A"/>
    <w:rsid w:val="0066700F"/>
    <w:rsid w:val="006734D1"/>
    <w:rsid w:val="00675386"/>
    <w:rsid w:val="00676190"/>
    <w:rsid w:val="00677EE1"/>
    <w:rsid w:val="006857BA"/>
    <w:rsid w:val="0068697B"/>
    <w:rsid w:val="00690725"/>
    <w:rsid w:val="006909CB"/>
    <w:rsid w:val="00692499"/>
    <w:rsid w:val="00695026"/>
    <w:rsid w:val="006A4E08"/>
    <w:rsid w:val="006B0D2C"/>
    <w:rsid w:val="006B3148"/>
    <w:rsid w:val="006B60FC"/>
    <w:rsid w:val="006C1F95"/>
    <w:rsid w:val="006C7A2A"/>
    <w:rsid w:val="006D42F1"/>
    <w:rsid w:val="006E0B38"/>
    <w:rsid w:val="006E31F0"/>
    <w:rsid w:val="006F0A12"/>
    <w:rsid w:val="006F175C"/>
    <w:rsid w:val="006F30AD"/>
    <w:rsid w:val="006F469A"/>
    <w:rsid w:val="006F5DBE"/>
    <w:rsid w:val="00705A52"/>
    <w:rsid w:val="00711B2F"/>
    <w:rsid w:val="00713517"/>
    <w:rsid w:val="00715495"/>
    <w:rsid w:val="00715BF6"/>
    <w:rsid w:val="0072538A"/>
    <w:rsid w:val="007264D9"/>
    <w:rsid w:val="00730478"/>
    <w:rsid w:val="0073121B"/>
    <w:rsid w:val="0073193A"/>
    <w:rsid w:val="00732B2A"/>
    <w:rsid w:val="00737DE3"/>
    <w:rsid w:val="00742143"/>
    <w:rsid w:val="0074243A"/>
    <w:rsid w:val="00743AC8"/>
    <w:rsid w:val="00747A32"/>
    <w:rsid w:val="00750903"/>
    <w:rsid w:val="007532B4"/>
    <w:rsid w:val="00763D9D"/>
    <w:rsid w:val="0077287A"/>
    <w:rsid w:val="00782EEB"/>
    <w:rsid w:val="00783928"/>
    <w:rsid w:val="00785D1B"/>
    <w:rsid w:val="0078667E"/>
    <w:rsid w:val="00787A83"/>
    <w:rsid w:val="007915B5"/>
    <w:rsid w:val="0079281E"/>
    <w:rsid w:val="00792E4C"/>
    <w:rsid w:val="00793F90"/>
    <w:rsid w:val="00794F6C"/>
    <w:rsid w:val="00797979"/>
    <w:rsid w:val="007A0B86"/>
    <w:rsid w:val="007A5D26"/>
    <w:rsid w:val="007B0945"/>
    <w:rsid w:val="007B13FE"/>
    <w:rsid w:val="007B1EE0"/>
    <w:rsid w:val="007B5151"/>
    <w:rsid w:val="007B56D4"/>
    <w:rsid w:val="007B61C8"/>
    <w:rsid w:val="007C5016"/>
    <w:rsid w:val="007C53E2"/>
    <w:rsid w:val="007C7CD9"/>
    <w:rsid w:val="007C7D0A"/>
    <w:rsid w:val="007D0D50"/>
    <w:rsid w:val="007D475F"/>
    <w:rsid w:val="007E0164"/>
    <w:rsid w:val="007E2C7C"/>
    <w:rsid w:val="007E46F6"/>
    <w:rsid w:val="007E5224"/>
    <w:rsid w:val="007E5687"/>
    <w:rsid w:val="007E64C6"/>
    <w:rsid w:val="007E6AAA"/>
    <w:rsid w:val="007F79B0"/>
    <w:rsid w:val="00800962"/>
    <w:rsid w:val="00806EE7"/>
    <w:rsid w:val="00812E48"/>
    <w:rsid w:val="008207E8"/>
    <w:rsid w:val="00822881"/>
    <w:rsid w:val="00823633"/>
    <w:rsid w:val="0082691D"/>
    <w:rsid w:val="008322D2"/>
    <w:rsid w:val="00836822"/>
    <w:rsid w:val="00837152"/>
    <w:rsid w:val="0084132C"/>
    <w:rsid w:val="0084302B"/>
    <w:rsid w:val="00843348"/>
    <w:rsid w:val="00862842"/>
    <w:rsid w:val="00863D50"/>
    <w:rsid w:val="00864320"/>
    <w:rsid w:val="008645DA"/>
    <w:rsid w:val="008708B0"/>
    <w:rsid w:val="008729DE"/>
    <w:rsid w:val="0088352B"/>
    <w:rsid w:val="008835B8"/>
    <w:rsid w:val="00885202"/>
    <w:rsid w:val="008964AC"/>
    <w:rsid w:val="00896873"/>
    <w:rsid w:val="00896F5D"/>
    <w:rsid w:val="00897342"/>
    <w:rsid w:val="008A06FE"/>
    <w:rsid w:val="008A16E0"/>
    <w:rsid w:val="008A7894"/>
    <w:rsid w:val="008B1FD2"/>
    <w:rsid w:val="008B5AA6"/>
    <w:rsid w:val="008C46F0"/>
    <w:rsid w:val="008C530F"/>
    <w:rsid w:val="008E718F"/>
    <w:rsid w:val="008F578D"/>
    <w:rsid w:val="008F67B1"/>
    <w:rsid w:val="008F6B19"/>
    <w:rsid w:val="008F7A1E"/>
    <w:rsid w:val="00900D42"/>
    <w:rsid w:val="00902199"/>
    <w:rsid w:val="00911BA2"/>
    <w:rsid w:val="00915A40"/>
    <w:rsid w:val="00931E95"/>
    <w:rsid w:val="00932876"/>
    <w:rsid w:val="00934A17"/>
    <w:rsid w:val="00942E88"/>
    <w:rsid w:val="0094437F"/>
    <w:rsid w:val="009466A1"/>
    <w:rsid w:val="00947B9D"/>
    <w:rsid w:val="00947E46"/>
    <w:rsid w:val="00953558"/>
    <w:rsid w:val="00957D1D"/>
    <w:rsid w:val="009601F4"/>
    <w:rsid w:val="00975077"/>
    <w:rsid w:val="00975C5A"/>
    <w:rsid w:val="0097602D"/>
    <w:rsid w:val="00983E16"/>
    <w:rsid w:val="0099099E"/>
    <w:rsid w:val="009941A6"/>
    <w:rsid w:val="009945E6"/>
    <w:rsid w:val="00994DA6"/>
    <w:rsid w:val="009970EE"/>
    <w:rsid w:val="00997A9F"/>
    <w:rsid w:val="009A5EA0"/>
    <w:rsid w:val="009A6084"/>
    <w:rsid w:val="009A61F9"/>
    <w:rsid w:val="009A6357"/>
    <w:rsid w:val="009C226F"/>
    <w:rsid w:val="009C44E5"/>
    <w:rsid w:val="009C77DB"/>
    <w:rsid w:val="009C7FC1"/>
    <w:rsid w:val="009D6769"/>
    <w:rsid w:val="009E67D8"/>
    <w:rsid w:val="009F1CE8"/>
    <w:rsid w:val="009F3585"/>
    <w:rsid w:val="009F37B4"/>
    <w:rsid w:val="009F4567"/>
    <w:rsid w:val="009F7E12"/>
    <w:rsid w:val="00A006D1"/>
    <w:rsid w:val="00A03E29"/>
    <w:rsid w:val="00A04785"/>
    <w:rsid w:val="00A04A8A"/>
    <w:rsid w:val="00A15129"/>
    <w:rsid w:val="00A16CA6"/>
    <w:rsid w:val="00A240BC"/>
    <w:rsid w:val="00A26F03"/>
    <w:rsid w:val="00A35A0B"/>
    <w:rsid w:val="00A360B0"/>
    <w:rsid w:val="00A37352"/>
    <w:rsid w:val="00A44179"/>
    <w:rsid w:val="00A4444C"/>
    <w:rsid w:val="00A4545C"/>
    <w:rsid w:val="00A45CD5"/>
    <w:rsid w:val="00A46C73"/>
    <w:rsid w:val="00A54299"/>
    <w:rsid w:val="00A6159C"/>
    <w:rsid w:val="00A63006"/>
    <w:rsid w:val="00A724D7"/>
    <w:rsid w:val="00A748C5"/>
    <w:rsid w:val="00A7719D"/>
    <w:rsid w:val="00A801E3"/>
    <w:rsid w:val="00A80C33"/>
    <w:rsid w:val="00A81DE0"/>
    <w:rsid w:val="00A95541"/>
    <w:rsid w:val="00AA15A4"/>
    <w:rsid w:val="00AA2BB1"/>
    <w:rsid w:val="00AA356A"/>
    <w:rsid w:val="00AB13D2"/>
    <w:rsid w:val="00AB7790"/>
    <w:rsid w:val="00AC08BB"/>
    <w:rsid w:val="00AC1EC4"/>
    <w:rsid w:val="00AC4591"/>
    <w:rsid w:val="00AD07B6"/>
    <w:rsid w:val="00AD2FCC"/>
    <w:rsid w:val="00AE0124"/>
    <w:rsid w:val="00AE02B3"/>
    <w:rsid w:val="00AE25BD"/>
    <w:rsid w:val="00AE26B6"/>
    <w:rsid w:val="00AE4D1D"/>
    <w:rsid w:val="00AF531B"/>
    <w:rsid w:val="00AF78ED"/>
    <w:rsid w:val="00B0123A"/>
    <w:rsid w:val="00B16E4A"/>
    <w:rsid w:val="00B175DB"/>
    <w:rsid w:val="00B301B7"/>
    <w:rsid w:val="00B3466B"/>
    <w:rsid w:val="00B36EB8"/>
    <w:rsid w:val="00B3770E"/>
    <w:rsid w:val="00B40239"/>
    <w:rsid w:val="00B44AEC"/>
    <w:rsid w:val="00B456A8"/>
    <w:rsid w:val="00B45E29"/>
    <w:rsid w:val="00B46C81"/>
    <w:rsid w:val="00B545A6"/>
    <w:rsid w:val="00B57354"/>
    <w:rsid w:val="00B63527"/>
    <w:rsid w:val="00B65550"/>
    <w:rsid w:val="00B737F2"/>
    <w:rsid w:val="00B7740B"/>
    <w:rsid w:val="00B83756"/>
    <w:rsid w:val="00B84DBC"/>
    <w:rsid w:val="00B857E9"/>
    <w:rsid w:val="00B85814"/>
    <w:rsid w:val="00B870AD"/>
    <w:rsid w:val="00B91597"/>
    <w:rsid w:val="00B93E9E"/>
    <w:rsid w:val="00B9636E"/>
    <w:rsid w:val="00BA0B79"/>
    <w:rsid w:val="00BA0EE9"/>
    <w:rsid w:val="00BA2080"/>
    <w:rsid w:val="00BB2092"/>
    <w:rsid w:val="00BB22F1"/>
    <w:rsid w:val="00BB2444"/>
    <w:rsid w:val="00BB7B75"/>
    <w:rsid w:val="00BC01BC"/>
    <w:rsid w:val="00BC10A5"/>
    <w:rsid w:val="00BC3788"/>
    <w:rsid w:val="00BC3F3E"/>
    <w:rsid w:val="00BC7C0A"/>
    <w:rsid w:val="00BD53C9"/>
    <w:rsid w:val="00BF0E0C"/>
    <w:rsid w:val="00BF3EA3"/>
    <w:rsid w:val="00C01CEB"/>
    <w:rsid w:val="00C05C76"/>
    <w:rsid w:val="00C1038F"/>
    <w:rsid w:val="00C10ADE"/>
    <w:rsid w:val="00C12271"/>
    <w:rsid w:val="00C16832"/>
    <w:rsid w:val="00C17327"/>
    <w:rsid w:val="00C239C8"/>
    <w:rsid w:val="00C27CFB"/>
    <w:rsid w:val="00C32380"/>
    <w:rsid w:val="00C3325D"/>
    <w:rsid w:val="00C35E17"/>
    <w:rsid w:val="00C45093"/>
    <w:rsid w:val="00C46818"/>
    <w:rsid w:val="00C57DC5"/>
    <w:rsid w:val="00C60D72"/>
    <w:rsid w:val="00C61251"/>
    <w:rsid w:val="00C62850"/>
    <w:rsid w:val="00C655A8"/>
    <w:rsid w:val="00C65DCB"/>
    <w:rsid w:val="00C742CA"/>
    <w:rsid w:val="00C84E68"/>
    <w:rsid w:val="00C91AA1"/>
    <w:rsid w:val="00C96BFD"/>
    <w:rsid w:val="00CA4D06"/>
    <w:rsid w:val="00CA64B4"/>
    <w:rsid w:val="00CB00A5"/>
    <w:rsid w:val="00CB37A4"/>
    <w:rsid w:val="00CC75D1"/>
    <w:rsid w:val="00CC7EDE"/>
    <w:rsid w:val="00CD04EA"/>
    <w:rsid w:val="00CD26E6"/>
    <w:rsid w:val="00CD456F"/>
    <w:rsid w:val="00CD4B0C"/>
    <w:rsid w:val="00CE1FCA"/>
    <w:rsid w:val="00CE2062"/>
    <w:rsid w:val="00CE2335"/>
    <w:rsid w:val="00CF06EC"/>
    <w:rsid w:val="00CF11D7"/>
    <w:rsid w:val="00CF4570"/>
    <w:rsid w:val="00CF6C88"/>
    <w:rsid w:val="00D0123F"/>
    <w:rsid w:val="00D063A7"/>
    <w:rsid w:val="00D13A59"/>
    <w:rsid w:val="00D14976"/>
    <w:rsid w:val="00D21E64"/>
    <w:rsid w:val="00D2596A"/>
    <w:rsid w:val="00D261FA"/>
    <w:rsid w:val="00D27151"/>
    <w:rsid w:val="00D345A7"/>
    <w:rsid w:val="00D36369"/>
    <w:rsid w:val="00D37E60"/>
    <w:rsid w:val="00D435B4"/>
    <w:rsid w:val="00D521D6"/>
    <w:rsid w:val="00D558D4"/>
    <w:rsid w:val="00D55A81"/>
    <w:rsid w:val="00D70325"/>
    <w:rsid w:val="00D745E4"/>
    <w:rsid w:val="00D80FEB"/>
    <w:rsid w:val="00D853B1"/>
    <w:rsid w:val="00D9193B"/>
    <w:rsid w:val="00DA346C"/>
    <w:rsid w:val="00DA4BB7"/>
    <w:rsid w:val="00DA64CA"/>
    <w:rsid w:val="00DA7F3D"/>
    <w:rsid w:val="00DB0826"/>
    <w:rsid w:val="00DC4202"/>
    <w:rsid w:val="00DE335D"/>
    <w:rsid w:val="00DE7A40"/>
    <w:rsid w:val="00DF374F"/>
    <w:rsid w:val="00DF5576"/>
    <w:rsid w:val="00DF75B5"/>
    <w:rsid w:val="00E03F94"/>
    <w:rsid w:val="00E1158B"/>
    <w:rsid w:val="00E1278E"/>
    <w:rsid w:val="00E12AB5"/>
    <w:rsid w:val="00E14032"/>
    <w:rsid w:val="00E17CF6"/>
    <w:rsid w:val="00E21162"/>
    <w:rsid w:val="00E24B2C"/>
    <w:rsid w:val="00E26AEF"/>
    <w:rsid w:val="00E41410"/>
    <w:rsid w:val="00E41B22"/>
    <w:rsid w:val="00E4381F"/>
    <w:rsid w:val="00E47072"/>
    <w:rsid w:val="00E505F6"/>
    <w:rsid w:val="00E532D8"/>
    <w:rsid w:val="00E54358"/>
    <w:rsid w:val="00E55732"/>
    <w:rsid w:val="00E63C91"/>
    <w:rsid w:val="00E64AC2"/>
    <w:rsid w:val="00E74474"/>
    <w:rsid w:val="00E7509C"/>
    <w:rsid w:val="00E7514D"/>
    <w:rsid w:val="00E83825"/>
    <w:rsid w:val="00E8502A"/>
    <w:rsid w:val="00E948EE"/>
    <w:rsid w:val="00E97C4C"/>
    <w:rsid w:val="00EB4678"/>
    <w:rsid w:val="00EB6ADD"/>
    <w:rsid w:val="00EB7770"/>
    <w:rsid w:val="00EC54C6"/>
    <w:rsid w:val="00ED4FA7"/>
    <w:rsid w:val="00EE5DB9"/>
    <w:rsid w:val="00F00429"/>
    <w:rsid w:val="00F048AC"/>
    <w:rsid w:val="00F11BC5"/>
    <w:rsid w:val="00F15B79"/>
    <w:rsid w:val="00F1661D"/>
    <w:rsid w:val="00F16D61"/>
    <w:rsid w:val="00F2075D"/>
    <w:rsid w:val="00F251C0"/>
    <w:rsid w:val="00F25C21"/>
    <w:rsid w:val="00F270C0"/>
    <w:rsid w:val="00F275DB"/>
    <w:rsid w:val="00F352AF"/>
    <w:rsid w:val="00F35D0B"/>
    <w:rsid w:val="00F36B56"/>
    <w:rsid w:val="00F41B0C"/>
    <w:rsid w:val="00F41CD4"/>
    <w:rsid w:val="00F44ABB"/>
    <w:rsid w:val="00F60343"/>
    <w:rsid w:val="00F64F14"/>
    <w:rsid w:val="00F65326"/>
    <w:rsid w:val="00F6617D"/>
    <w:rsid w:val="00F66E30"/>
    <w:rsid w:val="00F70611"/>
    <w:rsid w:val="00F72EC6"/>
    <w:rsid w:val="00F7351E"/>
    <w:rsid w:val="00F76D4C"/>
    <w:rsid w:val="00F86734"/>
    <w:rsid w:val="00F96F17"/>
    <w:rsid w:val="00F97065"/>
    <w:rsid w:val="00FB3DA9"/>
    <w:rsid w:val="00FB43BB"/>
    <w:rsid w:val="00FB465F"/>
    <w:rsid w:val="00FE5448"/>
    <w:rsid w:val="00FE7B03"/>
    <w:rsid w:val="00FF0DC5"/>
    <w:rsid w:val="00FF24A7"/>
    <w:rsid w:val="00FF37E0"/>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7A324"/>
  <w15:docId w15:val="{AB38BA9A-9F97-4240-9681-7435384A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numPr>
        <w:numId w:val="1"/>
      </w:numPr>
      <w:spacing w:before="240" w:after="60"/>
      <w:outlineLvl w:val="0"/>
    </w:pPr>
    <w:rPr>
      <w:rFonts w:cs="Times New Roman"/>
      <w:b/>
      <w:bCs/>
      <w:sz w:val="28"/>
      <w:szCs w:val="32"/>
    </w:rPr>
  </w:style>
  <w:style w:type="paragraph" w:styleId="Heading2">
    <w:name w:val="heading 2"/>
    <w:basedOn w:val="Normal"/>
    <w:next w:val="Normal"/>
    <w:link w:val="Heading2Char"/>
    <w:qFormat/>
    <w:rsid w:val="007A4D4C"/>
    <w:pPr>
      <w:keepNext/>
      <w:numPr>
        <w:ilvl w:val="1"/>
        <w:numId w:val="1"/>
      </w:numPr>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66CC1"/>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66CC1"/>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66CC1"/>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66CC1"/>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66CC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66CC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qFormat/>
    <w:rsid w:val="00EE705F"/>
    <w:rPr>
      <w:color w:val="0000FF"/>
      <w:u w:val="single"/>
    </w:rPr>
  </w:style>
  <w:style w:type="character" w:customStyle="1" w:styleId="HeaderChar">
    <w:name w:val="Header Char"/>
    <w:link w:val="Header"/>
    <w:qFormat/>
    <w:rsid w:val="00157BE6"/>
    <w:rPr>
      <w:sz w:val="24"/>
      <w:szCs w:val="24"/>
    </w:rPr>
  </w:style>
  <w:style w:type="character" w:customStyle="1" w:styleId="FooterChar">
    <w:name w:val="Footer Char"/>
    <w:link w:val="Footer"/>
    <w:uiPriority w:val="99"/>
    <w:qFormat/>
    <w:rsid w:val="00157BE6"/>
    <w:rPr>
      <w:sz w:val="24"/>
      <w:szCs w:val="24"/>
    </w:rPr>
  </w:style>
  <w:style w:type="character" w:styleId="CommentReference">
    <w:name w:val="annotation reference"/>
    <w:qFormat/>
    <w:rsid w:val="0084610C"/>
    <w:rPr>
      <w:sz w:val="18"/>
      <w:szCs w:val="18"/>
    </w:rPr>
  </w:style>
  <w:style w:type="character" w:customStyle="1" w:styleId="CommentTextChar">
    <w:name w:val="Comment Text Char"/>
    <w:link w:val="CommentText"/>
    <w:qFormat/>
    <w:rsid w:val="0084610C"/>
    <w:rPr>
      <w:sz w:val="24"/>
      <w:szCs w:val="24"/>
      <w:lang w:val="en-US"/>
    </w:rPr>
  </w:style>
  <w:style w:type="character" w:customStyle="1" w:styleId="CommentSubjectChar">
    <w:name w:val="Comment Subject Char"/>
    <w:link w:val="CommentSubject"/>
    <w:qFormat/>
    <w:rsid w:val="0084610C"/>
    <w:rPr>
      <w:b/>
      <w:bCs/>
      <w:sz w:val="24"/>
      <w:szCs w:val="24"/>
      <w:lang w:val="en-US"/>
    </w:rPr>
  </w:style>
  <w:style w:type="character" w:customStyle="1" w:styleId="BalloonTextChar">
    <w:name w:val="Balloon Text Char"/>
    <w:link w:val="BalloonText"/>
    <w:qFormat/>
    <w:rsid w:val="0084610C"/>
    <w:rPr>
      <w:rFonts w:ascii="Lucida Grande" w:hAnsi="Lucida Grande"/>
      <w:sz w:val="18"/>
      <w:szCs w:val="18"/>
      <w:lang w:val="en-US"/>
    </w:rPr>
  </w:style>
  <w:style w:type="character" w:styleId="PageNumber">
    <w:name w:val="page number"/>
    <w:basedOn w:val="DefaultParagraphFont"/>
    <w:qFormat/>
    <w:rsid w:val="00C83836"/>
  </w:style>
  <w:style w:type="character" w:styleId="FollowedHyperlink">
    <w:name w:val="FollowedHyperlink"/>
    <w:qFormat/>
    <w:rsid w:val="00D9403F"/>
    <w:rPr>
      <w:color w:val="800080"/>
      <w:u w:val="single"/>
    </w:rPr>
  </w:style>
  <w:style w:type="character" w:customStyle="1" w:styleId="apple-converted-space">
    <w:name w:val="apple-converted-space"/>
    <w:basedOn w:val="DefaultParagraphFont"/>
    <w:qFormat/>
    <w:rsid w:val="008D3715"/>
  </w:style>
  <w:style w:type="character" w:customStyle="1" w:styleId="Heading1Char">
    <w:name w:val="Heading 1 Char"/>
    <w:link w:val="Heading1"/>
    <w:qFormat/>
    <w:rsid w:val="008D3715"/>
    <w:rPr>
      <w:rFonts w:ascii="Calibri" w:hAnsi="Calibri"/>
      <w:b/>
      <w:bCs/>
      <w:color w:val="000000"/>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qFormat/>
    <w:rsid w:val="007A4D4C"/>
    <w:rPr>
      <w:rFonts w:ascii="Calibri" w:hAnsi="Calibri"/>
      <w:b/>
      <w:bCs/>
      <w:iCs/>
      <w:color w:val="000000"/>
      <w:sz w:val="24"/>
      <w:szCs w:val="28"/>
    </w:rPr>
  </w:style>
  <w:style w:type="character" w:customStyle="1" w:styleId="ExampletextChar">
    <w:name w:val="Example text Char"/>
    <w:link w:val="Exampletext"/>
    <w:qFormat/>
    <w:rsid w:val="00621C4E"/>
    <w:rPr>
      <w:rFonts w:ascii="Calibri" w:hAnsi="Calibri" w:cs="Calibri"/>
      <w:color w:val="7F7F7F"/>
      <w:sz w:val="24"/>
      <w:szCs w:val="24"/>
    </w:rPr>
  </w:style>
  <w:style w:type="character" w:customStyle="1" w:styleId="Heading3Char">
    <w:name w:val="Heading 3 Char"/>
    <w:basedOn w:val="DefaultParagraphFont"/>
    <w:link w:val="Heading3"/>
    <w:uiPriority w:val="9"/>
    <w:qFormat/>
    <w:rsid w:val="00366B76"/>
    <w:rPr>
      <w:rFonts w:asciiTheme="majorHAnsi" w:eastAsiaTheme="majorEastAsia" w:hAnsiTheme="majorHAnsi" w:cstheme="majorBidi"/>
      <w:b/>
      <w:bCs/>
      <w:color w:val="4F81BD" w:themeColor="accent1"/>
      <w:sz w:val="24"/>
      <w:szCs w:val="24"/>
    </w:rPr>
  </w:style>
  <w:style w:type="character" w:customStyle="1" w:styleId="BodyTextChar">
    <w:name w:val="Body Text Char"/>
    <w:basedOn w:val="DefaultParagraphFont"/>
    <w:link w:val="BodyText"/>
    <w:uiPriority w:val="1"/>
    <w:qFormat/>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customStyle="1" w:styleId="Geaccentueerd">
    <w:name w:val="Geaccentueerd"/>
    <w:basedOn w:val="DefaultParagraphFont"/>
    <w:uiPriority w:val="20"/>
    <w:qFormat/>
    <w:rsid w:val="00225720"/>
    <w:rPr>
      <w:i/>
      <w:iCs/>
    </w:rPr>
  </w:style>
  <w:style w:type="character" w:styleId="LineNumber">
    <w:name w:val="line number"/>
    <w:basedOn w:val="DefaultParagraphFont"/>
    <w:uiPriority w:val="99"/>
    <w:semiHidden/>
    <w:unhideWhenUsed/>
    <w:qFormat/>
    <w:rsid w:val="00205B3F"/>
  </w:style>
  <w:style w:type="character" w:styleId="UnresolvedMention">
    <w:name w:val="Unresolved Mention"/>
    <w:basedOn w:val="DefaultParagraphFont"/>
    <w:uiPriority w:val="99"/>
    <w:semiHidden/>
    <w:unhideWhenUsed/>
    <w:qFormat/>
    <w:rsid w:val="008D5E61"/>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ymbol" w:cs="Symbol"/>
      <w:w w:val="100"/>
      <w:sz w:val="24"/>
      <w:szCs w:val="24"/>
    </w:rPr>
  </w:style>
  <w:style w:type="character" w:customStyle="1" w:styleId="ListLabel40">
    <w:name w:val="ListLabel 40"/>
    <w:qFormat/>
    <w:rPr>
      <w:rFonts w:eastAsia="Courier New" w:cs="Courier New"/>
      <w:w w:val="99"/>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b/>
      <w:i w:val="0"/>
    </w:rPr>
  </w:style>
  <w:style w:type="character" w:customStyle="1" w:styleId="ListLabel49">
    <w:name w:val="ListLabel 49"/>
    <w:qFormat/>
    <w:rPr>
      <w:b/>
      <w:i w:val="0"/>
    </w:rPr>
  </w:style>
  <w:style w:type="character" w:customStyle="1" w:styleId="ListLabel50">
    <w:name w:val="ListLabel 50"/>
    <w:qFormat/>
    <w:rPr>
      <w:b/>
      <w:i w:val="0"/>
    </w:rPr>
  </w:style>
  <w:style w:type="character" w:customStyle="1" w:styleId="LineNumbering">
    <w:name w:val="Line Numbering"/>
    <w:qFormat/>
  </w:style>
  <w:style w:type="character" w:customStyle="1" w:styleId="ListLabel51">
    <w:name w:val="ListLabel 51"/>
    <w:qFormat/>
    <w:rPr>
      <w:rFonts w:ascii="Calibri" w:hAnsi="Calibri"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ascii="Calibri" w:hAnsi="Calibri"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ascii="Calibri" w:hAnsi="Calibri"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ascii="Calibri" w:hAnsi="Calibri"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ascii="Calibri" w:hAnsi="Calibri"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ascii="Calibri" w:hAnsi="Calibri"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ascii="Calibri" w:hAnsi="Calibri"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ascii="Calibri" w:hAnsi="Calibri"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ascii="Calibri" w:hAnsi="Calibri"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ascii="Calibri" w:hAnsi="Calibri" w:cs="Symbol"/>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w w:val="100"/>
      <w:sz w:val="24"/>
      <w:szCs w:val="24"/>
    </w:rPr>
  </w:style>
  <w:style w:type="character" w:customStyle="1" w:styleId="ListLabel160">
    <w:name w:val="ListLabel 160"/>
    <w:qFormat/>
    <w:rPr>
      <w:rFonts w:cs="Courier New"/>
      <w:w w:val="99"/>
    </w:rPr>
  </w:style>
  <w:style w:type="character" w:customStyle="1" w:styleId="ListLabel161">
    <w:name w:val="ListLabel 161"/>
    <w:qFormat/>
    <w:rPr>
      <w:rFonts w:cs="Symbol"/>
    </w:rPr>
  </w:style>
  <w:style w:type="character" w:customStyle="1" w:styleId="ListLabel162">
    <w:name w:val="ListLabel 162"/>
    <w:qFormat/>
    <w:rPr>
      <w:rFonts w:cs="Symbol"/>
    </w:rPr>
  </w:style>
  <w:style w:type="character" w:customStyle="1" w:styleId="ListLabel163">
    <w:name w:val="ListLabel 163"/>
    <w:qFormat/>
    <w:rPr>
      <w:rFonts w:cs="Symbol"/>
    </w:rPr>
  </w:style>
  <w:style w:type="character" w:customStyle="1" w:styleId="ListLabel164">
    <w:name w:val="ListLabel 164"/>
    <w:qFormat/>
    <w:rPr>
      <w:rFonts w:cs="Symbol"/>
    </w:rPr>
  </w:style>
  <w:style w:type="character" w:customStyle="1" w:styleId="ListLabel165">
    <w:name w:val="ListLabel 165"/>
    <w:qFormat/>
    <w:rPr>
      <w:rFonts w:cs="Symbol"/>
    </w:rPr>
  </w:style>
  <w:style w:type="character" w:customStyle="1" w:styleId="ListLabel166">
    <w:name w:val="ListLabel 166"/>
    <w:qFormat/>
    <w:rPr>
      <w:rFonts w:cs="Symbol"/>
    </w:rPr>
  </w:style>
  <w:style w:type="character" w:customStyle="1" w:styleId="ListLabel167">
    <w:name w:val="ListLabel 167"/>
    <w:qFormat/>
    <w:rPr>
      <w:rFonts w:cs="Symbol"/>
    </w:rPr>
  </w:style>
  <w:style w:type="character" w:customStyle="1" w:styleId="ListLabel168">
    <w:name w:val="ListLabel 168"/>
    <w:qFormat/>
    <w:rPr>
      <w:rFonts w:ascii="Calibri" w:hAnsi="Calibri"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ascii="Calibri" w:hAnsi="Calibri" w:cs="Courier New"/>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theme="minorHAnsi"/>
    </w:rPr>
  </w:style>
  <w:style w:type="character" w:customStyle="1" w:styleId="Internetkoppeling">
    <w:name w:val="Internetkoppeling"/>
    <w:qFormat/>
    <w:rPr>
      <w:color w:val="000080"/>
      <w:u w:val="single"/>
    </w:rPr>
  </w:style>
  <w:style w:type="character" w:customStyle="1" w:styleId="ListLabel187">
    <w:name w:val="ListLabel 187"/>
    <w:qFormat/>
    <w:rPr>
      <w:rFonts w:cstheme="minorHAnsi"/>
      <w:bCs/>
    </w:rPr>
  </w:style>
  <w:style w:type="character" w:customStyle="1" w:styleId="ListLabel188">
    <w:name w:val="ListLabel 188"/>
    <w:qFormat/>
    <w:rPr>
      <w:rFonts w:cstheme="minorHAnsi"/>
      <w:i/>
    </w:rPr>
  </w:style>
  <w:style w:type="character" w:customStyle="1" w:styleId="ListLabel189">
    <w:name w:val="ListLabel 189"/>
    <w:qFormat/>
    <w:rPr>
      <w:rFonts w:cstheme="minorHAnsi"/>
      <w:color w:val="808080" w:themeColor="background1" w:themeShade="80"/>
      <w:u w:val="none"/>
    </w:rPr>
  </w:style>
  <w:style w:type="character" w:customStyle="1" w:styleId="ListLabel190">
    <w:name w:val="ListLabel 190"/>
    <w:qFormat/>
  </w:style>
  <w:style w:type="character" w:customStyle="1" w:styleId="ListLabel191">
    <w:name w:val="ListLabel 191"/>
    <w:qFormat/>
    <w:rPr>
      <w:rFonts w:eastAsia="Calibri" w:cstheme="minorHAnsi"/>
      <w:i/>
      <w:color w:val="0000FF"/>
      <w:u w:val="single"/>
    </w:rPr>
  </w:style>
  <w:style w:type="character" w:customStyle="1" w:styleId="Regelnummering">
    <w:name w:val="Regelnummering"/>
    <w:qFormat/>
  </w:style>
  <w:style w:type="character" w:customStyle="1" w:styleId="ListLabel192">
    <w:name w:val="ListLabel 192"/>
    <w:qFormat/>
    <w:rPr>
      <w:rFonts w:ascii="Calibri" w:hAnsi="Calibri"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ascii="Calibri" w:hAnsi="Calibri"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Symbol"/>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ascii="Calibri" w:hAnsi="Calibri"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ascii="Calibri" w:hAnsi="Calibri"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ascii="Calibri" w:hAnsi="Calibri"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ascii="Calibri" w:hAnsi="Calibri" w:cs="Symbol"/>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cs="Symbol"/>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ListLabel243">
    <w:name w:val="ListLabel 243"/>
    <w:qFormat/>
    <w:rPr>
      <w:rFonts w:cs="Symbol"/>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ascii="Calibri" w:hAnsi="Calibri"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ascii="Calibri" w:hAnsi="Calibri"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rFonts w:cs="Symbol"/>
    </w:rPr>
  </w:style>
  <w:style w:type="character" w:customStyle="1" w:styleId="ListLabel259">
    <w:name w:val="ListLabel 259"/>
    <w:qFormat/>
    <w:rPr>
      <w:rFonts w:cs="Courier New"/>
    </w:rPr>
  </w:style>
  <w:style w:type="character" w:customStyle="1" w:styleId="ListLabel260">
    <w:name w:val="ListLabel 260"/>
    <w:qFormat/>
    <w:rPr>
      <w:rFonts w:cs="Wingdings"/>
    </w:rPr>
  </w:style>
  <w:style w:type="character" w:customStyle="1" w:styleId="ListLabel261">
    <w:name w:val="ListLabel 261"/>
    <w:qFormat/>
    <w:rPr>
      <w:rFonts w:cs="Symbol"/>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ascii="Calibri" w:hAnsi="Calibri"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cs="Symbol"/>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ascii="Calibri" w:hAnsi="Calibri"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cs="Symbol"/>
    </w:rPr>
  </w:style>
  <w:style w:type="character" w:customStyle="1" w:styleId="ListLabel280">
    <w:name w:val="ListLabel 280"/>
    <w:qFormat/>
    <w:rPr>
      <w:rFonts w:cs="Courier New"/>
    </w:rPr>
  </w:style>
  <w:style w:type="character" w:customStyle="1" w:styleId="ListLabel281">
    <w:name w:val="ListLabel 281"/>
    <w:qFormat/>
    <w:rPr>
      <w:rFonts w:cs="Wingdings"/>
    </w:rPr>
  </w:style>
  <w:style w:type="character" w:customStyle="1" w:styleId="ListLabel282">
    <w:name w:val="ListLabel 282"/>
    <w:qFormat/>
    <w:rPr>
      <w:rFonts w:ascii="Calibri" w:hAnsi="Calibri" w:cs="Symbol"/>
    </w:rPr>
  </w:style>
  <w:style w:type="character" w:customStyle="1" w:styleId="ListLabel283">
    <w:name w:val="ListLabel 283"/>
    <w:qFormat/>
    <w:rPr>
      <w:rFonts w:cs="Courier New"/>
    </w:rPr>
  </w:style>
  <w:style w:type="character" w:customStyle="1" w:styleId="ListLabel284">
    <w:name w:val="ListLabel 284"/>
    <w:qFormat/>
    <w:rPr>
      <w:rFonts w:cs="Wingdings"/>
    </w:rPr>
  </w:style>
  <w:style w:type="character" w:customStyle="1" w:styleId="ListLabel285">
    <w:name w:val="ListLabel 285"/>
    <w:qFormat/>
    <w:rPr>
      <w:rFonts w:cs="Symbol"/>
    </w:rPr>
  </w:style>
  <w:style w:type="character" w:customStyle="1" w:styleId="ListLabel286">
    <w:name w:val="ListLabel 286"/>
    <w:qFormat/>
    <w:rPr>
      <w:rFonts w:cs="Courier New"/>
    </w:rPr>
  </w:style>
  <w:style w:type="character" w:customStyle="1" w:styleId="ListLabel287">
    <w:name w:val="ListLabel 287"/>
    <w:qFormat/>
    <w:rPr>
      <w:rFonts w:cs="Wingdings"/>
    </w:rPr>
  </w:style>
  <w:style w:type="character" w:customStyle="1" w:styleId="ListLabel288">
    <w:name w:val="ListLabel 288"/>
    <w:qFormat/>
    <w:rPr>
      <w:rFonts w:cs="Symbol"/>
    </w:rPr>
  </w:style>
  <w:style w:type="character" w:customStyle="1" w:styleId="ListLabel289">
    <w:name w:val="ListLabel 289"/>
    <w:qFormat/>
    <w:rPr>
      <w:rFonts w:cs="Courier New"/>
    </w:rPr>
  </w:style>
  <w:style w:type="character" w:customStyle="1" w:styleId="ListLabel290">
    <w:name w:val="ListLabel 290"/>
    <w:qFormat/>
    <w:rPr>
      <w:rFonts w:cs="Wingdings"/>
    </w:rPr>
  </w:style>
  <w:style w:type="character" w:customStyle="1" w:styleId="ListLabel291">
    <w:name w:val="ListLabel 291"/>
    <w:qFormat/>
    <w:rPr>
      <w:rFonts w:cs="Symbol"/>
    </w:rPr>
  </w:style>
  <w:style w:type="character" w:customStyle="1" w:styleId="ListLabel292">
    <w:name w:val="ListLabel 292"/>
    <w:qFormat/>
    <w:rPr>
      <w:rFonts w:ascii="Calibri" w:hAnsi="Calibri" w:cs="Symbol"/>
    </w:rPr>
  </w:style>
  <w:style w:type="character" w:customStyle="1" w:styleId="ListLabel293">
    <w:name w:val="ListLabel 293"/>
    <w:qFormat/>
    <w:rPr>
      <w:rFonts w:cs="Wingdings"/>
    </w:rPr>
  </w:style>
  <w:style w:type="character" w:customStyle="1" w:styleId="ListLabel294">
    <w:name w:val="ListLabel 294"/>
    <w:qFormat/>
    <w:rPr>
      <w:rFonts w:cs="Symbol"/>
    </w:rPr>
  </w:style>
  <w:style w:type="character" w:customStyle="1" w:styleId="ListLabel295">
    <w:name w:val="ListLabel 295"/>
    <w:qFormat/>
    <w:rPr>
      <w:rFonts w:cs="Courier New"/>
    </w:rPr>
  </w:style>
  <w:style w:type="character" w:customStyle="1" w:styleId="ListLabel296">
    <w:name w:val="ListLabel 296"/>
    <w:qFormat/>
    <w:rPr>
      <w:rFonts w:cs="Wingdings"/>
    </w:rPr>
  </w:style>
  <w:style w:type="character" w:customStyle="1" w:styleId="ListLabel297">
    <w:name w:val="ListLabel 297"/>
    <w:qFormat/>
    <w:rPr>
      <w:rFonts w:cs="Symbol"/>
    </w:rPr>
  </w:style>
  <w:style w:type="character" w:customStyle="1" w:styleId="ListLabel298">
    <w:name w:val="ListLabel 298"/>
    <w:qFormat/>
    <w:rPr>
      <w:rFonts w:cs="Courier New"/>
    </w:rPr>
  </w:style>
  <w:style w:type="character" w:customStyle="1" w:styleId="ListLabel299">
    <w:name w:val="ListLabel 299"/>
    <w:qFormat/>
    <w:rPr>
      <w:rFonts w:cs="Wingdings"/>
    </w:rPr>
  </w:style>
  <w:style w:type="character" w:customStyle="1" w:styleId="ListLabel300">
    <w:name w:val="ListLabel 300"/>
    <w:qFormat/>
    <w:rPr>
      <w:rFonts w:ascii="Calibri" w:hAnsi="Calibri" w:cs="Symbol"/>
      <w:w w:val="100"/>
      <w:sz w:val="24"/>
      <w:szCs w:val="24"/>
    </w:rPr>
  </w:style>
  <w:style w:type="character" w:customStyle="1" w:styleId="ListLabel301">
    <w:name w:val="ListLabel 301"/>
    <w:qFormat/>
    <w:rPr>
      <w:rFonts w:cs="Courier New"/>
      <w:w w:val="99"/>
    </w:rPr>
  </w:style>
  <w:style w:type="character" w:customStyle="1" w:styleId="ListLabel302">
    <w:name w:val="ListLabel 302"/>
    <w:qFormat/>
    <w:rPr>
      <w:rFonts w:cs="Symbol"/>
    </w:rPr>
  </w:style>
  <w:style w:type="character" w:customStyle="1" w:styleId="ListLabel303">
    <w:name w:val="ListLabel 303"/>
    <w:qFormat/>
    <w:rPr>
      <w:rFonts w:cs="Symbol"/>
    </w:rPr>
  </w:style>
  <w:style w:type="character" w:customStyle="1" w:styleId="ListLabel304">
    <w:name w:val="ListLabel 304"/>
    <w:qFormat/>
    <w:rPr>
      <w:rFonts w:cs="Symbol"/>
    </w:rPr>
  </w:style>
  <w:style w:type="character" w:customStyle="1" w:styleId="ListLabel305">
    <w:name w:val="ListLabel 305"/>
    <w:qFormat/>
    <w:rPr>
      <w:rFonts w:cs="Symbol"/>
    </w:rPr>
  </w:style>
  <w:style w:type="character" w:customStyle="1" w:styleId="ListLabel306">
    <w:name w:val="ListLabel 306"/>
    <w:qFormat/>
    <w:rPr>
      <w:rFonts w:cs="Symbol"/>
    </w:rPr>
  </w:style>
  <w:style w:type="character" w:customStyle="1" w:styleId="ListLabel307">
    <w:name w:val="ListLabel 307"/>
    <w:qFormat/>
    <w:rPr>
      <w:rFonts w:cs="Symbol"/>
    </w:rPr>
  </w:style>
  <w:style w:type="character" w:customStyle="1" w:styleId="ListLabel308">
    <w:name w:val="ListLabel 308"/>
    <w:qFormat/>
    <w:rPr>
      <w:rFonts w:cs="Symbol"/>
    </w:rPr>
  </w:style>
  <w:style w:type="character" w:customStyle="1" w:styleId="ListLabel309">
    <w:name w:val="ListLabel 309"/>
    <w:qFormat/>
    <w:rPr>
      <w:rFonts w:ascii="Calibri" w:hAnsi="Calibri" w:cs="Symbol"/>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cs="Symbol"/>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ascii="Calibri" w:hAnsi="Calibri" w:cs="Courier New"/>
    </w:rPr>
  </w:style>
  <w:style w:type="character" w:customStyle="1" w:styleId="ListLabel321">
    <w:name w:val="ListLabel 321"/>
    <w:qFormat/>
    <w:rPr>
      <w:rFonts w:cs="Symbol"/>
    </w:rPr>
  </w:style>
  <w:style w:type="character" w:customStyle="1" w:styleId="ListLabel322">
    <w:name w:val="ListLabel 322"/>
    <w:qFormat/>
    <w:rPr>
      <w:rFonts w:cs="Courier New"/>
    </w:rPr>
  </w:style>
  <w:style w:type="character" w:customStyle="1" w:styleId="ListLabel323">
    <w:name w:val="ListLabel 323"/>
    <w:qFormat/>
    <w:rPr>
      <w:rFonts w:cs="Wingdings"/>
    </w:rPr>
  </w:style>
  <w:style w:type="character" w:customStyle="1" w:styleId="ListLabel324">
    <w:name w:val="ListLabel 324"/>
    <w:qFormat/>
    <w:rPr>
      <w:rFonts w:cs="Symbol"/>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327">
    <w:name w:val="ListLabel 327"/>
    <w:qFormat/>
    <w:rPr>
      <w:rFonts w:cstheme="minorHAnsi"/>
    </w:rPr>
  </w:style>
  <w:style w:type="character" w:customStyle="1" w:styleId="ListLabel328">
    <w:name w:val="ListLabel 328"/>
    <w:qFormat/>
    <w:rPr>
      <w:rFonts w:cstheme="minorHAnsi"/>
      <w:bCs/>
    </w:rPr>
  </w:style>
  <w:style w:type="character" w:customStyle="1" w:styleId="ListLabel329">
    <w:name w:val="ListLabel 329"/>
    <w:qFormat/>
    <w:rPr>
      <w:rFonts w:cstheme="minorHAnsi"/>
      <w:i/>
    </w:rPr>
  </w:style>
  <w:style w:type="character" w:customStyle="1" w:styleId="ListLabel330">
    <w:name w:val="ListLabel 330"/>
    <w:qFormat/>
    <w:rPr>
      <w:rFonts w:cstheme="minorHAnsi"/>
      <w:color w:val="808080" w:themeColor="background1" w:themeShade="80"/>
      <w:u w:val="none"/>
    </w:rPr>
  </w:style>
  <w:style w:type="character" w:customStyle="1" w:styleId="ListLabel331">
    <w:name w:val="ListLabel 331"/>
    <w:qFormat/>
  </w:style>
  <w:style w:type="character" w:customStyle="1" w:styleId="ListLabel332">
    <w:name w:val="ListLabel 332"/>
    <w:qFormat/>
    <w:rPr>
      <w:rFonts w:eastAsia="Calibri" w:cstheme="minorHAnsi"/>
      <w:i/>
      <w:color w:val="0000FF"/>
      <w:u w:val="single"/>
    </w:rPr>
  </w:style>
  <w:style w:type="character" w:customStyle="1" w:styleId="ListLabel333">
    <w:name w:val="ListLabel 333"/>
    <w:qFormat/>
    <w:rPr>
      <w:rFonts w:ascii="Calibri" w:hAnsi="Calibri"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ascii="Calibri" w:hAnsi="Calibri"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cs="Symbol"/>
    </w:rPr>
  </w:style>
  <w:style w:type="character" w:customStyle="1" w:styleId="ListLabel349">
    <w:name w:val="ListLabel 349"/>
    <w:qFormat/>
    <w:rPr>
      <w:rFonts w:cs="Courier New"/>
    </w:rPr>
  </w:style>
  <w:style w:type="character" w:customStyle="1" w:styleId="ListLabel350">
    <w:name w:val="ListLabel 350"/>
    <w:qFormat/>
    <w:rPr>
      <w:rFonts w:cs="Wingdings"/>
    </w:rPr>
  </w:style>
  <w:style w:type="character" w:customStyle="1" w:styleId="ListLabel351">
    <w:name w:val="ListLabel 351"/>
    <w:qFormat/>
    <w:rPr>
      <w:rFonts w:ascii="Calibri" w:hAnsi="Calibri" w:cs="Symbol"/>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ascii="Calibri" w:hAnsi="Calibri" w:cs="Symbol"/>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ascii="Calibri" w:hAnsi="Calibri" w:cs="Symbol"/>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Symbol"/>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ascii="Calibri" w:hAnsi="Calibri" w:cs="Symbol"/>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Courier New"/>
    </w:rPr>
  </w:style>
  <w:style w:type="character" w:customStyle="1" w:styleId="ListLabel386">
    <w:name w:val="ListLabel 386"/>
    <w:qFormat/>
    <w:rPr>
      <w:rFonts w:cs="Wingdings"/>
    </w:rPr>
  </w:style>
  <w:style w:type="character" w:customStyle="1" w:styleId="ListLabel387">
    <w:name w:val="ListLabel 387"/>
    <w:qFormat/>
    <w:rPr>
      <w:rFonts w:ascii="Calibri" w:hAnsi="Calibri" w:cs="Symbol"/>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rFonts w:cs="Symbol"/>
    </w:rPr>
  </w:style>
  <w:style w:type="character" w:customStyle="1" w:styleId="ListLabel391">
    <w:name w:val="ListLabel 391"/>
    <w:qFormat/>
    <w:rPr>
      <w:rFonts w:cs="Courier New"/>
    </w:rPr>
  </w:style>
  <w:style w:type="character" w:customStyle="1" w:styleId="ListLabel392">
    <w:name w:val="ListLabel 392"/>
    <w:qFormat/>
    <w:rPr>
      <w:rFonts w:cs="Wingdings"/>
    </w:rPr>
  </w:style>
  <w:style w:type="character" w:customStyle="1" w:styleId="ListLabel393">
    <w:name w:val="ListLabel 393"/>
    <w:qFormat/>
    <w:rPr>
      <w:rFonts w:cs="Symbol"/>
    </w:rPr>
  </w:style>
  <w:style w:type="character" w:customStyle="1" w:styleId="ListLabel394">
    <w:name w:val="ListLabel 394"/>
    <w:qFormat/>
    <w:rPr>
      <w:rFonts w:cs="Courier New"/>
    </w:rPr>
  </w:style>
  <w:style w:type="character" w:customStyle="1" w:styleId="ListLabel395">
    <w:name w:val="ListLabel 395"/>
    <w:qFormat/>
    <w:rPr>
      <w:rFonts w:cs="Wingdings"/>
    </w:rPr>
  </w:style>
  <w:style w:type="character" w:customStyle="1" w:styleId="ListLabel396">
    <w:name w:val="ListLabel 396"/>
    <w:qFormat/>
    <w:rPr>
      <w:rFonts w:ascii="Calibri" w:hAnsi="Calibri" w:cs="Symbol"/>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rFonts w:cs="Symbol"/>
    </w:rPr>
  </w:style>
  <w:style w:type="character" w:customStyle="1" w:styleId="ListLabel400">
    <w:name w:val="ListLabel 400"/>
    <w:qFormat/>
    <w:rPr>
      <w:rFonts w:cs="Courier New"/>
    </w:rPr>
  </w:style>
  <w:style w:type="character" w:customStyle="1" w:styleId="ListLabel401">
    <w:name w:val="ListLabel 401"/>
    <w:qFormat/>
    <w:rPr>
      <w:rFonts w:cs="Wingdings"/>
    </w:rPr>
  </w:style>
  <w:style w:type="character" w:customStyle="1" w:styleId="ListLabel402">
    <w:name w:val="ListLabel 402"/>
    <w:qFormat/>
    <w:rPr>
      <w:rFonts w:cs="Symbol"/>
    </w:rPr>
  </w:style>
  <w:style w:type="character" w:customStyle="1" w:styleId="ListLabel403">
    <w:name w:val="ListLabel 403"/>
    <w:qFormat/>
    <w:rPr>
      <w:rFonts w:cs="Courier New"/>
    </w:rPr>
  </w:style>
  <w:style w:type="character" w:customStyle="1" w:styleId="ListLabel404">
    <w:name w:val="ListLabel 404"/>
    <w:qFormat/>
    <w:rPr>
      <w:rFonts w:cs="Wingdings"/>
    </w:rPr>
  </w:style>
  <w:style w:type="character" w:customStyle="1" w:styleId="ListLabel405">
    <w:name w:val="ListLabel 405"/>
    <w:qFormat/>
    <w:rPr>
      <w:rFonts w:ascii="Calibri" w:hAnsi="Calibri" w:cs="Symbol"/>
    </w:rPr>
  </w:style>
  <w:style w:type="character" w:customStyle="1" w:styleId="ListLabel406">
    <w:name w:val="ListLabel 406"/>
    <w:qFormat/>
    <w:rPr>
      <w:rFonts w:cs="Courier New"/>
    </w:rPr>
  </w:style>
  <w:style w:type="character" w:customStyle="1" w:styleId="ListLabel407">
    <w:name w:val="ListLabel 407"/>
    <w:qFormat/>
    <w:rPr>
      <w:rFonts w:cs="Wingdings"/>
    </w:rPr>
  </w:style>
  <w:style w:type="character" w:customStyle="1" w:styleId="ListLabel408">
    <w:name w:val="ListLabel 408"/>
    <w:qFormat/>
    <w:rPr>
      <w:rFonts w:cs="Symbol"/>
    </w:rPr>
  </w:style>
  <w:style w:type="character" w:customStyle="1" w:styleId="ListLabel409">
    <w:name w:val="ListLabel 409"/>
    <w:qFormat/>
    <w:rPr>
      <w:rFonts w:cs="Courier New"/>
    </w:rPr>
  </w:style>
  <w:style w:type="character" w:customStyle="1" w:styleId="ListLabel410">
    <w:name w:val="ListLabel 410"/>
    <w:qFormat/>
    <w:rPr>
      <w:rFonts w:cs="Wingdings"/>
    </w:rPr>
  </w:style>
  <w:style w:type="character" w:customStyle="1" w:styleId="ListLabel411">
    <w:name w:val="ListLabel 411"/>
    <w:qFormat/>
    <w:rPr>
      <w:rFonts w:cs="Symbol"/>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ascii="Calibri" w:hAnsi="Calibri"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Symbol"/>
    </w:rPr>
  </w:style>
  <w:style w:type="character" w:customStyle="1" w:styleId="ListLabel421">
    <w:name w:val="ListLabel 421"/>
    <w:qFormat/>
    <w:rPr>
      <w:rFonts w:cs="Courier New"/>
    </w:rPr>
  </w:style>
  <w:style w:type="character" w:customStyle="1" w:styleId="ListLabel422">
    <w:name w:val="ListLabel 422"/>
    <w:qFormat/>
    <w:rPr>
      <w:rFonts w:cs="Wingdings"/>
    </w:rPr>
  </w:style>
  <w:style w:type="character" w:customStyle="1" w:styleId="ListLabel423">
    <w:name w:val="ListLabel 423"/>
    <w:qFormat/>
    <w:rPr>
      <w:rFonts w:ascii="Calibri" w:hAnsi="Calibri" w:cs="Symbol"/>
    </w:rPr>
  </w:style>
  <w:style w:type="character" w:customStyle="1" w:styleId="ListLabel424">
    <w:name w:val="ListLabel 424"/>
    <w:qFormat/>
    <w:rPr>
      <w:rFonts w:cs="Courier New"/>
    </w:rPr>
  </w:style>
  <w:style w:type="character" w:customStyle="1" w:styleId="ListLabel425">
    <w:name w:val="ListLabel 425"/>
    <w:qFormat/>
    <w:rPr>
      <w:rFonts w:cs="Wingdings"/>
    </w:rPr>
  </w:style>
  <w:style w:type="character" w:customStyle="1" w:styleId="ListLabel426">
    <w:name w:val="ListLabel 426"/>
    <w:qFormat/>
    <w:rPr>
      <w:rFonts w:cs="Symbol"/>
    </w:rPr>
  </w:style>
  <w:style w:type="character" w:customStyle="1" w:styleId="ListLabel427">
    <w:name w:val="ListLabel 427"/>
    <w:qFormat/>
    <w:rPr>
      <w:rFonts w:cs="Courier New"/>
    </w:rPr>
  </w:style>
  <w:style w:type="character" w:customStyle="1" w:styleId="ListLabel428">
    <w:name w:val="ListLabel 428"/>
    <w:qFormat/>
    <w:rPr>
      <w:rFonts w:cs="Wingdings"/>
    </w:rPr>
  </w:style>
  <w:style w:type="character" w:customStyle="1" w:styleId="ListLabel429">
    <w:name w:val="ListLabel 429"/>
    <w:qFormat/>
    <w:rPr>
      <w:rFonts w:cs="Symbol"/>
    </w:rPr>
  </w:style>
  <w:style w:type="character" w:customStyle="1" w:styleId="ListLabel430">
    <w:name w:val="ListLabel 430"/>
    <w:qFormat/>
    <w:rPr>
      <w:rFonts w:cs="Courier New"/>
    </w:rPr>
  </w:style>
  <w:style w:type="character" w:customStyle="1" w:styleId="ListLabel431">
    <w:name w:val="ListLabel 431"/>
    <w:qFormat/>
    <w:rPr>
      <w:rFonts w:cs="Wingdings"/>
    </w:rPr>
  </w:style>
  <w:style w:type="character" w:customStyle="1" w:styleId="ListLabel432">
    <w:name w:val="ListLabel 432"/>
    <w:qFormat/>
    <w:rPr>
      <w:rFonts w:cs="Symbol"/>
    </w:rPr>
  </w:style>
  <w:style w:type="character" w:customStyle="1" w:styleId="ListLabel433">
    <w:name w:val="ListLabel 433"/>
    <w:qFormat/>
    <w:rPr>
      <w:rFonts w:ascii="Calibri" w:hAnsi="Calibri" w:cs="Symbol"/>
    </w:rPr>
  </w:style>
  <w:style w:type="character" w:customStyle="1" w:styleId="ListLabel434">
    <w:name w:val="ListLabel 434"/>
    <w:qFormat/>
    <w:rPr>
      <w:rFonts w:cs="Wingdings"/>
    </w:rPr>
  </w:style>
  <w:style w:type="character" w:customStyle="1" w:styleId="ListLabel435">
    <w:name w:val="ListLabel 435"/>
    <w:qFormat/>
    <w:rPr>
      <w:rFonts w:cs="Symbol"/>
    </w:rPr>
  </w:style>
  <w:style w:type="character" w:customStyle="1" w:styleId="ListLabel436">
    <w:name w:val="ListLabel 436"/>
    <w:qFormat/>
    <w:rPr>
      <w:rFonts w:cs="Courier New"/>
    </w:rPr>
  </w:style>
  <w:style w:type="character" w:customStyle="1" w:styleId="ListLabel437">
    <w:name w:val="ListLabel 437"/>
    <w:qFormat/>
    <w:rPr>
      <w:rFonts w:cs="Wingdings"/>
    </w:rPr>
  </w:style>
  <w:style w:type="character" w:customStyle="1" w:styleId="ListLabel438">
    <w:name w:val="ListLabel 438"/>
    <w:qFormat/>
    <w:rPr>
      <w:rFonts w:cs="Symbol"/>
    </w:rPr>
  </w:style>
  <w:style w:type="character" w:customStyle="1" w:styleId="ListLabel439">
    <w:name w:val="ListLabel 439"/>
    <w:qFormat/>
    <w:rPr>
      <w:rFonts w:cs="Courier New"/>
    </w:rPr>
  </w:style>
  <w:style w:type="character" w:customStyle="1" w:styleId="ListLabel440">
    <w:name w:val="ListLabel 440"/>
    <w:qFormat/>
    <w:rPr>
      <w:rFonts w:cs="Wingdings"/>
    </w:rPr>
  </w:style>
  <w:style w:type="character" w:customStyle="1" w:styleId="ListLabel441">
    <w:name w:val="ListLabel 441"/>
    <w:qFormat/>
    <w:rPr>
      <w:rFonts w:ascii="Calibri" w:hAnsi="Calibri" w:cs="Symbol"/>
      <w:w w:val="100"/>
      <w:sz w:val="24"/>
      <w:szCs w:val="24"/>
    </w:rPr>
  </w:style>
  <w:style w:type="character" w:customStyle="1" w:styleId="ListLabel442">
    <w:name w:val="ListLabel 442"/>
    <w:qFormat/>
    <w:rPr>
      <w:rFonts w:cs="Courier New"/>
      <w:w w:val="99"/>
    </w:rPr>
  </w:style>
  <w:style w:type="character" w:customStyle="1" w:styleId="ListLabel443">
    <w:name w:val="ListLabel 443"/>
    <w:qFormat/>
    <w:rPr>
      <w:rFonts w:cs="Symbol"/>
    </w:rPr>
  </w:style>
  <w:style w:type="character" w:customStyle="1" w:styleId="ListLabel444">
    <w:name w:val="ListLabel 444"/>
    <w:qFormat/>
    <w:rPr>
      <w:rFonts w:cs="Symbol"/>
    </w:rPr>
  </w:style>
  <w:style w:type="character" w:customStyle="1" w:styleId="ListLabel445">
    <w:name w:val="ListLabel 445"/>
    <w:qFormat/>
    <w:rPr>
      <w:rFonts w:cs="Symbol"/>
    </w:rPr>
  </w:style>
  <w:style w:type="character" w:customStyle="1" w:styleId="ListLabel446">
    <w:name w:val="ListLabel 446"/>
    <w:qFormat/>
    <w:rPr>
      <w:rFonts w:cs="Symbol"/>
    </w:rPr>
  </w:style>
  <w:style w:type="character" w:customStyle="1" w:styleId="ListLabel447">
    <w:name w:val="ListLabel 447"/>
    <w:qFormat/>
    <w:rPr>
      <w:rFonts w:cs="Symbol"/>
    </w:rPr>
  </w:style>
  <w:style w:type="character" w:customStyle="1" w:styleId="ListLabel448">
    <w:name w:val="ListLabel 448"/>
    <w:qFormat/>
    <w:rPr>
      <w:rFonts w:cs="Symbol"/>
    </w:rPr>
  </w:style>
  <w:style w:type="character" w:customStyle="1" w:styleId="ListLabel449">
    <w:name w:val="ListLabel 449"/>
    <w:qFormat/>
    <w:rPr>
      <w:rFonts w:cs="Symbol"/>
    </w:rPr>
  </w:style>
  <w:style w:type="character" w:customStyle="1" w:styleId="ListLabel450">
    <w:name w:val="ListLabel 450"/>
    <w:qFormat/>
    <w:rPr>
      <w:rFonts w:ascii="Calibri" w:hAnsi="Calibri" w:cs="Symbol"/>
    </w:rPr>
  </w:style>
  <w:style w:type="character" w:customStyle="1" w:styleId="ListLabel451">
    <w:name w:val="ListLabel 451"/>
    <w:qFormat/>
    <w:rPr>
      <w:rFonts w:cs="Courier New"/>
    </w:rPr>
  </w:style>
  <w:style w:type="character" w:customStyle="1" w:styleId="ListLabel452">
    <w:name w:val="ListLabel 452"/>
    <w:qFormat/>
    <w:rPr>
      <w:rFonts w:cs="Wingdings"/>
    </w:rPr>
  </w:style>
  <w:style w:type="character" w:customStyle="1" w:styleId="ListLabel453">
    <w:name w:val="ListLabel 453"/>
    <w:qFormat/>
    <w:rPr>
      <w:rFonts w:cs="Symbol"/>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ascii="Calibri" w:hAnsi="Calibri" w:cs="Courier New"/>
    </w:rPr>
  </w:style>
  <w:style w:type="character" w:customStyle="1" w:styleId="ListLabel462">
    <w:name w:val="ListLabel 462"/>
    <w:qFormat/>
    <w:rPr>
      <w:rFonts w:cs="Symbol"/>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theme="minorHAnsi"/>
    </w:rPr>
  </w:style>
  <w:style w:type="character" w:customStyle="1" w:styleId="ListLabel469">
    <w:name w:val="ListLabel 469"/>
    <w:qFormat/>
    <w:rPr>
      <w:rFonts w:cstheme="minorHAnsi"/>
      <w:bCs/>
    </w:rPr>
  </w:style>
  <w:style w:type="character" w:customStyle="1" w:styleId="ListLabel470">
    <w:name w:val="ListLabel 470"/>
    <w:qFormat/>
    <w:rPr>
      <w:rFonts w:cstheme="minorHAnsi"/>
      <w:i/>
    </w:rPr>
  </w:style>
  <w:style w:type="character" w:customStyle="1" w:styleId="ListLabel471">
    <w:name w:val="ListLabel 471"/>
    <w:qFormat/>
    <w:rPr>
      <w:rFonts w:cstheme="minorHAnsi"/>
      <w:color w:val="808080" w:themeColor="background1" w:themeShade="80"/>
      <w:u w:val="none"/>
    </w:rPr>
  </w:style>
  <w:style w:type="character" w:customStyle="1" w:styleId="ListLabel472">
    <w:name w:val="ListLabel 472"/>
    <w:qFormat/>
  </w:style>
  <w:style w:type="character" w:customStyle="1" w:styleId="ListLabel473">
    <w:name w:val="ListLabel 473"/>
    <w:qFormat/>
    <w:rPr>
      <w:rFonts w:eastAsia="Calibri" w:cstheme="minorHAnsi"/>
      <w:i/>
      <w:color w:val="0000FF"/>
      <w:u w:val="single"/>
    </w:rPr>
  </w:style>
  <w:style w:type="character" w:customStyle="1" w:styleId="ListLabel474">
    <w:name w:val="ListLabel 474"/>
    <w:qFormat/>
    <w:rPr>
      <w:rFonts w:ascii="Calibri" w:hAnsi="Calibri"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cs="Symbol"/>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ascii="Calibri" w:hAnsi="Calibri"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cs="Symbol"/>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ascii="Calibri" w:hAnsi="Calibri"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cs="Symbol"/>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ascii="Calibri" w:hAnsi="Calibri"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cs="Symbol"/>
    </w:rPr>
  </w:style>
  <w:style w:type="character" w:customStyle="1" w:styleId="ListLabel508">
    <w:name w:val="ListLabel 508"/>
    <w:qFormat/>
    <w:rPr>
      <w:rFonts w:cs="Courier New"/>
    </w:rPr>
  </w:style>
  <w:style w:type="character" w:customStyle="1" w:styleId="ListLabel509">
    <w:name w:val="ListLabel 509"/>
    <w:qFormat/>
    <w:rPr>
      <w:rFonts w:cs="Wingdings"/>
    </w:rPr>
  </w:style>
  <w:style w:type="character" w:customStyle="1" w:styleId="ListLabel510">
    <w:name w:val="ListLabel 510"/>
    <w:qFormat/>
    <w:rPr>
      <w:rFonts w:ascii="Calibri" w:hAnsi="Calibri"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cs="Symbol"/>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ascii="Calibri" w:hAnsi="Calibri"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cs="Symbol"/>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ascii="Calibri" w:hAnsi="Calibri"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Symbol"/>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ascii="Calibri" w:hAnsi="Calibri"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cs="Symbol"/>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ascii="Calibri" w:hAnsi="Calibri"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cs="Symbol"/>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ascii="Calibri" w:hAnsi="Calibri"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cs="Symbol"/>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ascii="Calibri" w:hAnsi="Calibri"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cs="Symbol"/>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ascii="Calibri" w:hAnsi="Calibri" w:cs="Symbol"/>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ascii="Calibri" w:hAnsi="Calibri" w:cs="Symbol"/>
      <w:w w:val="100"/>
      <w:sz w:val="24"/>
      <w:szCs w:val="24"/>
    </w:rPr>
  </w:style>
  <w:style w:type="character" w:customStyle="1" w:styleId="ListLabel583">
    <w:name w:val="ListLabel 583"/>
    <w:qFormat/>
    <w:rPr>
      <w:rFonts w:cs="Courier New"/>
      <w:w w:val="99"/>
    </w:rPr>
  </w:style>
  <w:style w:type="character" w:customStyle="1" w:styleId="ListLabel584">
    <w:name w:val="ListLabel 584"/>
    <w:qFormat/>
    <w:rPr>
      <w:rFonts w:cs="Symbol"/>
    </w:rPr>
  </w:style>
  <w:style w:type="character" w:customStyle="1" w:styleId="ListLabel585">
    <w:name w:val="ListLabel 585"/>
    <w:qFormat/>
    <w:rPr>
      <w:rFonts w:cs="Symbol"/>
    </w:rPr>
  </w:style>
  <w:style w:type="character" w:customStyle="1" w:styleId="ListLabel586">
    <w:name w:val="ListLabel 586"/>
    <w:qFormat/>
    <w:rPr>
      <w:rFonts w:cs="Symbol"/>
    </w:rPr>
  </w:style>
  <w:style w:type="character" w:customStyle="1" w:styleId="ListLabel587">
    <w:name w:val="ListLabel 587"/>
    <w:qFormat/>
    <w:rPr>
      <w:rFonts w:cs="Symbol"/>
    </w:rPr>
  </w:style>
  <w:style w:type="character" w:customStyle="1" w:styleId="ListLabel588">
    <w:name w:val="ListLabel 588"/>
    <w:qFormat/>
    <w:rPr>
      <w:rFonts w:cs="Symbol"/>
    </w:rPr>
  </w:style>
  <w:style w:type="character" w:customStyle="1" w:styleId="ListLabel589">
    <w:name w:val="ListLabel 589"/>
    <w:qFormat/>
    <w:rPr>
      <w:rFonts w:cs="Symbol"/>
    </w:rPr>
  </w:style>
  <w:style w:type="character" w:customStyle="1" w:styleId="ListLabel590">
    <w:name w:val="ListLabel 590"/>
    <w:qFormat/>
    <w:rPr>
      <w:rFonts w:cs="Symbol"/>
    </w:rPr>
  </w:style>
  <w:style w:type="character" w:customStyle="1" w:styleId="ListLabel591">
    <w:name w:val="ListLabel 591"/>
    <w:qFormat/>
    <w:rPr>
      <w:rFonts w:ascii="Calibri" w:hAnsi="Calibri"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cs="Symbol"/>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ascii="Calibri" w:hAnsi="Calibri" w:cs="Courier New"/>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Symbol"/>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paragraph" w:customStyle="1" w:styleId="Heading">
    <w:name w:val="Heading"/>
    <w:basedOn w:val="Normal"/>
    <w:next w:val="BodyText"/>
    <w:qFormat/>
    <w:pPr>
      <w:keepNext/>
      <w:spacing w:before="240" w:after="120"/>
    </w:pPr>
    <w:rPr>
      <w:rFonts w:ascii="Liberation Sans" w:eastAsia="Noto Sans SC Regular" w:hAnsi="Liberation Sans" w:cs="Noto Sans Devanagari"/>
      <w:sz w:val="28"/>
      <w:szCs w:val="28"/>
    </w:rPr>
  </w:style>
  <w:style w:type="paragraph" w:styleId="BodyText">
    <w:name w:val="Body Text"/>
    <w:basedOn w:val="Normal"/>
    <w:link w:val="BodyTextChar"/>
    <w:uiPriority w:val="1"/>
    <w:qFormat/>
    <w:rsid w:val="00AF280B"/>
    <w:pPr>
      <w:jc w:val="left"/>
    </w:pPr>
    <w:rPr>
      <w:rFonts w:eastAsia="Calibri"/>
      <w:color w:val="00000A"/>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customStyle="1" w:styleId="Kop">
    <w:name w:val="Kop"/>
    <w:basedOn w:val="Normal"/>
    <w:qFormat/>
    <w:pPr>
      <w:keepNext/>
      <w:spacing w:before="240" w:after="120"/>
    </w:pPr>
    <w:rPr>
      <w:rFonts w:ascii="Liberation Sans" w:eastAsia="Noto Sans SC Regular" w:hAnsi="Liberation Sans" w:cs="Noto Sans Devanagari"/>
      <w:sz w:val="28"/>
      <w:szCs w:val="28"/>
    </w:rPr>
  </w:style>
  <w:style w:type="paragraph" w:styleId="NormalWeb">
    <w:name w:val="Normal (Web)"/>
    <w:basedOn w:val="Normal"/>
    <w:uiPriority w:val="99"/>
    <w:qFormat/>
    <w:rsid w:val="00EE705F"/>
    <w:pPr>
      <w:spacing w:beforeAutospacing="1" w:afterAutospacing="1"/>
    </w:pPr>
  </w:style>
  <w:style w:type="paragraph" w:styleId="Header">
    <w:name w:val="header"/>
    <w:basedOn w:val="Normal"/>
    <w:link w:val="HeaderChar"/>
    <w:rsid w:val="00157BE6"/>
    <w:pPr>
      <w:suppressLineNumbers/>
      <w:tabs>
        <w:tab w:val="center" w:pos="4680"/>
        <w:tab w:val="right" w:pos="9360"/>
      </w:tabs>
    </w:pPr>
  </w:style>
  <w:style w:type="paragraph" w:styleId="Footer">
    <w:name w:val="footer"/>
    <w:basedOn w:val="Normal"/>
    <w:link w:val="FooterChar"/>
    <w:uiPriority w:val="99"/>
    <w:rsid w:val="00157BE6"/>
    <w:pPr>
      <w:suppressLineNumbers/>
      <w:tabs>
        <w:tab w:val="center" w:pos="4680"/>
        <w:tab w:val="right" w:pos="9360"/>
      </w:tabs>
    </w:pPr>
  </w:style>
  <w:style w:type="paragraph" w:styleId="CommentText">
    <w:name w:val="annotation text"/>
    <w:basedOn w:val="Normal"/>
    <w:link w:val="CommentTextChar"/>
    <w:qFormat/>
    <w:rsid w:val="0084610C"/>
  </w:style>
  <w:style w:type="paragraph" w:styleId="CommentSubject">
    <w:name w:val="annotation subject"/>
    <w:basedOn w:val="CommentText"/>
    <w:link w:val="CommentSubjectChar"/>
    <w:qFormat/>
    <w:rsid w:val="0084610C"/>
    <w:rPr>
      <w:b/>
      <w:bCs/>
      <w:sz w:val="20"/>
      <w:szCs w:val="20"/>
    </w:rPr>
  </w:style>
  <w:style w:type="paragraph" w:styleId="BalloonText">
    <w:name w:val="Balloon Text"/>
    <w:basedOn w:val="Normal"/>
    <w:link w:val="BalloonTextChar"/>
    <w:qFormat/>
    <w:rsid w:val="0084610C"/>
    <w:rPr>
      <w:rFonts w:ascii="Lucida Grande" w:hAnsi="Lucida Grande"/>
      <w:sz w:val="18"/>
      <w:szCs w:val="18"/>
    </w:rPr>
  </w:style>
  <w:style w:type="paragraph" w:customStyle="1" w:styleId="Exampletext">
    <w:name w:val="Example text"/>
    <w:basedOn w:val="Normal"/>
    <w:link w:val="ExampletextChar"/>
    <w:qFormat/>
    <w:rsid w:val="00621C4E"/>
    <w:pPr>
      <w:spacing w:after="240"/>
    </w:pPr>
    <w:rPr>
      <w:color w:val="7F7F7F"/>
    </w:rPr>
  </w:style>
  <w:style w:type="paragraph" w:styleId="ListParagraph">
    <w:name w:val="List Paragraph"/>
    <w:basedOn w:val="Normal"/>
    <w:uiPriority w:val="34"/>
    <w:qFormat/>
    <w:rsid w:val="00A34A67"/>
    <w:pPr>
      <w:ind w:left="720"/>
      <w:contextualSpacing/>
    </w:pPr>
  </w:style>
  <w:style w:type="paragraph" w:styleId="Revision">
    <w:name w:val="Revision"/>
    <w:uiPriority w:val="99"/>
    <w:semiHidden/>
    <w:qFormat/>
    <w:rsid w:val="0091276C"/>
    <w:rPr>
      <w:rFonts w:ascii="Calibri" w:hAnsi="Calibri" w:cs="Calibri"/>
      <w:color w:val="000000"/>
      <w:sz w:val="24"/>
      <w:szCs w:val="24"/>
    </w:rPr>
  </w:style>
  <w:style w:type="character" w:styleId="Hyperlink">
    <w:name w:val="Hyperlink"/>
    <w:basedOn w:val="DefaultParagraphFont"/>
    <w:uiPriority w:val="99"/>
    <w:unhideWhenUsed/>
    <w:rsid w:val="002A278E"/>
    <w:rPr>
      <w:color w:val="0000FF" w:themeColor="hyperlink"/>
      <w:u w:val="single"/>
    </w:rPr>
  </w:style>
  <w:style w:type="character" w:styleId="PlaceholderText">
    <w:name w:val="Placeholder Text"/>
    <w:basedOn w:val="DefaultParagraphFont"/>
    <w:uiPriority w:val="99"/>
    <w:semiHidden/>
    <w:rsid w:val="00742143"/>
    <w:rPr>
      <w:color w:val="808080"/>
    </w:rPr>
  </w:style>
  <w:style w:type="table" w:styleId="TableGrid">
    <w:name w:val="Table Grid"/>
    <w:basedOn w:val="TableNormal"/>
    <w:uiPriority w:val="39"/>
    <w:rsid w:val="003313A5"/>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66CC1"/>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66CC1"/>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66CC1"/>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66CC1"/>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66C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66CC1"/>
    <w:rPr>
      <w:rFonts w:asciiTheme="majorHAnsi" w:eastAsiaTheme="majorEastAsia" w:hAnsiTheme="majorHAnsi" w:cstheme="majorBidi"/>
      <w:i/>
      <w:iCs/>
      <w:color w:val="272727" w:themeColor="text1" w:themeTint="D8"/>
      <w:sz w:val="21"/>
      <w:szCs w:val="21"/>
    </w:rPr>
  </w:style>
  <w:style w:type="paragraph" w:styleId="HTMLPreformatted">
    <w:name w:val="HTML Preformatted"/>
    <w:basedOn w:val="Normal"/>
    <w:link w:val="HTMLPreformattedChar"/>
    <w:uiPriority w:val="99"/>
    <w:semiHidden/>
    <w:unhideWhenUsed/>
    <w:rsid w:val="00E64A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 w:val="20"/>
      <w:szCs w:val="20"/>
      <w:lang w:eastAsia="ja-JP"/>
    </w:rPr>
  </w:style>
  <w:style w:type="character" w:customStyle="1" w:styleId="HTMLPreformattedChar">
    <w:name w:val="HTML Preformatted Char"/>
    <w:basedOn w:val="DefaultParagraphFont"/>
    <w:link w:val="HTMLPreformatted"/>
    <w:uiPriority w:val="99"/>
    <w:semiHidden/>
    <w:rsid w:val="00E64AC2"/>
    <w:rPr>
      <w:rFonts w:ascii="Courier New" w:hAnsi="Courier New" w:cs="Courier New"/>
      <w:lang w:eastAsia="ja-JP"/>
    </w:rPr>
  </w:style>
  <w:style w:type="character" w:styleId="HTMLCode">
    <w:name w:val="HTML Code"/>
    <w:basedOn w:val="DefaultParagraphFont"/>
    <w:uiPriority w:val="99"/>
    <w:semiHidden/>
    <w:unhideWhenUsed/>
    <w:rsid w:val="00E64AC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81809">
      <w:bodyDiv w:val="1"/>
      <w:marLeft w:val="0"/>
      <w:marRight w:val="0"/>
      <w:marTop w:val="0"/>
      <w:marBottom w:val="0"/>
      <w:divBdr>
        <w:top w:val="none" w:sz="0" w:space="0" w:color="auto"/>
        <w:left w:val="none" w:sz="0" w:space="0" w:color="auto"/>
        <w:bottom w:val="none" w:sz="0" w:space="0" w:color="auto"/>
        <w:right w:val="none" w:sz="0" w:space="0" w:color="auto"/>
      </w:divBdr>
    </w:div>
    <w:div w:id="130680934">
      <w:bodyDiv w:val="1"/>
      <w:marLeft w:val="0"/>
      <w:marRight w:val="0"/>
      <w:marTop w:val="0"/>
      <w:marBottom w:val="0"/>
      <w:divBdr>
        <w:top w:val="none" w:sz="0" w:space="0" w:color="auto"/>
        <w:left w:val="none" w:sz="0" w:space="0" w:color="auto"/>
        <w:bottom w:val="none" w:sz="0" w:space="0" w:color="auto"/>
        <w:right w:val="none" w:sz="0" w:space="0" w:color="auto"/>
      </w:divBdr>
    </w:div>
    <w:div w:id="186677814">
      <w:bodyDiv w:val="1"/>
      <w:marLeft w:val="0"/>
      <w:marRight w:val="0"/>
      <w:marTop w:val="0"/>
      <w:marBottom w:val="0"/>
      <w:divBdr>
        <w:top w:val="none" w:sz="0" w:space="0" w:color="auto"/>
        <w:left w:val="none" w:sz="0" w:space="0" w:color="auto"/>
        <w:bottom w:val="none" w:sz="0" w:space="0" w:color="auto"/>
        <w:right w:val="none" w:sz="0" w:space="0" w:color="auto"/>
      </w:divBdr>
    </w:div>
    <w:div w:id="267087417">
      <w:bodyDiv w:val="1"/>
      <w:marLeft w:val="0"/>
      <w:marRight w:val="0"/>
      <w:marTop w:val="0"/>
      <w:marBottom w:val="0"/>
      <w:divBdr>
        <w:top w:val="none" w:sz="0" w:space="0" w:color="auto"/>
        <w:left w:val="none" w:sz="0" w:space="0" w:color="auto"/>
        <w:bottom w:val="none" w:sz="0" w:space="0" w:color="auto"/>
        <w:right w:val="none" w:sz="0" w:space="0" w:color="auto"/>
      </w:divBdr>
    </w:div>
    <w:div w:id="289090256">
      <w:bodyDiv w:val="1"/>
      <w:marLeft w:val="0"/>
      <w:marRight w:val="0"/>
      <w:marTop w:val="0"/>
      <w:marBottom w:val="0"/>
      <w:divBdr>
        <w:top w:val="none" w:sz="0" w:space="0" w:color="auto"/>
        <w:left w:val="none" w:sz="0" w:space="0" w:color="auto"/>
        <w:bottom w:val="none" w:sz="0" w:space="0" w:color="auto"/>
        <w:right w:val="none" w:sz="0" w:space="0" w:color="auto"/>
      </w:divBdr>
    </w:div>
    <w:div w:id="439303218">
      <w:bodyDiv w:val="1"/>
      <w:marLeft w:val="0"/>
      <w:marRight w:val="0"/>
      <w:marTop w:val="0"/>
      <w:marBottom w:val="0"/>
      <w:divBdr>
        <w:top w:val="none" w:sz="0" w:space="0" w:color="auto"/>
        <w:left w:val="none" w:sz="0" w:space="0" w:color="auto"/>
        <w:bottom w:val="none" w:sz="0" w:space="0" w:color="auto"/>
        <w:right w:val="none" w:sz="0" w:space="0" w:color="auto"/>
      </w:divBdr>
    </w:div>
    <w:div w:id="460920919">
      <w:bodyDiv w:val="1"/>
      <w:marLeft w:val="0"/>
      <w:marRight w:val="0"/>
      <w:marTop w:val="0"/>
      <w:marBottom w:val="0"/>
      <w:divBdr>
        <w:top w:val="none" w:sz="0" w:space="0" w:color="auto"/>
        <w:left w:val="none" w:sz="0" w:space="0" w:color="auto"/>
        <w:bottom w:val="none" w:sz="0" w:space="0" w:color="auto"/>
        <w:right w:val="none" w:sz="0" w:space="0" w:color="auto"/>
      </w:divBdr>
    </w:div>
    <w:div w:id="718825339">
      <w:bodyDiv w:val="1"/>
      <w:marLeft w:val="0"/>
      <w:marRight w:val="0"/>
      <w:marTop w:val="0"/>
      <w:marBottom w:val="0"/>
      <w:divBdr>
        <w:top w:val="none" w:sz="0" w:space="0" w:color="auto"/>
        <w:left w:val="none" w:sz="0" w:space="0" w:color="auto"/>
        <w:bottom w:val="none" w:sz="0" w:space="0" w:color="auto"/>
        <w:right w:val="none" w:sz="0" w:space="0" w:color="auto"/>
      </w:divBdr>
    </w:div>
    <w:div w:id="786119637">
      <w:bodyDiv w:val="1"/>
      <w:marLeft w:val="0"/>
      <w:marRight w:val="0"/>
      <w:marTop w:val="0"/>
      <w:marBottom w:val="0"/>
      <w:divBdr>
        <w:top w:val="none" w:sz="0" w:space="0" w:color="auto"/>
        <w:left w:val="none" w:sz="0" w:space="0" w:color="auto"/>
        <w:bottom w:val="none" w:sz="0" w:space="0" w:color="auto"/>
        <w:right w:val="none" w:sz="0" w:space="0" w:color="auto"/>
      </w:divBdr>
    </w:div>
    <w:div w:id="1057976918">
      <w:bodyDiv w:val="1"/>
      <w:marLeft w:val="0"/>
      <w:marRight w:val="0"/>
      <w:marTop w:val="0"/>
      <w:marBottom w:val="0"/>
      <w:divBdr>
        <w:top w:val="none" w:sz="0" w:space="0" w:color="auto"/>
        <w:left w:val="none" w:sz="0" w:space="0" w:color="auto"/>
        <w:bottom w:val="none" w:sz="0" w:space="0" w:color="auto"/>
        <w:right w:val="none" w:sz="0" w:space="0" w:color="auto"/>
      </w:divBdr>
    </w:div>
    <w:div w:id="1373117211">
      <w:bodyDiv w:val="1"/>
      <w:marLeft w:val="0"/>
      <w:marRight w:val="0"/>
      <w:marTop w:val="0"/>
      <w:marBottom w:val="0"/>
      <w:divBdr>
        <w:top w:val="none" w:sz="0" w:space="0" w:color="auto"/>
        <w:left w:val="none" w:sz="0" w:space="0" w:color="auto"/>
        <w:bottom w:val="none" w:sz="0" w:space="0" w:color="auto"/>
        <w:right w:val="none" w:sz="0" w:space="0" w:color="auto"/>
      </w:divBdr>
    </w:div>
    <w:div w:id="1481725046">
      <w:bodyDiv w:val="1"/>
      <w:marLeft w:val="0"/>
      <w:marRight w:val="0"/>
      <w:marTop w:val="0"/>
      <w:marBottom w:val="0"/>
      <w:divBdr>
        <w:top w:val="none" w:sz="0" w:space="0" w:color="auto"/>
        <w:left w:val="none" w:sz="0" w:space="0" w:color="auto"/>
        <w:bottom w:val="none" w:sz="0" w:space="0" w:color="auto"/>
        <w:right w:val="none" w:sz="0" w:space="0" w:color="auto"/>
      </w:divBdr>
    </w:div>
    <w:div w:id="1555655161">
      <w:bodyDiv w:val="1"/>
      <w:marLeft w:val="0"/>
      <w:marRight w:val="0"/>
      <w:marTop w:val="0"/>
      <w:marBottom w:val="0"/>
      <w:divBdr>
        <w:top w:val="none" w:sz="0" w:space="0" w:color="auto"/>
        <w:left w:val="none" w:sz="0" w:space="0" w:color="auto"/>
        <w:bottom w:val="none" w:sz="0" w:space="0" w:color="auto"/>
        <w:right w:val="none" w:sz="0" w:space="0" w:color="auto"/>
      </w:divBdr>
    </w:div>
    <w:div w:id="1564873396">
      <w:bodyDiv w:val="1"/>
      <w:marLeft w:val="0"/>
      <w:marRight w:val="0"/>
      <w:marTop w:val="0"/>
      <w:marBottom w:val="0"/>
      <w:divBdr>
        <w:top w:val="none" w:sz="0" w:space="0" w:color="auto"/>
        <w:left w:val="none" w:sz="0" w:space="0" w:color="auto"/>
        <w:bottom w:val="none" w:sz="0" w:space="0" w:color="auto"/>
        <w:right w:val="none" w:sz="0" w:space="0" w:color="auto"/>
      </w:divBdr>
    </w:div>
    <w:div w:id="1741903726">
      <w:bodyDiv w:val="1"/>
      <w:marLeft w:val="0"/>
      <w:marRight w:val="0"/>
      <w:marTop w:val="0"/>
      <w:marBottom w:val="0"/>
      <w:divBdr>
        <w:top w:val="none" w:sz="0" w:space="0" w:color="auto"/>
        <w:left w:val="none" w:sz="0" w:space="0" w:color="auto"/>
        <w:bottom w:val="none" w:sz="0" w:space="0" w:color="auto"/>
        <w:right w:val="none" w:sz="0" w:space="0" w:color="auto"/>
      </w:divBdr>
    </w:div>
    <w:div w:id="1788039257">
      <w:bodyDiv w:val="1"/>
      <w:marLeft w:val="0"/>
      <w:marRight w:val="0"/>
      <w:marTop w:val="0"/>
      <w:marBottom w:val="0"/>
      <w:divBdr>
        <w:top w:val="none" w:sz="0" w:space="0" w:color="auto"/>
        <w:left w:val="none" w:sz="0" w:space="0" w:color="auto"/>
        <w:bottom w:val="none" w:sz="0" w:space="0" w:color="auto"/>
        <w:right w:val="none" w:sz="0" w:space="0" w:color="auto"/>
      </w:divBdr>
    </w:div>
    <w:div w:id="1913468297">
      <w:bodyDiv w:val="1"/>
      <w:marLeft w:val="0"/>
      <w:marRight w:val="0"/>
      <w:marTop w:val="0"/>
      <w:marBottom w:val="0"/>
      <w:divBdr>
        <w:top w:val="none" w:sz="0" w:space="0" w:color="auto"/>
        <w:left w:val="none" w:sz="0" w:space="0" w:color="auto"/>
        <w:bottom w:val="none" w:sz="0" w:space="0" w:color="auto"/>
        <w:right w:val="none" w:sz="0" w:space="0" w:color="auto"/>
      </w:divBdr>
    </w:div>
    <w:div w:id="1926111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8D928-DCA4-4AB6-9F13-5D644D18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22520</Words>
  <Characters>128366</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150585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Nam Nguyen</cp:lastModifiedBy>
  <cp:revision>4</cp:revision>
  <cp:lastPrinted>2019-03-19T09:05:00Z</cp:lastPrinted>
  <dcterms:created xsi:type="dcterms:W3CDTF">2019-03-28T17:44:00Z</dcterms:created>
  <dcterms:modified xsi:type="dcterms:W3CDTF">2019-03-28T18:58:00Z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oogle.Documents.DocumentId">
    <vt:lpwstr>1gonA9xkM4o-sAITyndMjq4SWUl72-8iduKojovarBo8</vt:lpwstr>
  </property>
  <property fmtid="{D5CDD505-2E9C-101B-9397-08002B2CF9AE}" pid="5" name="Google.Documents.MergeIncapabilityFlags">
    <vt:i4>0</vt:i4>
  </property>
  <property fmtid="{D5CDD505-2E9C-101B-9397-08002B2CF9AE}" pid="6" name="Google.Documents.PluginVersion">
    <vt:lpwstr>2.0.2662.553</vt:lpwstr>
  </property>
  <property fmtid="{D5CDD505-2E9C-101B-9397-08002B2CF9AE}" pid="7" name="Google.Documents.PreviousRevisionId">
    <vt:lpwstr>01028731471998024230</vt:lpwstr>
  </property>
  <property fmtid="{D5CDD505-2E9C-101B-9397-08002B2CF9AE}" pid="8" name="Google.Documents.RevisionId">
    <vt:lpwstr>01113345951225591209</vt:lpwstr>
  </property>
  <property fmtid="{D5CDD505-2E9C-101B-9397-08002B2CF9AE}" pid="9" name="Google.Documents.Tracking">
    <vt:lpwstr>true</vt:lpwstr>
  </property>
  <property fmtid="{D5CDD505-2E9C-101B-9397-08002B2CF9AE}" pid="10" name="HyperlinksChanged">
    <vt:bool>false</vt:bool>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y fmtid="{D5CDD505-2E9C-101B-9397-08002B2CF9AE}" pid="14" name="Mendeley Recent Style Id 0_1">
    <vt:lpwstr>http://www.zotero.org/styles/american-medical-association</vt:lpwstr>
  </property>
  <property fmtid="{D5CDD505-2E9C-101B-9397-08002B2CF9AE}" pid="15" name="Mendeley Recent Style Name 0_1">
    <vt:lpwstr>American Medical Association</vt:lpwstr>
  </property>
  <property fmtid="{D5CDD505-2E9C-101B-9397-08002B2CF9AE}" pid="16" name="Mendeley Recent Style Id 1_1">
    <vt:lpwstr>http://www.zotero.org/styles/american-political-science-association</vt:lpwstr>
  </property>
  <property fmtid="{D5CDD505-2E9C-101B-9397-08002B2CF9AE}" pid="17" name="Mendeley Recent Style Name 1_1">
    <vt:lpwstr>American Political Science Association</vt:lpwstr>
  </property>
  <property fmtid="{D5CDD505-2E9C-101B-9397-08002B2CF9AE}" pid="18" name="Mendeley Recent Style Id 2_1">
    <vt:lpwstr>http://www.zotero.org/styles/apa</vt:lpwstr>
  </property>
  <property fmtid="{D5CDD505-2E9C-101B-9397-08002B2CF9AE}" pid="19" name="Mendeley Recent Style Name 2_1">
    <vt:lpwstr>American Psychological Association 6th edition</vt:lpwstr>
  </property>
  <property fmtid="{D5CDD505-2E9C-101B-9397-08002B2CF9AE}" pid="20" name="Mendeley Recent Style Id 3_1">
    <vt:lpwstr>http://www.zotero.org/styles/american-sociological-association</vt:lpwstr>
  </property>
  <property fmtid="{D5CDD505-2E9C-101B-9397-08002B2CF9AE}" pid="21" name="Mendeley Recent Style Name 3_1">
    <vt:lpwstr>American Sociological Association</vt:lpwstr>
  </property>
  <property fmtid="{D5CDD505-2E9C-101B-9397-08002B2CF9AE}" pid="22" name="Mendeley Recent Style Id 4_1">
    <vt:lpwstr>http://www.zotero.org/styles/chicago-author-date</vt:lpwstr>
  </property>
  <property fmtid="{D5CDD505-2E9C-101B-9397-08002B2CF9AE}" pid="23" name="Mendeley Recent Style Name 4_1">
    <vt:lpwstr>Chicago Manual of Style 16th edition (author-date)</vt:lpwstr>
  </property>
  <property fmtid="{D5CDD505-2E9C-101B-9397-08002B2CF9AE}" pid="24" name="Mendeley Recent Style Id 5_1">
    <vt:lpwstr>http://www.zotero.org/styles/harvard-cite-them-right</vt:lpwstr>
  </property>
  <property fmtid="{D5CDD505-2E9C-101B-9397-08002B2CF9AE}" pid="25" name="Mendeley Recent Style Name 5_1">
    <vt:lpwstr>Cite Them Right 10th edition - Harvard</vt:lpwstr>
  </property>
  <property fmtid="{D5CDD505-2E9C-101B-9397-08002B2CF9AE}" pid="26" name="Mendeley Recent Style Id 6_1">
    <vt:lpwstr>http://www.zotero.org/styles/ieee</vt:lpwstr>
  </property>
  <property fmtid="{D5CDD505-2E9C-101B-9397-08002B2CF9AE}" pid="27" name="Mendeley Recent Style Name 6_1">
    <vt:lpwstr>IEEE</vt:lpwstr>
  </property>
  <property fmtid="{D5CDD505-2E9C-101B-9397-08002B2CF9AE}" pid="28" name="Mendeley Recent Style Id 7_1">
    <vt:lpwstr>http://www.zotero.org/styles/modern-humanities-research-association</vt:lpwstr>
  </property>
  <property fmtid="{D5CDD505-2E9C-101B-9397-08002B2CF9AE}" pid="29" name="Mendeley Recent Style Name 7_1">
    <vt:lpwstr>Modern Humanities Research Association 3rd edition (note with bibliography)</vt:lpwstr>
  </property>
  <property fmtid="{D5CDD505-2E9C-101B-9397-08002B2CF9AE}" pid="30" name="Mendeley Recent Style Id 8_1">
    <vt:lpwstr>http://www.zotero.org/styles/modern-language-association</vt:lpwstr>
  </property>
  <property fmtid="{D5CDD505-2E9C-101B-9397-08002B2CF9AE}" pid="31" name="Mendeley Recent Style Name 8_1">
    <vt:lpwstr>Modern Language Association 8th edition</vt:lpwstr>
  </property>
  <property fmtid="{D5CDD505-2E9C-101B-9397-08002B2CF9AE}" pid="32" name="Mendeley Recent Style Id 9_1">
    <vt:lpwstr>http://www.zotero.org/styles/nature</vt:lpwstr>
  </property>
  <property fmtid="{D5CDD505-2E9C-101B-9397-08002B2CF9AE}" pid="33" name="Mendeley Recent Style Name 9_1">
    <vt:lpwstr>Nature</vt:lpwstr>
  </property>
  <property fmtid="{D5CDD505-2E9C-101B-9397-08002B2CF9AE}" pid="34" name="Mendeley Document_1">
    <vt:lpwstr>True</vt:lpwstr>
  </property>
  <property fmtid="{D5CDD505-2E9C-101B-9397-08002B2CF9AE}" pid="35" name="Mendeley Unique User Id_1">
    <vt:lpwstr>59fb47fa-2335-3f91-9b11-9dc7ad350244</vt:lpwstr>
  </property>
  <property fmtid="{D5CDD505-2E9C-101B-9397-08002B2CF9AE}" pid="36" name="Mendeley Citation Style_1">
    <vt:lpwstr>http://www.zotero.org/styles/nature</vt:lpwstr>
  </property>
</Properties>
</file>