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0" w:type="dxa"/>
          <w:bottom w:w="115" w:type="dxa"/>
          <w:right w:w="0" w:type="dxa"/>
        </w:tblCellMar>
        <w:tblLook w:val="00A0" w:firstRow="1" w:lastRow="0" w:firstColumn="1" w:lastColumn="0" w:noHBand="0" w:noVBand="0"/>
      </w:tblPr>
      <w:tblGrid>
        <w:gridCol w:w="5535"/>
      </w:tblGrid>
      <w:tr w:rsidR="00781DC9" w:rsidRPr="00856E9E" w:rsidTr="006001B6">
        <w:trPr>
          <w:trHeight w:val="35"/>
        </w:trPr>
        <w:tc>
          <w:tcPr>
            <w:tcW w:w="5535" w:type="dxa"/>
          </w:tcPr>
          <w:p w:rsidR="00594524" w:rsidRPr="00AB6AE6" w:rsidRDefault="00594524" w:rsidP="00781DC9">
            <w:pPr>
              <w:pStyle w:val="JanssenFill-InBlue"/>
            </w:pPr>
          </w:p>
        </w:tc>
      </w:tr>
      <w:tr w:rsidR="00781DC9" w:rsidRPr="00856E9E" w:rsidTr="006001B6">
        <w:trPr>
          <w:trHeight w:val="177"/>
        </w:trPr>
        <w:tc>
          <w:tcPr>
            <w:tcW w:w="5535" w:type="dxa"/>
          </w:tcPr>
          <w:p w:rsidR="000C2B4C" w:rsidRDefault="000C2B4C" w:rsidP="006001B6">
            <w:pPr>
              <w:tabs>
                <w:tab w:val="center" w:pos="2911"/>
              </w:tabs>
              <w:autoSpaceDE w:val="0"/>
              <w:autoSpaceDN w:val="0"/>
              <w:spacing w:before="40" w:after="40" w:line="240" w:lineRule="auto"/>
              <w:rPr>
                <w:color w:val="0D0D0D" w:themeColor="text1" w:themeTint="F2"/>
                <w:sz w:val="24"/>
              </w:rPr>
            </w:pPr>
            <w:r>
              <w:rPr>
                <w:color w:val="0D0D0D" w:themeColor="text1" w:themeTint="F2"/>
                <w:sz w:val="24"/>
              </w:rPr>
              <w:t>World Without Disease Accelerator</w:t>
            </w:r>
          </w:p>
          <w:p w:rsidR="00E159D2" w:rsidRPr="00E159D2" w:rsidRDefault="000C2B4C" w:rsidP="006001B6">
            <w:pPr>
              <w:tabs>
                <w:tab w:val="center" w:pos="2911"/>
              </w:tabs>
              <w:autoSpaceDE w:val="0"/>
              <w:autoSpaceDN w:val="0"/>
              <w:spacing w:before="40" w:after="40" w:line="240" w:lineRule="auto"/>
              <w:rPr>
                <w:color w:val="0D0D0D" w:themeColor="text1" w:themeTint="F2"/>
                <w:sz w:val="24"/>
              </w:rPr>
            </w:pPr>
            <w:r>
              <w:rPr>
                <w:color w:val="0D0D0D" w:themeColor="text1" w:themeTint="F2"/>
                <w:sz w:val="24"/>
              </w:rPr>
              <w:t>Janssen R&amp;D</w:t>
            </w:r>
            <w:r w:rsidR="00BB2CC4" w:rsidRPr="00D75652">
              <w:rPr>
                <w:color w:val="0D0D0D" w:themeColor="text1" w:themeTint="F2"/>
                <w:sz w:val="24"/>
              </w:rPr>
              <w:br/>
            </w:r>
            <w:r w:rsidR="00E159D2" w:rsidRPr="00E159D2">
              <w:rPr>
                <w:color w:val="0D0D0D" w:themeColor="text1" w:themeTint="F2"/>
                <w:sz w:val="24"/>
              </w:rPr>
              <w:t>3210 Merryfield Row</w:t>
            </w:r>
          </w:p>
          <w:p w:rsidR="00781DC9" w:rsidRPr="00D75652" w:rsidRDefault="00E159D2" w:rsidP="00E159D2">
            <w:pPr>
              <w:tabs>
                <w:tab w:val="center" w:pos="2911"/>
              </w:tabs>
              <w:autoSpaceDE w:val="0"/>
              <w:autoSpaceDN w:val="0"/>
              <w:spacing w:before="40" w:after="40" w:line="240" w:lineRule="auto"/>
              <w:rPr>
                <w:color w:val="0D0D0D" w:themeColor="text1" w:themeTint="F2"/>
                <w:sz w:val="24"/>
              </w:rPr>
            </w:pPr>
            <w:r w:rsidRPr="00E159D2">
              <w:rPr>
                <w:color w:val="0D0D0D" w:themeColor="text1" w:themeTint="F2"/>
                <w:sz w:val="24"/>
              </w:rPr>
              <w:t>San Diego, CA</w:t>
            </w:r>
          </w:p>
        </w:tc>
      </w:tr>
      <w:tr w:rsidR="00781DC9" w:rsidRPr="00856E9E" w:rsidTr="006001B6">
        <w:trPr>
          <w:trHeight w:hRule="exact" w:val="77"/>
        </w:trPr>
        <w:tc>
          <w:tcPr>
            <w:tcW w:w="5535" w:type="dxa"/>
          </w:tcPr>
          <w:p w:rsidR="00781DC9" w:rsidRPr="00AB6AE6" w:rsidRDefault="00781DC9" w:rsidP="00781DC9">
            <w:pPr>
              <w:pStyle w:val="JanssenFill-InGray"/>
            </w:pPr>
          </w:p>
        </w:tc>
      </w:tr>
    </w:tbl>
    <w:p w:rsidR="00781DC9" w:rsidRDefault="00781DC9" w:rsidP="00781DC9">
      <w:pPr>
        <w:pStyle w:val="JanssenBody"/>
        <w:sectPr w:rsidR="00781DC9" w:rsidSect="00781DC9">
          <w:headerReference w:type="default" r:id="rId6"/>
          <w:headerReference w:type="first" r:id="rId7"/>
          <w:pgSz w:w="11904" w:h="16834"/>
          <w:pgMar w:top="1446" w:right="1247" w:bottom="1446" w:left="1814" w:header="1151" w:footer="737" w:gutter="0"/>
          <w:cols w:space="720"/>
          <w:titlePg/>
        </w:sectPr>
      </w:pPr>
    </w:p>
    <w:p w:rsidR="00BB2CC4" w:rsidRDefault="00EF324F" w:rsidP="00BB2CC4">
      <w:pPr>
        <w:pStyle w:val="Standard"/>
        <w:ind w:left="0"/>
        <w:outlineLvl w:val="0"/>
        <w:rPr>
          <w:rFonts w:ascii="Times New Roman" w:hAnsi="Times New Roman"/>
          <w:color w:val="auto"/>
          <w:szCs w:val="24"/>
        </w:rPr>
      </w:pPr>
      <w:r>
        <w:rPr>
          <w:rFonts w:ascii="Times New Roman" w:hAnsi="Times New Roman"/>
          <w:color w:val="auto"/>
          <w:szCs w:val="24"/>
        </w:rPr>
        <w:t>March</w:t>
      </w:r>
      <w:r w:rsidR="000C2B4C">
        <w:rPr>
          <w:rFonts w:ascii="Times New Roman" w:hAnsi="Times New Roman"/>
          <w:color w:val="auto"/>
          <w:szCs w:val="24"/>
        </w:rPr>
        <w:t xml:space="preserve"> </w:t>
      </w:r>
      <w:r>
        <w:rPr>
          <w:rFonts w:ascii="Times New Roman" w:hAnsi="Times New Roman"/>
          <w:color w:val="auto"/>
          <w:szCs w:val="24"/>
        </w:rPr>
        <w:t>27</w:t>
      </w:r>
      <w:r w:rsidR="00322C2F">
        <w:rPr>
          <w:rFonts w:ascii="Times New Roman" w:hAnsi="Times New Roman"/>
          <w:color w:val="auto"/>
          <w:szCs w:val="24"/>
        </w:rPr>
        <w:t>,</w:t>
      </w:r>
      <w:r w:rsidR="00BB2CC4" w:rsidRPr="00BB2CC4">
        <w:rPr>
          <w:rFonts w:ascii="Times New Roman" w:hAnsi="Times New Roman"/>
          <w:color w:val="auto"/>
          <w:szCs w:val="24"/>
        </w:rPr>
        <w:t xml:space="preserve"> 201</w:t>
      </w:r>
      <w:r w:rsidR="000C2B4C">
        <w:rPr>
          <w:rFonts w:ascii="Times New Roman" w:hAnsi="Times New Roman"/>
          <w:color w:val="auto"/>
          <w:szCs w:val="24"/>
        </w:rPr>
        <w:t>9</w:t>
      </w:r>
    </w:p>
    <w:p w:rsidR="00BB2CC4" w:rsidRPr="00BB2CC4" w:rsidRDefault="00BB2CC4" w:rsidP="00BB2CC4">
      <w:pPr>
        <w:pStyle w:val="Standard"/>
        <w:spacing w:line="360" w:lineRule="auto"/>
        <w:ind w:left="0"/>
        <w:jc w:val="both"/>
        <w:rPr>
          <w:rFonts w:ascii="Times New Roman" w:hAnsi="Times New Roman"/>
          <w:color w:val="auto"/>
          <w:szCs w:val="24"/>
        </w:rPr>
      </w:pPr>
    </w:p>
    <w:p w:rsidR="00BB2CC4" w:rsidRPr="008F56FC" w:rsidRDefault="00BB2CC4" w:rsidP="00BB2CC4">
      <w:pPr>
        <w:pStyle w:val="Standard"/>
        <w:spacing w:line="360" w:lineRule="auto"/>
        <w:ind w:left="0"/>
        <w:jc w:val="both"/>
        <w:rPr>
          <w:rFonts w:ascii="Times New Roman" w:hAnsi="Times New Roman"/>
          <w:color w:val="auto"/>
          <w:szCs w:val="24"/>
        </w:rPr>
      </w:pPr>
      <w:r w:rsidRPr="008F56FC">
        <w:rPr>
          <w:rFonts w:ascii="Times New Roman" w:hAnsi="Times New Roman"/>
          <w:color w:val="auto"/>
          <w:szCs w:val="24"/>
        </w:rPr>
        <w:t xml:space="preserve">Dear </w:t>
      </w:r>
      <w:r w:rsidR="008015AB">
        <w:rPr>
          <w:rFonts w:ascii="Times New Roman" w:hAnsi="Times New Roman"/>
          <w:color w:val="auto"/>
          <w:szCs w:val="24"/>
        </w:rPr>
        <w:t>Dr. Myers</w:t>
      </w:r>
      <w:r w:rsidRPr="008F56FC">
        <w:rPr>
          <w:rFonts w:ascii="Times New Roman" w:hAnsi="Times New Roman"/>
          <w:color w:val="auto"/>
          <w:szCs w:val="24"/>
        </w:rPr>
        <w:t>,</w:t>
      </w:r>
    </w:p>
    <w:p w:rsidR="00BB2CC4" w:rsidRPr="00BB2CC4" w:rsidRDefault="00BB2CC4" w:rsidP="00BB2CC4">
      <w:pPr>
        <w:spacing w:line="360" w:lineRule="auto"/>
        <w:jc w:val="both"/>
        <w:rPr>
          <w:sz w:val="24"/>
        </w:rPr>
      </w:pPr>
    </w:p>
    <w:p w:rsidR="00BB2CC4" w:rsidRDefault="00BB2CC4" w:rsidP="00431F5F">
      <w:pPr>
        <w:spacing w:line="360" w:lineRule="auto"/>
        <w:jc w:val="both"/>
        <w:rPr>
          <w:sz w:val="24"/>
        </w:rPr>
      </w:pPr>
      <w:r w:rsidRPr="00BB2CC4">
        <w:rPr>
          <w:sz w:val="24"/>
        </w:rPr>
        <w:t xml:space="preserve">Please find </w:t>
      </w:r>
      <w:r w:rsidR="00EF324F">
        <w:rPr>
          <w:sz w:val="24"/>
        </w:rPr>
        <w:t xml:space="preserve">a revised version </w:t>
      </w:r>
      <w:r w:rsidRPr="00BB2CC4">
        <w:rPr>
          <w:sz w:val="24"/>
        </w:rPr>
        <w:t xml:space="preserve">our manuscript </w:t>
      </w:r>
      <w:r w:rsidRPr="008F56FC">
        <w:rPr>
          <w:sz w:val="24"/>
        </w:rPr>
        <w:t xml:space="preserve">entitled </w:t>
      </w:r>
      <w:r w:rsidRPr="008F56FC">
        <w:rPr>
          <w:b/>
          <w:sz w:val="24"/>
        </w:rPr>
        <w:t>‘</w:t>
      </w:r>
      <w:r w:rsidR="00E159D2" w:rsidRPr="00E159D2">
        <w:rPr>
          <w:b/>
          <w:sz w:val="24"/>
        </w:rPr>
        <w:t>Single-cell screening method for the selection and recovery of antibodies with desired specificities from enriched human memory B cell populations</w:t>
      </w:r>
      <w:r w:rsidR="0067400C" w:rsidRPr="008F56FC">
        <w:rPr>
          <w:b/>
          <w:sz w:val="24"/>
        </w:rPr>
        <w:t>’</w:t>
      </w:r>
      <w:r w:rsidR="0067400C">
        <w:rPr>
          <w:b/>
          <w:sz w:val="24"/>
        </w:rPr>
        <w:t xml:space="preserve"> </w:t>
      </w:r>
      <w:r w:rsidRPr="00BB2CC4">
        <w:rPr>
          <w:sz w:val="24"/>
        </w:rPr>
        <w:t xml:space="preserve">by </w:t>
      </w:r>
      <w:r w:rsidR="00E159D2">
        <w:rPr>
          <w:sz w:val="24"/>
        </w:rPr>
        <w:t xml:space="preserve">Stuart T. Perry </w:t>
      </w:r>
      <w:r w:rsidRPr="00BB2CC4">
        <w:rPr>
          <w:i/>
          <w:sz w:val="24"/>
        </w:rPr>
        <w:t>et al.</w:t>
      </w:r>
      <w:r w:rsidRPr="00BB2CC4">
        <w:rPr>
          <w:sz w:val="24"/>
        </w:rPr>
        <w:t xml:space="preserve"> that </w:t>
      </w:r>
      <w:r w:rsidR="008015AB" w:rsidRPr="0094743B">
        <w:rPr>
          <w:sz w:val="24"/>
        </w:rPr>
        <w:t>that we</w:t>
      </w:r>
      <w:r w:rsidR="008015AB">
        <w:rPr>
          <w:sz w:val="24"/>
        </w:rPr>
        <w:t xml:space="preserve"> hope is now acceptable for publication</w:t>
      </w:r>
      <w:r w:rsidR="00EF324F">
        <w:rPr>
          <w:sz w:val="24"/>
        </w:rPr>
        <w:t>.</w:t>
      </w:r>
    </w:p>
    <w:p w:rsidR="00C57C9C" w:rsidRDefault="00C57C9C" w:rsidP="00431F5F">
      <w:pPr>
        <w:spacing w:line="360" w:lineRule="auto"/>
        <w:jc w:val="both"/>
        <w:rPr>
          <w:sz w:val="24"/>
        </w:rPr>
      </w:pPr>
    </w:p>
    <w:p w:rsidR="00CD21D5" w:rsidRDefault="00CD21D5" w:rsidP="00CD21D5">
      <w:pPr>
        <w:spacing w:line="360" w:lineRule="auto"/>
        <w:rPr>
          <w:sz w:val="24"/>
        </w:rPr>
      </w:pPr>
      <w:r>
        <w:rPr>
          <w:sz w:val="24"/>
        </w:rPr>
        <w:t>We include a point-by-point response to the specific comments raised by the reviewers.  In addition, we have made the required changes to the editorial comments that were noted.  Please do not hesitate to reach out if you have any further questions.</w:t>
      </w:r>
    </w:p>
    <w:p w:rsidR="00841289" w:rsidRPr="00BB2CC4" w:rsidRDefault="00841289" w:rsidP="00841289">
      <w:pPr>
        <w:spacing w:line="360" w:lineRule="auto"/>
        <w:jc w:val="both"/>
      </w:pPr>
    </w:p>
    <w:p w:rsidR="00BB2CC4" w:rsidRPr="00BB2CC4" w:rsidRDefault="00BB2CC4" w:rsidP="00BB2CC4">
      <w:pPr>
        <w:pStyle w:val="Standard"/>
        <w:spacing w:line="360" w:lineRule="auto"/>
        <w:ind w:left="0"/>
        <w:jc w:val="both"/>
        <w:rPr>
          <w:rFonts w:ascii="Times New Roman" w:hAnsi="Times New Roman"/>
          <w:color w:val="auto"/>
          <w:szCs w:val="24"/>
        </w:rPr>
      </w:pPr>
      <w:r w:rsidRPr="00BB2CC4">
        <w:rPr>
          <w:rFonts w:ascii="Times New Roman" w:hAnsi="Times New Roman"/>
          <w:color w:val="auto"/>
          <w:szCs w:val="24"/>
        </w:rPr>
        <w:t>Sincerely Yours,</w:t>
      </w:r>
    </w:p>
    <w:p w:rsidR="00BB2CC4" w:rsidRPr="00BB2CC4" w:rsidRDefault="00BB2CC4" w:rsidP="00BB2CC4">
      <w:pPr>
        <w:pStyle w:val="Standard"/>
        <w:spacing w:line="360" w:lineRule="auto"/>
        <w:ind w:left="0"/>
        <w:rPr>
          <w:rFonts w:ascii="Times New Roman" w:hAnsi="Times New Roman"/>
          <w:color w:val="auto"/>
          <w:szCs w:val="24"/>
        </w:rPr>
      </w:pPr>
    </w:p>
    <w:p w:rsidR="00BB2CC4" w:rsidRPr="00BB2CC4" w:rsidRDefault="00841289" w:rsidP="00BB2CC4">
      <w:pPr>
        <w:pStyle w:val="Standard"/>
        <w:spacing w:line="360" w:lineRule="auto"/>
        <w:ind w:left="0"/>
        <w:outlineLvl w:val="0"/>
        <w:rPr>
          <w:rFonts w:ascii="Times New Roman" w:hAnsi="Times New Roman"/>
          <w:color w:val="auto"/>
          <w:szCs w:val="24"/>
        </w:rPr>
      </w:pPr>
      <w:r>
        <w:rPr>
          <w:rFonts w:ascii="Times New Roman" w:hAnsi="Times New Roman"/>
          <w:color w:val="auto"/>
          <w:szCs w:val="24"/>
        </w:rPr>
        <w:t>Gabriel Pascual</w:t>
      </w:r>
      <w:r w:rsidR="00BB2CC4" w:rsidRPr="00BB2CC4">
        <w:rPr>
          <w:rFonts w:ascii="Times New Roman" w:hAnsi="Times New Roman"/>
          <w:color w:val="auto"/>
          <w:szCs w:val="24"/>
        </w:rPr>
        <w:t>, Ph.D.</w:t>
      </w:r>
    </w:p>
    <w:p w:rsidR="00E25D13" w:rsidRDefault="000C2B4C" w:rsidP="008015AB">
      <w:pPr>
        <w:spacing w:line="240" w:lineRule="auto"/>
        <w:rPr>
          <w:sz w:val="24"/>
        </w:rPr>
      </w:pPr>
      <w:r>
        <w:rPr>
          <w:sz w:val="24"/>
        </w:rPr>
        <w:t>WWDA,</w:t>
      </w:r>
      <w:r w:rsidR="00BB2CC4" w:rsidRPr="00BB2CC4">
        <w:rPr>
          <w:sz w:val="24"/>
        </w:rPr>
        <w:t xml:space="preserve"> Janssen Pharmaceutical Companies of Johnson &amp; Johnson</w:t>
      </w:r>
      <w:r w:rsidR="00BB2CC4" w:rsidRPr="00BB2CC4">
        <w:rPr>
          <w:sz w:val="24"/>
        </w:rPr>
        <w:br/>
      </w:r>
    </w:p>
    <w:p w:rsidR="008015AB" w:rsidRDefault="008015AB" w:rsidP="008015AB">
      <w:pPr>
        <w:spacing w:line="240" w:lineRule="auto"/>
        <w:rPr>
          <w:sz w:val="24"/>
        </w:rPr>
      </w:pPr>
      <w:r>
        <w:rPr>
          <w:sz w:val="24"/>
        </w:rPr>
        <w:t>858-320-3444 (Office); 858-336-8471 (Cell)</w:t>
      </w:r>
    </w:p>
    <w:p w:rsidR="008015AB" w:rsidRPr="00870EA2" w:rsidRDefault="008015AB" w:rsidP="008015AB">
      <w:pPr>
        <w:spacing w:line="240" w:lineRule="auto"/>
        <w:rPr>
          <w:sz w:val="24"/>
        </w:rPr>
      </w:pPr>
      <w:r>
        <w:rPr>
          <w:sz w:val="24"/>
        </w:rPr>
        <w:t>gpascual@its.jnj.com</w:t>
      </w:r>
      <w:r w:rsidRPr="00870EA2">
        <w:rPr>
          <w:sz w:val="24"/>
        </w:rPr>
        <w:t xml:space="preserve"> </w:t>
      </w:r>
    </w:p>
    <w:p w:rsidR="008015AB" w:rsidRDefault="008015AB">
      <w:pPr>
        <w:spacing w:line="240" w:lineRule="auto"/>
        <w:rPr>
          <w:rFonts w:ascii="Verdana" w:hAnsi="Verdana" w:cs="Times-Roman"/>
          <w:sz w:val="24"/>
        </w:rPr>
      </w:pPr>
      <w:r>
        <w:rPr>
          <w:sz w:val="24"/>
        </w:rPr>
        <w:br w:type="page"/>
      </w:r>
    </w:p>
    <w:p w:rsidR="008015AB" w:rsidRPr="008015AB" w:rsidRDefault="008015AB" w:rsidP="008015AB">
      <w:pPr>
        <w:spacing w:after="240"/>
        <w:rPr>
          <w:rFonts w:eastAsia="Times New Roman"/>
        </w:rPr>
      </w:pPr>
      <w:r w:rsidRPr="008015AB">
        <w:rPr>
          <w:rStyle w:val="Strong"/>
          <w:rFonts w:eastAsia="Times New Roman"/>
        </w:rPr>
        <w:lastRenderedPageBreak/>
        <w:t>Editorial comments:</w:t>
      </w:r>
      <w:r w:rsidRPr="008015AB">
        <w:rPr>
          <w:rFonts w:eastAsia="Times New Roman"/>
        </w:rPr>
        <w:br/>
      </w:r>
      <w:r w:rsidRPr="008015AB">
        <w:rPr>
          <w:rFonts w:eastAsia="Times New Roman"/>
        </w:rPr>
        <w:br/>
        <w:t>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8015AB" w:rsidRPr="008015AB" w:rsidRDefault="008015AB" w:rsidP="008015AB">
      <w:pPr>
        <w:spacing w:after="240"/>
        <w:ind w:left="720"/>
        <w:rPr>
          <w:rFonts w:eastAsia="Times New Roman"/>
        </w:rPr>
      </w:pPr>
      <w:r w:rsidRPr="008015AB">
        <w:rPr>
          <w:rFonts w:eastAsia="Times New Roman"/>
          <w:i/>
        </w:rPr>
        <w:t>We were unable to obtain the necessary documents to reproduce this figure (Figure 1) from our prior publication, so we omitted it.  One of the reviewers thought this figure was unnecessary, so we replaced it with a requested figure outlining the PCR strategy and expression vector.</w:t>
      </w:r>
    </w:p>
    <w:p w:rsidR="008015AB" w:rsidRPr="008015AB" w:rsidRDefault="008015AB" w:rsidP="008015AB">
      <w:pPr>
        <w:spacing w:after="240"/>
        <w:rPr>
          <w:rFonts w:eastAsia="Times New Roman"/>
        </w:rPr>
      </w:pPr>
      <w:r w:rsidRPr="008015AB">
        <w:rPr>
          <w:rFonts w:eastAsia="Times New Roman"/>
        </w:rPr>
        <w:br/>
        <w:t>Please specify primers for PCR reactions.</w:t>
      </w:r>
    </w:p>
    <w:p w:rsidR="008015AB" w:rsidRPr="007E0F97" w:rsidRDefault="008015AB" w:rsidP="007E0F97">
      <w:pPr>
        <w:spacing w:after="240"/>
        <w:ind w:left="720"/>
        <w:rPr>
          <w:rFonts w:eastAsia="Times New Roman"/>
          <w:i/>
        </w:rPr>
      </w:pPr>
      <w:r w:rsidRPr="008015AB">
        <w:rPr>
          <w:rFonts w:eastAsia="Times New Roman"/>
          <w:i/>
        </w:rPr>
        <w:t>The primer sequences used for this work are currently listed in a related patent application, and will not be included in this manuscript. (Reference: US Patent Application for ANTIBODIES AND ANTIGEN-BINDING FRAGMENTS THAT SPECIFICALLY BIND TO MICROTUBULE-ASSOCIATED PROTEIN TAU Patent Application (Application #</w:t>
      </w:r>
      <w:bookmarkStart w:id="0" w:name="_Hlk4590863"/>
      <w:r w:rsidRPr="008015AB">
        <w:rPr>
          <w:rFonts w:eastAsia="Times New Roman"/>
          <w:i/>
        </w:rPr>
        <w:t>20170210787</w:t>
      </w:r>
      <w:bookmarkEnd w:id="0"/>
      <w:r w:rsidRPr="008015AB">
        <w:rPr>
          <w:rFonts w:eastAsia="Times New Roman"/>
          <w:i/>
        </w:rPr>
        <w:t>).  We have added this to the references</w:t>
      </w:r>
      <w:r w:rsidR="007E0F97">
        <w:rPr>
          <w:rFonts w:eastAsia="Times New Roman"/>
          <w:i/>
        </w:rPr>
        <w:t>.</w:t>
      </w:r>
    </w:p>
    <w:p w:rsidR="008015AB" w:rsidRDefault="008015AB" w:rsidP="008015AB">
      <w:pPr>
        <w:rPr>
          <w:rFonts w:eastAsia="Times New Roman"/>
        </w:rPr>
      </w:pPr>
      <w:r w:rsidRPr="008015AB">
        <w:rPr>
          <w:rFonts w:eastAsia="Times New Roman"/>
        </w:rPr>
        <w:t>Please do not abbreviate journal titles for references.</w:t>
      </w:r>
    </w:p>
    <w:p w:rsidR="008015AB" w:rsidRPr="008015AB" w:rsidRDefault="008015AB" w:rsidP="00F65538">
      <w:pPr>
        <w:spacing w:after="240"/>
        <w:ind w:left="720"/>
        <w:rPr>
          <w:noProof/>
        </w:rPr>
      </w:pPr>
      <w:r w:rsidRPr="008015AB">
        <w:rPr>
          <w:rFonts w:eastAsia="Times New Roman"/>
          <w:i/>
        </w:rPr>
        <w:t xml:space="preserve">We are unclear on </w:t>
      </w:r>
      <w:r>
        <w:rPr>
          <w:rFonts w:eastAsia="Times New Roman"/>
          <w:i/>
        </w:rPr>
        <w:t>what to change</w:t>
      </w:r>
      <w:r w:rsidRPr="008015AB">
        <w:rPr>
          <w:rFonts w:eastAsia="Times New Roman"/>
          <w:i/>
        </w:rPr>
        <w:t>. The Instructions for Authors sheet uses the an example</w:t>
      </w:r>
      <w:r>
        <w:rPr>
          <w:rFonts w:eastAsia="Times New Roman"/>
          <w:i/>
        </w:rPr>
        <w:t xml:space="preserve"> with abbreviated Journal titles, and</w:t>
      </w:r>
      <w:r w:rsidRPr="008015AB">
        <w:rPr>
          <w:rFonts w:eastAsia="Times New Roman"/>
          <w:i/>
        </w:rPr>
        <w:t xml:space="preserve"> </w:t>
      </w:r>
      <w:r>
        <w:rPr>
          <w:rFonts w:eastAsia="Times New Roman"/>
          <w:i/>
        </w:rPr>
        <w:t xml:space="preserve">in </w:t>
      </w:r>
      <w:r w:rsidRPr="008015AB">
        <w:rPr>
          <w:rFonts w:eastAsia="Times New Roman"/>
          <w:i/>
        </w:rPr>
        <w:t>refer</w:t>
      </w:r>
      <w:r>
        <w:rPr>
          <w:rFonts w:eastAsia="Times New Roman"/>
          <w:i/>
        </w:rPr>
        <w:t>ence</w:t>
      </w:r>
      <w:r w:rsidRPr="008015AB">
        <w:rPr>
          <w:rFonts w:eastAsia="Times New Roman"/>
          <w:i/>
        </w:rPr>
        <w:t xml:space="preserve"> to citations: “</w:t>
      </w:r>
      <w:r w:rsidRPr="008015AB">
        <w:t>Write journal names in italics and list using standard abbreviations with periods.</w:t>
      </w:r>
      <w:r w:rsidRPr="008015AB">
        <w:rPr>
          <w:i/>
        </w:rPr>
        <w:t>” If we have misunderstood, or the convention has changed, we can change the references accordingly.</w:t>
      </w:r>
    </w:p>
    <w:p w:rsidR="00F65538" w:rsidRDefault="008015AB" w:rsidP="008015AB">
      <w:pPr>
        <w:rPr>
          <w:rFonts w:eastAsia="Times New Roman"/>
        </w:rPr>
      </w:pPr>
      <w:r w:rsidRPr="008015AB">
        <w:rPr>
          <w:rFonts w:eastAsia="Times New Roman"/>
        </w:rPr>
        <w:br/>
      </w:r>
      <w:r w:rsidRPr="008015AB">
        <w:rPr>
          <w:rStyle w:val="Strong"/>
          <w:rFonts w:eastAsia="Times New Roman"/>
        </w:rPr>
        <w:t>Reviewers' comments:</w:t>
      </w:r>
      <w:r w:rsidRPr="008015AB">
        <w:rPr>
          <w:rFonts w:eastAsia="Times New Roman"/>
        </w:rPr>
        <w:br/>
      </w:r>
      <w:r w:rsidRPr="008015AB">
        <w:rPr>
          <w:rFonts w:eastAsia="Times New Roman"/>
        </w:rPr>
        <w:br/>
      </w:r>
      <w:r w:rsidRPr="00F65538">
        <w:rPr>
          <w:rFonts w:eastAsia="Times New Roman"/>
          <w:b/>
        </w:rPr>
        <w:t>Reviewer #1:</w:t>
      </w:r>
    </w:p>
    <w:p w:rsidR="008015AB" w:rsidRPr="008015AB" w:rsidRDefault="008015AB" w:rsidP="008015AB">
      <w:pPr>
        <w:rPr>
          <w:rFonts w:eastAsia="Times New Roman"/>
        </w:rPr>
      </w:pPr>
      <w:r w:rsidRPr="00F65538">
        <w:rPr>
          <w:rFonts w:eastAsia="Times New Roman"/>
        </w:rPr>
        <w:br/>
      </w:r>
      <w:r w:rsidRPr="008015AB">
        <w:rPr>
          <w:rFonts w:eastAsia="Times New Roman"/>
        </w:rPr>
        <w:t>2.1.4: Justify the step of incubation at 37°C</w:t>
      </w:r>
    </w:p>
    <w:p w:rsidR="008015AB" w:rsidRPr="008015AB" w:rsidRDefault="008015AB" w:rsidP="008015AB">
      <w:pPr>
        <w:ind w:left="720"/>
        <w:rPr>
          <w:rFonts w:eastAsia="Times New Roman"/>
          <w:i/>
        </w:rPr>
      </w:pPr>
      <w:r w:rsidRPr="008015AB">
        <w:rPr>
          <w:rFonts w:eastAsia="Times New Roman"/>
          <w:i/>
        </w:rPr>
        <w:t>This incubation is done to give the cells a chance to recover from thawing.  This has been added to the manuscript text.</w:t>
      </w:r>
    </w:p>
    <w:p w:rsidR="008015AB" w:rsidRPr="008015AB" w:rsidRDefault="008015AB" w:rsidP="008015AB">
      <w:pPr>
        <w:ind w:firstLine="720"/>
        <w:rPr>
          <w:rFonts w:eastAsia="Times New Roman"/>
        </w:rPr>
      </w:pPr>
      <w:r w:rsidRPr="008015AB">
        <w:rPr>
          <w:rFonts w:eastAsia="Times New Roman"/>
        </w:rPr>
        <w:br/>
        <w:t>2.1.7: Justify the enrichment of CD22+ B cells</w:t>
      </w:r>
    </w:p>
    <w:p w:rsidR="008015AB" w:rsidRPr="008015AB" w:rsidRDefault="008015AB" w:rsidP="008015AB">
      <w:pPr>
        <w:ind w:left="720"/>
        <w:rPr>
          <w:rFonts w:eastAsia="Times New Roman"/>
          <w:i/>
        </w:rPr>
      </w:pPr>
      <w:r w:rsidRPr="008015AB">
        <w:rPr>
          <w:rFonts w:eastAsia="Times New Roman"/>
          <w:i/>
        </w:rPr>
        <w:t>CD22 antigen is a marker for matur</w:t>
      </w:r>
      <w:bookmarkStart w:id="1" w:name="_GoBack"/>
      <w:bookmarkEnd w:id="1"/>
      <w:r w:rsidRPr="008015AB">
        <w:rPr>
          <w:rFonts w:eastAsia="Times New Roman"/>
          <w:i/>
        </w:rPr>
        <w:t xml:space="preserve">e B cells, and is lost during terminal differentiation into plasma cells.  CD22+ enrichment is performed to reduce the total number of cells in the labelled sample to be sorted.    </w:t>
      </w:r>
    </w:p>
    <w:p w:rsidR="008015AB" w:rsidRPr="008015AB" w:rsidRDefault="008015AB" w:rsidP="008015AB">
      <w:pPr>
        <w:ind w:firstLine="720"/>
        <w:rPr>
          <w:rFonts w:eastAsia="Times New Roman"/>
        </w:rPr>
      </w:pPr>
      <w:r w:rsidRPr="008015AB">
        <w:rPr>
          <w:rFonts w:eastAsia="Times New Roman"/>
        </w:rPr>
        <w:br/>
        <w:t>The step 2.1.4 is unnecessary as already described in step 2.3.1</w:t>
      </w:r>
    </w:p>
    <w:p w:rsidR="008015AB" w:rsidRPr="008015AB" w:rsidRDefault="00E0358F" w:rsidP="008015AB">
      <w:pPr>
        <w:ind w:left="720"/>
        <w:rPr>
          <w:rFonts w:eastAsia="Times New Roman"/>
          <w:i/>
        </w:rPr>
      </w:pPr>
      <w:r>
        <w:rPr>
          <w:rFonts w:eastAsia="Times New Roman"/>
          <w:i/>
        </w:rPr>
        <w:t>We have found the duplication between Step 2.3.1 and 2.4 and removed it from the text.</w:t>
      </w:r>
    </w:p>
    <w:p w:rsidR="008015AB" w:rsidRPr="008015AB" w:rsidRDefault="008015AB" w:rsidP="008015AB">
      <w:pPr>
        <w:ind w:firstLine="720"/>
        <w:rPr>
          <w:rFonts w:eastAsia="Times New Roman"/>
        </w:rPr>
      </w:pPr>
      <w:r w:rsidRPr="008015AB">
        <w:rPr>
          <w:rFonts w:eastAsia="Times New Roman"/>
        </w:rPr>
        <w:br/>
        <w:t>3.1.3: Precise the final volume of RT reaction</w:t>
      </w:r>
    </w:p>
    <w:p w:rsidR="008015AB" w:rsidRPr="008015AB" w:rsidRDefault="008015AB" w:rsidP="008015AB">
      <w:pPr>
        <w:ind w:left="720"/>
        <w:rPr>
          <w:rFonts w:eastAsia="Times New Roman"/>
          <w:i/>
        </w:rPr>
      </w:pPr>
      <w:r w:rsidRPr="008015AB">
        <w:rPr>
          <w:rFonts w:eastAsia="Times New Roman"/>
          <w:i/>
        </w:rPr>
        <w:t>This has been added to the protocol text.</w:t>
      </w:r>
    </w:p>
    <w:p w:rsidR="008015AB" w:rsidRPr="008015AB" w:rsidRDefault="008015AB" w:rsidP="008015AB">
      <w:pPr>
        <w:ind w:firstLine="720"/>
        <w:rPr>
          <w:rFonts w:eastAsia="Times New Roman"/>
        </w:rPr>
      </w:pPr>
      <w:r w:rsidRPr="008015AB">
        <w:rPr>
          <w:rFonts w:eastAsia="Times New Roman"/>
        </w:rPr>
        <w:lastRenderedPageBreak/>
        <w:br/>
        <w:t>3.2: Precise the final volumes of PCR reactions</w:t>
      </w:r>
    </w:p>
    <w:p w:rsidR="008015AB" w:rsidRPr="008015AB" w:rsidRDefault="008015AB" w:rsidP="008015AB">
      <w:pPr>
        <w:ind w:left="720"/>
        <w:rPr>
          <w:rFonts w:eastAsia="Times New Roman"/>
          <w:i/>
        </w:rPr>
      </w:pPr>
      <w:r w:rsidRPr="008015AB">
        <w:rPr>
          <w:rFonts w:eastAsia="Times New Roman"/>
          <w:i/>
        </w:rPr>
        <w:t>This has been added to the protocol text.</w:t>
      </w:r>
    </w:p>
    <w:p w:rsidR="008015AB" w:rsidRPr="008015AB" w:rsidRDefault="008015AB" w:rsidP="008015AB">
      <w:pPr>
        <w:ind w:firstLine="720"/>
        <w:rPr>
          <w:rFonts w:eastAsia="Times New Roman"/>
        </w:rPr>
      </w:pPr>
      <w:r w:rsidRPr="008015AB">
        <w:rPr>
          <w:rFonts w:eastAsia="Times New Roman"/>
        </w:rPr>
        <w:br/>
        <w:t>4.1: Give some details of the transfection method and justify the choice of serum-free medium</w:t>
      </w:r>
    </w:p>
    <w:p w:rsidR="008015AB" w:rsidRPr="008015AB" w:rsidRDefault="008015AB" w:rsidP="008015AB">
      <w:pPr>
        <w:ind w:left="720"/>
        <w:rPr>
          <w:rFonts w:eastAsia="Times New Roman"/>
          <w:i/>
        </w:rPr>
      </w:pPr>
      <w:r w:rsidRPr="008015AB">
        <w:rPr>
          <w:rFonts w:eastAsia="Times New Roman"/>
          <w:i/>
        </w:rPr>
        <w:t>The only additional detail is the volume of suspension cells, which was has been added to the protocol text.  The reagents used are on the materials sheet.  There is nothing added beyond the manufacturer’s recommended protocol.  Text has been added to the Representative Results section to justify the use of serum-free medium.</w:t>
      </w:r>
    </w:p>
    <w:p w:rsidR="008015AB" w:rsidRPr="008015AB" w:rsidRDefault="008015AB" w:rsidP="008015AB">
      <w:pPr>
        <w:ind w:firstLine="720"/>
        <w:rPr>
          <w:rFonts w:eastAsia="Times New Roman"/>
        </w:rPr>
      </w:pPr>
      <w:r w:rsidRPr="008015AB">
        <w:rPr>
          <w:rFonts w:eastAsia="Times New Roman"/>
        </w:rPr>
        <w:br/>
        <w:t>Figure 2: The dot plot in C shows Tau-peptide-APC versus SSC instead Tau-peptide-APC versus Tau-peptide-PE.</w:t>
      </w:r>
    </w:p>
    <w:p w:rsidR="008015AB" w:rsidRPr="008015AB" w:rsidRDefault="008015AB" w:rsidP="008015AB">
      <w:pPr>
        <w:ind w:firstLine="720"/>
        <w:rPr>
          <w:rFonts w:eastAsia="Times New Roman"/>
        </w:rPr>
      </w:pPr>
      <w:r w:rsidRPr="008015AB">
        <w:rPr>
          <w:rFonts w:eastAsia="Times New Roman"/>
          <w:i/>
        </w:rPr>
        <w:t>This has been corrected on Figure 2</w:t>
      </w:r>
      <w:r w:rsidRPr="008015AB">
        <w:rPr>
          <w:rFonts w:eastAsia="Times New Roman"/>
        </w:rPr>
        <w:br/>
        <w:t xml:space="preserve">Line 248: Three (not two) of the 10 </w:t>
      </w:r>
      <w:proofErr w:type="spellStart"/>
      <w:r w:rsidRPr="008015AB">
        <w:rPr>
          <w:rFonts w:eastAsia="Times New Roman"/>
        </w:rPr>
        <w:t>IgGs</w:t>
      </w:r>
      <w:proofErr w:type="spellEnd"/>
      <w:r w:rsidRPr="008015AB">
        <w:rPr>
          <w:rFonts w:eastAsia="Times New Roman"/>
        </w:rPr>
        <w:t xml:space="preserve"> demonstrated reactivity…</w:t>
      </w:r>
    </w:p>
    <w:p w:rsidR="00F65538" w:rsidRDefault="008015AB" w:rsidP="008015AB">
      <w:pPr>
        <w:ind w:firstLine="720"/>
        <w:rPr>
          <w:rFonts w:eastAsia="Times New Roman"/>
        </w:rPr>
      </w:pPr>
      <w:r w:rsidRPr="008015AB">
        <w:rPr>
          <w:rFonts w:eastAsia="Times New Roman"/>
          <w:i/>
        </w:rPr>
        <w:t>This has been corrected in the text.</w:t>
      </w:r>
      <w:r w:rsidRPr="008015AB">
        <w:rPr>
          <w:rFonts w:eastAsia="Times New Roman"/>
        </w:rPr>
        <w:br/>
      </w:r>
      <w:r w:rsidRPr="008015AB">
        <w:rPr>
          <w:rFonts w:eastAsia="Times New Roman"/>
        </w:rPr>
        <w:br/>
      </w:r>
      <w:r w:rsidRPr="008015AB">
        <w:rPr>
          <w:rFonts w:eastAsia="Times New Roman"/>
        </w:rPr>
        <w:br/>
      </w:r>
      <w:r w:rsidRPr="008015AB">
        <w:rPr>
          <w:rFonts w:eastAsia="Times New Roman"/>
          <w:b/>
        </w:rPr>
        <w:t>Reviewer #2:</w:t>
      </w:r>
      <w:r w:rsidRPr="008015AB">
        <w:rPr>
          <w:rFonts w:eastAsia="Times New Roman"/>
        </w:rPr>
        <w:br/>
        <w:t>Minor Concerns:</w:t>
      </w:r>
    </w:p>
    <w:p w:rsidR="008015AB" w:rsidRPr="008015AB" w:rsidRDefault="008015AB" w:rsidP="008015AB">
      <w:pPr>
        <w:ind w:firstLine="720"/>
        <w:rPr>
          <w:rFonts w:eastAsia="Times New Roman"/>
        </w:rPr>
      </w:pPr>
      <w:r w:rsidRPr="008015AB">
        <w:rPr>
          <w:rFonts w:eastAsia="Times New Roman"/>
        </w:rPr>
        <w:br/>
        <w:t xml:space="preserve">Can the authors comment on the reason why they optimize their protocol for isolating say naive B cells or </w:t>
      </w:r>
      <w:proofErr w:type="spellStart"/>
      <w:r w:rsidRPr="008015AB">
        <w:rPr>
          <w:rFonts w:eastAsia="Times New Roman"/>
        </w:rPr>
        <w:t>plasmablasts</w:t>
      </w:r>
      <w:proofErr w:type="spellEnd"/>
      <w:r w:rsidRPr="008015AB">
        <w:rPr>
          <w:rFonts w:eastAsia="Times New Roman"/>
        </w:rPr>
        <w:t xml:space="preserve"> and chose memory B cells? I think this should be addressed in the introduction</w:t>
      </w:r>
    </w:p>
    <w:p w:rsidR="008015AB" w:rsidRPr="008015AB" w:rsidRDefault="008015AB" w:rsidP="008015AB">
      <w:pPr>
        <w:ind w:left="720"/>
        <w:rPr>
          <w:rFonts w:eastAsia="Times New Roman"/>
          <w:i/>
        </w:rPr>
      </w:pPr>
      <w:r w:rsidRPr="008015AB">
        <w:rPr>
          <w:rFonts w:eastAsia="Times New Roman"/>
          <w:i/>
        </w:rPr>
        <w:t xml:space="preserve">We specifically use the memory B cells because the possess the BCR on the plasma membrane, and opposed to antibody-secreting cells, which produce soluble antibody that no longer associates with the cell once released.  The surface expression allows the coupling of cell type identification with antigen specificity via flow cytometry. Although we do not mention </w:t>
      </w:r>
      <w:proofErr w:type="spellStart"/>
      <w:r w:rsidRPr="008015AB">
        <w:rPr>
          <w:rFonts w:eastAsia="Times New Roman"/>
          <w:i/>
        </w:rPr>
        <w:t>plasmablasts</w:t>
      </w:r>
      <w:proofErr w:type="spellEnd"/>
      <w:r w:rsidRPr="008015AB">
        <w:rPr>
          <w:rFonts w:eastAsia="Times New Roman"/>
          <w:i/>
        </w:rPr>
        <w:t xml:space="preserve"> or naïve cells in the introduction, we describe the advantage of using memory cells in the discussion.  Additional text has been added to clarify this rationale.</w:t>
      </w:r>
    </w:p>
    <w:p w:rsidR="008015AB" w:rsidRPr="008015AB" w:rsidRDefault="008015AB" w:rsidP="008015AB">
      <w:pPr>
        <w:rPr>
          <w:rFonts w:eastAsia="Times New Roman"/>
        </w:rPr>
      </w:pPr>
      <w:r w:rsidRPr="008015AB">
        <w:rPr>
          <w:rFonts w:eastAsia="Times New Roman"/>
        </w:rPr>
        <w:t>In line 91, can the peptides be tested/validated before storing, If so, how?</w:t>
      </w:r>
    </w:p>
    <w:p w:rsidR="008015AB" w:rsidRPr="008015AB" w:rsidRDefault="008015AB" w:rsidP="008015AB">
      <w:pPr>
        <w:ind w:left="630"/>
        <w:rPr>
          <w:rFonts w:eastAsia="Times New Roman"/>
        </w:rPr>
      </w:pPr>
      <w:r w:rsidRPr="008015AB">
        <w:rPr>
          <w:rFonts w:eastAsia="Times New Roman"/>
          <w:i/>
        </w:rPr>
        <w:t>We typically generate tetramers prior to a sort experiment, then store the remaining peptide for the next sort.  This means the “validation” occurs during the first sort, and we have repeatedly demonstrated consistent results from the stored reagent.  We did not add this to the discussion because it seemed a minor point.</w:t>
      </w:r>
      <w:r w:rsidRPr="008015AB">
        <w:rPr>
          <w:rFonts w:eastAsia="Times New Roman"/>
        </w:rPr>
        <w:br/>
      </w:r>
    </w:p>
    <w:p w:rsidR="008015AB" w:rsidRPr="008015AB" w:rsidRDefault="008015AB" w:rsidP="008015AB">
      <w:pPr>
        <w:ind w:left="-90"/>
        <w:rPr>
          <w:rFonts w:eastAsia="Times New Roman"/>
        </w:rPr>
      </w:pPr>
      <w:r w:rsidRPr="008015AB">
        <w:rPr>
          <w:rFonts w:eastAsia="Times New Roman"/>
        </w:rPr>
        <w:t>On the centrifugation steps in some cases the authors recommend 370g and in others 400g. May you provide an explanation on why this difference and would it affect the experiment to do all steps at 400g?</w:t>
      </w:r>
    </w:p>
    <w:p w:rsidR="008015AB" w:rsidRPr="008015AB" w:rsidRDefault="008015AB" w:rsidP="008015AB">
      <w:pPr>
        <w:ind w:left="630"/>
        <w:rPr>
          <w:rFonts w:eastAsia="Times New Roman"/>
        </w:rPr>
      </w:pPr>
      <w:r w:rsidRPr="008015AB">
        <w:rPr>
          <w:rFonts w:eastAsia="Times New Roman"/>
          <w:i/>
        </w:rPr>
        <w:t>The different speed settings are an internal modification we added.  The goal is to pellet the cells as gently as possible, and this modification accomplishes that. However, performing this step at 400xg throughout would likely have the same outcome.</w:t>
      </w:r>
    </w:p>
    <w:p w:rsidR="008015AB" w:rsidRPr="008015AB" w:rsidRDefault="008015AB" w:rsidP="008015AB">
      <w:pPr>
        <w:ind w:left="-90"/>
        <w:rPr>
          <w:rFonts w:eastAsia="Times New Roman"/>
        </w:rPr>
      </w:pPr>
      <w:r w:rsidRPr="008015AB">
        <w:rPr>
          <w:rFonts w:eastAsia="Times New Roman"/>
        </w:rPr>
        <w:br/>
        <w:t>Is there a reason why the authors do not recommend using compensation beads? and use cells instead?</w:t>
      </w:r>
    </w:p>
    <w:p w:rsidR="008015AB" w:rsidRPr="008015AB" w:rsidRDefault="008015AB" w:rsidP="008015AB">
      <w:pPr>
        <w:ind w:left="630"/>
        <w:rPr>
          <w:rFonts w:eastAsia="Times New Roman"/>
        </w:rPr>
      </w:pPr>
      <w:r w:rsidRPr="008015AB">
        <w:rPr>
          <w:rFonts w:eastAsia="Times New Roman"/>
          <w:i/>
        </w:rPr>
        <w:t xml:space="preserve">Since the compensation beads bind extremely well, we believe cells are more representative and therefore more relevant to the experimental conditions.  The cell populations used for compensation settings are in sufficient numbers to make the correct assessment. </w:t>
      </w:r>
    </w:p>
    <w:p w:rsidR="008015AB" w:rsidRPr="008015AB" w:rsidRDefault="008015AB" w:rsidP="008015AB">
      <w:pPr>
        <w:ind w:left="-90"/>
        <w:rPr>
          <w:rFonts w:eastAsia="Times New Roman"/>
        </w:rPr>
      </w:pPr>
      <w:r w:rsidRPr="008015AB">
        <w:rPr>
          <w:rFonts w:eastAsia="Times New Roman"/>
        </w:rPr>
        <w:lastRenderedPageBreak/>
        <w:br/>
        <w:t>On line 123 point 2.2.3 May the authors provide a recommended dilution for the antibodies</w:t>
      </w:r>
    </w:p>
    <w:p w:rsidR="008015AB" w:rsidRPr="008015AB" w:rsidRDefault="008015AB" w:rsidP="008015AB">
      <w:pPr>
        <w:ind w:left="630"/>
        <w:rPr>
          <w:rFonts w:eastAsia="Times New Roman"/>
        </w:rPr>
      </w:pPr>
      <w:r w:rsidRPr="008015AB">
        <w:rPr>
          <w:rFonts w:eastAsia="Times New Roman"/>
          <w:i/>
        </w:rPr>
        <w:t>We use the dilution recommended by the manufacturer for each of the markers. This has been added to the text.</w:t>
      </w:r>
    </w:p>
    <w:p w:rsidR="008015AB" w:rsidRPr="008015AB" w:rsidRDefault="008015AB" w:rsidP="008015AB">
      <w:pPr>
        <w:ind w:left="-90"/>
        <w:rPr>
          <w:rFonts w:eastAsia="Times New Roman"/>
        </w:rPr>
      </w:pPr>
      <w:r w:rsidRPr="008015AB">
        <w:rPr>
          <w:rFonts w:eastAsia="Times New Roman"/>
        </w:rPr>
        <w:br/>
        <w:t>On line 134 point 2.2.6 the authors recommend the use of DAPI, is it possible to replace DAPI for any other fluorescent live/dead marker?</w:t>
      </w:r>
    </w:p>
    <w:p w:rsidR="008015AB" w:rsidRPr="008015AB" w:rsidRDefault="008015AB" w:rsidP="008015AB">
      <w:pPr>
        <w:ind w:left="630"/>
        <w:rPr>
          <w:rFonts w:eastAsia="Times New Roman"/>
        </w:rPr>
      </w:pPr>
      <w:r w:rsidRPr="008015AB">
        <w:rPr>
          <w:rFonts w:eastAsia="Times New Roman"/>
          <w:i/>
        </w:rPr>
        <w:t xml:space="preserve">We have successfully used alternative live-dead reagents to DAPI.  This allows alternative channels or fluorophores to be used if necessary. </w:t>
      </w:r>
    </w:p>
    <w:p w:rsidR="008015AB" w:rsidRPr="008015AB" w:rsidRDefault="008015AB" w:rsidP="008015AB">
      <w:pPr>
        <w:ind w:left="-90"/>
        <w:rPr>
          <w:rFonts w:eastAsia="Times New Roman"/>
        </w:rPr>
      </w:pPr>
      <w:r w:rsidRPr="008015AB">
        <w:rPr>
          <w:rFonts w:eastAsia="Times New Roman"/>
        </w:rPr>
        <w:br/>
        <w:t>Figure 1 seems unnecessary, I would rather see a figure of the cloning strategy (plasmid map, enzymes used, linker position, etc.. ).</w:t>
      </w:r>
    </w:p>
    <w:p w:rsidR="008015AB" w:rsidRPr="008015AB" w:rsidRDefault="008015AB" w:rsidP="008015AB">
      <w:pPr>
        <w:ind w:left="630"/>
        <w:rPr>
          <w:rFonts w:eastAsia="Times New Roman"/>
        </w:rPr>
      </w:pPr>
      <w:r w:rsidRPr="008015AB">
        <w:rPr>
          <w:rFonts w:eastAsia="Times New Roman"/>
          <w:i/>
        </w:rPr>
        <w:t xml:space="preserve">We removed Figure 1 and added a figure that outlines the PCR and cloning strategy.  This includes an outline of the final expression plasmid, and the arrangement of heavy and light chain expression cassettes.  </w:t>
      </w:r>
    </w:p>
    <w:p w:rsidR="008015AB" w:rsidRPr="008015AB" w:rsidRDefault="008015AB" w:rsidP="008015AB">
      <w:pPr>
        <w:ind w:left="630"/>
        <w:rPr>
          <w:rFonts w:eastAsia="Times New Roman"/>
        </w:rPr>
      </w:pPr>
    </w:p>
    <w:p w:rsidR="008015AB" w:rsidRPr="008015AB" w:rsidRDefault="008015AB" w:rsidP="008015AB">
      <w:pPr>
        <w:rPr>
          <w:rFonts w:eastAsia="Times New Roman"/>
        </w:rPr>
      </w:pPr>
      <w:r w:rsidRPr="008015AB">
        <w:rPr>
          <w:rFonts w:eastAsia="Times New Roman"/>
        </w:rPr>
        <w:t>It is not clear in the text where the Opti-MEM media should be used.</w:t>
      </w:r>
    </w:p>
    <w:p w:rsidR="008015AB" w:rsidRPr="008015AB" w:rsidRDefault="008015AB" w:rsidP="008015AB">
      <w:pPr>
        <w:ind w:left="630"/>
        <w:rPr>
          <w:rFonts w:eastAsia="Times New Roman"/>
        </w:rPr>
      </w:pPr>
      <w:proofErr w:type="spellStart"/>
      <w:r w:rsidRPr="008015AB">
        <w:rPr>
          <w:rFonts w:eastAsia="Times New Roman"/>
          <w:i/>
        </w:rPr>
        <w:t>Optimem</w:t>
      </w:r>
      <w:proofErr w:type="spellEnd"/>
      <w:r w:rsidRPr="008015AB">
        <w:rPr>
          <w:rFonts w:eastAsia="Times New Roman"/>
          <w:i/>
        </w:rPr>
        <w:t xml:space="preserve"> is used in the transfection protocol to dilute DNA and lipid, and is detailed in the manufacturer’s instructions for the transfection reagent. </w:t>
      </w:r>
    </w:p>
    <w:p w:rsidR="008015AB" w:rsidRPr="008015AB" w:rsidRDefault="008015AB" w:rsidP="008015AB">
      <w:pPr>
        <w:ind w:left="-90"/>
        <w:rPr>
          <w:rFonts w:eastAsia="Times New Roman"/>
        </w:rPr>
      </w:pPr>
      <w:r w:rsidRPr="008015AB">
        <w:rPr>
          <w:rFonts w:eastAsia="Times New Roman"/>
        </w:rPr>
        <w:br/>
      </w:r>
      <w:r w:rsidRPr="008015AB">
        <w:rPr>
          <w:rFonts w:eastAsia="Times New Roman"/>
        </w:rPr>
        <w:br/>
      </w:r>
      <w:r w:rsidRPr="008015AB">
        <w:rPr>
          <w:rFonts w:eastAsia="Times New Roman"/>
        </w:rPr>
        <w:br/>
      </w:r>
      <w:r w:rsidRPr="008015AB">
        <w:rPr>
          <w:rFonts w:eastAsia="Times New Roman"/>
        </w:rPr>
        <w:br/>
      </w:r>
      <w:r w:rsidRPr="008015AB">
        <w:rPr>
          <w:rFonts w:eastAsia="Times New Roman"/>
          <w:b/>
        </w:rPr>
        <w:t>Reviewer #3:</w:t>
      </w:r>
      <w:r w:rsidRPr="008015AB">
        <w:rPr>
          <w:rFonts w:eastAsia="Times New Roman"/>
        </w:rPr>
        <w:br/>
        <w:t>Major Concerns:</w:t>
      </w:r>
      <w:r w:rsidRPr="008015AB">
        <w:rPr>
          <w:rFonts w:eastAsia="Times New Roman"/>
        </w:rPr>
        <w:br/>
      </w:r>
      <w:r w:rsidRPr="008015AB">
        <w:rPr>
          <w:rFonts w:eastAsia="Times New Roman"/>
        </w:rPr>
        <w:br/>
        <w:t xml:space="preserve">The authors describe the production of peptides with a biotin label as antigen. As a result, the B-cells captured will most likely </w:t>
      </w:r>
      <w:proofErr w:type="spellStart"/>
      <w:r w:rsidRPr="008015AB">
        <w:rPr>
          <w:rFonts w:eastAsia="Times New Roman"/>
        </w:rPr>
        <w:t>recognise</w:t>
      </w:r>
      <w:proofErr w:type="spellEnd"/>
      <w:r w:rsidRPr="008015AB">
        <w:rPr>
          <w:rFonts w:eastAsia="Times New Roman"/>
        </w:rPr>
        <w:t xml:space="preserve"> linear epitopes, as these </w:t>
      </w:r>
      <w:proofErr w:type="spellStart"/>
      <w:r w:rsidRPr="008015AB">
        <w:rPr>
          <w:rFonts w:eastAsia="Times New Roman"/>
        </w:rPr>
        <w:t>paptides</w:t>
      </w:r>
      <w:proofErr w:type="spellEnd"/>
      <w:r w:rsidRPr="008015AB">
        <w:rPr>
          <w:rFonts w:eastAsia="Times New Roman"/>
        </w:rPr>
        <w:t xml:space="preserve"> will not have the native structure nor post-translational modifications. This should be explicitly stated. Perhaps it is wise to explain why this approach was taken and in which cases such an approach might suffice (as I can imagine that in many, it won't).</w:t>
      </w:r>
    </w:p>
    <w:p w:rsidR="008015AB" w:rsidRPr="008015AB" w:rsidRDefault="008015AB" w:rsidP="008015AB">
      <w:pPr>
        <w:ind w:left="630"/>
        <w:rPr>
          <w:rFonts w:eastAsia="Times New Roman"/>
        </w:rPr>
      </w:pPr>
      <w:r w:rsidRPr="008015AB">
        <w:rPr>
          <w:rFonts w:eastAsia="Times New Roman"/>
          <w:i/>
        </w:rPr>
        <w:t>In the discussion section we specifically mention whole proteins used as bait, and the limitations of issues with proteins that are not soluble.  For the representative results, we used linear peptides for the example since that is what we have most recently published.  We added text that addresses linear peptides to the discussion.</w:t>
      </w:r>
    </w:p>
    <w:p w:rsidR="008015AB" w:rsidRPr="008015AB" w:rsidRDefault="008015AB" w:rsidP="008015AB">
      <w:pPr>
        <w:ind w:left="-90"/>
        <w:rPr>
          <w:rFonts w:eastAsia="Times New Roman"/>
        </w:rPr>
      </w:pPr>
      <w:r w:rsidRPr="008015AB">
        <w:rPr>
          <w:rFonts w:eastAsia="Times New Roman"/>
        </w:rPr>
        <w:br/>
        <w:t xml:space="preserve">The authors should provide details of the PCR primers, mixed and PCR conditions, including </w:t>
      </w:r>
      <w:proofErr w:type="spellStart"/>
      <w:r w:rsidRPr="008015AB">
        <w:rPr>
          <w:rFonts w:eastAsia="Times New Roman"/>
        </w:rPr>
        <w:t>Taq</w:t>
      </w:r>
      <w:proofErr w:type="spellEnd"/>
      <w:r w:rsidRPr="008015AB">
        <w:rPr>
          <w:rFonts w:eastAsia="Times New Roman"/>
        </w:rPr>
        <w:t xml:space="preserve"> enzyme</w:t>
      </w:r>
    </w:p>
    <w:p w:rsidR="008015AB" w:rsidRPr="008015AB" w:rsidRDefault="008015AB" w:rsidP="008015AB">
      <w:pPr>
        <w:ind w:left="630"/>
        <w:rPr>
          <w:rFonts w:eastAsia="Times New Roman"/>
        </w:rPr>
      </w:pPr>
      <w:r w:rsidRPr="008015AB">
        <w:rPr>
          <w:rFonts w:eastAsia="Times New Roman"/>
          <w:i/>
        </w:rPr>
        <w:t xml:space="preserve">The primers and conditions can be found in the referenced patent application.  The PCR conditions were added to the protocol steps.  We only used high fidelity polymerases, and did not use </w:t>
      </w:r>
      <w:proofErr w:type="spellStart"/>
      <w:r w:rsidRPr="008015AB">
        <w:rPr>
          <w:rFonts w:eastAsia="Times New Roman"/>
          <w:i/>
        </w:rPr>
        <w:t>Taq</w:t>
      </w:r>
      <w:proofErr w:type="spellEnd"/>
      <w:r w:rsidRPr="008015AB">
        <w:rPr>
          <w:rFonts w:eastAsia="Times New Roman"/>
          <w:i/>
        </w:rPr>
        <w:t xml:space="preserve"> polymerase, so this was not listed in the protocol or the materials.  </w:t>
      </w:r>
    </w:p>
    <w:p w:rsidR="008015AB" w:rsidRPr="008015AB" w:rsidRDefault="008015AB" w:rsidP="008015AB">
      <w:pPr>
        <w:ind w:left="-90"/>
        <w:rPr>
          <w:rFonts w:eastAsia="Times New Roman"/>
        </w:rPr>
      </w:pPr>
      <w:r w:rsidRPr="008015AB">
        <w:rPr>
          <w:rFonts w:eastAsia="Times New Roman"/>
        </w:rPr>
        <w:br/>
        <w:t>Similarly, the authors should provide details of the vector backbone.</w:t>
      </w:r>
    </w:p>
    <w:p w:rsidR="008015AB" w:rsidRPr="008015AB" w:rsidRDefault="008015AB" w:rsidP="008015AB">
      <w:pPr>
        <w:ind w:left="630"/>
        <w:rPr>
          <w:rFonts w:eastAsia="Times New Roman"/>
        </w:rPr>
      </w:pPr>
      <w:r w:rsidRPr="008015AB">
        <w:rPr>
          <w:rFonts w:eastAsia="Times New Roman"/>
          <w:i/>
        </w:rPr>
        <w:t xml:space="preserve">A new figure has been added (Figure 2) which consists of an overview of the cloning strategy and expression vector, including the backbone. The final expression plasmid, and the arrangement of heavy and light chain expression cassettes are described.  </w:t>
      </w:r>
    </w:p>
    <w:p w:rsidR="008015AB" w:rsidRPr="008015AB" w:rsidRDefault="008015AB" w:rsidP="008015AB">
      <w:pPr>
        <w:ind w:left="630"/>
        <w:rPr>
          <w:rFonts w:eastAsia="Times New Roman"/>
        </w:rPr>
      </w:pPr>
    </w:p>
    <w:p w:rsidR="008015AB" w:rsidRPr="008015AB" w:rsidRDefault="008015AB" w:rsidP="008015AB">
      <w:pPr>
        <w:ind w:left="-90"/>
        <w:rPr>
          <w:rFonts w:eastAsia="Times New Roman"/>
        </w:rPr>
      </w:pPr>
      <w:r w:rsidRPr="008015AB">
        <w:rPr>
          <w:rFonts w:eastAsia="Times New Roman"/>
        </w:rPr>
        <w:lastRenderedPageBreak/>
        <w:br/>
        <w:t xml:space="preserve">The single cell PCR method seems to be a derivative from the protocol that was started in the </w:t>
      </w:r>
      <w:proofErr w:type="spellStart"/>
      <w:r w:rsidRPr="008015AB">
        <w:rPr>
          <w:rFonts w:eastAsia="Times New Roman"/>
        </w:rPr>
        <w:t>Nussenzweig</w:t>
      </w:r>
      <w:proofErr w:type="spellEnd"/>
      <w:r w:rsidRPr="008015AB">
        <w:rPr>
          <w:rFonts w:eastAsia="Times New Roman"/>
        </w:rPr>
        <w:t xml:space="preserve"> lab (</w:t>
      </w:r>
      <w:proofErr w:type="spellStart"/>
      <w:r w:rsidRPr="008015AB">
        <w:rPr>
          <w:rFonts w:eastAsia="Times New Roman"/>
        </w:rPr>
        <w:t>Wardeman</w:t>
      </w:r>
      <w:proofErr w:type="spellEnd"/>
      <w:r w:rsidRPr="008015AB">
        <w:rPr>
          <w:rFonts w:eastAsia="Times New Roman"/>
        </w:rPr>
        <w:t xml:space="preserve"> 2002). Perhaps good to refer to that and to explain if and why these modifications here were chosen.</w:t>
      </w:r>
    </w:p>
    <w:p w:rsidR="008015AB" w:rsidRPr="008015AB" w:rsidRDefault="008015AB" w:rsidP="008015AB">
      <w:pPr>
        <w:ind w:left="630"/>
        <w:rPr>
          <w:rFonts w:eastAsia="Times New Roman"/>
        </w:rPr>
      </w:pPr>
      <w:r w:rsidRPr="008015AB">
        <w:rPr>
          <w:rFonts w:eastAsia="Times New Roman"/>
          <w:i/>
        </w:rPr>
        <w:t xml:space="preserve">This method is a derivative of a more current protocol from the </w:t>
      </w:r>
      <w:proofErr w:type="spellStart"/>
      <w:r w:rsidRPr="008015AB">
        <w:rPr>
          <w:rFonts w:eastAsia="Times New Roman"/>
          <w:i/>
        </w:rPr>
        <w:t>Nussenzweig</w:t>
      </w:r>
      <w:proofErr w:type="spellEnd"/>
      <w:r w:rsidRPr="008015AB">
        <w:rPr>
          <w:rFonts w:eastAsia="Times New Roman"/>
          <w:i/>
        </w:rPr>
        <w:t xml:space="preserve"> lab, and this paper is cited in the references (Tiller, et al.).  Additionally, a new paragraph was inserted into to the discussion that addresses this similarity, and briefly describes the differences between the two.</w:t>
      </w:r>
    </w:p>
    <w:p w:rsidR="008015AB" w:rsidRPr="008015AB" w:rsidRDefault="008015AB" w:rsidP="008015AB">
      <w:pPr>
        <w:ind w:left="-90"/>
        <w:rPr>
          <w:rFonts w:eastAsia="Times New Roman"/>
        </w:rPr>
      </w:pPr>
      <w:r w:rsidRPr="008015AB">
        <w:rPr>
          <w:rFonts w:eastAsia="Times New Roman"/>
        </w:rPr>
        <w:br/>
        <w:t xml:space="preserve">T-cells do not have a heavy and a light chain. They have a TCRα and a TCRβ chain (or </w:t>
      </w:r>
      <w:proofErr w:type="spellStart"/>
      <w:r w:rsidRPr="008015AB">
        <w:rPr>
          <w:rFonts w:eastAsia="Times New Roman"/>
        </w:rPr>
        <w:t>TCRγ</w:t>
      </w:r>
      <w:proofErr w:type="spellEnd"/>
      <w:r w:rsidRPr="008015AB">
        <w:rPr>
          <w:rFonts w:eastAsia="Times New Roman"/>
        </w:rPr>
        <w:t xml:space="preserve"> ad </w:t>
      </w:r>
      <w:proofErr w:type="spellStart"/>
      <w:r w:rsidRPr="008015AB">
        <w:rPr>
          <w:rFonts w:eastAsia="Times New Roman"/>
        </w:rPr>
        <w:t>TCRδ</w:t>
      </w:r>
      <w:proofErr w:type="spellEnd"/>
      <w:r w:rsidRPr="008015AB">
        <w:rPr>
          <w:rFonts w:eastAsia="Times New Roman"/>
        </w:rPr>
        <w:t xml:space="preserve">). These are very similar in size, with all having 1 </w:t>
      </w:r>
      <w:proofErr w:type="spellStart"/>
      <w:r w:rsidRPr="008015AB">
        <w:rPr>
          <w:rFonts w:eastAsia="Times New Roman"/>
        </w:rPr>
        <w:t>IgV</w:t>
      </w:r>
      <w:proofErr w:type="spellEnd"/>
      <w:r w:rsidRPr="008015AB">
        <w:rPr>
          <w:rFonts w:eastAsia="Times New Roman"/>
        </w:rPr>
        <w:t xml:space="preserve"> and 1 </w:t>
      </w:r>
      <w:proofErr w:type="spellStart"/>
      <w:r w:rsidRPr="008015AB">
        <w:rPr>
          <w:rFonts w:eastAsia="Times New Roman"/>
        </w:rPr>
        <w:t>IgC</w:t>
      </w:r>
      <w:proofErr w:type="spellEnd"/>
      <w:r w:rsidRPr="008015AB">
        <w:rPr>
          <w:rFonts w:eastAsia="Times New Roman"/>
        </w:rPr>
        <w:t xml:space="preserve"> domain, thus cannot be called 'heavy' and 'light'. The major differences with B cells is that T-cells do not just </w:t>
      </w:r>
      <w:proofErr w:type="spellStart"/>
      <w:r w:rsidRPr="008015AB">
        <w:rPr>
          <w:rFonts w:eastAsia="Times New Roman"/>
        </w:rPr>
        <w:t>recognise</w:t>
      </w:r>
      <w:proofErr w:type="spellEnd"/>
      <w:r w:rsidRPr="008015AB">
        <w:rPr>
          <w:rFonts w:eastAsia="Times New Roman"/>
        </w:rPr>
        <w:t xml:space="preserve"> antigen. The antigen peptides needs to be presented by MHC molecules, and thus require MHC tetramers with additional challenges due to the variability in MHC between individuals</w:t>
      </w:r>
    </w:p>
    <w:p w:rsidR="008015AB" w:rsidRPr="008015AB" w:rsidRDefault="008015AB" w:rsidP="008015AB">
      <w:pPr>
        <w:ind w:left="630"/>
        <w:rPr>
          <w:rFonts w:eastAsia="Times New Roman"/>
        </w:rPr>
      </w:pPr>
      <w:r w:rsidRPr="008015AB">
        <w:rPr>
          <w:rFonts w:eastAsia="Times New Roman"/>
          <w:i/>
        </w:rPr>
        <w:t xml:space="preserve">The reviewer is correct.  We modified the text to reflect this distinction between BCR and TCR and in the discussion. </w:t>
      </w:r>
    </w:p>
    <w:p w:rsidR="008015AB" w:rsidRPr="008015AB" w:rsidRDefault="008015AB" w:rsidP="008015AB">
      <w:pPr>
        <w:ind w:left="-90"/>
        <w:rPr>
          <w:rFonts w:eastAsia="Times New Roman"/>
        </w:rPr>
      </w:pPr>
      <w:r w:rsidRPr="008015AB">
        <w:rPr>
          <w:rFonts w:eastAsia="Times New Roman"/>
        </w:rPr>
        <w:br/>
        <w:t xml:space="preserve">The efficiency to obtain both an </w:t>
      </w:r>
      <w:proofErr w:type="spellStart"/>
      <w:r w:rsidRPr="008015AB">
        <w:rPr>
          <w:rFonts w:eastAsia="Times New Roman"/>
        </w:rPr>
        <w:t>IgH</w:t>
      </w:r>
      <w:proofErr w:type="spellEnd"/>
      <w:r w:rsidRPr="008015AB">
        <w:rPr>
          <w:rFonts w:eastAsia="Times New Roman"/>
        </w:rPr>
        <w:t xml:space="preserve"> and an </w:t>
      </w:r>
      <w:proofErr w:type="spellStart"/>
      <w:r w:rsidRPr="008015AB">
        <w:rPr>
          <w:rFonts w:eastAsia="Times New Roman"/>
        </w:rPr>
        <w:t>IgL</w:t>
      </w:r>
      <w:proofErr w:type="spellEnd"/>
      <w:r w:rsidRPr="008015AB">
        <w:rPr>
          <w:rFonts w:eastAsia="Times New Roman"/>
        </w:rPr>
        <w:t xml:space="preserve"> from a single B cells seems quite low from Figure 3. Is this representative? And can the authors state the total efficiency? How does this relate to other publications with single cell Ig amplification? Is this a technical challenge with cDNA reaction and/or PCR, or is this due to low purity of sorted cells? The stains in Fig 2 are not super strong, and perhaps inclusion of CD3, as well as IgM and </w:t>
      </w:r>
      <w:proofErr w:type="spellStart"/>
      <w:r w:rsidRPr="008015AB">
        <w:rPr>
          <w:rFonts w:eastAsia="Times New Roman"/>
        </w:rPr>
        <w:t>IgD</w:t>
      </w:r>
      <w:proofErr w:type="spellEnd"/>
      <w:r w:rsidRPr="008015AB">
        <w:rPr>
          <w:rFonts w:eastAsia="Times New Roman"/>
        </w:rPr>
        <w:t xml:space="preserve"> can be used to exclude T-cells and naive and IgM memory B cells.</w:t>
      </w:r>
    </w:p>
    <w:p w:rsidR="008015AB" w:rsidRPr="008015AB" w:rsidRDefault="008015AB" w:rsidP="008015AB">
      <w:pPr>
        <w:ind w:left="630"/>
        <w:rPr>
          <w:rFonts w:eastAsia="Times New Roman"/>
        </w:rPr>
      </w:pPr>
      <w:r w:rsidRPr="008015AB">
        <w:rPr>
          <w:rFonts w:eastAsia="Times New Roman"/>
          <w:i/>
        </w:rPr>
        <w:t>The reviewer raises a good point. This gel is fairly representative of the amplification efficiencies for both heavy and light chain, the number of paired fragments is NOT representative.  We have replaced with another set of gels to more accurately represent our normal results.  We have added additional text in the Representative Results section referring to this figure and the efficiency observed.</w:t>
      </w:r>
    </w:p>
    <w:p w:rsidR="008015AB" w:rsidRPr="008015AB" w:rsidRDefault="008015AB" w:rsidP="008015AB">
      <w:pPr>
        <w:ind w:left="-90"/>
        <w:rPr>
          <w:rFonts w:eastAsia="Times New Roman"/>
        </w:rPr>
      </w:pPr>
      <w:r w:rsidRPr="008015AB">
        <w:rPr>
          <w:rFonts w:eastAsia="Times New Roman"/>
        </w:rPr>
        <w:br/>
      </w:r>
      <w:r w:rsidRPr="008015AB">
        <w:rPr>
          <w:rFonts w:eastAsia="Times New Roman"/>
        </w:rPr>
        <w:br/>
        <w:t>Minor Concerns:</w:t>
      </w:r>
      <w:r w:rsidRPr="008015AB">
        <w:rPr>
          <w:rFonts w:eastAsia="Times New Roman"/>
        </w:rPr>
        <w:br/>
      </w:r>
      <w:r w:rsidRPr="008015AB">
        <w:rPr>
          <w:rFonts w:eastAsia="Times New Roman"/>
        </w:rPr>
        <w:br/>
        <w:t>Abstract: 'interrogate of millions of B cells': remove first 'of'</w:t>
      </w:r>
      <w:r w:rsidRPr="008015AB">
        <w:rPr>
          <w:rFonts w:eastAsia="Times New Roman"/>
        </w:rPr>
        <w:br/>
        <w:t>Introduction, first sentence: change into 'molecules'</w:t>
      </w:r>
    </w:p>
    <w:p w:rsidR="008015AB" w:rsidRPr="008015AB" w:rsidRDefault="008015AB" w:rsidP="008015AB">
      <w:pPr>
        <w:ind w:left="630"/>
        <w:rPr>
          <w:rFonts w:eastAsia="Times New Roman"/>
        </w:rPr>
      </w:pPr>
      <w:r w:rsidRPr="008015AB">
        <w:rPr>
          <w:rFonts w:eastAsia="Times New Roman"/>
          <w:i/>
        </w:rPr>
        <w:t>Both issues have been corrected in the text.</w:t>
      </w:r>
    </w:p>
    <w:p w:rsidR="008015AB" w:rsidRPr="008015AB" w:rsidRDefault="008015AB" w:rsidP="008015AB"/>
    <w:p w:rsidR="00781DC9" w:rsidRPr="008015AB" w:rsidRDefault="00781DC9" w:rsidP="00BB2CC4">
      <w:pPr>
        <w:pStyle w:val="JanssenBody"/>
        <w:rPr>
          <w:sz w:val="24"/>
          <w:szCs w:val="24"/>
        </w:rPr>
      </w:pPr>
    </w:p>
    <w:sectPr w:rsidR="00781DC9" w:rsidRPr="008015AB" w:rsidSect="00781DC9">
      <w:type w:val="continuous"/>
      <w:pgSz w:w="11904" w:h="16834"/>
      <w:pgMar w:top="2835" w:right="1247" w:bottom="1446" w:left="1814" w:header="1151" w:footer="73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839" w:rsidRDefault="00295839">
      <w:pPr>
        <w:spacing w:line="240" w:lineRule="auto"/>
      </w:pPr>
      <w:r>
        <w:separator/>
      </w:r>
    </w:p>
  </w:endnote>
  <w:endnote w:type="continuationSeparator" w:id="0">
    <w:p w:rsidR="00295839" w:rsidRDefault="002958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839" w:rsidRDefault="00295839">
      <w:pPr>
        <w:spacing w:line="240" w:lineRule="auto"/>
      </w:pPr>
      <w:r>
        <w:separator/>
      </w:r>
    </w:p>
  </w:footnote>
  <w:footnote w:type="continuationSeparator" w:id="0">
    <w:p w:rsidR="00295839" w:rsidRDefault="002958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C9" w:rsidRDefault="00BB2CC4">
    <w:pPr>
      <w:pStyle w:val="Header"/>
    </w:pPr>
    <w:r>
      <w:rPr>
        <w:noProof/>
        <w:lang w:val="nl-NL" w:eastAsia="nl-NL"/>
      </w:rPr>
      <w:drawing>
        <wp:anchor distT="0" distB="0" distL="114300" distR="114300" simplePos="0" relativeHeight="251657216" behindDoc="0" locked="1" layoutInCell="1" allowOverlap="1">
          <wp:simplePos x="0" y="0"/>
          <wp:positionH relativeFrom="margin">
            <wp:align>right</wp:align>
          </wp:positionH>
          <wp:positionV relativeFrom="page">
            <wp:posOffset>575945</wp:posOffset>
          </wp:positionV>
          <wp:extent cx="1486535" cy="723900"/>
          <wp:effectExtent l="0" t="0" r="0" b="0"/>
          <wp:wrapNone/>
          <wp:docPr id="5" name="Picture 5" descr="Janss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anss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C9" w:rsidRPr="007F3BD2" w:rsidRDefault="00BB2CC4" w:rsidP="00781DC9">
    <w:pPr>
      <w:spacing w:line="180" w:lineRule="exact"/>
      <w:rPr>
        <w:rFonts w:ascii="Verdana" w:hAnsi="Verdana"/>
        <w:sz w:val="16"/>
      </w:rPr>
    </w:pPr>
    <w:r>
      <w:rPr>
        <w:rFonts w:ascii="Verdana" w:hAnsi="Verdana"/>
        <w:noProof/>
        <w:sz w:val="16"/>
        <w:lang w:val="nl-NL" w:eastAsia="nl-NL"/>
      </w:rPr>
      <w:drawing>
        <wp:anchor distT="0" distB="0" distL="114300" distR="114300" simplePos="0" relativeHeight="251658240" behindDoc="0" locked="1" layoutInCell="1" allowOverlap="1">
          <wp:simplePos x="0" y="0"/>
          <wp:positionH relativeFrom="margin">
            <wp:align>right</wp:align>
          </wp:positionH>
          <wp:positionV relativeFrom="page">
            <wp:posOffset>575945</wp:posOffset>
          </wp:positionV>
          <wp:extent cx="1486535" cy="723900"/>
          <wp:effectExtent l="0" t="0" r="0" b="0"/>
          <wp:wrapNone/>
          <wp:docPr id="6" name="Picture 6" descr="Janss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anss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51"/>
    <w:rsid w:val="00003540"/>
    <w:rsid w:val="00031BBD"/>
    <w:rsid w:val="00041922"/>
    <w:rsid w:val="000739B8"/>
    <w:rsid w:val="000C1546"/>
    <w:rsid w:val="000C2B4C"/>
    <w:rsid w:val="00172BCE"/>
    <w:rsid w:val="001A631E"/>
    <w:rsid w:val="00212A3B"/>
    <w:rsid w:val="00224501"/>
    <w:rsid w:val="002725D6"/>
    <w:rsid w:val="00295839"/>
    <w:rsid w:val="002F0983"/>
    <w:rsid w:val="00322C2F"/>
    <w:rsid w:val="00323D0A"/>
    <w:rsid w:val="00373A1E"/>
    <w:rsid w:val="003B2501"/>
    <w:rsid w:val="00431F5F"/>
    <w:rsid w:val="004933E0"/>
    <w:rsid w:val="0055552E"/>
    <w:rsid w:val="00594524"/>
    <w:rsid w:val="006001B6"/>
    <w:rsid w:val="0067400C"/>
    <w:rsid w:val="00700612"/>
    <w:rsid w:val="0072756E"/>
    <w:rsid w:val="007745AB"/>
    <w:rsid w:val="00781DC9"/>
    <w:rsid w:val="007E0F97"/>
    <w:rsid w:val="007F25AB"/>
    <w:rsid w:val="008015AB"/>
    <w:rsid w:val="00823441"/>
    <w:rsid w:val="00841289"/>
    <w:rsid w:val="008A1B37"/>
    <w:rsid w:val="008B7D0C"/>
    <w:rsid w:val="008D1F51"/>
    <w:rsid w:val="008F56FC"/>
    <w:rsid w:val="009439CA"/>
    <w:rsid w:val="00954D4F"/>
    <w:rsid w:val="009E62EC"/>
    <w:rsid w:val="00AE73D2"/>
    <w:rsid w:val="00AF49B0"/>
    <w:rsid w:val="00B4152F"/>
    <w:rsid w:val="00B54AA8"/>
    <w:rsid w:val="00B6393D"/>
    <w:rsid w:val="00B95020"/>
    <w:rsid w:val="00BB2CC4"/>
    <w:rsid w:val="00C57C9C"/>
    <w:rsid w:val="00C70970"/>
    <w:rsid w:val="00C903D1"/>
    <w:rsid w:val="00CA23DB"/>
    <w:rsid w:val="00CD21D5"/>
    <w:rsid w:val="00CD2233"/>
    <w:rsid w:val="00CE5320"/>
    <w:rsid w:val="00D021DA"/>
    <w:rsid w:val="00D75652"/>
    <w:rsid w:val="00E0358F"/>
    <w:rsid w:val="00E159D2"/>
    <w:rsid w:val="00E25D13"/>
    <w:rsid w:val="00E81F7F"/>
    <w:rsid w:val="00E86E58"/>
    <w:rsid w:val="00EB77B5"/>
    <w:rsid w:val="00EC061D"/>
    <w:rsid w:val="00EE6390"/>
    <w:rsid w:val="00EF324F"/>
    <w:rsid w:val="00F65538"/>
    <w:rsid w:val="00F80A45"/>
    <w:rsid w:val="00F96E7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089340"/>
  <w15:chartTrackingRefBased/>
  <w15:docId w15:val="{D567ACD6-EABA-4224-9894-E72C9424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8FE"/>
    <w:pPr>
      <w:spacing w:line="260" w:lineRule="exact"/>
    </w:pPr>
    <w:rPr>
      <w:rFonts w:ascii="Times New Roman" w:hAnsi="Times New Roma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anssenBody">
    <w:name w:val="Janssen Body"/>
    <w:basedOn w:val="Normal"/>
    <w:qFormat/>
    <w:rsid w:val="00E91302"/>
    <w:pPr>
      <w:widowControl w:val="0"/>
      <w:autoSpaceDE w:val="0"/>
      <w:autoSpaceDN w:val="0"/>
      <w:adjustRightInd w:val="0"/>
      <w:spacing w:line="240" w:lineRule="exact"/>
    </w:pPr>
    <w:rPr>
      <w:rFonts w:ascii="Verdana" w:hAnsi="Verdana" w:cs="Times-Roman"/>
      <w:sz w:val="20"/>
      <w:szCs w:val="22"/>
    </w:rPr>
  </w:style>
  <w:style w:type="paragraph" w:styleId="Header">
    <w:name w:val="header"/>
    <w:basedOn w:val="Normal"/>
    <w:link w:val="HeaderChar"/>
    <w:uiPriority w:val="99"/>
    <w:semiHidden/>
    <w:unhideWhenUsed/>
    <w:rsid w:val="00BF38FE"/>
    <w:pPr>
      <w:tabs>
        <w:tab w:val="center" w:pos="4320"/>
        <w:tab w:val="right" w:pos="8640"/>
      </w:tabs>
      <w:spacing w:line="240" w:lineRule="auto"/>
    </w:pPr>
  </w:style>
  <w:style w:type="character" w:customStyle="1" w:styleId="HeaderChar">
    <w:name w:val="Header Char"/>
    <w:basedOn w:val="DefaultParagraphFont"/>
    <w:link w:val="Header"/>
    <w:uiPriority w:val="99"/>
    <w:semiHidden/>
    <w:rsid w:val="00BF38FE"/>
    <w:rPr>
      <w:rFonts w:ascii="Times New Roman" w:hAnsi="Times New Roman"/>
      <w:sz w:val="22"/>
    </w:rPr>
  </w:style>
  <w:style w:type="paragraph" w:styleId="Footer">
    <w:name w:val="footer"/>
    <w:basedOn w:val="Normal"/>
    <w:link w:val="FooterChar"/>
    <w:uiPriority w:val="99"/>
    <w:semiHidden/>
    <w:unhideWhenUsed/>
    <w:rsid w:val="00BF38FE"/>
    <w:pPr>
      <w:tabs>
        <w:tab w:val="center" w:pos="4320"/>
        <w:tab w:val="right" w:pos="8640"/>
      </w:tabs>
      <w:spacing w:line="240" w:lineRule="auto"/>
    </w:pPr>
  </w:style>
  <w:style w:type="character" w:customStyle="1" w:styleId="FooterChar">
    <w:name w:val="Footer Char"/>
    <w:basedOn w:val="DefaultParagraphFont"/>
    <w:link w:val="Footer"/>
    <w:uiPriority w:val="99"/>
    <w:semiHidden/>
    <w:rsid w:val="00BF38FE"/>
    <w:rPr>
      <w:rFonts w:ascii="Times New Roman" w:hAnsi="Times New Roman"/>
      <w:sz w:val="22"/>
    </w:rPr>
  </w:style>
  <w:style w:type="table" w:styleId="TableGrid">
    <w:name w:val="Table Grid"/>
    <w:basedOn w:val="TableNormal"/>
    <w:uiPriority w:val="59"/>
    <w:rsid w:val="00DF61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anssenFill-InBlue">
    <w:name w:val="Janssen Fill-In Blue"/>
    <w:basedOn w:val="Normal"/>
    <w:qFormat/>
    <w:rsid w:val="007D3045"/>
    <w:pPr>
      <w:spacing w:line="180" w:lineRule="exact"/>
    </w:pPr>
    <w:rPr>
      <w:rFonts w:ascii="Verdana" w:hAnsi="Verdana"/>
      <w:color w:val="003479"/>
      <w:sz w:val="16"/>
    </w:rPr>
  </w:style>
  <w:style w:type="paragraph" w:customStyle="1" w:styleId="JanssenFill-InGray">
    <w:name w:val="Janssen Fill-In Gray"/>
    <w:basedOn w:val="Normal"/>
    <w:qFormat/>
    <w:rsid w:val="007D3045"/>
    <w:pPr>
      <w:spacing w:line="180" w:lineRule="exact"/>
    </w:pPr>
    <w:rPr>
      <w:rFonts w:ascii="Verdana" w:hAnsi="Verdana"/>
      <w:color w:val="828282"/>
      <w:sz w:val="16"/>
    </w:rPr>
  </w:style>
  <w:style w:type="paragraph" w:customStyle="1" w:styleId="Standard">
    <w:name w:val="Standard"/>
    <w:basedOn w:val="Normal"/>
    <w:rsid w:val="00BB2CC4"/>
    <w:pPr>
      <w:spacing w:line="240" w:lineRule="auto"/>
      <w:ind w:left="360" w:right="360"/>
    </w:pPr>
    <w:rPr>
      <w:rFonts w:ascii="Times" w:eastAsia="Times New Roman" w:hAnsi="Times"/>
      <w:color w:val="0000FF"/>
      <w:sz w:val="24"/>
      <w:szCs w:val="20"/>
    </w:rPr>
  </w:style>
  <w:style w:type="character" w:styleId="Strong">
    <w:name w:val="Strong"/>
    <w:basedOn w:val="DefaultParagraphFont"/>
    <w:uiPriority w:val="22"/>
    <w:qFormat/>
    <w:rsid w:val="00801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057208">
      <w:bodyDiv w:val="1"/>
      <w:marLeft w:val="0"/>
      <w:marRight w:val="0"/>
      <w:marTop w:val="0"/>
      <w:marBottom w:val="0"/>
      <w:divBdr>
        <w:top w:val="none" w:sz="0" w:space="0" w:color="auto"/>
        <w:left w:val="none" w:sz="0" w:space="0" w:color="auto"/>
        <w:bottom w:val="none" w:sz="0" w:space="0" w:color="auto"/>
        <w:right w:val="none" w:sz="0" w:space="0" w:color="auto"/>
      </w:divBdr>
    </w:div>
    <w:div w:id="1932469759">
      <w:bodyDiv w:val="1"/>
      <w:marLeft w:val="0"/>
      <w:marRight w:val="0"/>
      <w:marTop w:val="0"/>
      <w:marBottom w:val="0"/>
      <w:divBdr>
        <w:top w:val="none" w:sz="0" w:space="0" w:color="auto"/>
        <w:left w:val="none" w:sz="0" w:space="0" w:color="auto"/>
        <w:bottom w:val="none" w:sz="0" w:space="0" w:color="auto"/>
        <w:right w:val="none" w:sz="0" w:space="0" w:color="auto"/>
      </w:divBdr>
    </w:div>
    <w:div w:id="201418363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1578</Words>
  <Characters>8996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Landor</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Apetri, Adrian [JPCNL]</dc:creator>
  <cp:keywords/>
  <cp:lastModifiedBy>Perry, Stuart [JPCUS]</cp:lastModifiedBy>
  <cp:revision>10</cp:revision>
  <dcterms:created xsi:type="dcterms:W3CDTF">2019-03-28T06:36:00Z</dcterms:created>
  <dcterms:modified xsi:type="dcterms:W3CDTF">2019-03-28T21:56:00Z</dcterms:modified>
</cp:coreProperties>
</file>