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8217F" w14:textId="77777777" w:rsidR="00182BA2" w:rsidRDefault="00182BA2" w:rsidP="00182BA2">
      <w:pPr>
        <w:autoSpaceDE w:val="0"/>
        <w:autoSpaceDN w:val="0"/>
        <w:adjustRightInd w:val="0"/>
        <w:jc w:val="center"/>
        <w:rPr>
          <w:rFonts w:ascii="Verdana" w:hAnsi="Verdana" w:cs="Verdana"/>
          <w:b/>
          <w:bCs/>
          <w:color w:val="000026"/>
          <w:sz w:val="33"/>
          <w:szCs w:val="33"/>
        </w:rPr>
      </w:pPr>
    </w:p>
    <w:p w14:paraId="0CE7A93D" w14:textId="77777777" w:rsidR="009412AE" w:rsidRPr="00DE3D0B" w:rsidRDefault="009412AE" w:rsidP="009412AE">
      <w:pPr>
        <w:autoSpaceDE w:val="0"/>
        <w:autoSpaceDN w:val="0"/>
        <w:adjustRightInd w:val="0"/>
        <w:rPr>
          <w:rFonts w:ascii="Verdana" w:hAnsi="Verdana" w:cs="Verdana"/>
          <w:sz w:val="22"/>
          <w:szCs w:val="22"/>
          <w:lang w:val="en-US"/>
        </w:rPr>
      </w:pPr>
      <w:r w:rsidRPr="00DE3D0B">
        <w:rPr>
          <w:rFonts w:ascii="Verdana" w:hAnsi="Verdana" w:cs="Verdana"/>
          <w:sz w:val="22"/>
          <w:szCs w:val="22"/>
          <w:lang w:val="en-US"/>
        </w:rPr>
        <w:t xml:space="preserve">Dear Dr. </w:t>
      </w:r>
      <w:proofErr w:type="spellStart"/>
      <w:r w:rsidRPr="00DE3D0B">
        <w:rPr>
          <w:rFonts w:ascii="Verdana" w:hAnsi="Verdana" w:cs="Verdana"/>
          <w:sz w:val="22"/>
          <w:szCs w:val="22"/>
          <w:lang w:val="en-US"/>
        </w:rPr>
        <w:t>Vineeta</w:t>
      </w:r>
      <w:proofErr w:type="spellEnd"/>
      <w:r w:rsidRPr="00DE3D0B">
        <w:rPr>
          <w:rFonts w:ascii="Verdana" w:hAnsi="Verdana" w:cs="Verdana"/>
          <w:sz w:val="22"/>
          <w:szCs w:val="22"/>
          <w:lang w:val="en-US"/>
        </w:rPr>
        <w:t xml:space="preserve"> Bajaj, </w:t>
      </w:r>
    </w:p>
    <w:p w14:paraId="2E543392" w14:textId="77777777" w:rsidR="009412AE" w:rsidRPr="00DE3D0B" w:rsidRDefault="009412AE" w:rsidP="009412AE">
      <w:pPr>
        <w:autoSpaceDE w:val="0"/>
        <w:autoSpaceDN w:val="0"/>
        <w:adjustRightInd w:val="0"/>
        <w:rPr>
          <w:rFonts w:ascii="Verdana" w:hAnsi="Verdana" w:cs="Verdana"/>
          <w:sz w:val="22"/>
          <w:szCs w:val="22"/>
          <w:lang w:val="en-US"/>
        </w:rPr>
      </w:pPr>
    </w:p>
    <w:p w14:paraId="34117316" w14:textId="7305EEF2" w:rsidR="009412AE" w:rsidRPr="00BD4F72" w:rsidRDefault="008252B9" w:rsidP="009412AE">
      <w:pPr>
        <w:autoSpaceDE w:val="0"/>
        <w:autoSpaceDN w:val="0"/>
        <w:adjustRightInd w:val="0"/>
        <w:rPr>
          <w:rFonts w:ascii="Verdana" w:hAnsi="Verdana" w:cs="Verdana"/>
          <w:sz w:val="22"/>
          <w:szCs w:val="22"/>
          <w:lang w:val="en-US"/>
        </w:rPr>
      </w:pPr>
      <w:r w:rsidRPr="00BD4F72">
        <w:rPr>
          <w:rFonts w:ascii="Verdana" w:hAnsi="Verdana" w:cs="Verdana"/>
          <w:sz w:val="22"/>
          <w:szCs w:val="22"/>
          <w:lang w:val="en-US"/>
        </w:rPr>
        <w:t>T</w:t>
      </w:r>
      <w:r w:rsidR="009412AE" w:rsidRPr="00BD4F72">
        <w:rPr>
          <w:rFonts w:ascii="Verdana" w:hAnsi="Verdana" w:cs="Verdana"/>
          <w:sz w:val="22"/>
          <w:szCs w:val="22"/>
          <w:lang w:val="en-US"/>
        </w:rPr>
        <w:t>hank you</w:t>
      </w:r>
      <w:r w:rsidRPr="00BD4F72">
        <w:rPr>
          <w:rFonts w:ascii="Verdana" w:hAnsi="Verdana" w:cs="Verdana"/>
          <w:sz w:val="22"/>
          <w:szCs w:val="22"/>
          <w:lang w:val="en-US"/>
        </w:rPr>
        <w:t xml:space="preserve"> </w:t>
      </w:r>
      <w:r w:rsidR="009412AE" w:rsidRPr="00BD4F72">
        <w:rPr>
          <w:rFonts w:ascii="Verdana" w:hAnsi="Verdana" w:cs="Verdana"/>
          <w:sz w:val="22"/>
          <w:szCs w:val="22"/>
          <w:lang w:val="en-US"/>
        </w:rPr>
        <w:t xml:space="preserve">for </w:t>
      </w:r>
      <w:r w:rsidR="00BA3A47" w:rsidRPr="00BD4F72">
        <w:rPr>
          <w:rFonts w:ascii="Verdana" w:hAnsi="Verdana" w:cs="Verdana"/>
          <w:sz w:val="22"/>
          <w:szCs w:val="22"/>
          <w:lang w:val="en-US"/>
        </w:rPr>
        <w:t xml:space="preserve">reading through </w:t>
      </w:r>
      <w:r w:rsidRPr="00BD4F72">
        <w:rPr>
          <w:rFonts w:ascii="Verdana" w:hAnsi="Verdana" w:cs="Verdana"/>
          <w:sz w:val="22"/>
          <w:szCs w:val="22"/>
          <w:lang w:val="en-US"/>
        </w:rPr>
        <w:t xml:space="preserve">the </w:t>
      </w:r>
      <w:r w:rsidR="00BA3A47" w:rsidRPr="00BD4F72">
        <w:rPr>
          <w:rFonts w:ascii="Verdana" w:hAnsi="Verdana" w:cs="Verdana"/>
          <w:sz w:val="22"/>
          <w:szCs w:val="22"/>
          <w:lang w:val="en-US"/>
        </w:rPr>
        <w:t xml:space="preserve">revised </w:t>
      </w:r>
      <w:r w:rsidRPr="00BD4F72">
        <w:rPr>
          <w:rFonts w:ascii="Verdana" w:hAnsi="Verdana" w:cs="Verdana"/>
          <w:sz w:val="22"/>
          <w:szCs w:val="22"/>
          <w:lang w:val="en-US"/>
        </w:rPr>
        <w:t xml:space="preserve">manuscript </w:t>
      </w:r>
      <w:r w:rsidR="00BA3A47" w:rsidRPr="00BD4F72">
        <w:rPr>
          <w:rFonts w:ascii="Verdana" w:hAnsi="Verdana" w:cs="Verdana"/>
          <w:sz w:val="22"/>
          <w:szCs w:val="22"/>
          <w:lang w:val="en-US"/>
        </w:rPr>
        <w:t xml:space="preserve">carefully </w:t>
      </w:r>
      <w:r w:rsidRPr="00BD4F72">
        <w:rPr>
          <w:rFonts w:ascii="Verdana" w:hAnsi="Verdana" w:cs="Verdana"/>
          <w:sz w:val="22"/>
          <w:szCs w:val="22"/>
          <w:lang w:val="en-US"/>
        </w:rPr>
        <w:t>and for your constructive</w:t>
      </w:r>
      <w:r w:rsidR="009412AE" w:rsidRPr="00BD4F72">
        <w:rPr>
          <w:rFonts w:ascii="Verdana" w:hAnsi="Verdana" w:cs="Verdana"/>
          <w:sz w:val="22"/>
          <w:szCs w:val="22"/>
          <w:lang w:val="en-US"/>
        </w:rPr>
        <w:t xml:space="preserve"> comments</w:t>
      </w:r>
      <w:r w:rsidRPr="00BD4F72">
        <w:rPr>
          <w:rFonts w:ascii="Verdana" w:hAnsi="Verdana" w:cs="Verdana"/>
          <w:sz w:val="22"/>
          <w:szCs w:val="22"/>
          <w:lang w:val="en-US"/>
        </w:rPr>
        <w:t>.</w:t>
      </w:r>
      <w:r w:rsidR="009412AE" w:rsidRPr="00BD4F72">
        <w:rPr>
          <w:rFonts w:ascii="Verdana" w:hAnsi="Verdana" w:cs="Verdana"/>
          <w:sz w:val="22"/>
          <w:szCs w:val="22"/>
          <w:lang w:val="en-US"/>
        </w:rPr>
        <w:t xml:space="preserve"> </w:t>
      </w:r>
      <w:r w:rsidRPr="00BD4F72">
        <w:rPr>
          <w:rFonts w:ascii="Verdana" w:hAnsi="Verdana" w:cs="Verdana"/>
          <w:sz w:val="22"/>
          <w:szCs w:val="22"/>
          <w:lang w:val="en-US"/>
        </w:rPr>
        <w:t xml:space="preserve">We have revised our manuscript accordingly. I think </w:t>
      </w:r>
      <w:r w:rsidR="009412AE" w:rsidRPr="00BD4F72">
        <w:rPr>
          <w:rFonts w:ascii="Verdana" w:hAnsi="Verdana" w:cs="Verdana"/>
          <w:sz w:val="22"/>
          <w:szCs w:val="22"/>
          <w:lang w:val="en-US"/>
        </w:rPr>
        <w:t xml:space="preserve">that we were able to address all of </w:t>
      </w:r>
      <w:r w:rsidR="00BA3A47" w:rsidRPr="00BD4F72">
        <w:rPr>
          <w:rFonts w:ascii="Verdana" w:hAnsi="Verdana" w:cs="Verdana"/>
          <w:sz w:val="22"/>
          <w:szCs w:val="22"/>
          <w:lang w:val="en-US"/>
        </w:rPr>
        <w:t>the comments</w:t>
      </w:r>
      <w:r w:rsidR="009412AE" w:rsidRPr="00BD4F72">
        <w:rPr>
          <w:rFonts w:ascii="Verdana" w:hAnsi="Verdana" w:cs="Verdana"/>
          <w:sz w:val="22"/>
          <w:szCs w:val="22"/>
          <w:lang w:val="en-US"/>
        </w:rPr>
        <w:t>.</w:t>
      </w:r>
      <w:r w:rsidRPr="00BD4F72">
        <w:rPr>
          <w:rFonts w:ascii="Verdana" w:hAnsi="Verdana" w:cs="Verdana"/>
          <w:sz w:val="22"/>
          <w:szCs w:val="22"/>
          <w:lang w:val="en-US"/>
        </w:rPr>
        <w:t xml:space="preserve"> </w:t>
      </w:r>
      <w:r w:rsidR="009412AE" w:rsidRPr="00BD4F72">
        <w:rPr>
          <w:rFonts w:ascii="Verdana" w:hAnsi="Verdana" w:cs="Verdana"/>
          <w:sz w:val="22"/>
          <w:szCs w:val="22"/>
          <w:lang w:val="en-US"/>
        </w:rPr>
        <w:t xml:space="preserve">All </w:t>
      </w:r>
      <w:r w:rsidRPr="00BD4F72">
        <w:rPr>
          <w:rFonts w:ascii="Verdana" w:hAnsi="Verdana" w:cs="Verdana"/>
          <w:sz w:val="22"/>
          <w:szCs w:val="22"/>
          <w:lang w:val="en-US"/>
        </w:rPr>
        <w:t xml:space="preserve">new </w:t>
      </w:r>
      <w:r w:rsidR="009412AE" w:rsidRPr="00BD4F72">
        <w:rPr>
          <w:rFonts w:ascii="Verdana" w:hAnsi="Verdana" w:cs="Verdana"/>
          <w:sz w:val="22"/>
          <w:szCs w:val="22"/>
          <w:lang w:val="en-US"/>
        </w:rPr>
        <w:t xml:space="preserve">changes made to the manuscript are marked in </w:t>
      </w:r>
      <w:r w:rsidR="009412AE" w:rsidRPr="00BD4F72">
        <w:rPr>
          <w:rFonts w:ascii="Verdana" w:hAnsi="Verdana" w:cs="Verdana"/>
          <w:color w:val="4472C4" w:themeColor="accent1"/>
          <w:sz w:val="22"/>
          <w:szCs w:val="22"/>
          <w:lang w:val="en-US"/>
        </w:rPr>
        <w:t>blue</w:t>
      </w:r>
      <w:r w:rsidR="009412AE" w:rsidRPr="00BD4F72">
        <w:rPr>
          <w:rFonts w:ascii="Verdana" w:hAnsi="Verdana" w:cs="Verdana"/>
          <w:sz w:val="22"/>
          <w:szCs w:val="22"/>
          <w:lang w:val="en-US"/>
        </w:rPr>
        <w:t xml:space="preserve">. Below, we respond to each comment in detail. </w:t>
      </w:r>
    </w:p>
    <w:p w14:paraId="1C78DA40" w14:textId="081A3711" w:rsidR="009412AE" w:rsidRPr="00BD4F72" w:rsidRDefault="009412AE" w:rsidP="009412AE">
      <w:pPr>
        <w:autoSpaceDE w:val="0"/>
        <w:autoSpaceDN w:val="0"/>
        <w:adjustRightInd w:val="0"/>
        <w:rPr>
          <w:rFonts w:ascii="Verdana" w:hAnsi="Verdana" w:cs="Verdana"/>
          <w:sz w:val="22"/>
          <w:szCs w:val="22"/>
          <w:lang w:val="en-US"/>
        </w:rPr>
      </w:pPr>
    </w:p>
    <w:p w14:paraId="70BF2F43" w14:textId="77777777" w:rsidR="008252B9" w:rsidRPr="00BD4F72" w:rsidRDefault="008252B9" w:rsidP="009412AE">
      <w:pPr>
        <w:autoSpaceDE w:val="0"/>
        <w:autoSpaceDN w:val="0"/>
        <w:adjustRightInd w:val="0"/>
        <w:rPr>
          <w:rFonts w:ascii="Verdana" w:hAnsi="Verdana" w:cs="Verdana"/>
          <w:sz w:val="22"/>
          <w:szCs w:val="22"/>
          <w:lang w:val="en-US"/>
        </w:rPr>
      </w:pPr>
    </w:p>
    <w:p w14:paraId="6359991F" w14:textId="77777777" w:rsidR="009412AE" w:rsidRPr="00BD4F72" w:rsidRDefault="009412AE" w:rsidP="009412AE">
      <w:pPr>
        <w:rPr>
          <w:lang w:val="en-US"/>
        </w:rPr>
      </w:pPr>
      <w:r w:rsidRPr="00BD4F72">
        <w:rPr>
          <w:lang w:val="en-US"/>
        </w:rPr>
        <w:t>Sincerely,</w:t>
      </w:r>
    </w:p>
    <w:p w14:paraId="7F542C39" w14:textId="77777777" w:rsidR="009412AE" w:rsidRPr="00BD4F72" w:rsidRDefault="009412AE" w:rsidP="009412AE">
      <w:pPr>
        <w:rPr>
          <w:lang w:val="en-US"/>
        </w:rPr>
      </w:pPr>
    </w:p>
    <w:p w14:paraId="5B319179" w14:textId="77777777" w:rsidR="009412AE" w:rsidRPr="00BD4F72" w:rsidRDefault="009412AE" w:rsidP="009412AE">
      <w:pPr>
        <w:rPr>
          <w:lang w:val="en-US"/>
        </w:rPr>
      </w:pPr>
      <w:r w:rsidRPr="00BD4F72">
        <w:rPr>
          <w:lang w:val="en-US"/>
        </w:rPr>
        <w:t>Alexandre Nikolaev, PhD</w:t>
      </w:r>
    </w:p>
    <w:p w14:paraId="17A6B816" w14:textId="77777777" w:rsidR="009412AE" w:rsidRPr="00BD4F72" w:rsidRDefault="009412AE" w:rsidP="009412AE">
      <w:pPr>
        <w:rPr>
          <w:lang w:val="en-US"/>
        </w:rPr>
      </w:pPr>
      <w:r w:rsidRPr="00BD4F72">
        <w:rPr>
          <w:lang w:val="en-US"/>
        </w:rPr>
        <w:t>Helsinki Collegium for Advanced Studies</w:t>
      </w:r>
    </w:p>
    <w:p w14:paraId="71F0D165" w14:textId="77777777" w:rsidR="009412AE" w:rsidRPr="00BD4F72" w:rsidRDefault="009412AE" w:rsidP="009412AE">
      <w:pPr>
        <w:rPr>
          <w:lang w:val="en-US"/>
        </w:rPr>
      </w:pPr>
      <w:r w:rsidRPr="00BD4F72">
        <w:rPr>
          <w:lang w:val="en-US"/>
        </w:rPr>
        <w:t>PO Box 4 (</w:t>
      </w:r>
      <w:proofErr w:type="spellStart"/>
      <w:r w:rsidRPr="00BD4F72">
        <w:rPr>
          <w:lang w:val="en-US"/>
        </w:rPr>
        <w:t>Fabianinkatu</w:t>
      </w:r>
      <w:proofErr w:type="spellEnd"/>
      <w:r w:rsidRPr="00BD4F72">
        <w:rPr>
          <w:lang w:val="en-US"/>
        </w:rPr>
        <w:t xml:space="preserve"> 24), </w:t>
      </w:r>
    </w:p>
    <w:p w14:paraId="3E9E12BE" w14:textId="77777777" w:rsidR="009412AE" w:rsidRPr="00BD4F72" w:rsidRDefault="009412AE" w:rsidP="009412AE">
      <w:pPr>
        <w:rPr>
          <w:lang w:val="en-US"/>
        </w:rPr>
      </w:pPr>
      <w:r w:rsidRPr="00BD4F72">
        <w:rPr>
          <w:lang w:val="en-US"/>
        </w:rPr>
        <w:t xml:space="preserve">FIN 00014 University of Helsinki, Finland </w:t>
      </w:r>
    </w:p>
    <w:p w14:paraId="5141D106" w14:textId="77777777" w:rsidR="009412AE" w:rsidRPr="00BD4F72" w:rsidRDefault="009412AE" w:rsidP="009412AE">
      <w:pPr>
        <w:rPr>
          <w:lang w:val="en-US"/>
        </w:rPr>
      </w:pPr>
      <w:r w:rsidRPr="00BD4F72">
        <w:rPr>
          <w:lang w:val="en-US"/>
        </w:rPr>
        <w:t>Finland</w:t>
      </w:r>
    </w:p>
    <w:p w14:paraId="64FCB063" w14:textId="77777777" w:rsidR="009412AE" w:rsidRPr="00BD4F72" w:rsidRDefault="009412AE" w:rsidP="009412AE">
      <w:pPr>
        <w:rPr>
          <w:lang w:val="en-US"/>
        </w:rPr>
      </w:pPr>
      <w:r w:rsidRPr="00BD4F72">
        <w:rPr>
          <w:lang w:val="en-US"/>
        </w:rPr>
        <w:t>Tel. -358 50 362 6881</w:t>
      </w:r>
    </w:p>
    <w:p w14:paraId="4D07C4AB" w14:textId="77777777" w:rsidR="009412AE" w:rsidRPr="00BD4F72" w:rsidRDefault="009412AE" w:rsidP="009412AE">
      <w:pPr>
        <w:rPr>
          <w:lang w:val="en-US"/>
        </w:rPr>
      </w:pPr>
      <w:r w:rsidRPr="00BD4F72">
        <w:rPr>
          <w:lang w:val="en-US"/>
        </w:rPr>
        <w:t>alexandre.nikolaev@helsinki.fi</w:t>
      </w:r>
    </w:p>
    <w:p w14:paraId="230387E0" w14:textId="45CFEF96" w:rsidR="00182BA2" w:rsidRPr="00BD4F72" w:rsidRDefault="00182BA2" w:rsidP="00182BA2">
      <w:pPr>
        <w:autoSpaceDE w:val="0"/>
        <w:autoSpaceDN w:val="0"/>
        <w:adjustRightInd w:val="0"/>
        <w:rPr>
          <w:rFonts w:ascii="Verdana" w:hAnsi="Verdana" w:cs="Verdana"/>
          <w:color w:val="000026"/>
          <w:sz w:val="22"/>
          <w:szCs w:val="22"/>
          <w:lang w:val="en-US"/>
        </w:rPr>
      </w:pPr>
    </w:p>
    <w:p w14:paraId="552717F8" w14:textId="77777777" w:rsidR="009412AE" w:rsidRPr="00BD4F72" w:rsidRDefault="009412AE" w:rsidP="00182BA2">
      <w:pPr>
        <w:autoSpaceDE w:val="0"/>
        <w:autoSpaceDN w:val="0"/>
        <w:adjustRightInd w:val="0"/>
        <w:rPr>
          <w:rFonts w:ascii="Verdana" w:hAnsi="Verdana" w:cs="Verdana"/>
          <w:color w:val="000026"/>
          <w:sz w:val="22"/>
          <w:szCs w:val="22"/>
          <w:lang w:val="en-US"/>
        </w:rPr>
      </w:pPr>
    </w:p>
    <w:p w14:paraId="59806FFE" w14:textId="77777777" w:rsidR="00182BA2" w:rsidRPr="00BD4F72" w:rsidRDefault="00182BA2" w:rsidP="00182BA2">
      <w:pPr>
        <w:autoSpaceDE w:val="0"/>
        <w:autoSpaceDN w:val="0"/>
        <w:adjustRightInd w:val="0"/>
        <w:rPr>
          <w:rFonts w:ascii="Verdana" w:hAnsi="Verdana" w:cs="Verdana"/>
          <w:color w:val="000026"/>
          <w:sz w:val="22"/>
          <w:szCs w:val="22"/>
          <w:lang w:val="en-US"/>
        </w:rPr>
      </w:pPr>
    </w:p>
    <w:p w14:paraId="2F555863" w14:textId="77777777" w:rsidR="00182BA2" w:rsidRPr="00BD4F72" w:rsidRDefault="00182BA2" w:rsidP="00182BA2">
      <w:pPr>
        <w:autoSpaceDE w:val="0"/>
        <w:autoSpaceDN w:val="0"/>
        <w:adjustRightInd w:val="0"/>
        <w:rPr>
          <w:rFonts w:ascii="Verdana" w:hAnsi="Verdana" w:cs="Verdana"/>
          <w:color w:val="000026"/>
          <w:sz w:val="22"/>
          <w:szCs w:val="22"/>
          <w:lang w:val="en-US"/>
        </w:rPr>
      </w:pPr>
      <w:r w:rsidRPr="00BD4F72">
        <w:rPr>
          <w:rFonts w:ascii="Verdana" w:hAnsi="Verdana" w:cs="Verdana"/>
          <w:b/>
          <w:bCs/>
          <w:color w:val="000026"/>
          <w:sz w:val="22"/>
          <w:szCs w:val="22"/>
          <w:lang w:val="en-US"/>
        </w:rPr>
        <w:t>Editorial comments:</w:t>
      </w:r>
    </w:p>
    <w:p w14:paraId="14D4330E" w14:textId="49913EDC" w:rsidR="00A273B9" w:rsidRPr="00BD4F72" w:rsidRDefault="008D011B">
      <w:pPr>
        <w:rPr>
          <w:rFonts w:ascii="Verdana" w:hAnsi="Verdana" w:cs="Verdana"/>
          <w:color w:val="000026"/>
          <w:sz w:val="22"/>
          <w:szCs w:val="22"/>
          <w:lang w:val="en-US"/>
        </w:rPr>
      </w:pPr>
    </w:p>
    <w:p w14:paraId="58C1D62C" w14:textId="449D7054" w:rsidR="008252B9" w:rsidRDefault="008252B9" w:rsidP="008252B9">
      <w:pPr>
        <w:pStyle w:val="ListParagraph"/>
        <w:numPr>
          <w:ilvl w:val="0"/>
          <w:numId w:val="1"/>
        </w:numPr>
      </w:pPr>
      <w:r>
        <w:t>The editor has formatted the manuscript to match the journal's style. Please retain the same.</w:t>
      </w:r>
    </w:p>
    <w:p w14:paraId="59A9ADA5" w14:textId="77777777" w:rsidR="00BA3A47" w:rsidRDefault="00BA3A47" w:rsidP="008252B9">
      <w:pPr>
        <w:rPr>
          <w:color w:val="4472C4" w:themeColor="accent1"/>
        </w:rPr>
      </w:pPr>
    </w:p>
    <w:p w14:paraId="16AEA284" w14:textId="5328A75E" w:rsidR="008252B9" w:rsidRPr="008252B9" w:rsidRDefault="008252B9" w:rsidP="008252B9">
      <w:pPr>
        <w:rPr>
          <w:color w:val="4472C4" w:themeColor="accent1"/>
        </w:rPr>
      </w:pPr>
      <w:proofErr w:type="spellStart"/>
      <w:r w:rsidRPr="008252B9">
        <w:rPr>
          <w:color w:val="4472C4" w:themeColor="accent1"/>
        </w:rPr>
        <w:t>Response</w:t>
      </w:r>
      <w:proofErr w:type="spellEnd"/>
      <w:r w:rsidRPr="008252B9">
        <w:rPr>
          <w:color w:val="4472C4" w:themeColor="accent1"/>
        </w:rPr>
        <w:t>:</w:t>
      </w:r>
    </w:p>
    <w:p w14:paraId="1088F77F" w14:textId="7F80D660" w:rsidR="008252B9" w:rsidRPr="008252B9" w:rsidRDefault="008252B9" w:rsidP="008252B9">
      <w:pPr>
        <w:rPr>
          <w:color w:val="4472C4" w:themeColor="accent1"/>
        </w:rPr>
      </w:pPr>
      <w:r w:rsidRPr="008252B9">
        <w:rPr>
          <w:color w:val="4472C4" w:themeColor="accent1"/>
        </w:rPr>
        <w:t>Done</w:t>
      </w:r>
    </w:p>
    <w:p w14:paraId="0CAD0FFF" w14:textId="77777777" w:rsidR="008252B9" w:rsidRDefault="008252B9" w:rsidP="008252B9"/>
    <w:p w14:paraId="1F42476E" w14:textId="451838A6" w:rsidR="008252B9" w:rsidRDefault="008252B9" w:rsidP="008252B9">
      <w:pPr>
        <w:pStyle w:val="ListParagraph"/>
        <w:numPr>
          <w:ilvl w:val="0"/>
          <w:numId w:val="1"/>
        </w:numPr>
      </w:pPr>
      <w:r>
        <w:t>Please address all the specific comments marked in the manuscript.</w:t>
      </w:r>
    </w:p>
    <w:p w14:paraId="4D421178" w14:textId="7FC6D868" w:rsidR="00507989" w:rsidRPr="00BD4F72" w:rsidRDefault="00507989" w:rsidP="00507989">
      <w:pPr>
        <w:rPr>
          <w:lang w:val="en-US"/>
        </w:rPr>
      </w:pPr>
    </w:p>
    <w:p w14:paraId="0A6903B9" w14:textId="5505DA40" w:rsidR="00507989" w:rsidRPr="00507989" w:rsidRDefault="00507989" w:rsidP="00507989">
      <w:pPr>
        <w:rPr>
          <w:color w:val="4472C4" w:themeColor="accent1"/>
          <w:lang w:val="en-US"/>
        </w:rPr>
      </w:pPr>
      <w:r w:rsidRPr="00507989">
        <w:rPr>
          <w:color w:val="4472C4" w:themeColor="accent1"/>
          <w:lang w:val="en-US"/>
        </w:rPr>
        <w:t>Response:</w:t>
      </w:r>
    </w:p>
    <w:p w14:paraId="01B3425F" w14:textId="6F1BD428" w:rsidR="00507989" w:rsidRPr="00507989" w:rsidRDefault="00507989" w:rsidP="00507989">
      <w:pPr>
        <w:rPr>
          <w:color w:val="4472C4" w:themeColor="accent1"/>
          <w:lang w:val="en-US"/>
        </w:rPr>
      </w:pPr>
      <w:r w:rsidRPr="00507989">
        <w:rPr>
          <w:color w:val="4472C4" w:themeColor="accent1"/>
          <w:lang w:val="en-US"/>
        </w:rPr>
        <w:t xml:space="preserve">Below we </w:t>
      </w:r>
      <w:r w:rsidR="00BA3A47">
        <w:rPr>
          <w:color w:val="4472C4" w:themeColor="accent1"/>
          <w:lang w:val="en-US"/>
        </w:rPr>
        <w:t>address</w:t>
      </w:r>
      <w:r w:rsidR="00BA3A47" w:rsidRPr="00507989">
        <w:rPr>
          <w:color w:val="4472C4" w:themeColor="accent1"/>
          <w:lang w:val="en-US"/>
        </w:rPr>
        <w:t xml:space="preserve"> </w:t>
      </w:r>
      <w:r w:rsidR="00BA3A47">
        <w:rPr>
          <w:color w:val="4472C4" w:themeColor="accent1"/>
          <w:lang w:val="en-US"/>
        </w:rPr>
        <w:t xml:space="preserve">each of the </w:t>
      </w:r>
      <w:r>
        <w:rPr>
          <w:color w:val="4472C4" w:themeColor="accent1"/>
          <w:lang w:val="en-US"/>
        </w:rPr>
        <w:t>editor’s</w:t>
      </w:r>
      <w:r w:rsidRPr="00507989">
        <w:rPr>
          <w:color w:val="4472C4" w:themeColor="accent1"/>
          <w:lang w:val="en-US"/>
        </w:rPr>
        <w:t xml:space="preserve"> comment</w:t>
      </w:r>
      <w:r w:rsidR="00BA3A47">
        <w:rPr>
          <w:color w:val="4472C4" w:themeColor="accent1"/>
          <w:lang w:val="en-US"/>
        </w:rPr>
        <w:t>s</w:t>
      </w:r>
      <w:r w:rsidRPr="00507989">
        <w:rPr>
          <w:color w:val="4472C4" w:themeColor="accent1"/>
          <w:lang w:val="en-US"/>
        </w:rPr>
        <w:t xml:space="preserve"> </w:t>
      </w:r>
      <w:r w:rsidR="00BA3A47">
        <w:rPr>
          <w:color w:val="4472C4" w:themeColor="accent1"/>
          <w:lang w:val="en-US"/>
        </w:rPr>
        <w:t>in</w:t>
      </w:r>
      <w:r w:rsidR="00BA3A47" w:rsidRPr="00507989">
        <w:rPr>
          <w:color w:val="4472C4" w:themeColor="accent1"/>
          <w:lang w:val="en-US"/>
        </w:rPr>
        <w:t xml:space="preserve"> </w:t>
      </w:r>
      <w:r w:rsidRPr="00507989">
        <w:rPr>
          <w:color w:val="4472C4" w:themeColor="accent1"/>
          <w:lang w:val="en-US"/>
        </w:rPr>
        <w:t xml:space="preserve">the manuscript </w:t>
      </w:r>
      <w:r w:rsidR="00BA3A47">
        <w:rPr>
          <w:color w:val="4472C4" w:themeColor="accent1"/>
          <w:lang w:val="en-US"/>
        </w:rPr>
        <w:t xml:space="preserve">indicating </w:t>
      </w:r>
      <w:r w:rsidRPr="00507989">
        <w:rPr>
          <w:color w:val="4472C4" w:themeColor="accent1"/>
          <w:lang w:val="en-US"/>
        </w:rPr>
        <w:t xml:space="preserve">the </w:t>
      </w:r>
      <w:r w:rsidR="00BA3A47">
        <w:rPr>
          <w:color w:val="4472C4" w:themeColor="accent1"/>
          <w:lang w:val="en-US"/>
        </w:rPr>
        <w:t xml:space="preserve">line </w:t>
      </w:r>
      <w:r>
        <w:rPr>
          <w:color w:val="4472C4" w:themeColor="accent1"/>
          <w:lang w:val="en-US"/>
        </w:rPr>
        <w:t xml:space="preserve">number </w:t>
      </w:r>
      <w:r w:rsidRPr="00507989">
        <w:rPr>
          <w:color w:val="4472C4" w:themeColor="accent1"/>
          <w:lang w:val="en-US"/>
        </w:rPr>
        <w:t xml:space="preserve">where the comment was </w:t>
      </w:r>
      <w:r w:rsidR="00BA3A47">
        <w:rPr>
          <w:color w:val="4472C4" w:themeColor="accent1"/>
          <w:lang w:val="en-US"/>
        </w:rPr>
        <w:t>located</w:t>
      </w:r>
      <w:r w:rsidRPr="00507989">
        <w:rPr>
          <w:color w:val="4472C4" w:themeColor="accent1"/>
          <w:lang w:val="en-US"/>
        </w:rPr>
        <w:t xml:space="preserve">. </w:t>
      </w:r>
      <w:r w:rsidR="00BA3A47">
        <w:rPr>
          <w:color w:val="4472C4" w:themeColor="accent1"/>
          <w:lang w:val="en-US"/>
        </w:rPr>
        <w:t>O</w:t>
      </w:r>
      <w:r>
        <w:rPr>
          <w:color w:val="4472C4" w:themeColor="accent1"/>
          <w:lang w:val="en-US"/>
        </w:rPr>
        <w:t xml:space="preserve">ur </w:t>
      </w:r>
      <w:r w:rsidRPr="00507989">
        <w:rPr>
          <w:color w:val="4472C4" w:themeColor="accent1"/>
          <w:lang w:val="en-US"/>
        </w:rPr>
        <w:t xml:space="preserve">responses </w:t>
      </w:r>
      <w:r w:rsidR="00BA3A47">
        <w:rPr>
          <w:color w:val="4472C4" w:themeColor="accent1"/>
          <w:lang w:val="en-US"/>
        </w:rPr>
        <w:t>include the</w:t>
      </w:r>
      <w:r w:rsidR="00BA3A47" w:rsidRPr="00507989">
        <w:rPr>
          <w:color w:val="4472C4" w:themeColor="accent1"/>
          <w:lang w:val="en-US"/>
        </w:rPr>
        <w:t xml:space="preserve"> </w:t>
      </w:r>
      <w:r w:rsidR="00BA3A47">
        <w:rPr>
          <w:color w:val="4472C4" w:themeColor="accent1"/>
          <w:lang w:val="en-US"/>
        </w:rPr>
        <w:t xml:space="preserve">line </w:t>
      </w:r>
      <w:r>
        <w:rPr>
          <w:color w:val="4472C4" w:themeColor="accent1"/>
          <w:lang w:val="en-US"/>
        </w:rPr>
        <w:t>number</w:t>
      </w:r>
      <w:r w:rsidRPr="00507989">
        <w:rPr>
          <w:color w:val="4472C4" w:themeColor="accent1"/>
          <w:lang w:val="en-US"/>
        </w:rPr>
        <w:t xml:space="preserve"> in the revised manuscript.</w:t>
      </w:r>
    </w:p>
    <w:p w14:paraId="752F815C" w14:textId="77777777" w:rsidR="005F6EC8" w:rsidRDefault="005F6EC8" w:rsidP="005F6EC8">
      <w:pPr>
        <w:pStyle w:val="ListParagraph"/>
      </w:pPr>
    </w:p>
    <w:p w14:paraId="0A285785" w14:textId="02915A0B" w:rsidR="008252B9" w:rsidRDefault="005F6EC8" w:rsidP="008252B9">
      <w:pPr>
        <w:rPr>
          <w:lang w:val="en-US"/>
        </w:rPr>
      </w:pPr>
      <w:r w:rsidRPr="005F6EC8">
        <w:rPr>
          <w:lang w:val="en-US"/>
        </w:rPr>
        <w:t>Row 156</w:t>
      </w:r>
      <w:proofErr w:type="gramStart"/>
      <w:r w:rsidRPr="005F6EC8">
        <w:rPr>
          <w:lang w:val="en-US"/>
        </w:rPr>
        <w:t>: ”We</w:t>
      </w:r>
      <w:proofErr w:type="gramEnd"/>
      <w:r w:rsidRPr="005F6EC8">
        <w:rPr>
          <w:lang w:val="en-US"/>
        </w:rPr>
        <w:t xml:space="preserve"> cannot have paragraph of text in the protocol section, converted to </w:t>
      </w:r>
      <w:proofErr w:type="spellStart"/>
      <w:r w:rsidRPr="005F6EC8">
        <w:rPr>
          <w:lang w:val="en-US"/>
        </w:rPr>
        <w:t>substeps</w:t>
      </w:r>
      <w:proofErr w:type="spellEnd"/>
      <w:r w:rsidRPr="005F6EC8">
        <w:rPr>
          <w:lang w:val="en-US"/>
        </w:rPr>
        <w:t xml:space="preserve"> instead. Please check.</w:t>
      </w:r>
      <w:r>
        <w:rPr>
          <w:lang w:val="en-US"/>
        </w:rPr>
        <w:t>”</w:t>
      </w:r>
    </w:p>
    <w:p w14:paraId="2FB42BC6" w14:textId="2E00231F" w:rsidR="005F6EC8" w:rsidRDefault="005F6EC8" w:rsidP="008252B9">
      <w:pPr>
        <w:rPr>
          <w:lang w:val="en-US"/>
        </w:rPr>
      </w:pPr>
    </w:p>
    <w:p w14:paraId="56502E15" w14:textId="2727B881" w:rsidR="005F6EC8" w:rsidRPr="00BD4F72" w:rsidRDefault="005F6EC8" w:rsidP="008252B9">
      <w:pPr>
        <w:rPr>
          <w:color w:val="4472C4" w:themeColor="accent1"/>
          <w:lang w:val="en-US"/>
        </w:rPr>
      </w:pPr>
      <w:r w:rsidRPr="00BD4F72">
        <w:rPr>
          <w:color w:val="4472C4" w:themeColor="accent1"/>
          <w:lang w:val="en-US"/>
        </w:rPr>
        <w:t>Response:</w:t>
      </w:r>
    </w:p>
    <w:p w14:paraId="08F302DD" w14:textId="19A6F94C" w:rsidR="008252B9" w:rsidRPr="00BD4F72" w:rsidRDefault="005856A3" w:rsidP="008252B9">
      <w:pPr>
        <w:rPr>
          <w:color w:val="4472C4" w:themeColor="accent1"/>
          <w:lang w:val="en-US"/>
        </w:rPr>
      </w:pPr>
      <w:r w:rsidRPr="00BD4F72">
        <w:rPr>
          <w:color w:val="4472C4" w:themeColor="accent1"/>
          <w:lang w:val="en-US"/>
        </w:rPr>
        <w:t xml:space="preserve">We have separated the paragraph of text in step 3.1. into three steps. </w:t>
      </w:r>
      <w:r w:rsidR="00B45FE6" w:rsidRPr="00BD4F72">
        <w:rPr>
          <w:color w:val="4472C4" w:themeColor="accent1"/>
          <w:lang w:val="en-US"/>
        </w:rPr>
        <w:t xml:space="preserve">We also divided the steps in the previous section 3 into two sections. Step 3 is now called Experimental design and step 4 is now called Experimental procedure. </w:t>
      </w:r>
    </w:p>
    <w:p w14:paraId="0CC198EF" w14:textId="77777777" w:rsidR="008252B9" w:rsidRPr="005F6EC8" w:rsidRDefault="008252B9" w:rsidP="008252B9">
      <w:pPr>
        <w:rPr>
          <w:lang w:val="en-US"/>
        </w:rPr>
      </w:pPr>
    </w:p>
    <w:p w14:paraId="7667DA60" w14:textId="44EF432B" w:rsidR="008252B9" w:rsidRDefault="005F6EC8" w:rsidP="008252B9">
      <w:pPr>
        <w:rPr>
          <w:lang w:val="en-US"/>
        </w:rPr>
      </w:pPr>
      <w:r>
        <w:rPr>
          <w:lang w:val="en-US"/>
        </w:rPr>
        <w:t>Row 169: “</w:t>
      </w:r>
      <w:r w:rsidRPr="005F6EC8">
        <w:rPr>
          <w:lang w:val="en-US"/>
        </w:rPr>
        <w:t xml:space="preserve">How many words or </w:t>
      </w:r>
      <w:proofErr w:type="spellStart"/>
      <w:r w:rsidRPr="005F6EC8">
        <w:rPr>
          <w:lang w:val="en-US"/>
        </w:rPr>
        <w:t>pseudowords</w:t>
      </w:r>
      <w:proofErr w:type="spellEnd"/>
      <w:r w:rsidRPr="005F6EC8">
        <w:rPr>
          <w:lang w:val="en-US"/>
        </w:rPr>
        <w:t xml:space="preserve"> are shown per trial?</w:t>
      </w:r>
      <w:r>
        <w:rPr>
          <w:lang w:val="en-US"/>
        </w:rPr>
        <w:t>”</w:t>
      </w:r>
    </w:p>
    <w:p w14:paraId="29F0A29D" w14:textId="0F9B1A49" w:rsidR="005F6EC8" w:rsidRDefault="005F6EC8" w:rsidP="008252B9">
      <w:pPr>
        <w:rPr>
          <w:lang w:val="en-US"/>
        </w:rPr>
      </w:pPr>
    </w:p>
    <w:p w14:paraId="4C4C0D4E" w14:textId="75DD08B6" w:rsidR="005F6EC8" w:rsidRPr="005F6EC8" w:rsidRDefault="005F6EC8" w:rsidP="008252B9">
      <w:pPr>
        <w:rPr>
          <w:color w:val="4472C4" w:themeColor="accent1"/>
          <w:lang w:val="en-US"/>
        </w:rPr>
      </w:pPr>
      <w:r w:rsidRPr="005F6EC8">
        <w:rPr>
          <w:color w:val="4472C4" w:themeColor="accent1"/>
          <w:lang w:val="en-US"/>
        </w:rPr>
        <w:lastRenderedPageBreak/>
        <w:t>Response:</w:t>
      </w:r>
    </w:p>
    <w:p w14:paraId="3BA42567" w14:textId="08500BED" w:rsidR="005F6EC8" w:rsidRPr="005F6EC8" w:rsidRDefault="005F6EC8" w:rsidP="008252B9">
      <w:pPr>
        <w:rPr>
          <w:color w:val="4472C4" w:themeColor="accent1"/>
          <w:lang w:val="en-US" w:bidi="en-US"/>
        </w:rPr>
      </w:pPr>
      <w:r w:rsidRPr="005F6EC8">
        <w:rPr>
          <w:color w:val="4472C4" w:themeColor="accent1"/>
          <w:lang w:val="en-US"/>
        </w:rPr>
        <w:t>We have reworded this paragraph: “</w:t>
      </w:r>
      <w:r w:rsidR="00DE3D0B">
        <w:rPr>
          <w:color w:val="4472C4" w:themeColor="accent1"/>
          <w:lang w:val="en-US"/>
        </w:rPr>
        <w:t xml:space="preserve">3.2. </w:t>
      </w:r>
      <w:r w:rsidR="00DE3D0B" w:rsidRPr="00DE3D0B">
        <w:rPr>
          <w:color w:val="4472C4" w:themeColor="accent1"/>
          <w:lang w:val="en-US" w:bidi="en-US"/>
        </w:rPr>
        <w:t>Begin the experiment with a practice session that includes a small number of trials, with one word presented per trial (e.g., fifteen words and fifteen pseudo-words not included in the actual experiment). This is to familiarize the participant with the task and the response buttons. If the participant is not responding accurately (‘yes’ button for real words and ‘no’ button for pseudo-words) during the practice trial, provide feedback and redo the practice session.</w:t>
      </w:r>
      <w:r w:rsidRPr="00A13F02">
        <w:rPr>
          <w:color w:val="4472C4" w:themeColor="accent1"/>
          <w:lang w:val="en-US" w:bidi="en-US"/>
        </w:rPr>
        <w:t>”</w:t>
      </w:r>
      <w:r w:rsidRPr="00B45FE6">
        <w:rPr>
          <w:color w:val="4472C4" w:themeColor="accent1"/>
          <w:lang w:val="en-US" w:bidi="en-US"/>
        </w:rPr>
        <w:t xml:space="preserve"> (rows 16</w:t>
      </w:r>
      <w:r w:rsidR="00DE3D0B">
        <w:rPr>
          <w:color w:val="4472C4" w:themeColor="accent1"/>
          <w:lang w:val="en-US" w:bidi="en-US"/>
        </w:rPr>
        <w:t>7</w:t>
      </w:r>
      <w:r w:rsidR="00B45FE6" w:rsidRPr="00B45FE6">
        <w:rPr>
          <w:color w:val="4472C4" w:themeColor="accent1"/>
          <w:lang w:val="en-US" w:bidi="en-US"/>
        </w:rPr>
        <w:t>-1</w:t>
      </w:r>
      <w:r w:rsidR="00DE3D0B">
        <w:rPr>
          <w:color w:val="4472C4" w:themeColor="accent1"/>
          <w:lang w:val="en-US" w:bidi="en-US"/>
        </w:rPr>
        <w:t>71</w:t>
      </w:r>
      <w:r w:rsidRPr="00B45FE6">
        <w:rPr>
          <w:color w:val="4472C4" w:themeColor="accent1"/>
          <w:lang w:val="en-US" w:bidi="en-US"/>
        </w:rPr>
        <w:t>)</w:t>
      </w:r>
    </w:p>
    <w:p w14:paraId="3CEF4B89" w14:textId="3408C670" w:rsidR="005F6EC8" w:rsidRDefault="005F6EC8" w:rsidP="008252B9">
      <w:pPr>
        <w:rPr>
          <w:lang w:val="en-US"/>
        </w:rPr>
      </w:pPr>
    </w:p>
    <w:p w14:paraId="4FB188F5" w14:textId="3E8BECCE" w:rsidR="005F6EC8" w:rsidRDefault="005F6EC8" w:rsidP="008252B9">
      <w:pPr>
        <w:rPr>
          <w:lang w:val="en-US"/>
        </w:rPr>
      </w:pPr>
      <w:r>
        <w:rPr>
          <w:lang w:val="en-US"/>
        </w:rPr>
        <w:t>Row 175: “</w:t>
      </w:r>
      <w:r w:rsidRPr="005F6EC8">
        <w:rPr>
          <w:lang w:val="en-US"/>
        </w:rPr>
        <w:t xml:space="preserve">Please explain what kind of filler items are used? Are these words or </w:t>
      </w:r>
      <w:proofErr w:type="spellStart"/>
      <w:r w:rsidRPr="005F6EC8">
        <w:rPr>
          <w:lang w:val="en-US"/>
        </w:rPr>
        <w:t>pseudowords</w:t>
      </w:r>
      <w:proofErr w:type="spellEnd"/>
      <w:r w:rsidRPr="005F6EC8">
        <w:rPr>
          <w:lang w:val="en-US"/>
        </w:rPr>
        <w:t>?”</w:t>
      </w:r>
    </w:p>
    <w:p w14:paraId="1908811E" w14:textId="764E0D0C" w:rsidR="005F6EC8" w:rsidRDefault="005F6EC8" w:rsidP="008252B9">
      <w:pPr>
        <w:rPr>
          <w:lang w:val="en-US"/>
        </w:rPr>
      </w:pPr>
    </w:p>
    <w:p w14:paraId="2B578B8F" w14:textId="58B85FDD" w:rsidR="005F6EC8" w:rsidRPr="005F6EC8" w:rsidRDefault="005F6EC8" w:rsidP="008252B9">
      <w:pPr>
        <w:rPr>
          <w:color w:val="4472C4" w:themeColor="accent1"/>
          <w:lang w:val="en-US"/>
        </w:rPr>
      </w:pPr>
      <w:r w:rsidRPr="005F6EC8">
        <w:rPr>
          <w:color w:val="4472C4" w:themeColor="accent1"/>
          <w:lang w:val="en-US"/>
        </w:rPr>
        <w:t>Response:</w:t>
      </w:r>
    </w:p>
    <w:p w14:paraId="3442938D" w14:textId="325B7D44" w:rsidR="005F6EC8" w:rsidRDefault="005F6EC8" w:rsidP="008252B9">
      <w:pPr>
        <w:rPr>
          <w:color w:val="4472C4" w:themeColor="accent1"/>
          <w:lang w:val="en-US" w:bidi="en-US"/>
        </w:rPr>
      </w:pPr>
      <w:r w:rsidRPr="005F6EC8">
        <w:rPr>
          <w:color w:val="4472C4" w:themeColor="accent1"/>
          <w:lang w:val="en-US"/>
        </w:rPr>
        <w:t>We have added an explanation. “</w:t>
      </w:r>
      <w:r w:rsidRPr="005F6EC8">
        <w:rPr>
          <w:color w:val="4472C4" w:themeColor="accent1"/>
          <w:lang w:val="en-US" w:bidi="en-US"/>
        </w:rPr>
        <w:t>3.</w:t>
      </w:r>
      <w:r w:rsidR="00B45FE6">
        <w:rPr>
          <w:color w:val="4472C4" w:themeColor="accent1"/>
          <w:lang w:val="en-US" w:bidi="en-US"/>
        </w:rPr>
        <w:t>4</w:t>
      </w:r>
      <w:r w:rsidRPr="005F6EC8">
        <w:rPr>
          <w:color w:val="4472C4" w:themeColor="accent1"/>
          <w:lang w:val="en-US" w:bidi="en-US"/>
        </w:rPr>
        <w:t xml:space="preserve">. Start each new block with a few filler items (e.g. common nouns such </w:t>
      </w:r>
      <w:r w:rsidRPr="00A13F02">
        <w:rPr>
          <w:color w:val="4472C4" w:themeColor="accent1"/>
          <w:lang w:val="en-US" w:bidi="en-US"/>
        </w:rPr>
        <w:t xml:space="preserve">as </w:t>
      </w:r>
      <w:r w:rsidR="00B45FE6" w:rsidRPr="00BD4F72">
        <w:rPr>
          <w:i/>
          <w:color w:val="4472C4" w:themeColor="accent1"/>
          <w:lang w:val="en-US" w:bidi="en-US"/>
        </w:rPr>
        <w:t>dog</w:t>
      </w:r>
      <w:r w:rsidR="00B45FE6" w:rsidRPr="00BD4F72">
        <w:rPr>
          <w:color w:val="4472C4" w:themeColor="accent1"/>
          <w:lang w:val="en-US" w:bidi="en-US"/>
        </w:rPr>
        <w:t xml:space="preserve">, </w:t>
      </w:r>
      <w:r w:rsidR="00B45FE6" w:rsidRPr="00BD4F72">
        <w:rPr>
          <w:i/>
          <w:color w:val="4472C4" w:themeColor="accent1"/>
          <w:lang w:val="en-US" w:bidi="en-US"/>
        </w:rPr>
        <w:t>sister</w:t>
      </w:r>
      <w:r w:rsidRPr="005F6EC8">
        <w:rPr>
          <w:color w:val="4472C4" w:themeColor="accent1"/>
          <w:lang w:val="en-US" w:bidi="en-US"/>
        </w:rPr>
        <w:t xml:space="preserve">, </w:t>
      </w:r>
      <w:r w:rsidRPr="005F6EC8">
        <w:rPr>
          <w:i/>
          <w:color w:val="4472C4" w:themeColor="accent1"/>
          <w:lang w:val="en-US" w:bidi="en-US"/>
        </w:rPr>
        <w:t>year</w:t>
      </w:r>
      <w:r w:rsidRPr="005F6EC8">
        <w:rPr>
          <w:color w:val="4472C4" w:themeColor="accent1"/>
          <w:lang w:val="en-US" w:bidi="en-US"/>
        </w:rPr>
        <w:t>) because the first few trials of the block are sometimes ignored by participants with MCI or AD.” (rows 17</w:t>
      </w:r>
      <w:r w:rsidR="00DE3D0B">
        <w:rPr>
          <w:color w:val="4472C4" w:themeColor="accent1"/>
          <w:lang w:val="en-US" w:bidi="en-US"/>
        </w:rPr>
        <w:t>7</w:t>
      </w:r>
      <w:r w:rsidR="00B45FE6">
        <w:rPr>
          <w:color w:val="4472C4" w:themeColor="accent1"/>
          <w:lang w:val="en-US" w:bidi="en-US"/>
        </w:rPr>
        <w:t>-17</w:t>
      </w:r>
      <w:r w:rsidR="00DE3D0B">
        <w:rPr>
          <w:color w:val="4472C4" w:themeColor="accent1"/>
          <w:lang w:val="en-US" w:bidi="en-US"/>
        </w:rPr>
        <w:t>9</w:t>
      </w:r>
      <w:r w:rsidRPr="005F6EC8">
        <w:rPr>
          <w:color w:val="4472C4" w:themeColor="accent1"/>
          <w:lang w:val="en-US" w:bidi="en-US"/>
        </w:rPr>
        <w:t>)</w:t>
      </w:r>
    </w:p>
    <w:p w14:paraId="07F50B77" w14:textId="5EC58FDF" w:rsidR="005F6EC8" w:rsidRDefault="005F6EC8" w:rsidP="008252B9">
      <w:pPr>
        <w:rPr>
          <w:color w:val="4472C4" w:themeColor="accent1"/>
          <w:lang w:val="en-US" w:bidi="en-US"/>
        </w:rPr>
      </w:pPr>
    </w:p>
    <w:p w14:paraId="5C2D4E54" w14:textId="0CFDABA4" w:rsidR="005F6EC8" w:rsidRPr="00BD4F72" w:rsidRDefault="005F6EC8" w:rsidP="008252B9">
      <w:pPr>
        <w:rPr>
          <w:lang w:val="en-US" w:bidi="en-US"/>
        </w:rPr>
      </w:pPr>
      <w:r>
        <w:rPr>
          <w:lang w:val="en-US" w:bidi="en-US"/>
        </w:rPr>
        <w:t>Row 182-184: “</w:t>
      </w:r>
      <w:r w:rsidRPr="005F6EC8">
        <w:rPr>
          <w:lang w:val="en-US" w:bidi="en-US"/>
        </w:rPr>
        <w:t xml:space="preserve">So basically, only one letter string is presented per participant? </w:t>
      </w:r>
      <w:r w:rsidRPr="00BD4F72">
        <w:rPr>
          <w:lang w:val="en-US" w:bidi="en-US"/>
        </w:rPr>
        <w:t>Or do you have more”</w:t>
      </w:r>
    </w:p>
    <w:p w14:paraId="7AAE5BDC" w14:textId="0E070A59" w:rsidR="005F6EC8" w:rsidRPr="00BD4F72" w:rsidRDefault="005F6EC8" w:rsidP="008252B9">
      <w:pPr>
        <w:rPr>
          <w:lang w:val="en-US" w:bidi="en-US"/>
        </w:rPr>
      </w:pPr>
    </w:p>
    <w:p w14:paraId="3F24C2E3" w14:textId="4F68B631" w:rsidR="005F6EC8" w:rsidRPr="00BD4F72" w:rsidRDefault="005F6EC8" w:rsidP="008252B9">
      <w:pPr>
        <w:rPr>
          <w:color w:val="4472C4" w:themeColor="accent1"/>
          <w:lang w:val="en-US" w:bidi="en-US"/>
        </w:rPr>
      </w:pPr>
      <w:r w:rsidRPr="00BD4F72">
        <w:rPr>
          <w:color w:val="4472C4" w:themeColor="accent1"/>
          <w:lang w:val="en-US" w:bidi="en-US"/>
        </w:rPr>
        <w:t>Response:</w:t>
      </w:r>
    </w:p>
    <w:p w14:paraId="7F225C60" w14:textId="70D255DA" w:rsidR="005F6EC8" w:rsidRPr="00BD4F72" w:rsidRDefault="005F6EC8" w:rsidP="008252B9">
      <w:pPr>
        <w:rPr>
          <w:rFonts w:asciiTheme="minorHAnsi" w:hAnsiTheme="minorHAnsi" w:cstheme="minorHAnsi"/>
          <w:color w:val="4472C4" w:themeColor="accent1"/>
          <w:lang w:val="en-US" w:bidi="en-US"/>
        </w:rPr>
      </w:pPr>
      <w:r w:rsidRPr="005F6EC8">
        <w:rPr>
          <w:color w:val="4472C4" w:themeColor="accent1"/>
          <w:lang w:val="en-US" w:bidi="en-US"/>
        </w:rPr>
        <w:t>We have added a</w:t>
      </w:r>
      <w:r w:rsidR="00B45FE6">
        <w:rPr>
          <w:color w:val="4472C4" w:themeColor="accent1"/>
          <w:lang w:val="en-US" w:bidi="en-US"/>
        </w:rPr>
        <w:t xml:space="preserve"> new step: </w:t>
      </w:r>
      <w:r w:rsidRPr="005F6EC8">
        <w:rPr>
          <w:color w:val="4472C4" w:themeColor="accent1"/>
          <w:lang w:val="en-US" w:bidi="en-US"/>
        </w:rPr>
        <w:t xml:space="preserve"> </w:t>
      </w:r>
      <w:r w:rsidR="00B45FE6" w:rsidRPr="00BD4F72">
        <w:rPr>
          <w:color w:val="4472C4" w:themeColor="accent1"/>
          <w:lang w:val="en-US" w:bidi="en-US"/>
        </w:rPr>
        <w:t>”3.</w:t>
      </w:r>
      <w:r w:rsidR="00DE3D0B">
        <w:rPr>
          <w:color w:val="4472C4" w:themeColor="accent1"/>
          <w:lang w:val="en-US" w:bidi="en-US"/>
        </w:rPr>
        <w:t>9.</w:t>
      </w:r>
      <w:r w:rsidR="00B45FE6" w:rsidRPr="00BD4F72">
        <w:rPr>
          <w:color w:val="4472C4" w:themeColor="accent1"/>
          <w:lang w:val="en-US" w:bidi="en-US"/>
        </w:rPr>
        <w:t xml:space="preserve"> Repeat this sequence until all of the items in the experiment have been presented</w:t>
      </w:r>
      <w:r w:rsidRPr="00A13F02">
        <w:rPr>
          <w:color w:val="4472C4" w:themeColor="accent1"/>
          <w:lang w:val="en-US" w:bidi="en-US"/>
        </w:rPr>
        <w:t>.”</w:t>
      </w:r>
      <w:r w:rsidRPr="005F6EC8">
        <w:rPr>
          <w:color w:val="4472C4" w:themeColor="accent1"/>
          <w:lang w:val="en-US" w:bidi="en-US"/>
        </w:rPr>
        <w:t xml:space="preserve"> (row 1</w:t>
      </w:r>
      <w:r w:rsidR="00DE3D0B">
        <w:rPr>
          <w:color w:val="4472C4" w:themeColor="accent1"/>
          <w:lang w:val="en-US" w:bidi="en-US"/>
        </w:rPr>
        <w:t>93</w:t>
      </w:r>
      <w:r w:rsidRPr="005F6EC8">
        <w:rPr>
          <w:color w:val="4472C4" w:themeColor="accent1"/>
          <w:lang w:val="en-US" w:bidi="en-US"/>
        </w:rPr>
        <w:t>)</w:t>
      </w:r>
    </w:p>
    <w:p w14:paraId="56C8EE9B" w14:textId="757684FA" w:rsidR="005F6EC8" w:rsidRDefault="005F6EC8" w:rsidP="008252B9">
      <w:pPr>
        <w:rPr>
          <w:color w:val="4472C4" w:themeColor="accent1"/>
          <w:lang w:val="en-US" w:bidi="en-US"/>
        </w:rPr>
      </w:pPr>
    </w:p>
    <w:p w14:paraId="5ED84E66" w14:textId="4C4349A7" w:rsidR="005F6EC8" w:rsidRDefault="005F6EC8" w:rsidP="008252B9">
      <w:pPr>
        <w:rPr>
          <w:lang w:val="en-US" w:bidi="en-US"/>
        </w:rPr>
      </w:pPr>
      <w:r>
        <w:rPr>
          <w:lang w:val="en-US" w:bidi="en-US"/>
        </w:rPr>
        <w:t>Row 195-196: “</w:t>
      </w:r>
      <w:r w:rsidRPr="005F6EC8">
        <w:rPr>
          <w:lang w:val="en-US" w:bidi="en-US"/>
        </w:rPr>
        <w:t>How is the transformation performed?</w:t>
      </w:r>
      <w:r>
        <w:rPr>
          <w:lang w:val="en-US" w:bidi="en-US"/>
        </w:rPr>
        <w:t>”</w:t>
      </w:r>
    </w:p>
    <w:p w14:paraId="4C6D656E" w14:textId="1BD91E08" w:rsidR="005F6EC8" w:rsidRDefault="005F6EC8" w:rsidP="008252B9">
      <w:pPr>
        <w:rPr>
          <w:lang w:val="en-US" w:bidi="en-US"/>
        </w:rPr>
      </w:pPr>
    </w:p>
    <w:p w14:paraId="7361D00D" w14:textId="0AA899F2" w:rsidR="005F6EC8" w:rsidRDefault="005F6EC8" w:rsidP="008252B9">
      <w:pPr>
        <w:rPr>
          <w:color w:val="4472C4" w:themeColor="accent1"/>
          <w:lang w:val="en-US" w:bidi="en-US"/>
        </w:rPr>
      </w:pPr>
      <w:r>
        <w:rPr>
          <w:color w:val="4472C4" w:themeColor="accent1"/>
          <w:lang w:val="en-US" w:bidi="en-US"/>
        </w:rPr>
        <w:t>Response:</w:t>
      </w:r>
    </w:p>
    <w:p w14:paraId="442D8D29" w14:textId="6F5EDFD7" w:rsidR="005F6EC8" w:rsidRDefault="005F6EC8" w:rsidP="008252B9">
      <w:pPr>
        <w:rPr>
          <w:color w:val="4472C4" w:themeColor="accent1"/>
          <w:lang w:val="en-US" w:bidi="en-US"/>
        </w:rPr>
      </w:pPr>
      <w:r>
        <w:rPr>
          <w:color w:val="4472C4" w:themeColor="accent1"/>
          <w:lang w:val="en-US" w:bidi="en-US"/>
        </w:rPr>
        <w:t>We have added two lines of code</w:t>
      </w:r>
      <w:r w:rsidR="00A13F02">
        <w:rPr>
          <w:color w:val="4472C4" w:themeColor="accent1"/>
          <w:lang w:val="en-US" w:bidi="en-US"/>
        </w:rPr>
        <w:t xml:space="preserve"> to demonstrate </w:t>
      </w:r>
      <w:r w:rsidR="00F41317">
        <w:rPr>
          <w:color w:val="4472C4" w:themeColor="accent1"/>
          <w:lang w:val="en-US" w:bidi="en-US"/>
        </w:rPr>
        <w:t>how to check for skewness in the data</w:t>
      </w:r>
      <w:r>
        <w:rPr>
          <w:color w:val="4472C4" w:themeColor="accent1"/>
          <w:lang w:val="en-US" w:bidi="en-US"/>
        </w:rPr>
        <w:t>:</w:t>
      </w:r>
    </w:p>
    <w:p w14:paraId="34ECFF43" w14:textId="77777777" w:rsidR="005F6EC8" w:rsidRPr="005F6EC8" w:rsidRDefault="005F6EC8" w:rsidP="005F6EC8">
      <w:pPr>
        <w:rPr>
          <w:i/>
          <w:color w:val="4472C4" w:themeColor="accent1"/>
          <w:lang w:val="en-US" w:bidi="en-US"/>
        </w:rPr>
      </w:pPr>
      <w:r w:rsidRPr="005F6EC8">
        <w:rPr>
          <w:color w:val="4472C4" w:themeColor="accent1"/>
          <w:lang w:val="en-US" w:bidi="en-US"/>
        </w:rPr>
        <w:t xml:space="preserve">&gt; </w:t>
      </w:r>
      <w:r w:rsidRPr="005F6EC8">
        <w:rPr>
          <w:i/>
          <w:color w:val="4472C4" w:themeColor="accent1"/>
          <w:lang w:val="en-US" w:bidi="en-US"/>
        </w:rPr>
        <w:t>library (MASS)</w:t>
      </w:r>
    </w:p>
    <w:p w14:paraId="0309786C" w14:textId="77777777" w:rsidR="005F6EC8" w:rsidRPr="005F6EC8" w:rsidRDefault="005F6EC8" w:rsidP="005F6EC8">
      <w:pPr>
        <w:rPr>
          <w:i/>
          <w:color w:val="4472C4" w:themeColor="accent1"/>
          <w:lang w:val="en-US" w:bidi="en-US"/>
        </w:rPr>
      </w:pPr>
      <w:r w:rsidRPr="005F6EC8">
        <w:rPr>
          <w:i/>
          <w:color w:val="4472C4" w:themeColor="accent1"/>
          <w:lang w:val="en-US" w:bidi="en-US"/>
        </w:rPr>
        <w:t xml:space="preserve">&gt; </w:t>
      </w:r>
      <w:proofErr w:type="spellStart"/>
      <w:proofErr w:type="gramStart"/>
      <w:r w:rsidRPr="005F6EC8">
        <w:rPr>
          <w:i/>
          <w:color w:val="4472C4" w:themeColor="accent1"/>
          <w:lang w:val="en-US" w:bidi="en-US"/>
        </w:rPr>
        <w:t>boxcox</w:t>
      </w:r>
      <w:proofErr w:type="spellEnd"/>
      <w:r w:rsidRPr="005F6EC8">
        <w:rPr>
          <w:i/>
          <w:color w:val="4472C4" w:themeColor="accent1"/>
          <w:lang w:val="en-US" w:bidi="en-US"/>
        </w:rPr>
        <w:t>(</w:t>
      </w:r>
      <w:proofErr w:type="gramEnd"/>
      <w:r w:rsidRPr="005F6EC8">
        <w:rPr>
          <w:i/>
          <w:color w:val="4472C4" w:themeColor="accent1"/>
          <w:lang w:val="en-US" w:bidi="en-US"/>
        </w:rPr>
        <w:t xml:space="preserve">RT ~ </w:t>
      </w:r>
      <w:proofErr w:type="spellStart"/>
      <w:r w:rsidRPr="005F6EC8">
        <w:rPr>
          <w:i/>
          <w:color w:val="4472C4" w:themeColor="accent1"/>
          <w:lang w:val="en-US" w:bidi="en-US"/>
        </w:rPr>
        <w:t>Expnanatory_variable</w:t>
      </w:r>
      <w:proofErr w:type="spellEnd"/>
      <w:r w:rsidRPr="005F6EC8">
        <w:rPr>
          <w:i/>
          <w:color w:val="4472C4" w:themeColor="accent1"/>
          <w:lang w:val="en-US" w:bidi="en-US"/>
        </w:rPr>
        <w:t xml:space="preserve">, data = </w:t>
      </w:r>
      <w:proofErr w:type="spellStart"/>
      <w:r w:rsidRPr="005F6EC8">
        <w:rPr>
          <w:i/>
          <w:color w:val="4472C4" w:themeColor="accent1"/>
          <w:lang w:val="en-US" w:bidi="en-US"/>
        </w:rPr>
        <w:t>yourdata</w:t>
      </w:r>
      <w:proofErr w:type="spellEnd"/>
      <w:r w:rsidRPr="005F6EC8">
        <w:rPr>
          <w:i/>
          <w:color w:val="4472C4" w:themeColor="accent1"/>
          <w:lang w:val="en-US" w:bidi="en-US"/>
        </w:rPr>
        <w:t>)</w:t>
      </w:r>
    </w:p>
    <w:p w14:paraId="15533A37" w14:textId="7ABD6044" w:rsidR="005F6EC8" w:rsidRPr="005F6EC8" w:rsidRDefault="005F6EC8" w:rsidP="008252B9">
      <w:pPr>
        <w:rPr>
          <w:color w:val="4472C4" w:themeColor="accent1"/>
          <w:lang w:val="en-US" w:bidi="en-US"/>
        </w:rPr>
      </w:pPr>
      <w:r>
        <w:rPr>
          <w:color w:val="4472C4" w:themeColor="accent1"/>
          <w:lang w:val="en-US" w:bidi="en-US"/>
        </w:rPr>
        <w:t xml:space="preserve">(rows </w:t>
      </w:r>
      <w:r w:rsidR="00F41317">
        <w:rPr>
          <w:color w:val="4472C4" w:themeColor="accent1"/>
          <w:lang w:val="en-US" w:bidi="en-US"/>
        </w:rPr>
        <w:t>2</w:t>
      </w:r>
      <w:r w:rsidR="00DE3D0B">
        <w:rPr>
          <w:color w:val="4472C4" w:themeColor="accent1"/>
          <w:lang w:val="en-US" w:bidi="en-US"/>
        </w:rPr>
        <w:t>20</w:t>
      </w:r>
      <w:r w:rsidR="00F41317">
        <w:rPr>
          <w:color w:val="4472C4" w:themeColor="accent1"/>
          <w:lang w:val="en-US" w:bidi="en-US"/>
        </w:rPr>
        <w:t>-2</w:t>
      </w:r>
      <w:r w:rsidR="00DE3D0B">
        <w:rPr>
          <w:color w:val="4472C4" w:themeColor="accent1"/>
          <w:lang w:val="en-US" w:bidi="en-US"/>
        </w:rPr>
        <w:t>21</w:t>
      </w:r>
      <w:r>
        <w:rPr>
          <w:color w:val="4472C4" w:themeColor="accent1"/>
          <w:lang w:val="en-US" w:bidi="en-US"/>
        </w:rPr>
        <w:t>)</w:t>
      </w:r>
    </w:p>
    <w:p w14:paraId="7F2EE038" w14:textId="299A74A0" w:rsidR="005F6EC8" w:rsidRDefault="00507989" w:rsidP="008252B9">
      <w:pPr>
        <w:rPr>
          <w:color w:val="4472C4" w:themeColor="accent1"/>
          <w:lang w:val="en-US" w:bidi="en-US"/>
        </w:rPr>
      </w:pPr>
      <w:r>
        <w:rPr>
          <w:color w:val="4472C4" w:themeColor="accent1"/>
          <w:lang w:val="en-US" w:bidi="en-US"/>
        </w:rPr>
        <w:t>We have also added a note:</w:t>
      </w:r>
    </w:p>
    <w:p w14:paraId="71EBB252" w14:textId="0A726001" w:rsidR="00507989" w:rsidRDefault="00507989" w:rsidP="00507989">
      <w:pPr>
        <w:rPr>
          <w:color w:val="4472C4" w:themeColor="accent1"/>
          <w:lang w:val="en-US" w:bidi="en-US"/>
        </w:rPr>
      </w:pPr>
      <w:r>
        <w:rPr>
          <w:color w:val="4472C4" w:themeColor="accent1"/>
          <w:lang w:val="en-US" w:bidi="en-US"/>
        </w:rPr>
        <w:t>“</w:t>
      </w:r>
      <w:r w:rsidRPr="00507989">
        <w:rPr>
          <w:color w:val="4472C4" w:themeColor="accent1"/>
          <w:lang w:val="en-US" w:bidi="en-US"/>
        </w:rPr>
        <w:t xml:space="preserve">NOTE: </w:t>
      </w:r>
      <w:r w:rsidR="00F41317">
        <w:rPr>
          <w:color w:val="4472C4" w:themeColor="accent1"/>
          <w:lang w:val="en-US" w:bidi="en-US"/>
        </w:rPr>
        <w:t>T</w:t>
      </w:r>
      <w:r w:rsidRPr="00507989">
        <w:rPr>
          <w:color w:val="4472C4" w:themeColor="accent1"/>
          <w:lang w:val="en-US" w:bidi="en-US"/>
        </w:rPr>
        <w:t xml:space="preserve">he graph produced by the </w:t>
      </w:r>
      <w:proofErr w:type="spellStart"/>
      <w:r w:rsidRPr="00507989">
        <w:rPr>
          <w:i/>
          <w:color w:val="4472C4" w:themeColor="accent1"/>
          <w:lang w:val="en-US" w:bidi="en-US"/>
        </w:rPr>
        <w:t>boxcox</w:t>
      </w:r>
      <w:proofErr w:type="spellEnd"/>
      <w:r w:rsidRPr="00507989">
        <w:rPr>
          <w:color w:val="4472C4" w:themeColor="accent1"/>
          <w:lang w:val="en-US" w:bidi="en-US"/>
        </w:rPr>
        <w:t xml:space="preserve"> function shows </w:t>
      </w:r>
      <w:r w:rsidR="00F41317">
        <w:rPr>
          <w:color w:val="4472C4" w:themeColor="accent1"/>
          <w:lang w:val="en-US" w:bidi="en-US"/>
        </w:rPr>
        <w:t xml:space="preserve">a </w:t>
      </w:r>
      <w:r w:rsidRPr="00507989">
        <w:rPr>
          <w:color w:val="4472C4" w:themeColor="accent1"/>
          <w:lang w:val="en-US" w:bidi="en-US"/>
        </w:rPr>
        <w:t xml:space="preserve">95% confidence interval for the </w:t>
      </w:r>
      <w:proofErr w:type="spellStart"/>
      <w:r w:rsidRPr="00507989">
        <w:rPr>
          <w:color w:val="4472C4" w:themeColor="accent1"/>
          <w:lang w:val="en-US" w:bidi="en-US"/>
        </w:rPr>
        <w:t>boxcox</w:t>
      </w:r>
      <w:proofErr w:type="spellEnd"/>
      <w:r w:rsidRPr="00507989">
        <w:rPr>
          <w:color w:val="4472C4" w:themeColor="accent1"/>
          <w:lang w:val="en-US" w:bidi="en-US"/>
        </w:rPr>
        <w:t xml:space="preserve"> transformation parameter. Depending on the lambda values located within this interval, the needed transformation can be chosen, e.g., </w:t>
      </w:r>
      <w:r w:rsidRPr="00507989">
        <w:rPr>
          <w:rFonts w:ascii="Cambria Math" w:hAnsi="Cambria Math" w:cs="Cambria Math"/>
          <w:color w:val="4472C4" w:themeColor="accent1"/>
          <w:lang w:bidi="en-US"/>
        </w:rPr>
        <w:t>𝜆</w:t>
      </w:r>
      <w:r w:rsidRPr="00507989">
        <w:rPr>
          <w:color w:val="4472C4" w:themeColor="accent1"/>
          <w:lang w:val="en-US" w:bidi="en-US"/>
        </w:rPr>
        <w:t xml:space="preserve">=−1 (inverse transformation), </w:t>
      </w:r>
      <w:r w:rsidRPr="00507989">
        <w:rPr>
          <w:rFonts w:ascii="Cambria Math" w:hAnsi="Cambria Math" w:cs="Cambria Math"/>
          <w:color w:val="4472C4" w:themeColor="accent1"/>
          <w:lang w:bidi="en-US"/>
        </w:rPr>
        <w:t>𝜆</w:t>
      </w:r>
      <w:r w:rsidRPr="00507989">
        <w:rPr>
          <w:color w:val="4472C4" w:themeColor="accent1"/>
          <w:lang w:val="en-US" w:bidi="en-US"/>
        </w:rPr>
        <w:t xml:space="preserve">=0 (logarithmic transformation), </w:t>
      </w:r>
      <w:r w:rsidRPr="00507989">
        <w:rPr>
          <w:rFonts w:ascii="Cambria Math" w:hAnsi="Cambria Math" w:cs="Cambria Math"/>
          <w:color w:val="4472C4" w:themeColor="accent1"/>
          <w:lang w:bidi="en-US"/>
        </w:rPr>
        <w:t>𝜆</w:t>
      </w:r>
      <w:r w:rsidRPr="00507989">
        <w:rPr>
          <w:color w:val="4472C4" w:themeColor="accent1"/>
          <w:lang w:val="en-US" w:bidi="en-US"/>
        </w:rPr>
        <w:t xml:space="preserve">=1/2 (square root transformation), and </w:t>
      </w:r>
      <w:r w:rsidRPr="00507989">
        <w:rPr>
          <w:rFonts w:ascii="Cambria Math" w:hAnsi="Cambria Math" w:cs="Cambria Math"/>
          <w:color w:val="4472C4" w:themeColor="accent1"/>
          <w:lang w:bidi="en-US"/>
        </w:rPr>
        <w:t>𝜆</w:t>
      </w:r>
      <w:r w:rsidRPr="00507989">
        <w:rPr>
          <w:color w:val="4472C4" w:themeColor="accent1"/>
          <w:lang w:val="en-US" w:bidi="en-US"/>
        </w:rPr>
        <w:t>=1/3 (cube root transformation).</w:t>
      </w:r>
      <w:r>
        <w:rPr>
          <w:color w:val="4472C4" w:themeColor="accent1"/>
          <w:lang w:val="en-US" w:bidi="en-US"/>
        </w:rPr>
        <w:t>”</w:t>
      </w:r>
    </w:p>
    <w:p w14:paraId="077CB5C2" w14:textId="21A8C93B" w:rsidR="00507989" w:rsidRDefault="00507989" w:rsidP="00507989">
      <w:pPr>
        <w:rPr>
          <w:color w:val="4472C4" w:themeColor="accent1"/>
          <w:lang w:val="en-US" w:bidi="en-US"/>
        </w:rPr>
      </w:pPr>
      <w:r>
        <w:rPr>
          <w:color w:val="4472C4" w:themeColor="accent1"/>
          <w:lang w:val="en-US" w:bidi="en-US"/>
        </w:rPr>
        <w:t>(rows 2</w:t>
      </w:r>
      <w:r w:rsidR="00DE3D0B">
        <w:rPr>
          <w:color w:val="4472C4" w:themeColor="accent1"/>
          <w:lang w:val="en-US" w:bidi="en-US"/>
        </w:rPr>
        <w:t>23</w:t>
      </w:r>
      <w:r w:rsidR="00F41317">
        <w:rPr>
          <w:color w:val="4472C4" w:themeColor="accent1"/>
          <w:lang w:val="en-US" w:bidi="en-US"/>
        </w:rPr>
        <w:t>-2</w:t>
      </w:r>
      <w:r w:rsidR="00DE3D0B">
        <w:rPr>
          <w:color w:val="4472C4" w:themeColor="accent1"/>
          <w:lang w:val="en-US" w:bidi="en-US"/>
        </w:rPr>
        <w:t>26</w:t>
      </w:r>
      <w:r>
        <w:rPr>
          <w:color w:val="4472C4" w:themeColor="accent1"/>
          <w:lang w:val="en-US" w:bidi="en-US"/>
        </w:rPr>
        <w:t>)</w:t>
      </w:r>
    </w:p>
    <w:p w14:paraId="6E1D60E8" w14:textId="781B9173" w:rsidR="00507989" w:rsidRDefault="00507989" w:rsidP="00507989">
      <w:pPr>
        <w:rPr>
          <w:color w:val="4472C4" w:themeColor="accent1"/>
          <w:lang w:val="en-US" w:bidi="en-US"/>
        </w:rPr>
      </w:pPr>
    </w:p>
    <w:p w14:paraId="54A7DBA4" w14:textId="76ED8E98" w:rsidR="00507989" w:rsidRPr="00BD4F72" w:rsidRDefault="00507989" w:rsidP="00507989">
      <w:pPr>
        <w:rPr>
          <w:lang w:val="en-US" w:bidi="en-US"/>
        </w:rPr>
      </w:pPr>
      <w:r w:rsidRPr="00507989">
        <w:rPr>
          <w:lang w:val="en-US" w:bidi="en-US"/>
        </w:rPr>
        <w:t>Row 246:</w:t>
      </w:r>
      <w:r>
        <w:rPr>
          <w:lang w:val="en-US" w:bidi="en-US"/>
        </w:rPr>
        <w:t xml:space="preserve"> “</w:t>
      </w:r>
      <w:r w:rsidRPr="00BD4F72">
        <w:rPr>
          <w:lang w:val="en-US" w:bidi="en-US"/>
        </w:rPr>
        <w:t xml:space="preserve">e.g.?” </w:t>
      </w:r>
    </w:p>
    <w:p w14:paraId="2578DDD1" w14:textId="12846345" w:rsidR="00507989" w:rsidRDefault="00507989" w:rsidP="008252B9">
      <w:pPr>
        <w:rPr>
          <w:color w:val="4472C4" w:themeColor="accent1"/>
          <w:lang w:val="en-US" w:bidi="en-US"/>
        </w:rPr>
      </w:pPr>
    </w:p>
    <w:p w14:paraId="7BE0FFE4" w14:textId="09AD3718" w:rsidR="00507989" w:rsidRDefault="00507989" w:rsidP="008252B9">
      <w:pPr>
        <w:rPr>
          <w:color w:val="4472C4" w:themeColor="accent1"/>
          <w:lang w:val="en-US" w:bidi="en-US"/>
        </w:rPr>
      </w:pPr>
      <w:r>
        <w:rPr>
          <w:color w:val="4472C4" w:themeColor="accent1"/>
          <w:lang w:val="en-US" w:bidi="en-US"/>
        </w:rPr>
        <w:t>Response:</w:t>
      </w:r>
    </w:p>
    <w:p w14:paraId="55273AAE" w14:textId="5DB71DFE" w:rsidR="00507989" w:rsidRDefault="00507989" w:rsidP="008252B9">
      <w:pPr>
        <w:rPr>
          <w:color w:val="4472C4" w:themeColor="accent1"/>
          <w:lang w:val="en-US" w:bidi="en-US"/>
        </w:rPr>
      </w:pPr>
      <w:r>
        <w:rPr>
          <w:color w:val="4472C4" w:themeColor="accent1"/>
          <w:lang w:val="en-US" w:bidi="en-US"/>
        </w:rPr>
        <w:t>We have added a sentence: “</w:t>
      </w:r>
      <w:r w:rsidRPr="00507989">
        <w:rPr>
          <w:color w:val="4472C4" w:themeColor="accent1"/>
          <w:lang w:val="en-US" w:bidi="en-US"/>
        </w:rPr>
        <w:t>e.g., some of those that are presented in Table 1</w:t>
      </w:r>
      <w:r>
        <w:rPr>
          <w:color w:val="4472C4" w:themeColor="accent1"/>
          <w:lang w:val="en-US" w:bidi="en-US"/>
        </w:rPr>
        <w:t xml:space="preserve">” (rows </w:t>
      </w:r>
      <w:r w:rsidR="00DE3D0B">
        <w:rPr>
          <w:color w:val="4472C4" w:themeColor="accent1"/>
          <w:lang w:val="en-US" w:bidi="en-US"/>
        </w:rPr>
        <w:t>278</w:t>
      </w:r>
      <w:r w:rsidR="00F41317">
        <w:rPr>
          <w:color w:val="4472C4" w:themeColor="accent1"/>
          <w:lang w:val="en-US" w:bidi="en-US"/>
        </w:rPr>
        <w:t>-</w:t>
      </w:r>
      <w:r w:rsidR="00DE3D0B">
        <w:rPr>
          <w:color w:val="4472C4" w:themeColor="accent1"/>
          <w:lang w:val="en-US" w:bidi="en-US"/>
        </w:rPr>
        <w:t>279</w:t>
      </w:r>
      <w:r>
        <w:rPr>
          <w:color w:val="4472C4" w:themeColor="accent1"/>
          <w:lang w:val="en-US" w:bidi="en-US"/>
        </w:rPr>
        <w:t>)</w:t>
      </w:r>
    </w:p>
    <w:p w14:paraId="50DCF724" w14:textId="4802066E" w:rsidR="00507989" w:rsidRDefault="00507989" w:rsidP="008252B9">
      <w:pPr>
        <w:rPr>
          <w:color w:val="4472C4" w:themeColor="accent1"/>
          <w:lang w:val="en-US" w:bidi="en-US"/>
        </w:rPr>
      </w:pPr>
    </w:p>
    <w:p w14:paraId="10BD8873" w14:textId="09C1CFD8" w:rsidR="00507989" w:rsidRDefault="00507989" w:rsidP="008252B9">
      <w:pPr>
        <w:rPr>
          <w:lang w:val="en-US" w:bidi="en-US"/>
        </w:rPr>
      </w:pPr>
      <w:r w:rsidRPr="00507989">
        <w:rPr>
          <w:lang w:val="en-US" w:bidi="en-US"/>
        </w:rPr>
        <w:t>Row 260: “</w:t>
      </w:r>
      <w:proofErr w:type="gramStart"/>
      <w:r w:rsidRPr="00507989">
        <w:rPr>
          <w:lang w:val="en-US" w:bidi="en-US"/>
        </w:rPr>
        <w:t>how ?</w:t>
      </w:r>
      <w:proofErr w:type="gramEnd"/>
      <w:r w:rsidRPr="00507989">
        <w:rPr>
          <w:lang w:val="en-US" w:bidi="en-US"/>
        </w:rPr>
        <w:t>”</w:t>
      </w:r>
    </w:p>
    <w:p w14:paraId="6B4F44CB" w14:textId="5B0F09D8" w:rsidR="00507989" w:rsidRDefault="00507989" w:rsidP="008252B9">
      <w:pPr>
        <w:rPr>
          <w:lang w:val="en-US" w:bidi="en-US"/>
        </w:rPr>
      </w:pPr>
    </w:p>
    <w:p w14:paraId="6AF98519" w14:textId="60380B63" w:rsidR="00507989" w:rsidRPr="00507989" w:rsidRDefault="00507989" w:rsidP="008252B9">
      <w:pPr>
        <w:rPr>
          <w:color w:val="4472C4" w:themeColor="accent1"/>
          <w:lang w:val="en-US" w:bidi="en-US"/>
        </w:rPr>
      </w:pPr>
      <w:r w:rsidRPr="00507989">
        <w:rPr>
          <w:color w:val="4472C4" w:themeColor="accent1"/>
          <w:lang w:val="en-US" w:bidi="en-US"/>
        </w:rPr>
        <w:t>Response:</w:t>
      </w:r>
    </w:p>
    <w:p w14:paraId="6119AECD" w14:textId="5FD0D11A" w:rsidR="00507989" w:rsidRPr="00507989" w:rsidRDefault="00E71381" w:rsidP="008252B9">
      <w:pPr>
        <w:rPr>
          <w:color w:val="4472C4" w:themeColor="accent1"/>
          <w:lang w:val="en-US" w:bidi="en-US"/>
        </w:rPr>
      </w:pPr>
      <w:r>
        <w:rPr>
          <w:color w:val="4472C4" w:themeColor="accent1"/>
          <w:lang w:val="en-US" w:bidi="en-US"/>
        </w:rPr>
        <w:t>We have added some additional wording to describe how to add by-participant random slopes for each predictor:</w:t>
      </w:r>
    </w:p>
    <w:p w14:paraId="3C87A896" w14:textId="1F7D4DAD" w:rsidR="00507989" w:rsidRDefault="00507989" w:rsidP="008252B9">
      <w:pPr>
        <w:rPr>
          <w:color w:val="4472C4" w:themeColor="accent1"/>
          <w:lang w:val="en-US" w:bidi="en-US"/>
        </w:rPr>
      </w:pPr>
      <w:r w:rsidRPr="00507989">
        <w:rPr>
          <w:color w:val="4472C4" w:themeColor="accent1"/>
          <w:lang w:val="en-US" w:bidi="en-US"/>
        </w:rPr>
        <w:lastRenderedPageBreak/>
        <w:t>“Add by-participant random slopes</w:t>
      </w:r>
      <w:r w:rsidRPr="00507989">
        <w:rPr>
          <w:color w:val="4472C4" w:themeColor="accent1"/>
          <w:vertAlign w:val="superscript"/>
          <w:lang w:val="en-US" w:bidi="en-US"/>
        </w:rPr>
        <w:t>32</w:t>
      </w:r>
      <w:r w:rsidRPr="00507989">
        <w:rPr>
          <w:color w:val="4472C4" w:themeColor="accent1"/>
          <w:lang w:val="en-US" w:bidi="en-US"/>
        </w:rPr>
        <w:t xml:space="preserve"> for </w:t>
      </w:r>
      <w:r w:rsidRPr="00B906D9">
        <w:rPr>
          <w:color w:val="4472C4" w:themeColor="accent1"/>
          <w:lang w:val="en-US" w:bidi="en-US"/>
        </w:rPr>
        <w:t>predictors</w:t>
      </w:r>
      <w:r w:rsidR="00E71381" w:rsidRPr="00B906D9">
        <w:rPr>
          <w:color w:val="4472C4" w:themeColor="accent1"/>
          <w:lang w:val="en-US" w:bidi="en-US"/>
        </w:rPr>
        <w:t xml:space="preserve"> by including “1 +” before the variable name, then “| Subject”,</w:t>
      </w:r>
      <w:r w:rsidRPr="00507989">
        <w:rPr>
          <w:color w:val="4472C4" w:themeColor="accent1"/>
          <w:lang w:val="en-US" w:bidi="en-US"/>
        </w:rPr>
        <w:t xml:space="preserve"> e.g., </w:t>
      </w:r>
      <w:r w:rsidRPr="00507989">
        <w:rPr>
          <w:i/>
          <w:color w:val="4472C4" w:themeColor="accent1"/>
          <w:lang w:val="en-US" w:bidi="en-US"/>
        </w:rPr>
        <w:t>(1 + Age | Subject)</w:t>
      </w:r>
      <w:r w:rsidRPr="00507989">
        <w:rPr>
          <w:color w:val="4472C4" w:themeColor="accent1"/>
          <w:lang w:val="en-US" w:bidi="en-US"/>
        </w:rPr>
        <w:t>” (row</w:t>
      </w:r>
      <w:r w:rsidR="00E71381">
        <w:rPr>
          <w:color w:val="4472C4" w:themeColor="accent1"/>
          <w:lang w:val="en-US" w:bidi="en-US"/>
        </w:rPr>
        <w:t xml:space="preserve">s </w:t>
      </w:r>
      <w:r w:rsidR="00DE3D0B">
        <w:rPr>
          <w:color w:val="4472C4" w:themeColor="accent1"/>
          <w:lang w:val="en-US" w:bidi="en-US"/>
        </w:rPr>
        <w:t>292</w:t>
      </w:r>
      <w:r w:rsidR="00E71381">
        <w:rPr>
          <w:color w:val="4472C4" w:themeColor="accent1"/>
          <w:lang w:val="en-US" w:bidi="en-US"/>
        </w:rPr>
        <w:t>-</w:t>
      </w:r>
      <w:r w:rsidR="00DE3D0B">
        <w:rPr>
          <w:color w:val="4472C4" w:themeColor="accent1"/>
          <w:lang w:val="en-US" w:bidi="en-US"/>
        </w:rPr>
        <w:t>293</w:t>
      </w:r>
      <w:r w:rsidRPr="00507989">
        <w:rPr>
          <w:color w:val="4472C4" w:themeColor="accent1"/>
          <w:lang w:val="en-US" w:bidi="en-US"/>
        </w:rPr>
        <w:t>)</w:t>
      </w:r>
    </w:p>
    <w:p w14:paraId="3AD5A7C9" w14:textId="31929267" w:rsidR="00507989" w:rsidRDefault="00507989" w:rsidP="008252B9">
      <w:pPr>
        <w:rPr>
          <w:color w:val="4472C4" w:themeColor="accent1"/>
          <w:lang w:val="en-US" w:bidi="en-US"/>
        </w:rPr>
      </w:pPr>
    </w:p>
    <w:p w14:paraId="5F073EBA" w14:textId="00D6A9BC" w:rsidR="00507989" w:rsidRPr="00507989" w:rsidRDefault="00507989" w:rsidP="008252B9">
      <w:pPr>
        <w:rPr>
          <w:lang w:val="en-US" w:bidi="en-US"/>
        </w:rPr>
      </w:pPr>
      <w:r w:rsidRPr="00507989">
        <w:rPr>
          <w:lang w:val="en-US" w:bidi="en-US"/>
        </w:rPr>
        <w:t>Row 271-272: “How is this done”</w:t>
      </w:r>
    </w:p>
    <w:p w14:paraId="43F12914" w14:textId="43EFD2E5" w:rsidR="008252B9" w:rsidRDefault="008252B9" w:rsidP="008252B9">
      <w:pPr>
        <w:rPr>
          <w:lang w:val="en-US"/>
        </w:rPr>
      </w:pPr>
    </w:p>
    <w:p w14:paraId="627A74E1" w14:textId="7A30CC97" w:rsidR="00507989" w:rsidRPr="00261F42" w:rsidRDefault="00507989" w:rsidP="008252B9">
      <w:pPr>
        <w:rPr>
          <w:color w:val="4472C4" w:themeColor="accent1"/>
          <w:lang w:val="en-US"/>
        </w:rPr>
      </w:pPr>
      <w:r w:rsidRPr="00261F42">
        <w:rPr>
          <w:color w:val="4472C4" w:themeColor="accent1"/>
          <w:lang w:val="en-US"/>
        </w:rPr>
        <w:t>Response:</w:t>
      </w:r>
    </w:p>
    <w:p w14:paraId="3D25A36F" w14:textId="6A7E07D5" w:rsidR="00507989" w:rsidRPr="00261F42" w:rsidRDefault="00261F42" w:rsidP="008252B9">
      <w:pPr>
        <w:rPr>
          <w:color w:val="4472C4" w:themeColor="accent1"/>
          <w:lang w:val="en-US"/>
        </w:rPr>
      </w:pPr>
      <w:r w:rsidRPr="00261F42">
        <w:rPr>
          <w:color w:val="4472C4" w:themeColor="accent1"/>
          <w:lang w:val="en-US"/>
        </w:rPr>
        <w:t>To explain, we have added the following code:</w:t>
      </w:r>
    </w:p>
    <w:p w14:paraId="7FFF6C63" w14:textId="7C653D87" w:rsidR="00261F42" w:rsidRPr="00261F42" w:rsidRDefault="00261F42" w:rsidP="008252B9">
      <w:pPr>
        <w:rPr>
          <w:color w:val="4472C4" w:themeColor="accent1"/>
          <w:lang w:val="en-US" w:bidi="en-US"/>
        </w:rPr>
      </w:pPr>
      <w:r w:rsidRPr="00261F42">
        <w:rPr>
          <w:color w:val="4472C4" w:themeColor="accent1"/>
          <w:lang w:val="en-US"/>
        </w:rPr>
        <w:t>“</w:t>
      </w:r>
      <w:r w:rsidRPr="00261F42">
        <w:rPr>
          <w:color w:val="4472C4" w:themeColor="accent1"/>
          <w:lang w:val="en-US" w:bidi="en-US"/>
        </w:rPr>
        <w:t xml:space="preserve">&gt; </w:t>
      </w:r>
      <w:r w:rsidRPr="00261F42">
        <w:rPr>
          <w:i/>
          <w:color w:val="4472C4" w:themeColor="accent1"/>
          <w:lang w:val="en-US" w:bidi="en-US"/>
        </w:rPr>
        <w:t xml:space="preserve">g4 = </w:t>
      </w:r>
      <w:proofErr w:type="spellStart"/>
      <w:r w:rsidRPr="00261F42">
        <w:rPr>
          <w:i/>
          <w:color w:val="4472C4" w:themeColor="accent1"/>
          <w:lang w:val="en-US" w:bidi="en-US"/>
        </w:rPr>
        <w:t>lmer</w:t>
      </w:r>
      <w:proofErr w:type="spellEnd"/>
      <w:r w:rsidRPr="00261F42">
        <w:rPr>
          <w:i/>
          <w:color w:val="4472C4" w:themeColor="accent1"/>
          <w:lang w:val="en-US" w:bidi="en-US"/>
        </w:rPr>
        <w:t xml:space="preserve"> (RT ~ </w:t>
      </w:r>
      <w:proofErr w:type="gramStart"/>
      <w:r w:rsidRPr="00261F42">
        <w:rPr>
          <w:i/>
          <w:color w:val="4472C4" w:themeColor="accent1"/>
          <w:lang w:val="en-US" w:bidi="en-US"/>
        </w:rPr>
        <w:t>log(</w:t>
      </w:r>
      <w:proofErr w:type="spellStart"/>
      <w:proofErr w:type="gramEnd"/>
      <w:r w:rsidRPr="00261F42">
        <w:rPr>
          <w:i/>
          <w:color w:val="4472C4" w:themeColor="accent1"/>
          <w:lang w:val="en-US" w:bidi="en-US"/>
        </w:rPr>
        <w:t>BaseFrequency</w:t>
      </w:r>
      <w:proofErr w:type="spellEnd"/>
      <w:r w:rsidRPr="00261F42">
        <w:rPr>
          <w:i/>
          <w:color w:val="4472C4" w:themeColor="accent1"/>
          <w:lang w:val="en-US" w:bidi="en-US"/>
        </w:rPr>
        <w:t xml:space="preserve"> + 1) + Age + log(</w:t>
      </w:r>
      <w:proofErr w:type="spellStart"/>
      <w:r w:rsidRPr="00261F42">
        <w:rPr>
          <w:i/>
          <w:color w:val="4472C4" w:themeColor="accent1"/>
          <w:lang w:val="en-US" w:bidi="en-US"/>
        </w:rPr>
        <w:t>BaseFrequency</w:t>
      </w:r>
      <w:proofErr w:type="spellEnd"/>
      <w:r w:rsidRPr="00261F42">
        <w:rPr>
          <w:i/>
          <w:color w:val="4472C4" w:themeColor="accent1"/>
          <w:lang w:val="en-US" w:bidi="en-US"/>
        </w:rPr>
        <w:t xml:space="preserve"> + 1) : Age  + Group + Group : log(</w:t>
      </w:r>
      <w:proofErr w:type="spellStart"/>
      <w:r w:rsidRPr="00261F42">
        <w:rPr>
          <w:i/>
          <w:color w:val="4472C4" w:themeColor="accent1"/>
          <w:lang w:val="en-US" w:bidi="en-US"/>
        </w:rPr>
        <w:t>BaseFrequency</w:t>
      </w:r>
      <w:proofErr w:type="spellEnd"/>
      <w:r w:rsidRPr="00261F42">
        <w:rPr>
          <w:i/>
          <w:color w:val="4472C4" w:themeColor="accent1"/>
          <w:lang w:val="en-US" w:bidi="en-US"/>
        </w:rPr>
        <w:t xml:space="preserve"> + 1) +  (1 + Age | Subject) +  (1 | Item) + (1 | Trial), data = </w:t>
      </w:r>
      <w:proofErr w:type="spellStart"/>
      <w:r w:rsidRPr="00261F42">
        <w:rPr>
          <w:i/>
          <w:color w:val="4472C4" w:themeColor="accent1"/>
          <w:lang w:val="en-US" w:bidi="en-US"/>
        </w:rPr>
        <w:t>yourdata</w:t>
      </w:r>
      <w:proofErr w:type="spellEnd"/>
      <w:r w:rsidRPr="00261F42">
        <w:rPr>
          <w:i/>
          <w:color w:val="4472C4" w:themeColor="accent1"/>
          <w:lang w:val="en-US" w:bidi="en-US"/>
        </w:rPr>
        <w:t>)</w:t>
      </w:r>
      <w:r w:rsidRPr="00261F42">
        <w:rPr>
          <w:color w:val="4472C4" w:themeColor="accent1"/>
          <w:lang w:val="en-US" w:bidi="en-US"/>
        </w:rPr>
        <w:t xml:space="preserve">” (rows </w:t>
      </w:r>
      <w:r w:rsidR="00DE3D0B">
        <w:rPr>
          <w:color w:val="4472C4" w:themeColor="accent1"/>
          <w:lang w:val="en-US" w:bidi="en-US"/>
        </w:rPr>
        <w:t>305</w:t>
      </w:r>
      <w:r w:rsidR="00E71381">
        <w:rPr>
          <w:color w:val="4472C4" w:themeColor="accent1"/>
          <w:lang w:val="en-US" w:bidi="en-US"/>
        </w:rPr>
        <w:t>-</w:t>
      </w:r>
      <w:r w:rsidR="00DE3D0B">
        <w:rPr>
          <w:color w:val="4472C4" w:themeColor="accent1"/>
          <w:lang w:val="en-US" w:bidi="en-US"/>
        </w:rPr>
        <w:t>306</w:t>
      </w:r>
      <w:r w:rsidRPr="00261F42">
        <w:rPr>
          <w:color w:val="4472C4" w:themeColor="accent1"/>
          <w:lang w:val="en-US" w:bidi="en-US"/>
        </w:rPr>
        <w:t>)</w:t>
      </w:r>
    </w:p>
    <w:p w14:paraId="116B6612" w14:textId="26691CFE" w:rsidR="00507989" w:rsidRDefault="00507989" w:rsidP="008252B9">
      <w:pPr>
        <w:rPr>
          <w:lang w:val="en-US"/>
        </w:rPr>
      </w:pPr>
    </w:p>
    <w:p w14:paraId="2989F2F9" w14:textId="6B36CBBE" w:rsidR="00261F42" w:rsidRDefault="00261F42" w:rsidP="008252B9">
      <w:pPr>
        <w:rPr>
          <w:lang w:val="en-US"/>
        </w:rPr>
      </w:pPr>
      <w:r>
        <w:rPr>
          <w:lang w:val="en-US"/>
        </w:rPr>
        <w:t>Row 282: “</w:t>
      </w:r>
      <w:r w:rsidRPr="00261F42">
        <w:rPr>
          <w:lang w:val="en-US"/>
        </w:rPr>
        <w:t>How?</w:t>
      </w:r>
      <w:r>
        <w:rPr>
          <w:lang w:val="en-US"/>
        </w:rPr>
        <w:t>”</w:t>
      </w:r>
    </w:p>
    <w:p w14:paraId="30333AA0" w14:textId="385CD6AE" w:rsidR="00261F42" w:rsidRDefault="00261F42" w:rsidP="008252B9">
      <w:pPr>
        <w:rPr>
          <w:lang w:val="en-US"/>
        </w:rPr>
      </w:pPr>
    </w:p>
    <w:p w14:paraId="5CA4A0C9" w14:textId="6AEAAB86" w:rsidR="00261F42" w:rsidRPr="00261F42" w:rsidRDefault="00261F42" w:rsidP="008252B9">
      <w:pPr>
        <w:rPr>
          <w:color w:val="4472C4" w:themeColor="accent1"/>
          <w:lang w:val="en-US"/>
        </w:rPr>
      </w:pPr>
      <w:r w:rsidRPr="00261F42">
        <w:rPr>
          <w:color w:val="4472C4" w:themeColor="accent1"/>
          <w:lang w:val="en-US"/>
        </w:rPr>
        <w:t>Response:</w:t>
      </w:r>
    </w:p>
    <w:p w14:paraId="47C33335" w14:textId="3660B32C" w:rsidR="00261F42" w:rsidRPr="00261F42" w:rsidRDefault="00261F42" w:rsidP="008252B9">
      <w:pPr>
        <w:rPr>
          <w:color w:val="4472C4" w:themeColor="accent1"/>
          <w:lang w:val="en-US"/>
        </w:rPr>
      </w:pPr>
      <w:r w:rsidRPr="00261F42">
        <w:rPr>
          <w:color w:val="4472C4" w:themeColor="accent1"/>
          <w:lang w:val="en-US"/>
        </w:rPr>
        <w:t xml:space="preserve">We have added the code to explain how this </w:t>
      </w:r>
      <w:r w:rsidR="00E71381">
        <w:rPr>
          <w:color w:val="4472C4" w:themeColor="accent1"/>
          <w:lang w:val="en-US"/>
        </w:rPr>
        <w:t xml:space="preserve">analysis is </w:t>
      </w:r>
      <w:r w:rsidRPr="00261F42">
        <w:rPr>
          <w:color w:val="4472C4" w:themeColor="accent1"/>
          <w:lang w:val="en-US"/>
        </w:rPr>
        <w:t>done:</w:t>
      </w:r>
    </w:p>
    <w:p w14:paraId="6E29B4E4" w14:textId="5251850E" w:rsidR="00261F42" w:rsidRDefault="00261F42" w:rsidP="008252B9">
      <w:pPr>
        <w:rPr>
          <w:color w:val="4472C4" w:themeColor="accent1"/>
          <w:lang w:val="en-US" w:bidi="en-US"/>
        </w:rPr>
      </w:pPr>
      <w:r w:rsidRPr="00261F42">
        <w:rPr>
          <w:color w:val="4472C4" w:themeColor="accent1"/>
          <w:lang w:val="en-US"/>
        </w:rPr>
        <w:t>“</w:t>
      </w:r>
      <w:r w:rsidRPr="00261F42">
        <w:rPr>
          <w:color w:val="4472C4" w:themeColor="accent1"/>
          <w:lang w:val="en-US" w:bidi="en-US"/>
        </w:rPr>
        <w:t xml:space="preserve">&gt; </w:t>
      </w:r>
      <w:r w:rsidRPr="00261F42">
        <w:rPr>
          <w:i/>
          <w:color w:val="4472C4" w:themeColor="accent1"/>
          <w:lang w:val="en-US" w:bidi="en-US"/>
        </w:rPr>
        <w:t>step (g4)</w:t>
      </w:r>
      <w:r w:rsidRPr="00261F42">
        <w:rPr>
          <w:color w:val="4472C4" w:themeColor="accent1"/>
          <w:lang w:val="en-US" w:bidi="en-US"/>
        </w:rPr>
        <w:t xml:space="preserve">” (row </w:t>
      </w:r>
      <w:r w:rsidR="00DE3D0B">
        <w:rPr>
          <w:color w:val="4472C4" w:themeColor="accent1"/>
          <w:lang w:val="en-US" w:bidi="en-US"/>
        </w:rPr>
        <w:t>323</w:t>
      </w:r>
      <w:r w:rsidRPr="00261F42">
        <w:rPr>
          <w:color w:val="4472C4" w:themeColor="accent1"/>
          <w:lang w:val="en-US" w:bidi="en-US"/>
        </w:rPr>
        <w:t>)</w:t>
      </w:r>
    </w:p>
    <w:p w14:paraId="40693014" w14:textId="1E66479C" w:rsidR="00261F42" w:rsidRDefault="00261F42" w:rsidP="008252B9">
      <w:pPr>
        <w:rPr>
          <w:color w:val="4472C4" w:themeColor="accent1"/>
          <w:lang w:val="en-US" w:bidi="en-US"/>
        </w:rPr>
      </w:pPr>
    </w:p>
    <w:p w14:paraId="54D5E511" w14:textId="75EB15C5" w:rsidR="00261F42" w:rsidRPr="00261F42" w:rsidRDefault="00261F42" w:rsidP="008252B9">
      <w:pPr>
        <w:rPr>
          <w:lang w:val="en-US" w:bidi="en-US"/>
        </w:rPr>
      </w:pPr>
      <w:r w:rsidRPr="00261F42">
        <w:rPr>
          <w:lang w:val="en-US" w:bidi="en-US"/>
        </w:rPr>
        <w:t>Row 287: “In the result section please also include how many individuals AD/MCI were recruited for the study? How many controls were used and how did you come up to the conclusions described in the representative results?”</w:t>
      </w:r>
    </w:p>
    <w:p w14:paraId="65CC6048" w14:textId="77777777" w:rsidR="00261F42" w:rsidRPr="00261F42" w:rsidRDefault="00261F42" w:rsidP="008252B9">
      <w:pPr>
        <w:rPr>
          <w:lang w:val="en-US" w:bidi="en-US"/>
        </w:rPr>
      </w:pPr>
    </w:p>
    <w:p w14:paraId="4AE9096F" w14:textId="4331B079" w:rsidR="00507989" w:rsidRPr="00261F42" w:rsidRDefault="00261F42" w:rsidP="008252B9">
      <w:pPr>
        <w:rPr>
          <w:color w:val="4472C4" w:themeColor="accent1"/>
          <w:lang w:val="en-US"/>
        </w:rPr>
      </w:pPr>
      <w:r w:rsidRPr="00261F42">
        <w:rPr>
          <w:color w:val="4472C4" w:themeColor="accent1"/>
          <w:lang w:val="en-US"/>
        </w:rPr>
        <w:t>Response:</w:t>
      </w:r>
    </w:p>
    <w:p w14:paraId="644BE101" w14:textId="4940B678" w:rsidR="00261F42" w:rsidRPr="00261F42" w:rsidRDefault="00E71381" w:rsidP="008252B9">
      <w:pPr>
        <w:rPr>
          <w:color w:val="4472C4" w:themeColor="accent1"/>
          <w:lang w:val="en-US"/>
        </w:rPr>
      </w:pPr>
      <w:r>
        <w:rPr>
          <w:color w:val="4472C4" w:themeColor="accent1"/>
          <w:lang w:val="en-US"/>
        </w:rPr>
        <w:t xml:space="preserve">Added to lines </w:t>
      </w:r>
      <w:r w:rsidR="00DE3D0B">
        <w:rPr>
          <w:color w:val="4472C4" w:themeColor="accent1"/>
          <w:lang w:val="en-US"/>
        </w:rPr>
        <w:t>388</w:t>
      </w:r>
      <w:r>
        <w:rPr>
          <w:color w:val="4472C4" w:themeColor="accent1"/>
          <w:lang w:val="en-US"/>
        </w:rPr>
        <w:t>-</w:t>
      </w:r>
      <w:r w:rsidR="00DE3D0B">
        <w:rPr>
          <w:color w:val="4472C4" w:themeColor="accent1"/>
          <w:lang w:val="en-US"/>
        </w:rPr>
        <w:t>389</w:t>
      </w:r>
      <w:r>
        <w:rPr>
          <w:color w:val="4472C4" w:themeColor="accent1"/>
          <w:lang w:val="en-US"/>
        </w:rPr>
        <w:t>.</w:t>
      </w:r>
    </w:p>
    <w:p w14:paraId="1C37AE08" w14:textId="3873A04E" w:rsidR="00261F42" w:rsidRDefault="00261F42" w:rsidP="008252B9">
      <w:pPr>
        <w:rPr>
          <w:lang w:val="en-US"/>
        </w:rPr>
      </w:pPr>
    </w:p>
    <w:p w14:paraId="46D9944C" w14:textId="7527A4EE" w:rsidR="00261F42" w:rsidRPr="00261F42" w:rsidRDefault="00261F42" w:rsidP="008252B9">
      <w:pPr>
        <w:rPr>
          <w:lang w:val="en-US"/>
        </w:rPr>
      </w:pPr>
      <w:r>
        <w:rPr>
          <w:lang w:val="en-US"/>
        </w:rPr>
        <w:t>Row 288: “</w:t>
      </w:r>
      <w:r w:rsidRPr="00261F42">
        <w:rPr>
          <w:lang w:val="en-US"/>
        </w:rPr>
        <w:t>Please convert the list of variables into a table and refer the table here. Please do not make bullet points in the manuscript text.”</w:t>
      </w:r>
    </w:p>
    <w:p w14:paraId="0CEF3A65" w14:textId="509FF8F3" w:rsidR="00261F42" w:rsidRPr="00261F42" w:rsidRDefault="00261F42" w:rsidP="008252B9">
      <w:pPr>
        <w:rPr>
          <w:lang w:val="en-US"/>
        </w:rPr>
      </w:pPr>
    </w:p>
    <w:p w14:paraId="241E6E53" w14:textId="37C0BF98" w:rsidR="00261F42" w:rsidRPr="00B906D9" w:rsidRDefault="00261F42" w:rsidP="008252B9">
      <w:pPr>
        <w:rPr>
          <w:color w:val="4472C4" w:themeColor="accent1"/>
          <w:lang w:val="en-US"/>
        </w:rPr>
      </w:pPr>
      <w:r w:rsidRPr="00B906D9">
        <w:rPr>
          <w:color w:val="4472C4" w:themeColor="accent1"/>
          <w:lang w:val="en-US"/>
        </w:rPr>
        <w:t>Response:</w:t>
      </w:r>
    </w:p>
    <w:p w14:paraId="7883093A" w14:textId="2195DEE5" w:rsidR="00261F42" w:rsidRPr="00B906D9" w:rsidRDefault="00E71381" w:rsidP="008252B9">
      <w:pPr>
        <w:rPr>
          <w:color w:val="4472C4" w:themeColor="accent1"/>
          <w:lang w:val="en-US"/>
        </w:rPr>
      </w:pPr>
      <w:r w:rsidRPr="00B906D9">
        <w:rPr>
          <w:color w:val="4472C4" w:themeColor="accent1"/>
          <w:lang w:val="en-US"/>
        </w:rPr>
        <w:t xml:space="preserve">The list of variables is now listed in Table 1, which is referred to in the text on lines </w:t>
      </w:r>
      <w:r w:rsidR="00DE3D0B">
        <w:rPr>
          <w:color w:val="4472C4" w:themeColor="accent1"/>
          <w:lang w:val="en-US"/>
        </w:rPr>
        <w:t>279</w:t>
      </w:r>
      <w:r w:rsidRPr="00B906D9">
        <w:rPr>
          <w:color w:val="4472C4" w:themeColor="accent1"/>
          <w:lang w:val="en-US"/>
        </w:rPr>
        <w:t xml:space="preserve"> and </w:t>
      </w:r>
      <w:r w:rsidR="00DE3D0B">
        <w:rPr>
          <w:color w:val="4472C4" w:themeColor="accent1"/>
          <w:lang w:val="en-US"/>
        </w:rPr>
        <w:t>327</w:t>
      </w:r>
      <w:r w:rsidRPr="00B906D9">
        <w:rPr>
          <w:color w:val="4472C4" w:themeColor="accent1"/>
          <w:lang w:val="en-US"/>
        </w:rPr>
        <w:t xml:space="preserve">. </w:t>
      </w:r>
    </w:p>
    <w:p w14:paraId="0255C8A4" w14:textId="2FFEE4F1" w:rsidR="00261F42" w:rsidRPr="00B906D9" w:rsidRDefault="00261F42" w:rsidP="008252B9">
      <w:pPr>
        <w:rPr>
          <w:color w:val="4472C4" w:themeColor="accent1"/>
          <w:lang w:val="en-US"/>
        </w:rPr>
      </w:pPr>
    </w:p>
    <w:p w14:paraId="60A1AF38" w14:textId="267E97C8" w:rsidR="00261F42" w:rsidRPr="00261F42" w:rsidRDefault="00261F42" w:rsidP="008252B9">
      <w:pPr>
        <w:rPr>
          <w:lang w:val="en-US"/>
        </w:rPr>
      </w:pPr>
      <w:r w:rsidRPr="00B906D9">
        <w:rPr>
          <w:lang w:val="en-US"/>
        </w:rPr>
        <w:t>Row 357</w:t>
      </w:r>
      <w:proofErr w:type="gramStart"/>
      <w:r w:rsidRPr="00B906D9">
        <w:rPr>
          <w:lang w:val="en-US"/>
        </w:rPr>
        <w:t>: ”</w:t>
      </w:r>
      <w:r w:rsidRPr="00261F42">
        <w:rPr>
          <w:lang w:val="en-US"/>
        </w:rPr>
        <w:t>How</w:t>
      </w:r>
      <w:proofErr w:type="gramEnd"/>
      <w:r w:rsidRPr="00261F42">
        <w:rPr>
          <w:lang w:val="en-US"/>
        </w:rPr>
        <w:t>?”</w:t>
      </w:r>
    </w:p>
    <w:p w14:paraId="178A69F8" w14:textId="6191ACE5" w:rsidR="00261F42" w:rsidRDefault="00261F42" w:rsidP="008252B9">
      <w:pPr>
        <w:rPr>
          <w:lang w:val="en-US"/>
        </w:rPr>
      </w:pPr>
    </w:p>
    <w:p w14:paraId="2CA2B3D8" w14:textId="23F2D92C" w:rsidR="00261F42" w:rsidRPr="00261F42" w:rsidRDefault="00261F42" w:rsidP="008252B9">
      <w:pPr>
        <w:rPr>
          <w:color w:val="4472C4" w:themeColor="accent1"/>
          <w:lang w:val="en-US"/>
        </w:rPr>
      </w:pPr>
      <w:r w:rsidRPr="00261F42">
        <w:rPr>
          <w:color w:val="4472C4" w:themeColor="accent1"/>
          <w:lang w:val="en-US"/>
        </w:rPr>
        <w:t>Response:</w:t>
      </w:r>
    </w:p>
    <w:p w14:paraId="368220C3" w14:textId="48C070D6" w:rsidR="00261F42" w:rsidRPr="00261F42" w:rsidRDefault="00261F42" w:rsidP="008252B9">
      <w:pPr>
        <w:rPr>
          <w:color w:val="4472C4" w:themeColor="accent1"/>
          <w:lang w:val="en-US"/>
        </w:rPr>
      </w:pPr>
      <w:r w:rsidRPr="00261F42">
        <w:rPr>
          <w:color w:val="4472C4" w:themeColor="accent1"/>
          <w:lang w:val="en-US"/>
        </w:rPr>
        <w:t>We have reworded this paragraph:</w:t>
      </w:r>
    </w:p>
    <w:p w14:paraId="19B5913E" w14:textId="465667FA" w:rsidR="00261F42" w:rsidRDefault="00261F42" w:rsidP="008252B9">
      <w:pPr>
        <w:rPr>
          <w:color w:val="4472C4" w:themeColor="accent1"/>
          <w:lang w:val="en-US" w:bidi="en-US"/>
        </w:rPr>
      </w:pPr>
      <w:r w:rsidRPr="00261F42">
        <w:rPr>
          <w:color w:val="4472C4" w:themeColor="accent1"/>
          <w:lang w:val="en-US"/>
        </w:rPr>
        <w:t>“</w:t>
      </w:r>
      <w:r w:rsidRPr="00261F42">
        <w:rPr>
          <w:b/>
          <w:color w:val="4472C4" w:themeColor="accent1"/>
          <w:lang w:val="en-US" w:bidi="en-US"/>
        </w:rPr>
        <w:t>Table 2</w:t>
      </w:r>
      <w:r w:rsidRPr="00261F42">
        <w:rPr>
          <w:color w:val="4472C4" w:themeColor="accent1"/>
          <w:lang w:val="en-US" w:bidi="en-US"/>
        </w:rPr>
        <w:t xml:space="preserve"> presents the lexical variables with their loadings on PC2. The strongest positive loadings of PC2 were pseudo-family size and frequency for overlap in the internal position. The strongest negative loadings were bigram frequency, Hamming distance of one, final trigram frequency, and orthographic neighborhood density. Since all these variables are </w:t>
      </w:r>
      <w:r w:rsidR="00E71381">
        <w:rPr>
          <w:color w:val="4472C4" w:themeColor="accent1"/>
          <w:lang w:val="en-US" w:bidi="en-US"/>
        </w:rPr>
        <w:t>primarily</w:t>
      </w:r>
      <w:r w:rsidR="00E71381" w:rsidRPr="00261F42">
        <w:rPr>
          <w:color w:val="4472C4" w:themeColor="accent1"/>
          <w:lang w:val="en-US" w:bidi="en-US"/>
        </w:rPr>
        <w:t xml:space="preserve"> </w:t>
      </w:r>
      <w:r w:rsidRPr="00261F42">
        <w:rPr>
          <w:color w:val="4472C4" w:themeColor="accent1"/>
          <w:lang w:val="en-US" w:bidi="en-US"/>
        </w:rPr>
        <w:t>form-based</w:t>
      </w:r>
      <w:r w:rsidR="00E71381">
        <w:rPr>
          <w:color w:val="4472C4" w:themeColor="accent1"/>
          <w:lang w:val="en-US" w:bidi="en-US"/>
        </w:rPr>
        <w:t xml:space="preserve"> rather</w:t>
      </w:r>
      <w:r w:rsidRPr="00261F42">
        <w:rPr>
          <w:color w:val="4472C4" w:themeColor="accent1"/>
          <w:lang w:val="en-US" w:bidi="en-US"/>
        </w:rPr>
        <w:t xml:space="preserve"> than meaning-based, PC2 </w:t>
      </w:r>
      <w:r w:rsidR="00E71381">
        <w:rPr>
          <w:color w:val="4472C4" w:themeColor="accent1"/>
          <w:lang w:val="en-US" w:bidi="en-US"/>
        </w:rPr>
        <w:t>is interpreted as</w:t>
      </w:r>
      <w:r w:rsidR="00E71381" w:rsidRPr="00261F42">
        <w:rPr>
          <w:color w:val="4472C4" w:themeColor="accent1"/>
          <w:lang w:val="en-US" w:bidi="en-US"/>
        </w:rPr>
        <w:t xml:space="preserve"> </w:t>
      </w:r>
      <w:r w:rsidRPr="00261F42">
        <w:rPr>
          <w:color w:val="4472C4" w:themeColor="accent1"/>
          <w:lang w:val="en-US" w:bidi="en-US"/>
        </w:rPr>
        <w:t>reflect</w:t>
      </w:r>
      <w:r w:rsidR="00E71381">
        <w:rPr>
          <w:color w:val="4472C4" w:themeColor="accent1"/>
          <w:lang w:val="en-US" w:bidi="en-US"/>
        </w:rPr>
        <w:t>ing</w:t>
      </w:r>
      <w:r w:rsidRPr="00261F42">
        <w:rPr>
          <w:color w:val="4472C4" w:themeColor="accent1"/>
          <w:lang w:val="en-US" w:bidi="en-US"/>
        </w:rPr>
        <w:t xml:space="preserve"> the influence of form-based aspects of a word on word recognition speed.” (rows </w:t>
      </w:r>
      <w:r w:rsidR="00DE3D0B">
        <w:rPr>
          <w:color w:val="4472C4" w:themeColor="accent1"/>
          <w:lang w:val="en-US" w:bidi="en-US"/>
        </w:rPr>
        <w:t>368</w:t>
      </w:r>
      <w:r w:rsidR="00E71381">
        <w:rPr>
          <w:color w:val="4472C4" w:themeColor="accent1"/>
          <w:lang w:val="en-US" w:bidi="en-US"/>
        </w:rPr>
        <w:t>-</w:t>
      </w:r>
      <w:r w:rsidR="00DE3D0B">
        <w:rPr>
          <w:color w:val="4472C4" w:themeColor="accent1"/>
          <w:lang w:val="en-US" w:bidi="en-US"/>
        </w:rPr>
        <w:t>373</w:t>
      </w:r>
      <w:r w:rsidRPr="00261F42">
        <w:rPr>
          <w:color w:val="4472C4" w:themeColor="accent1"/>
          <w:lang w:val="en-US" w:bidi="en-US"/>
        </w:rPr>
        <w:t>)</w:t>
      </w:r>
    </w:p>
    <w:p w14:paraId="04669542" w14:textId="6E78BDD8" w:rsidR="00261F42" w:rsidRDefault="00261F42" w:rsidP="008252B9">
      <w:pPr>
        <w:rPr>
          <w:color w:val="4472C4" w:themeColor="accent1"/>
          <w:lang w:val="en-US" w:bidi="en-US"/>
        </w:rPr>
      </w:pPr>
    </w:p>
    <w:p w14:paraId="29180281" w14:textId="1EC782EC" w:rsidR="00261F42" w:rsidRPr="00261F42" w:rsidRDefault="00261F42" w:rsidP="008252B9">
      <w:pPr>
        <w:rPr>
          <w:lang w:val="en-US" w:bidi="en-US"/>
        </w:rPr>
      </w:pPr>
      <w:r w:rsidRPr="00261F42">
        <w:rPr>
          <w:lang w:val="en-US" w:bidi="en-US"/>
        </w:rPr>
        <w:t>Row 373-374: “Include the number of subjects in each group here.”</w:t>
      </w:r>
    </w:p>
    <w:p w14:paraId="4E480EA8" w14:textId="77777777" w:rsidR="00261F42" w:rsidRPr="00B906D9" w:rsidRDefault="00261F42" w:rsidP="008252B9">
      <w:pPr>
        <w:rPr>
          <w:color w:val="4472C4" w:themeColor="accent1"/>
          <w:lang w:val="en-US" w:bidi="en-US"/>
        </w:rPr>
      </w:pPr>
    </w:p>
    <w:p w14:paraId="66F65001" w14:textId="6F2735CE" w:rsidR="00261F42" w:rsidRPr="00B906D9" w:rsidRDefault="00261F42" w:rsidP="008252B9">
      <w:pPr>
        <w:rPr>
          <w:color w:val="4472C4" w:themeColor="accent1"/>
          <w:lang w:val="en-US" w:bidi="en-US"/>
        </w:rPr>
      </w:pPr>
      <w:r w:rsidRPr="00B906D9">
        <w:rPr>
          <w:color w:val="4472C4" w:themeColor="accent1"/>
          <w:lang w:val="en-US" w:bidi="en-US"/>
        </w:rPr>
        <w:t>Response:</w:t>
      </w:r>
    </w:p>
    <w:p w14:paraId="6A4F6899" w14:textId="06E075F5" w:rsidR="00507989" w:rsidRDefault="00261F42" w:rsidP="008252B9">
      <w:pPr>
        <w:rPr>
          <w:color w:val="4472C4" w:themeColor="accent1"/>
          <w:lang w:val="en-US"/>
        </w:rPr>
      </w:pPr>
      <w:r w:rsidRPr="00261F42">
        <w:rPr>
          <w:color w:val="4472C4" w:themeColor="accent1"/>
          <w:lang w:val="en-US"/>
        </w:rPr>
        <w:t xml:space="preserve">Done (rows </w:t>
      </w:r>
      <w:r w:rsidR="00DE3D0B">
        <w:rPr>
          <w:color w:val="4472C4" w:themeColor="accent1"/>
          <w:lang w:val="en-US"/>
        </w:rPr>
        <w:t>388</w:t>
      </w:r>
      <w:r w:rsidR="00E71381">
        <w:rPr>
          <w:color w:val="4472C4" w:themeColor="accent1"/>
          <w:lang w:val="en-US"/>
        </w:rPr>
        <w:t>-</w:t>
      </w:r>
      <w:r w:rsidR="00DE3D0B">
        <w:rPr>
          <w:color w:val="4472C4" w:themeColor="accent1"/>
          <w:lang w:val="en-US"/>
        </w:rPr>
        <w:t>389</w:t>
      </w:r>
      <w:r w:rsidRPr="00261F42">
        <w:rPr>
          <w:color w:val="4472C4" w:themeColor="accent1"/>
          <w:lang w:val="en-US"/>
        </w:rPr>
        <w:t>)</w:t>
      </w:r>
    </w:p>
    <w:p w14:paraId="26E1E437" w14:textId="42FCDD6F" w:rsidR="00261F42" w:rsidRDefault="00261F42" w:rsidP="008252B9">
      <w:pPr>
        <w:rPr>
          <w:color w:val="4472C4" w:themeColor="accent1"/>
          <w:lang w:val="en-US"/>
        </w:rPr>
      </w:pPr>
    </w:p>
    <w:p w14:paraId="79C7C1CA" w14:textId="7F50601C" w:rsidR="00261F42" w:rsidRPr="00261F42" w:rsidRDefault="00261F42" w:rsidP="008252B9">
      <w:pPr>
        <w:rPr>
          <w:lang w:val="en-US"/>
        </w:rPr>
      </w:pPr>
      <w:r w:rsidRPr="00261F42">
        <w:rPr>
          <w:lang w:val="en-US"/>
        </w:rPr>
        <w:lastRenderedPageBreak/>
        <w:t>Row 374-377: “How did you get to this conclusion? Please describe this in the result section as well.”</w:t>
      </w:r>
    </w:p>
    <w:p w14:paraId="49842076" w14:textId="6CDE264E" w:rsidR="00261F42" w:rsidRPr="00261F42" w:rsidRDefault="00261F42" w:rsidP="008252B9">
      <w:pPr>
        <w:rPr>
          <w:color w:val="4472C4" w:themeColor="accent1"/>
          <w:lang w:val="en-US"/>
        </w:rPr>
      </w:pPr>
    </w:p>
    <w:p w14:paraId="21707D91" w14:textId="040F9D3C" w:rsidR="00261F42" w:rsidRPr="00261F42" w:rsidRDefault="00261F42" w:rsidP="008252B9">
      <w:pPr>
        <w:rPr>
          <w:color w:val="4472C4" w:themeColor="accent1"/>
          <w:lang w:val="en-US"/>
        </w:rPr>
      </w:pPr>
      <w:r w:rsidRPr="00261F42">
        <w:rPr>
          <w:color w:val="4472C4" w:themeColor="accent1"/>
          <w:lang w:val="en-US"/>
        </w:rPr>
        <w:t>Response:</w:t>
      </w:r>
    </w:p>
    <w:p w14:paraId="660FB7A6" w14:textId="6C6EE48A" w:rsidR="00261F42" w:rsidRDefault="00261F42" w:rsidP="008252B9">
      <w:pPr>
        <w:rPr>
          <w:color w:val="4472C4" w:themeColor="accent1"/>
          <w:lang w:val="en-US"/>
        </w:rPr>
      </w:pPr>
      <w:r w:rsidRPr="00261F42">
        <w:rPr>
          <w:color w:val="4472C4" w:themeColor="accent1"/>
          <w:lang w:val="en-US"/>
        </w:rPr>
        <w:t xml:space="preserve">We have reworded </w:t>
      </w:r>
      <w:r>
        <w:rPr>
          <w:color w:val="4472C4" w:themeColor="accent1"/>
          <w:lang w:val="en-US"/>
        </w:rPr>
        <w:t>this paragraph:</w:t>
      </w:r>
    </w:p>
    <w:p w14:paraId="2874875D" w14:textId="420A83EE" w:rsidR="00261F42" w:rsidRDefault="00261F42" w:rsidP="008252B9">
      <w:pPr>
        <w:rPr>
          <w:color w:val="4472C4" w:themeColor="accent1"/>
          <w:lang w:val="en-US" w:bidi="en-US"/>
        </w:rPr>
      </w:pPr>
      <w:r>
        <w:rPr>
          <w:color w:val="4472C4" w:themeColor="accent1"/>
          <w:lang w:val="en-US"/>
        </w:rPr>
        <w:t>“</w:t>
      </w:r>
      <w:r w:rsidR="00DE3D0B" w:rsidRPr="00DE3D0B">
        <w:rPr>
          <w:color w:val="4472C4" w:themeColor="accent1"/>
          <w:lang w:val="en-US" w:bidi="en-US"/>
        </w:rPr>
        <w:t>One interesting difference between the three elderly groups emerged: education significantly predicted speed of word recognition in elderly controls (Table 4; the estimate for Education is negative, which means that more years of education was associated with faster reaction times) and individuals with MCI (Table 5), but not in individuals with AD (Table 6; Education was dropped from the model since it was not a significant predictor), although there was no obvious difference in the variability of years of education among these groups (AD: mean 10.8 years, SD = 4.2, range = 5-19; MCI: mean 10.4 years, SD 3.5, range 6-17; elderly controls: mean 13.7 years, SD 3.7, range 8-20)</w:t>
      </w:r>
      <w:r w:rsidRPr="00261F42">
        <w:rPr>
          <w:color w:val="4472C4" w:themeColor="accent1"/>
          <w:lang w:val="en-US" w:bidi="en-US"/>
        </w:rPr>
        <w:t>.</w:t>
      </w:r>
      <w:r>
        <w:rPr>
          <w:color w:val="4472C4" w:themeColor="accent1"/>
          <w:lang w:val="en-US" w:bidi="en-US"/>
        </w:rPr>
        <w:t>” (rows 3</w:t>
      </w:r>
      <w:r w:rsidR="008D011B">
        <w:rPr>
          <w:color w:val="4472C4" w:themeColor="accent1"/>
          <w:lang w:val="en-US" w:bidi="en-US"/>
        </w:rPr>
        <w:t>91</w:t>
      </w:r>
      <w:r>
        <w:rPr>
          <w:color w:val="4472C4" w:themeColor="accent1"/>
          <w:lang w:val="en-US" w:bidi="en-US"/>
        </w:rPr>
        <w:t>-3</w:t>
      </w:r>
      <w:r w:rsidR="008D011B">
        <w:rPr>
          <w:color w:val="4472C4" w:themeColor="accent1"/>
          <w:lang w:val="en-US" w:bidi="en-US"/>
        </w:rPr>
        <w:t>98</w:t>
      </w:r>
      <w:r>
        <w:rPr>
          <w:color w:val="4472C4" w:themeColor="accent1"/>
          <w:lang w:val="en-US" w:bidi="en-US"/>
        </w:rPr>
        <w:t>)</w:t>
      </w:r>
    </w:p>
    <w:p w14:paraId="770EBEE3" w14:textId="0BBE0AF8" w:rsidR="00261F42" w:rsidRDefault="00261F42" w:rsidP="008252B9">
      <w:pPr>
        <w:rPr>
          <w:color w:val="4472C4" w:themeColor="accent1"/>
          <w:lang w:val="en-US" w:bidi="en-US"/>
        </w:rPr>
      </w:pPr>
    </w:p>
    <w:p w14:paraId="14B7935B" w14:textId="105EB398" w:rsidR="00261F42" w:rsidRPr="00261F42" w:rsidRDefault="00261F42" w:rsidP="008252B9">
      <w:pPr>
        <w:rPr>
          <w:lang w:val="en-US" w:bidi="en-US"/>
        </w:rPr>
      </w:pPr>
      <w:r w:rsidRPr="00261F42">
        <w:rPr>
          <w:lang w:val="en-US" w:bidi="en-US"/>
        </w:rPr>
        <w:t>Rows 389-390: “How was this conclusion derived</w:t>
      </w:r>
      <w:proofErr w:type="gramStart"/>
      <w:r w:rsidRPr="00261F42">
        <w:rPr>
          <w:lang w:val="en-US" w:bidi="en-US"/>
        </w:rPr>
        <w:t>? ”</w:t>
      </w:r>
      <w:proofErr w:type="gramEnd"/>
    </w:p>
    <w:p w14:paraId="1C1C915B" w14:textId="0F01204F" w:rsidR="00261F42" w:rsidRPr="00261F42" w:rsidRDefault="00261F42" w:rsidP="008252B9">
      <w:pPr>
        <w:rPr>
          <w:color w:val="4472C4" w:themeColor="accent1"/>
          <w:lang w:val="en-US" w:bidi="en-US"/>
        </w:rPr>
      </w:pPr>
    </w:p>
    <w:p w14:paraId="39413EC8" w14:textId="0546EAFD" w:rsidR="00261F42" w:rsidRDefault="00261F42" w:rsidP="008252B9">
      <w:pPr>
        <w:rPr>
          <w:color w:val="4472C4" w:themeColor="accent1"/>
          <w:lang w:val="en-US" w:bidi="en-US"/>
        </w:rPr>
      </w:pPr>
      <w:r>
        <w:rPr>
          <w:color w:val="4472C4" w:themeColor="accent1"/>
          <w:lang w:val="en-US" w:bidi="en-US"/>
        </w:rPr>
        <w:t>Response:</w:t>
      </w:r>
    </w:p>
    <w:p w14:paraId="2E0F654F" w14:textId="77777777" w:rsidR="00C40A02" w:rsidRDefault="00C40A02" w:rsidP="008252B9">
      <w:pPr>
        <w:rPr>
          <w:color w:val="4472C4" w:themeColor="accent1"/>
          <w:lang w:val="en-US" w:bidi="en-US"/>
        </w:rPr>
      </w:pPr>
      <w:r>
        <w:rPr>
          <w:color w:val="4472C4" w:themeColor="accent1"/>
          <w:lang w:val="en-US" w:bidi="en-US"/>
        </w:rPr>
        <w:t>We have added an explanation in parentheses:</w:t>
      </w:r>
    </w:p>
    <w:p w14:paraId="78C8B097" w14:textId="60D24CB3" w:rsidR="00C40A02" w:rsidRDefault="00C40A02" w:rsidP="008252B9">
      <w:pPr>
        <w:rPr>
          <w:color w:val="4472C4" w:themeColor="accent1"/>
          <w:lang w:val="en-US" w:bidi="en-US"/>
        </w:rPr>
      </w:pPr>
      <w:r>
        <w:rPr>
          <w:color w:val="4472C4" w:themeColor="accent1"/>
          <w:lang w:val="en-US" w:bidi="en-US"/>
        </w:rPr>
        <w:t>“</w:t>
      </w:r>
      <w:r w:rsidRPr="00C40A02">
        <w:rPr>
          <w:color w:val="4472C4" w:themeColor="accent1"/>
          <w:lang w:val="en-US" w:bidi="en-US"/>
        </w:rPr>
        <w:t>Words with greater stem allomorphy (i.e., words with more changes to their stems) elicited faster reaction times in all groups (</w:t>
      </w:r>
      <w:r w:rsidRPr="00C40A02">
        <w:rPr>
          <w:b/>
          <w:color w:val="4472C4" w:themeColor="accent1"/>
          <w:lang w:val="en-US" w:bidi="en-US"/>
        </w:rPr>
        <w:t>Tables 3</w:t>
      </w:r>
      <w:r w:rsidRPr="00C40A02">
        <w:rPr>
          <w:color w:val="4472C4" w:themeColor="accent1"/>
          <w:lang w:val="en-US" w:bidi="en-US"/>
        </w:rPr>
        <w:t xml:space="preserve">, </w:t>
      </w:r>
      <w:r w:rsidRPr="00C40A02">
        <w:rPr>
          <w:b/>
          <w:color w:val="4472C4" w:themeColor="accent1"/>
          <w:lang w:val="en-US" w:bidi="en-US"/>
        </w:rPr>
        <w:t>4</w:t>
      </w:r>
      <w:r w:rsidRPr="00C40A02">
        <w:rPr>
          <w:color w:val="4472C4" w:themeColor="accent1"/>
          <w:lang w:val="en-US" w:bidi="en-US"/>
        </w:rPr>
        <w:t xml:space="preserve">, and </w:t>
      </w:r>
      <w:r w:rsidRPr="00C40A02">
        <w:rPr>
          <w:b/>
          <w:color w:val="4472C4" w:themeColor="accent1"/>
          <w:lang w:val="en-US" w:bidi="en-US"/>
        </w:rPr>
        <w:t>6</w:t>
      </w:r>
      <w:r w:rsidRPr="00C40A02">
        <w:rPr>
          <w:color w:val="4472C4" w:themeColor="accent1"/>
          <w:lang w:val="en-US" w:bidi="en-US"/>
        </w:rPr>
        <w:t xml:space="preserve">; </w:t>
      </w:r>
      <w:r w:rsidR="00D37632">
        <w:rPr>
          <w:color w:val="4472C4" w:themeColor="accent1"/>
          <w:lang w:val="en-US" w:bidi="en-US"/>
        </w:rPr>
        <w:t>the e</w:t>
      </w:r>
      <w:r w:rsidRPr="00C40A02">
        <w:rPr>
          <w:color w:val="4472C4" w:themeColor="accent1"/>
          <w:lang w:val="en-US" w:bidi="en-US"/>
        </w:rPr>
        <w:t>stimate</w:t>
      </w:r>
      <w:r w:rsidR="00D37632">
        <w:rPr>
          <w:color w:val="4472C4" w:themeColor="accent1"/>
          <w:lang w:val="en-US" w:bidi="en-US"/>
        </w:rPr>
        <w:t>s</w:t>
      </w:r>
      <w:r w:rsidRPr="00C40A02">
        <w:rPr>
          <w:color w:val="4472C4" w:themeColor="accent1"/>
          <w:lang w:val="en-US" w:bidi="en-US"/>
        </w:rPr>
        <w:t xml:space="preserve"> for </w:t>
      </w:r>
      <w:r w:rsidR="00D37632">
        <w:rPr>
          <w:color w:val="4472C4" w:themeColor="accent1"/>
          <w:lang w:val="en-US" w:bidi="en-US"/>
        </w:rPr>
        <w:t>the</w:t>
      </w:r>
      <w:r w:rsidRPr="00C40A02">
        <w:rPr>
          <w:color w:val="4472C4" w:themeColor="accent1"/>
          <w:lang w:val="en-US" w:bidi="en-US"/>
        </w:rPr>
        <w:t xml:space="preserve"> number of allomorphs </w:t>
      </w:r>
      <w:r w:rsidR="00D37632">
        <w:rPr>
          <w:color w:val="4472C4" w:themeColor="accent1"/>
          <w:lang w:val="en-US" w:bidi="en-US"/>
        </w:rPr>
        <w:t>were</w:t>
      </w:r>
      <w:r w:rsidR="00D37632" w:rsidRPr="00C40A02">
        <w:rPr>
          <w:color w:val="4472C4" w:themeColor="accent1"/>
          <w:lang w:val="en-US" w:bidi="en-US"/>
        </w:rPr>
        <w:t xml:space="preserve"> </w:t>
      </w:r>
      <w:r w:rsidRPr="00C40A02">
        <w:rPr>
          <w:color w:val="4472C4" w:themeColor="accent1"/>
          <w:lang w:val="en-US" w:bidi="en-US"/>
        </w:rPr>
        <w:t xml:space="preserve">negative, which means the higher the number of allomorphs a word had, the </w:t>
      </w:r>
      <w:r w:rsidR="00D37632">
        <w:rPr>
          <w:color w:val="4472C4" w:themeColor="accent1"/>
          <w:lang w:val="en-US" w:bidi="en-US"/>
        </w:rPr>
        <w:t>faster</w:t>
      </w:r>
      <w:r w:rsidR="00D37632" w:rsidRPr="00C40A02">
        <w:rPr>
          <w:color w:val="4472C4" w:themeColor="accent1"/>
          <w:lang w:val="en-US" w:bidi="en-US"/>
        </w:rPr>
        <w:t xml:space="preserve"> </w:t>
      </w:r>
      <w:r w:rsidRPr="00C40A02">
        <w:rPr>
          <w:color w:val="4472C4" w:themeColor="accent1"/>
          <w:lang w:val="en-US" w:bidi="en-US"/>
        </w:rPr>
        <w:t>the reaction times it elicited) except the MCI group (</w:t>
      </w:r>
      <w:r w:rsidRPr="00C40A02">
        <w:rPr>
          <w:b/>
          <w:color w:val="4472C4" w:themeColor="accent1"/>
          <w:lang w:val="en-US" w:bidi="en-US"/>
        </w:rPr>
        <w:t>Table 5</w:t>
      </w:r>
      <w:r w:rsidRPr="00C40A02">
        <w:rPr>
          <w:color w:val="4472C4" w:themeColor="accent1"/>
          <w:lang w:val="en-US" w:bidi="en-US"/>
        </w:rPr>
        <w:t>; the number of allomorphs was not a significant predictor and hence was dropped from the model).</w:t>
      </w:r>
      <w:r>
        <w:rPr>
          <w:color w:val="4472C4" w:themeColor="accent1"/>
          <w:lang w:val="en-US" w:bidi="en-US"/>
        </w:rPr>
        <w:t>” Rows (</w:t>
      </w:r>
      <w:r w:rsidR="008D011B">
        <w:rPr>
          <w:color w:val="4472C4" w:themeColor="accent1"/>
          <w:lang w:val="en-US" w:bidi="en-US"/>
        </w:rPr>
        <w:t>410</w:t>
      </w:r>
      <w:r>
        <w:rPr>
          <w:color w:val="4472C4" w:themeColor="accent1"/>
          <w:lang w:val="en-US" w:bidi="en-US"/>
        </w:rPr>
        <w:t>-</w:t>
      </w:r>
      <w:r w:rsidR="008D011B">
        <w:rPr>
          <w:color w:val="4472C4" w:themeColor="accent1"/>
          <w:lang w:val="en-US" w:bidi="en-US"/>
        </w:rPr>
        <w:t>414</w:t>
      </w:r>
      <w:bookmarkStart w:id="0" w:name="_GoBack"/>
      <w:bookmarkEnd w:id="0"/>
      <w:r>
        <w:rPr>
          <w:color w:val="4472C4" w:themeColor="accent1"/>
          <w:lang w:val="en-US" w:bidi="en-US"/>
        </w:rPr>
        <w:t>)</w:t>
      </w:r>
    </w:p>
    <w:p w14:paraId="0E40D708" w14:textId="77777777" w:rsidR="00C40A02" w:rsidRDefault="00C40A02" w:rsidP="008252B9">
      <w:pPr>
        <w:rPr>
          <w:color w:val="4472C4" w:themeColor="accent1"/>
          <w:lang w:val="en-US" w:bidi="en-US"/>
        </w:rPr>
      </w:pPr>
    </w:p>
    <w:p w14:paraId="1C6C3093" w14:textId="77777777" w:rsidR="00C40A02" w:rsidRPr="00C40A02" w:rsidRDefault="00C40A02" w:rsidP="008252B9">
      <w:pPr>
        <w:rPr>
          <w:lang w:val="en-US" w:bidi="en-US"/>
        </w:rPr>
      </w:pPr>
      <w:r w:rsidRPr="00C40A02">
        <w:rPr>
          <w:lang w:val="en-US" w:bidi="en-US"/>
        </w:rPr>
        <w:t>Row 459: “Please ensure that the references appear as the following: [</w:t>
      </w:r>
      <w:proofErr w:type="spellStart"/>
      <w:r w:rsidRPr="00C40A02">
        <w:rPr>
          <w:lang w:val="en-US" w:bidi="en-US"/>
        </w:rPr>
        <w:t>Lastname</w:t>
      </w:r>
      <w:proofErr w:type="spellEnd"/>
      <w:r w:rsidRPr="00C40A02">
        <w:rPr>
          <w:lang w:val="en-US" w:bidi="en-US"/>
        </w:rPr>
        <w:t xml:space="preserve">, F.I., </w:t>
      </w:r>
      <w:proofErr w:type="spellStart"/>
      <w:r w:rsidRPr="00C40A02">
        <w:rPr>
          <w:lang w:val="en-US" w:bidi="en-US"/>
        </w:rPr>
        <w:t>LastName</w:t>
      </w:r>
      <w:proofErr w:type="spellEnd"/>
      <w:r w:rsidRPr="00C40A02">
        <w:rPr>
          <w:lang w:val="en-US" w:bidi="en-US"/>
        </w:rPr>
        <w:t xml:space="preserve">, F.I., </w:t>
      </w:r>
      <w:proofErr w:type="spellStart"/>
      <w:r w:rsidRPr="00C40A02">
        <w:rPr>
          <w:lang w:val="en-US" w:bidi="en-US"/>
        </w:rPr>
        <w:t>LastName</w:t>
      </w:r>
      <w:proofErr w:type="spellEnd"/>
      <w:r w:rsidRPr="00C40A02">
        <w:rPr>
          <w:lang w:val="en-US" w:bidi="en-US"/>
        </w:rPr>
        <w:t xml:space="preserve">, F.I. Article Title. Source. Volume (Issue), </w:t>
      </w:r>
      <w:proofErr w:type="spellStart"/>
      <w:r w:rsidRPr="00C40A02">
        <w:rPr>
          <w:lang w:val="en-US" w:bidi="en-US"/>
        </w:rPr>
        <w:t>FirstPage</w:t>
      </w:r>
      <w:proofErr w:type="spellEnd"/>
      <w:r w:rsidRPr="00C40A02">
        <w:rPr>
          <w:lang w:val="en-US" w:bidi="en-US"/>
        </w:rPr>
        <w:t xml:space="preserve"> – </w:t>
      </w:r>
      <w:proofErr w:type="spellStart"/>
      <w:r w:rsidRPr="00C40A02">
        <w:rPr>
          <w:lang w:val="en-US" w:bidi="en-US"/>
        </w:rPr>
        <w:t>LastPage</w:t>
      </w:r>
      <w:proofErr w:type="spellEnd"/>
      <w:r w:rsidRPr="00C40A02">
        <w:rPr>
          <w:lang w:val="en-US" w:bidi="en-US"/>
        </w:rPr>
        <w:t>, (YEAR).] For more than 6 authors, list only the first author then et al.”</w:t>
      </w:r>
    </w:p>
    <w:p w14:paraId="1E0C13F3" w14:textId="77777777" w:rsidR="00C40A02" w:rsidRDefault="00C40A02" w:rsidP="008252B9">
      <w:pPr>
        <w:rPr>
          <w:color w:val="4472C4" w:themeColor="accent1"/>
          <w:lang w:val="en-US" w:bidi="en-US"/>
        </w:rPr>
      </w:pPr>
    </w:p>
    <w:p w14:paraId="0CB18D1B" w14:textId="47AC9F37" w:rsidR="00261F42" w:rsidRDefault="00C40A02" w:rsidP="008252B9">
      <w:pPr>
        <w:rPr>
          <w:color w:val="4472C4" w:themeColor="accent1"/>
          <w:lang w:val="en-US" w:bidi="en-US"/>
        </w:rPr>
      </w:pPr>
      <w:r>
        <w:rPr>
          <w:color w:val="4472C4" w:themeColor="accent1"/>
          <w:lang w:val="en-US" w:bidi="en-US"/>
        </w:rPr>
        <w:t>Response:</w:t>
      </w:r>
    </w:p>
    <w:p w14:paraId="2EB6DB49" w14:textId="579DD9B1" w:rsidR="00261F42" w:rsidRPr="00261F42" w:rsidRDefault="00C40A02" w:rsidP="008252B9">
      <w:pPr>
        <w:rPr>
          <w:color w:val="4472C4" w:themeColor="accent1"/>
          <w:lang w:val="en-US" w:bidi="en-US"/>
        </w:rPr>
      </w:pPr>
      <w:r>
        <w:rPr>
          <w:color w:val="4472C4" w:themeColor="accent1"/>
          <w:lang w:val="en-US" w:bidi="en-US"/>
        </w:rPr>
        <w:t>Done</w:t>
      </w:r>
    </w:p>
    <w:p w14:paraId="35C5FFF7" w14:textId="77777777" w:rsidR="00261F42" w:rsidRPr="005F6EC8" w:rsidRDefault="00261F42" w:rsidP="008252B9">
      <w:pPr>
        <w:rPr>
          <w:lang w:val="en-US"/>
        </w:rPr>
      </w:pPr>
    </w:p>
    <w:p w14:paraId="4CBAFA96" w14:textId="49CA44CC" w:rsidR="008252B9" w:rsidRDefault="008252B9" w:rsidP="008252B9">
      <w:pPr>
        <w:pStyle w:val="ListParagraph"/>
        <w:numPr>
          <w:ilvl w:val="0"/>
          <w:numId w:val="1"/>
        </w:numPr>
      </w:pPr>
      <w:r>
        <w:t>Please ensure that all steps in the protocol section are written in imperative tense and describe the reader how to perform the action.</w:t>
      </w:r>
    </w:p>
    <w:p w14:paraId="247FA739" w14:textId="77777777" w:rsidR="00D37632" w:rsidRPr="00B906D9" w:rsidRDefault="00D37632" w:rsidP="008252B9">
      <w:pPr>
        <w:rPr>
          <w:color w:val="4472C4" w:themeColor="accent1"/>
          <w:lang w:val="en-US"/>
        </w:rPr>
      </w:pPr>
    </w:p>
    <w:p w14:paraId="4EA24FCD" w14:textId="6CAF849F" w:rsidR="008252B9" w:rsidRPr="008252B9" w:rsidRDefault="008252B9" w:rsidP="008252B9">
      <w:pPr>
        <w:rPr>
          <w:color w:val="4472C4" w:themeColor="accent1"/>
        </w:rPr>
      </w:pPr>
      <w:proofErr w:type="spellStart"/>
      <w:r>
        <w:rPr>
          <w:color w:val="4472C4" w:themeColor="accent1"/>
        </w:rPr>
        <w:t>R</w:t>
      </w:r>
      <w:r w:rsidRPr="008252B9">
        <w:rPr>
          <w:color w:val="4472C4" w:themeColor="accent1"/>
        </w:rPr>
        <w:t>esponse</w:t>
      </w:r>
      <w:proofErr w:type="spellEnd"/>
      <w:r w:rsidRPr="008252B9">
        <w:rPr>
          <w:color w:val="4472C4" w:themeColor="accent1"/>
        </w:rPr>
        <w:t>:</w:t>
      </w:r>
    </w:p>
    <w:p w14:paraId="43DC398C" w14:textId="77777777" w:rsidR="008252B9" w:rsidRPr="008252B9" w:rsidRDefault="008252B9" w:rsidP="008252B9">
      <w:pPr>
        <w:rPr>
          <w:color w:val="4472C4" w:themeColor="accent1"/>
        </w:rPr>
      </w:pPr>
      <w:r w:rsidRPr="008252B9">
        <w:rPr>
          <w:color w:val="4472C4" w:themeColor="accent1"/>
        </w:rPr>
        <w:t>Done</w:t>
      </w:r>
    </w:p>
    <w:p w14:paraId="3C38159F" w14:textId="77777777" w:rsidR="008252B9" w:rsidRDefault="008252B9" w:rsidP="008252B9"/>
    <w:p w14:paraId="3C2C2C1A" w14:textId="7806450C" w:rsidR="008252B9" w:rsidRDefault="008252B9" w:rsidP="008252B9">
      <w:pPr>
        <w:pStyle w:val="ListParagraph"/>
        <w:numPr>
          <w:ilvl w:val="0"/>
          <w:numId w:val="1"/>
        </w:numPr>
      </w:pPr>
      <w:r>
        <w:t>Once done please ensure that the highlights are no more than 2.75 pages including headings and spacings.</w:t>
      </w:r>
    </w:p>
    <w:p w14:paraId="1AE5E655" w14:textId="77777777" w:rsidR="00D37632" w:rsidRPr="00B906D9" w:rsidRDefault="00D37632" w:rsidP="008252B9">
      <w:pPr>
        <w:rPr>
          <w:color w:val="4472C4" w:themeColor="accent1"/>
          <w:lang w:val="en-US"/>
        </w:rPr>
      </w:pPr>
    </w:p>
    <w:p w14:paraId="5796A8AF" w14:textId="503EF911" w:rsidR="008252B9" w:rsidRPr="008252B9" w:rsidRDefault="008252B9" w:rsidP="008252B9">
      <w:pPr>
        <w:rPr>
          <w:color w:val="4472C4" w:themeColor="accent1"/>
        </w:rPr>
      </w:pPr>
      <w:proofErr w:type="spellStart"/>
      <w:r>
        <w:rPr>
          <w:color w:val="4472C4" w:themeColor="accent1"/>
        </w:rPr>
        <w:t>R</w:t>
      </w:r>
      <w:r w:rsidRPr="008252B9">
        <w:rPr>
          <w:color w:val="4472C4" w:themeColor="accent1"/>
        </w:rPr>
        <w:t>esponse</w:t>
      </w:r>
      <w:proofErr w:type="spellEnd"/>
      <w:r w:rsidRPr="008252B9">
        <w:rPr>
          <w:color w:val="4472C4" w:themeColor="accent1"/>
        </w:rPr>
        <w:t>:</w:t>
      </w:r>
    </w:p>
    <w:p w14:paraId="49D22D19" w14:textId="77777777" w:rsidR="008252B9" w:rsidRPr="008252B9" w:rsidRDefault="008252B9" w:rsidP="008252B9">
      <w:pPr>
        <w:rPr>
          <w:color w:val="4472C4" w:themeColor="accent1"/>
        </w:rPr>
      </w:pPr>
      <w:r w:rsidRPr="008252B9">
        <w:rPr>
          <w:color w:val="4472C4" w:themeColor="accent1"/>
        </w:rPr>
        <w:t>Done</w:t>
      </w:r>
    </w:p>
    <w:p w14:paraId="29ABE4CB" w14:textId="77777777" w:rsidR="008252B9" w:rsidRDefault="008252B9" w:rsidP="008252B9"/>
    <w:p w14:paraId="05A4B299" w14:textId="2E332D85" w:rsidR="008252B9" w:rsidRDefault="008252B9" w:rsidP="008252B9">
      <w:pPr>
        <w:pStyle w:val="ListParagraph"/>
        <w:numPr>
          <w:ilvl w:val="0"/>
          <w:numId w:val="1"/>
        </w:numPr>
      </w:pPr>
      <w:r>
        <w:t>Please include a table of material. The table should include the name, company, and catalog number of all relevant materials (including software used) in separate columns in a .</w:t>
      </w:r>
      <w:proofErr w:type="spellStart"/>
      <w:r>
        <w:t>xlsx</w:t>
      </w:r>
      <w:proofErr w:type="spellEnd"/>
      <w:r>
        <w:t xml:space="preserve"> file.</w:t>
      </w:r>
    </w:p>
    <w:p w14:paraId="7C6619A9" w14:textId="446C3E7C" w:rsidR="008252B9" w:rsidRPr="00B906D9" w:rsidRDefault="008252B9" w:rsidP="008252B9">
      <w:pPr>
        <w:rPr>
          <w:color w:val="4472C4" w:themeColor="accent1"/>
          <w:lang w:val="en-US"/>
        </w:rPr>
      </w:pPr>
      <w:r w:rsidRPr="00B906D9">
        <w:rPr>
          <w:color w:val="4472C4" w:themeColor="accent1"/>
          <w:lang w:val="en-US"/>
        </w:rPr>
        <w:lastRenderedPageBreak/>
        <w:t>Response:</w:t>
      </w:r>
    </w:p>
    <w:p w14:paraId="07A5EF6B" w14:textId="55ED29CC" w:rsidR="008252B9" w:rsidRPr="00B906D9" w:rsidRDefault="008252B9" w:rsidP="008252B9">
      <w:pPr>
        <w:rPr>
          <w:color w:val="4472C4" w:themeColor="accent1"/>
          <w:lang w:val="en-US"/>
        </w:rPr>
      </w:pPr>
      <w:r w:rsidRPr="00B906D9">
        <w:rPr>
          <w:color w:val="4472C4" w:themeColor="accent1"/>
          <w:lang w:val="en-US"/>
        </w:rPr>
        <w:t>The table is attached.</w:t>
      </w:r>
    </w:p>
    <w:p w14:paraId="076A8487" w14:textId="556580D1" w:rsidR="008252B9" w:rsidRPr="00B906D9" w:rsidRDefault="008252B9" w:rsidP="008252B9">
      <w:pPr>
        <w:rPr>
          <w:lang w:val="en-US"/>
        </w:rPr>
      </w:pPr>
    </w:p>
    <w:p w14:paraId="320BA459" w14:textId="77777777" w:rsidR="008252B9" w:rsidRPr="00B906D9" w:rsidRDefault="008252B9" w:rsidP="008252B9">
      <w:pPr>
        <w:rPr>
          <w:lang w:val="en-US"/>
        </w:rPr>
      </w:pPr>
    </w:p>
    <w:p w14:paraId="1A644032" w14:textId="42E57B62" w:rsidR="008252B9" w:rsidRDefault="008252B9" w:rsidP="008252B9">
      <w:pPr>
        <w:pStyle w:val="ListParagraph"/>
        <w:numPr>
          <w:ilvl w:val="0"/>
          <w:numId w:val="1"/>
        </w:numPr>
      </w:pPr>
      <w:r>
        <w:t>Please obtain explicit copyright permission to reuse any figures/tables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14:paraId="3C79CD2F" w14:textId="77777777" w:rsidR="00D37632" w:rsidRDefault="00D37632" w:rsidP="008252B9">
      <w:pPr>
        <w:rPr>
          <w:color w:val="4472C4" w:themeColor="accent1"/>
          <w:lang w:val="en-US"/>
        </w:rPr>
      </w:pPr>
    </w:p>
    <w:p w14:paraId="78BB2974" w14:textId="1614F14D" w:rsidR="008252B9" w:rsidRPr="008252B9" w:rsidRDefault="008252B9" w:rsidP="008252B9">
      <w:pPr>
        <w:rPr>
          <w:color w:val="4472C4" w:themeColor="accent1"/>
          <w:lang w:val="en-US"/>
        </w:rPr>
      </w:pPr>
      <w:r w:rsidRPr="008252B9">
        <w:rPr>
          <w:color w:val="4472C4" w:themeColor="accent1"/>
          <w:lang w:val="en-US"/>
        </w:rPr>
        <w:t>Response:</w:t>
      </w:r>
    </w:p>
    <w:p w14:paraId="14CF2A97" w14:textId="02FBB85B" w:rsidR="008252B9" w:rsidRPr="008252B9" w:rsidRDefault="008252B9" w:rsidP="008252B9">
      <w:pPr>
        <w:rPr>
          <w:color w:val="4472C4" w:themeColor="accent1"/>
          <w:lang w:val="en-US"/>
        </w:rPr>
      </w:pPr>
      <w:r w:rsidRPr="008252B9">
        <w:rPr>
          <w:color w:val="4472C4" w:themeColor="accent1"/>
          <w:lang w:val="en-US"/>
        </w:rPr>
        <w:t xml:space="preserve">The copyright permission </w:t>
      </w:r>
      <w:r w:rsidR="00D37632">
        <w:rPr>
          <w:color w:val="4472C4" w:themeColor="accent1"/>
          <w:lang w:val="en-US"/>
        </w:rPr>
        <w:t>has been</w:t>
      </w:r>
      <w:r w:rsidRPr="008252B9">
        <w:rPr>
          <w:color w:val="4472C4" w:themeColor="accent1"/>
          <w:lang w:val="en-US"/>
        </w:rPr>
        <w:t xml:space="preserve"> </w:t>
      </w:r>
      <w:r>
        <w:rPr>
          <w:color w:val="4472C4" w:themeColor="accent1"/>
          <w:lang w:val="en-US"/>
        </w:rPr>
        <w:t xml:space="preserve">requested from Cortex. </w:t>
      </w:r>
      <w:r w:rsidR="00D37632">
        <w:rPr>
          <w:color w:val="4472C4" w:themeColor="accent1"/>
          <w:lang w:val="en-US"/>
        </w:rPr>
        <w:t xml:space="preserve">We will upload this information to the Editorial Manager once we obtain it. </w:t>
      </w:r>
      <w:r>
        <w:rPr>
          <w:color w:val="4472C4" w:themeColor="accent1"/>
          <w:lang w:val="en-US"/>
        </w:rPr>
        <w:t xml:space="preserve"> </w:t>
      </w:r>
    </w:p>
    <w:p w14:paraId="528D17B9" w14:textId="77777777" w:rsidR="008252B9" w:rsidRPr="008252B9" w:rsidRDefault="008252B9" w:rsidP="008252B9">
      <w:pPr>
        <w:rPr>
          <w:lang w:val="en-US"/>
        </w:rPr>
      </w:pPr>
    </w:p>
    <w:p w14:paraId="64254AF2" w14:textId="25E0B18B" w:rsidR="008252B9" w:rsidRDefault="008252B9" w:rsidP="008252B9">
      <w:pPr>
        <w:pStyle w:val="ListParagraph"/>
        <w:numPr>
          <w:ilvl w:val="0"/>
          <w:numId w:val="1"/>
        </w:numPr>
      </w:pPr>
      <w:r>
        <w:t>Please also let us know where will you like us to film the protocol? Presently two places are selected</w:t>
      </w:r>
    </w:p>
    <w:p w14:paraId="2E83EC82" w14:textId="77777777" w:rsidR="00D37632" w:rsidRDefault="00D37632" w:rsidP="008252B9">
      <w:pPr>
        <w:rPr>
          <w:color w:val="4472C4" w:themeColor="accent1"/>
        </w:rPr>
      </w:pPr>
    </w:p>
    <w:p w14:paraId="0AA438EA" w14:textId="00C2069A" w:rsidR="008252B9" w:rsidRPr="008252B9" w:rsidRDefault="008252B9" w:rsidP="008252B9">
      <w:pPr>
        <w:rPr>
          <w:color w:val="4472C4" w:themeColor="accent1"/>
        </w:rPr>
      </w:pPr>
      <w:proofErr w:type="spellStart"/>
      <w:r w:rsidRPr="008252B9">
        <w:rPr>
          <w:color w:val="4472C4" w:themeColor="accent1"/>
        </w:rPr>
        <w:t>Response</w:t>
      </w:r>
      <w:proofErr w:type="spellEnd"/>
      <w:r w:rsidRPr="008252B9">
        <w:rPr>
          <w:color w:val="4472C4" w:themeColor="accent1"/>
        </w:rPr>
        <w:t>:</w:t>
      </w:r>
    </w:p>
    <w:p w14:paraId="5F32B5B0" w14:textId="23E9FC67" w:rsidR="008252B9" w:rsidRPr="008252B9" w:rsidRDefault="008252B9" w:rsidP="008252B9">
      <w:pPr>
        <w:rPr>
          <w:rFonts w:asciiTheme="minorHAnsi" w:eastAsiaTheme="minorHAnsi" w:hAnsiTheme="minorHAnsi" w:cstheme="minorBidi"/>
          <w:color w:val="4472C4" w:themeColor="accent1"/>
          <w:lang w:val="en-US"/>
        </w:rPr>
      </w:pPr>
      <w:r w:rsidRPr="008252B9">
        <w:rPr>
          <w:color w:val="4472C4" w:themeColor="accent1"/>
          <w:lang w:val="en-US"/>
        </w:rPr>
        <w:t xml:space="preserve">We would like to film the protocol </w:t>
      </w:r>
      <w:r w:rsidR="00D37632">
        <w:rPr>
          <w:color w:val="4472C4" w:themeColor="accent1"/>
          <w:lang w:val="en-US"/>
        </w:rPr>
        <w:t>in</w:t>
      </w:r>
      <w:r w:rsidRPr="008252B9">
        <w:rPr>
          <w:color w:val="4472C4" w:themeColor="accent1"/>
          <w:lang w:val="en-US"/>
        </w:rPr>
        <w:t xml:space="preserve"> the </w:t>
      </w:r>
      <w:r w:rsidRPr="008252B9">
        <w:rPr>
          <w:rFonts w:asciiTheme="minorHAnsi" w:eastAsiaTheme="minorHAnsi" w:hAnsiTheme="minorHAnsi" w:cstheme="minorBidi"/>
          <w:color w:val="4472C4" w:themeColor="accent1"/>
          <w:lang w:val="en-US"/>
        </w:rPr>
        <w:t>Department of Psychology</w:t>
      </w:r>
      <w:r w:rsidR="00D37632">
        <w:rPr>
          <w:rFonts w:asciiTheme="minorHAnsi" w:eastAsiaTheme="minorHAnsi" w:hAnsiTheme="minorHAnsi" w:cstheme="minorBidi"/>
          <w:color w:val="4472C4" w:themeColor="accent1"/>
          <w:lang w:val="en-US"/>
        </w:rPr>
        <w:t xml:space="preserve"> at the</w:t>
      </w:r>
      <w:r w:rsidRPr="008252B9">
        <w:rPr>
          <w:rFonts w:asciiTheme="minorHAnsi" w:eastAsiaTheme="minorHAnsi" w:hAnsiTheme="minorHAnsi" w:cstheme="minorBidi"/>
          <w:color w:val="4472C4" w:themeColor="accent1"/>
          <w:lang w:val="en-US"/>
        </w:rPr>
        <w:t xml:space="preserve"> University of California, Riverside. The contact person there is the second author of the manuscript, Dr. Eve Higby (evehigby@gmail.com).</w:t>
      </w:r>
    </w:p>
    <w:p w14:paraId="5507C36B" w14:textId="751967C6" w:rsidR="008252B9" w:rsidRPr="008252B9" w:rsidRDefault="008252B9" w:rsidP="008252B9">
      <w:pPr>
        <w:rPr>
          <w:lang w:val="en-US"/>
        </w:rPr>
      </w:pPr>
    </w:p>
    <w:sectPr w:rsidR="008252B9" w:rsidRPr="008252B9" w:rsidSect="00994EE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A653E"/>
    <w:multiLevelType w:val="hybridMultilevel"/>
    <w:tmpl w:val="E7D6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A2"/>
    <w:rsid w:val="00100A44"/>
    <w:rsid w:val="00182BA2"/>
    <w:rsid w:val="001E6EC5"/>
    <w:rsid w:val="00222F4C"/>
    <w:rsid w:val="00261F42"/>
    <w:rsid w:val="00405D7B"/>
    <w:rsid w:val="004129F9"/>
    <w:rsid w:val="00507989"/>
    <w:rsid w:val="00571F6F"/>
    <w:rsid w:val="005856A3"/>
    <w:rsid w:val="005C37F2"/>
    <w:rsid w:val="005F6EC8"/>
    <w:rsid w:val="006078E5"/>
    <w:rsid w:val="00700DAF"/>
    <w:rsid w:val="007164B7"/>
    <w:rsid w:val="007543E4"/>
    <w:rsid w:val="007F7BED"/>
    <w:rsid w:val="0082192C"/>
    <w:rsid w:val="008252B9"/>
    <w:rsid w:val="00850DA1"/>
    <w:rsid w:val="008D011B"/>
    <w:rsid w:val="0093490C"/>
    <w:rsid w:val="009412AE"/>
    <w:rsid w:val="00A07F02"/>
    <w:rsid w:val="00A13F02"/>
    <w:rsid w:val="00A70E45"/>
    <w:rsid w:val="00A877E4"/>
    <w:rsid w:val="00A92C55"/>
    <w:rsid w:val="00B45FE6"/>
    <w:rsid w:val="00B650D9"/>
    <w:rsid w:val="00B906D9"/>
    <w:rsid w:val="00BA3A47"/>
    <w:rsid w:val="00BD4F72"/>
    <w:rsid w:val="00C31A79"/>
    <w:rsid w:val="00C40A02"/>
    <w:rsid w:val="00D37632"/>
    <w:rsid w:val="00D43011"/>
    <w:rsid w:val="00D65A3B"/>
    <w:rsid w:val="00DE3D0B"/>
    <w:rsid w:val="00E32541"/>
    <w:rsid w:val="00E71381"/>
    <w:rsid w:val="00EC0B2A"/>
    <w:rsid w:val="00F41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0643"/>
  <w15:chartTrackingRefBased/>
  <w15:docId w15:val="{6E7D0010-D0C4-0942-92F2-9DE90B51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2B9"/>
    <w:rPr>
      <w:rFonts w:ascii="Times New Roman" w:eastAsia="Times New Roman" w:hAnsi="Times New Roman" w:cs="Times New Roman"/>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B2A"/>
    <w:rPr>
      <w:sz w:val="18"/>
      <w:szCs w:val="18"/>
    </w:rPr>
  </w:style>
  <w:style w:type="character" w:customStyle="1" w:styleId="BalloonTextChar">
    <w:name w:val="Balloon Text Char"/>
    <w:basedOn w:val="DefaultParagraphFont"/>
    <w:link w:val="BalloonText"/>
    <w:uiPriority w:val="99"/>
    <w:semiHidden/>
    <w:rsid w:val="00EC0B2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C0B2A"/>
    <w:rPr>
      <w:sz w:val="16"/>
      <w:szCs w:val="16"/>
    </w:rPr>
  </w:style>
  <w:style w:type="paragraph" w:styleId="CommentText">
    <w:name w:val="annotation text"/>
    <w:basedOn w:val="Normal"/>
    <w:link w:val="CommentTextChar"/>
    <w:uiPriority w:val="99"/>
    <w:semiHidden/>
    <w:unhideWhenUsed/>
    <w:rsid w:val="00EC0B2A"/>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EC0B2A"/>
    <w:rPr>
      <w:sz w:val="20"/>
      <w:szCs w:val="20"/>
    </w:rPr>
  </w:style>
  <w:style w:type="paragraph" w:styleId="CommentSubject">
    <w:name w:val="annotation subject"/>
    <w:basedOn w:val="CommentText"/>
    <w:next w:val="CommentText"/>
    <w:link w:val="CommentSubjectChar"/>
    <w:uiPriority w:val="99"/>
    <w:semiHidden/>
    <w:unhideWhenUsed/>
    <w:rsid w:val="00EC0B2A"/>
    <w:rPr>
      <w:b/>
      <w:bCs/>
    </w:rPr>
  </w:style>
  <w:style w:type="character" w:customStyle="1" w:styleId="CommentSubjectChar">
    <w:name w:val="Comment Subject Char"/>
    <w:basedOn w:val="CommentTextChar"/>
    <w:link w:val="CommentSubject"/>
    <w:uiPriority w:val="99"/>
    <w:semiHidden/>
    <w:rsid w:val="00EC0B2A"/>
    <w:rPr>
      <w:b/>
      <w:bCs/>
      <w:sz w:val="20"/>
      <w:szCs w:val="20"/>
    </w:rPr>
  </w:style>
  <w:style w:type="paragraph" w:styleId="ListParagraph">
    <w:name w:val="List Paragraph"/>
    <w:basedOn w:val="Normal"/>
    <w:uiPriority w:val="34"/>
    <w:qFormat/>
    <w:rsid w:val="008252B9"/>
    <w:pPr>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209674">
      <w:bodyDiv w:val="1"/>
      <w:marLeft w:val="0"/>
      <w:marRight w:val="0"/>
      <w:marTop w:val="0"/>
      <w:marBottom w:val="0"/>
      <w:divBdr>
        <w:top w:val="none" w:sz="0" w:space="0" w:color="auto"/>
        <w:left w:val="none" w:sz="0" w:space="0" w:color="auto"/>
        <w:bottom w:val="none" w:sz="0" w:space="0" w:color="auto"/>
        <w:right w:val="none" w:sz="0" w:space="0" w:color="auto"/>
      </w:divBdr>
      <w:divsChild>
        <w:div w:id="36515927">
          <w:marLeft w:val="0"/>
          <w:marRight w:val="0"/>
          <w:marTop w:val="0"/>
          <w:marBottom w:val="0"/>
          <w:divBdr>
            <w:top w:val="none" w:sz="0" w:space="0" w:color="auto"/>
            <w:left w:val="none" w:sz="0" w:space="0" w:color="auto"/>
            <w:bottom w:val="none" w:sz="0" w:space="0" w:color="auto"/>
            <w:right w:val="none" w:sz="0" w:space="0" w:color="auto"/>
          </w:divBdr>
        </w:div>
        <w:div w:id="437675584">
          <w:marLeft w:val="0"/>
          <w:marRight w:val="0"/>
          <w:marTop w:val="0"/>
          <w:marBottom w:val="0"/>
          <w:divBdr>
            <w:top w:val="none" w:sz="0" w:space="0" w:color="auto"/>
            <w:left w:val="none" w:sz="0" w:space="0" w:color="auto"/>
            <w:bottom w:val="none" w:sz="0" w:space="0" w:color="auto"/>
            <w:right w:val="none" w:sz="0" w:space="0" w:color="auto"/>
          </w:divBdr>
        </w:div>
        <w:div w:id="1062681122">
          <w:marLeft w:val="0"/>
          <w:marRight w:val="0"/>
          <w:marTop w:val="0"/>
          <w:marBottom w:val="0"/>
          <w:divBdr>
            <w:top w:val="none" w:sz="0" w:space="0" w:color="auto"/>
            <w:left w:val="none" w:sz="0" w:space="0" w:color="auto"/>
            <w:bottom w:val="none" w:sz="0" w:space="0" w:color="auto"/>
            <w:right w:val="none" w:sz="0" w:space="0" w:color="auto"/>
          </w:divBdr>
        </w:div>
      </w:divsChild>
    </w:div>
    <w:div w:id="1130365622">
      <w:bodyDiv w:val="1"/>
      <w:marLeft w:val="0"/>
      <w:marRight w:val="0"/>
      <w:marTop w:val="0"/>
      <w:marBottom w:val="0"/>
      <w:divBdr>
        <w:top w:val="none" w:sz="0" w:space="0" w:color="auto"/>
        <w:left w:val="none" w:sz="0" w:space="0" w:color="auto"/>
        <w:bottom w:val="none" w:sz="0" w:space="0" w:color="auto"/>
        <w:right w:val="none" w:sz="0" w:space="0" w:color="auto"/>
      </w:divBdr>
      <w:divsChild>
        <w:div w:id="20133549">
          <w:marLeft w:val="0"/>
          <w:marRight w:val="0"/>
          <w:marTop w:val="0"/>
          <w:marBottom w:val="0"/>
          <w:divBdr>
            <w:top w:val="none" w:sz="0" w:space="0" w:color="auto"/>
            <w:left w:val="none" w:sz="0" w:space="0" w:color="auto"/>
            <w:bottom w:val="none" w:sz="0" w:space="0" w:color="auto"/>
            <w:right w:val="none" w:sz="0" w:space="0" w:color="auto"/>
          </w:divBdr>
        </w:div>
        <w:div w:id="576210808">
          <w:marLeft w:val="0"/>
          <w:marRight w:val="0"/>
          <w:marTop w:val="0"/>
          <w:marBottom w:val="0"/>
          <w:divBdr>
            <w:top w:val="none" w:sz="0" w:space="0" w:color="auto"/>
            <w:left w:val="none" w:sz="0" w:space="0" w:color="auto"/>
            <w:bottom w:val="none" w:sz="0" w:space="0" w:color="auto"/>
            <w:right w:val="none" w:sz="0" w:space="0" w:color="auto"/>
          </w:divBdr>
        </w:div>
        <w:div w:id="156637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999</Words>
  <Characters>7265</Characters>
  <Application>Microsoft Office Word</Application>
  <DocSecurity>0</DocSecurity>
  <Lines>108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Higby</dc:creator>
  <cp:keywords/>
  <dc:description/>
  <cp:lastModifiedBy>Microsoft Office User</cp:lastModifiedBy>
  <cp:revision>3</cp:revision>
  <dcterms:created xsi:type="dcterms:W3CDTF">2019-03-28T10:11:00Z</dcterms:created>
  <dcterms:modified xsi:type="dcterms:W3CDTF">2019-03-28T13:57:00Z</dcterms:modified>
</cp:coreProperties>
</file>