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16DC4" w14:textId="075FDD0F" w:rsidR="00515718" w:rsidRPr="0087608B" w:rsidRDefault="008D09B2">
      <w:pPr>
        <w:rPr>
          <w:color w:val="000000" w:themeColor="text1"/>
        </w:rPr>
      </w:pPr>
      <w:r>
        <w:rPr>
          <w:color w:val="000000" w:themeColor="text1"/>
        </w:rPr>
        <w:softHyphen/>
      </w:r>
      <w:r>
        <w:rPr>
          <w:color w:val="000000" w:themeColor="text1"/>
        </w:rPr>
        <w:softHyphen/>
      </w:r>
      <w:r>
        <w:rPr>
          <w:color w:val="000000" w:themeColor="text1"/>
        </w:rPr>
        <w:softHyphen/>
      </w:r>
      <w:r>
        <w:rPr>
          <w:color w:val="000000" w:themeColor="text1"/>
        </w:rPr>
        <w:softHyphen/>
      </w:r>
      <w:r w:rsidR="00515718" w:rsidRPr="0087608B">
        <w:rPr>
          <w:color w:val="000000" w:themeColor="text1"/>
        </w:rPr>
        <w:t>Dear Editor,</w:t>
      </w:r>
    </w:p>
    <w:p w14:paraId="09FCEA19" w14:textId="77777777" w:rsidR="00515718" w:rsidRPr="0087608B" w:rsidRDefault="00515718">
      <w:pPr>
        <w:rPr>
          <w:color w:val="000000" w:themeColor="text1"/>
        </w:rPr>
      </w:pPr>
    </w:p>
    <w:p w14:paraId="473DF448" w14:textId="77777777" w:rsidR="000D154E" w:rsidRDefault="000D154E">
      <w:pPr>
        <w:rPr>
          <w:color w:val="000000" w:themeColor="text1"/>
        </w:rPr>
      </w:pPr>
      <w:r>
        <w:rPr>
          <w:color w:val="000000" w:themeColor="text1"/>
        </w:rPr>
        <w:t>We would like to t</w:t>
      </w:r>
      <w:r w:rsidR="00515718" w:rsidRPr="0087608B">
        <w:rPr>
          <w:color w:val="000000" w:themeColor="text1"/>
        </w:rPr>
        <w:t xml:space="preserve">hank you </w:t>
      </w:r>
      <w:r>
        <w:rPr>
          <w:color w:val="000000" w:themeColor="text1"/>
        </w:rPr>
        <w:t>and the reviewers for the constructive criticism of our paper.</w:t>
      </w:r>
      <w:r w:rsidR="00515718" w:rsidRPr="0087608B">
        <w:rPr>
          <w:color w:val="000000" w:themeColor="text1"/>
        </w:rPr>
        <w:t xml:space="preserve"> We have modified the manuscript in response to the insightful reviewer comments. Furthermore, we have added a flow chart describing our protocol which also includes a schematic representation of the construction of the compartmented chamber. </w:t>
      </w:r>
    </w:p>
    <w:p w14:paraId="2C84C1AA" w14:textId="77777777" w:rsidR="000D154E" w:rsidRDefault="000D154E">
      <w:pPr>
        <w:rPr>
          <w:color w:val="000000" w:themeColor="text1"/>
        </w:rPr>
      </w:pPr>
    </w:p>
    <w:p w14:paraId="46AD7827" w14:textId="2DD59887" w:rsidR="00515718" w:rsidRPr="0087608B" w:rsidRDefault="00515718">
      <w:pPr>
        <w:rPr>
          <w:color w:val="000000" w:themeColor="text1"/>
        </w:rPr>
      </w:pPr>
      <w:r w:rsidRPr="0087608B">
        <w:rPr>
          <w:color w:val="000000" w:themeColor="text1"/>
        </w:rPr>
        <w:t xml:space="preserve">Here </w:t>
      </w:r>
      <w:r w:rsidR="000D154E">
        <w:rPr>
          <w:color w:val="000000" w:themeColor="text1"/>
        </w:rPr>
        <w:t>is our</w:t>
      </w:r>
      <w:r w:rsidRPr="0087608B">
        <w:rPr>
          <w:color w:val="000000" w:themeColor="text1"/>
        </w:rPr>
        <w:t xml:space="preserve"> </w:t>
      </w:r>
      <w:r w:rsidR="000D154E" w:rsidRPr="0087608B">
        <w:rPr>
          <w:color w:val="000000" w:themeColor="text1"/>
        </w:rPr>
        <w:t xml:space="preserve">point by point </w:t>
      </w:r>
      <w:r w:rsidR="000D154E">
        <w:rPr>
          <w:color w:val="000000" w:themeColor="text1"/>
        </w:rPr>
        <w:t xml:space="preserve">response to the reviewer </w:t>
      </w:r>
      <w:r w:rsidRPr="0087608B">
        <w:rPr>
          <w:color w:val="000000" w:themeColor="text1"/>
        </w:rPr>
        <w:t>comments</w:t>
      </w:r>
      <w:r w:rsidR="000D154E">
        <w:rPr>
          <w:color w:val="000000" w:themeColor="text1"/>
        </w:rPr>
        <w:t>:</w:t>
      </w:r>
    </w:p>
    <w:p w14:paraId="07E75D6B" w14:textId="77777777" w:rsidR="00515718" w:rsidRPr="0087608B" w:rsidRDefault="00515718">
      <w:pPr>
        <w:rPr>
          <w:color w:val="000000" w:themeColor="text1"/>
        </w:rPr>
      </w:pPr>
    </w:p>
    <w:p w14:paraId="51F77EE7" w14:textId="77777777" w:rsidR="00E34D33" w:rsidRPr="000D154E" w:rsidRDefault="007A6BE3">
      <w:pPr>
        <w:rPr>
          <w:b/>
          <w:color w:val="000000" w:themeColor="text1"/>
        </w:rPr>
      </w:pPr>
      <w:r w:rsidRPr="000D154E">
        <w:rPr>
          <w:b/>
          <w:color w:val="000000" w:themeColor="text1"/>
        </w:rPr>
        <w:t>Reviewer 1</w:t>
      </w:r>
    </w:p>
    <w:p w14:paraId="1ECC4421" w14:textId="77777777" w:rsidR="007A6BE3" w:rsidRPr="0087608B" w:rsidRDefault="007A6BE3">
      <w:pPr>
        <w:rPr>
          <w:color w:val="000000" w:themeColor="text1"/>
        </w:rPr>
      </w:pPr>
    </w:p>
    <w:p w14:paraId="1D5E6228" w14:textId="77777777" w:rsidR="00515718" w:rsidRPr="0087608B" w:rsidRDefault="00515718" w:rsidP="00515718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 w:themeColor="text1"/>
        </w:rPr>
      </w:pPr>
      <w:r w:rsidRPr="0087608B">
        <w:rPr>
          <w:rFonts w:eastAsia="Times New Roman" w:cs="Times New Roman"/>
          <w:color w:val="000000" w:themeColor="text1"/>
        </w:rPr>
        <w:t>English language issues, especially in the abstract</w:t>
      </w:r>
    </w:p>
    <w:p w14:paraId="48E86CE6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17A6A1A1" w14:textId="77777777" w:rsidR="007A6BE3" w:rsidRPr="0087608B" w:rsidRDefault="007A6BE3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>The manuscript has been copy edited extensively and all English language issues have been resolved.</w:t>
      </w:r>
    </w:p>
    <w:p w14:paraId="6E934A71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239BD0A8" w14:textId="4139BE82" w:rsidR="00515718" w:rsidRPr="0087608B" w:rsidRDefault="009925CF" w:rsidP="00515718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 w:themeColor="text1"/>
        </w:rPr>
      </w:pPr>
      <w:r>
        <w:rPr>
          <w:rFonts w:eastAsia="Times New Roman" w:cs="Arial"/>
          <w:color w:val="000000" w:themeColor="text1"/>
          <w:shd w:val="clear" w:color="auto" w:fill="FFFFFF"/>
        </w:rPr>
        <w:t>S</w:t>
      </w:r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 xml:space="preserve">ome typing errors are present in the text (e.g. </w:t>
      </w:r>
      <w:proofErr w:type="spellStart"/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>latin</w:t>
      </w:r>
      <w:proofErr w:type="spellEnd"/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 xml:space="preserve"> words should be italicized, as "in vitro", and </w:t>
      </w:r>
      <w:r w:rsidR="00515718" w:rsidRPr="0087608B">
        <w:rPr>
          <w:color w:val="000000" w:themeColor="text1"/>
          <w:shd w:val="clear" w:color="auto" w:fill="FFFFFF"/>
        </w:rPr>
        <w:sym w:font="Symbol" w:char="F06D"/>
      </w:r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 xml:space="preserve">l should be used instead of </w:t>
      </w:r>
      <w:proofErr w:type="spellStart"/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>ul</w:t>
      </w:r>
      <w:proofErr w:type="spellEnd"/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>). Furthermore, acronyms should be defined at first use (e.g. human glioma cells (</w:t>
      </w:r>
      <w:proofErr w:type="spellStart"/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>hGCs</w:t>
      </w:r>
      <w:proofErr w:type="spellEnd"/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 xml:space="preserve">) and this acronym should be used throughout the whole text, in the manuscript it appears as </w:t>
      </w:r>
      <w:proofErr w:type="spellStart"/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>hGCs</w:t>
      </w:r>
      <w:proofErr w:type="spellEnd"/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 xml:space="preserve"> and human GCs…). Also, in page 9, point 3.3.3, it should read "one 100 mm dish and one 60 mm dish" instead of "1 100 mm dish and 1 60 mm dish".</w:t>
      </w:r>
    </w:p>
    <w:p w14:paraId="2BA07D65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46F766A7" w14:textId="77777777" w:rsidR="007A6BE3" w:rsidRPr="0087608B" w:rsidRDefault="008E3AD9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>All abbreviations and acronyms have been defined. Typing errors have been corrected, and numbers have been converted to type.</w:t>
      </w:r>
    </w:p>
    <w:p w14:paraId="1C2A0224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12A0E105" w14:textId="5D8C7B63" w:rsidR="00515718" w:rsidRPr="0087608B" w:rsidRDefault="009925CF" w:rsidP="00515718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 w:themeColor="text1"/>
        </w:rPr>
      </w:pPr>
      <w:r>
        <w:rPr>
          <w:rFonts w:eastAsia="Times New Roman" w:cs="Arial"/>
          <w:color w:val="000000" w:themeColor="text1"/>
          <w:shd w:val="clear" w:color="auto" w:fill="FFFFFF"/>
        </w:rPr>
        <w:t>S</w:t>
      </w:r>
      <w:r w:rsidR="00515718" w:rsidRPr="0087608B">
        <w:rPr>
          <w:rFonts w:eastAsia="Times New Roman" w:cs="Arial"/>
          <w:color w:val="000000" w:themeColor="text1"/>
          <w:shd w:val="clear" w:color="auto" w:fill="FFFFFF"/>
        </w:rPr>
        <w:t>uggest authors to better explain some steps as how they triturate the tissue (page 4, point 2.1.4) and also to provide an abbreviation list</w:t>
      </w:r>
    </w:p>
    <w:p w14:paraId="40E52A4C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32948944" w14:textId="77777777" w:rsidR="008E3AD9" w:rsidRPr="0087608B" w:rsidRDefault="008E3AD9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>The process for tissue trituration was expanded upon to include instruction to triturate with a 10 mL pipette. All abbreviations and acronyms are defined in the manuscript</w:t>
      </w:r>
      <w:r w:rsidR="00784203" w:rsidRPr="0087608B">
        <w:rPr>
          <w:b/>
          <w:color w:val="000000" w:themeColor="text1"/>
        </w:rPr>
        <w:t xml:space="preserve"> as is customary in journal articles</w:t>
      </w:r>
      <w:r w:rsidRPr="0087608B">
        <w:rPr>
          <w:b/>
          <w:color w:val="000000" w:themeColor="text1"/>
        </w:rPr>
        <w:t xml:space="preserve">, and the authors therefore do not feel as though an abbreviation list will be </w:t>
      </w:r>
      <w:r w:rsidR="00784203" w:rsidRPr="0087608B">
        <w:rPr>
          <w:b/>
          <w:color w:val="000000" w:themeColor="text1"/>
        </w:rPr>
        <w:t xml:space="preserve">a </w:t>
      </w:r>
      <w:r w:rsidRPr="0087608B">
        <w:rPr>
          <w:b/>
          <w:color w:val="000000" w:themeColor="text1"/>
        </w:rPr>
        <w:t>beneficial</w:t>
      </w:r>
      <w:r w:rsidR="00784203" w:rsidRPr="0087608B">
        <w:rPr>
          <w:b/>
          <w:color w:val="000000" w:themeColor="text1"/>
        </w:rPr>
        <w:t xml:space="preserve"> addition</w:t>
      </w:r>
      <w:r w:rsidRPr="0087608B">
        <w:rPr>
          <w:b/>
          <w:color w:val="000000" w:themeColor="text1"/>
        </w:rPr>
        <w:t xml:space="preserve"> to the reader.</w:t>
      </w:r>
    </w:p>
    <w:p w14:paraId="0762BF83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7259B4D7" w14:textId="77777777" w:rsidR="00515718" w:rsidRPr="0087608B" w:rsidRDefault="00515718" w:rsidP="00515718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 w:themeColor="text1"/>
        </w:rPr>
      </w:pPr>
      <w:r w:rsidRPr="0087608B">
        <w:rPr>
          <w:rFonts w:eastAsia="Times New Roman" w:cs="Arial"/>
          <w:color w:val="000000" w:themeColor="text1"/>
          <w:shd w:val="clear" w:color="auto" w:fill="FFFFFF"/>
        </w:rPr>
        <w:t xml:space="preserve">Authors claim that co-culture of </w:t>
      </w:r>
      <w:proofErr w:type="spellStart"/>
      <w:r w:rsidRPr="0087608B">
        <w:rPr>
          <w:rFonts w:eastAsia="Times New Roman" w:cs="Arial"/>
          <w:color w:val="000000" w:themeColor="text1"/>
          <w:shd w:val="clear" w:color="auto" w:fill="FFFFFF"/>
        </w:rPr>
        <w:t>hGCs</w:t>
      </w:r>
      <w:proofErr w:type="spellEnd"/>
      <w:r w:rsidRPr="0087608B">
        <w:rPr>
          <w:rFonts w:eastAsia="Times New Roman" w:cs="Arial"/>
          <w:color w:val="000000" w:themeColor="text1"/>
          <w:shd w:val="clear" w:color="auto" w:fill="FFFFFF"/>
        </w:rPr>
        <w:t xml:space="preserve"> with DRG axons induce GFAP+/Ki67+ tumor-like structures formation, however, no negative controls are shown in the manuscript. Is GFAP and Ki67 expression due to co-culture with DRG axons or is an artifact of the culture media/conditions? Furthermore, one of the main characteristics of human GBM is heterogeneity. It would be interesting that authors show some examples with different tumor samples. Is this result reproducible in other </w:t>
      </w:r>
      <w:proofErr w:type="spellStart"/>
      <w:r w:rsidRPr="0087608B">
        <w:rPr>
          <w:rFonts w:eastAsia="Times New Roman" w:cs="Arial"/>
          <w:color w:val="000000" w:themeColor="text1"/>
          <w:shd w:val="clear" w:color="auto" w:fill="FFFFFF"/>
        </w:rPr>
        <w:t>hGCs</w:t>
      </w:r>
      <w:proofErr w:type="spellEnd"/>
      <w:r w:rsidRPr="0087608B">
        <w:rPr>
          <w:rFonts w:eastAsia="Times New Roman" w:cs="Arial"/>
          <w:color w:val="000000" w:themeColor="text1"/>
          <w:shd w:val="clear" w:color="auto" w:fill="FFFFFF"/>
        </w:rPr>
        <w:t xml:space="preserve">? Did they </w:t>
      </w:r>
      <w:proofErr w:type="gramStart"/>
      <w:r w:rsidRPr="0087608B">
        <w:rPr>
          <w:rFonts w:eastAsia="Times New Roman" w:cs="Arial"/>
          <w:color w:val="000000" w:themeColor="text1"/>
          <w:shd w:val="clear" w:color="auto" w:fill="FFFFFF"/>
        </w:rPr>
        <w:t>observed</w:t>
      </w:r>
      <w:proofErr w:type="gramEnd"/>
      <w:r w:rsidRPr="0087608B">
        <w:rPr>
          <w:rFonts w:eastAsia="Times New Roman" w:cs="Arial"/>
          <w:color w:val="000000" w:themeColor="text1"/>
          <w:shd w:val="clear" w:color="auto" w:fill="FFFFFF"/>
        </w:rPr>
        <w:t xml:space="preserve"> the same with other </w:t>
      </w:r>
      <w:proofErr w:type="spellStart"/>
      <w:r w:rsidRPr="0087608B">
        <w:rPr>
          <w:rFonts w:eastAsia="Times New Roman" w:cs="Arial"/>
          <w:color w:val="000000" w:themeColor="text1"/>
          <w:shd w:val="clear" w:color="auto" w:fill="FFFFFF"/>
        </w:rPr>
        <w:t>hGC</w:t>
      </w:r>
      <w:proofErr w:type="spellEnd"/>
      <w:r w:rsidRPr="0087608B">
        <w:rPr>
          <w:rFonts w:eastAsia="Times New Roman" w:cs="Arial"/>
          <w:color w:val="000000" w:themeColor="text1"/>
          <w:shd w:val="clear" w:color="auto" w:fill="FFFFFF"/>
        </w:rPr>
        <w:t xml:space="preserve"> tumor samples?</w:t>
      </w:r>
    </w:p>
    <w:p w14:paraId="767B9B68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142754BC" w14:textId="514DBCE3" w:rsidR="009925CF" w:rsidRDefault="008E3AD9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 xml:space="preserve">GFAP is a </w:t>
      </w:r>
      <w:r w:rsidR="00784203" w:rsidRPr="0087608B">
        <w:rPr>
          <w:b/>
          <w:color w:val="000000" w:themeColor="text1"/>
        </w:rPr>
        <w:t>known diagnostic marker of glioblastoma (1). Therefore, expression of GFAP would not be due to culture conditions</w:t>
      </w:r>
      <w:r w:rsidR="00272A6A" w:rsidRPr="0087608B">
        <w:rPr>
          <w:b/>
          <w:color w:val="000000" w:themeColor="text1"/>
        </w:rPr>
        <w:t xml:space="preserve"> or co-culture</w:t>
      </w:r>
      <w:r w:rsidR="00784203" w:rsidRPr="0087608B">
        <w:rPr>
          <w:b/>
          <w:color w:val="000000" w:themeColor="text1"/>
        </w:rPr>
        <w:t xml:space="preserve">, but is an inherent property of </w:t>
      </w:r>
      <w:r w:rsidR="00784203" w:rsidRPr="0087608B">
        <w:rPr>
          <w:b/>
          <w:color w:val="000000" w:themeColor="text1"/>
        </w:rPr>
        <w:lastRenderedPageBreak/>
        <w:t>glioblastoma. Ki</w:t>
      </w:r>
      <w:r w:rsidR="004D2F45" w:rsidRPr="0087608B">
        <w:rPr>
          <w:b/>
          <w:color w:val="000000" w:themeColor="text1"/>
        </w:rPr>
        <w:t>-</w:t>
      </w:r>
      <w:r w:rsidR="00784203" w:rsidRPr="0087608B">
        <w:rPr>
          <w:b/>
          <w:color w:val="000000" w:themeColor="text1"/>
        </w:rPr>
        <w:t xml:space="preserve">67 is a marker of </w:t>
      </w:r>
      <w:r w:rsidR="004D2F45" w:rsidRPr="0087608B">
        <w:rPr>
          <w:b/>
          <w:color w:val="000000" w:themeColor="text1"/>
        </w:rPr>
        <w:t xml:space="preserve">cellular proliferation (2). Therefore, any cell that is proliferating will stain positive for Ki-67. </w:t>
      </w:r>
      <w:r w:rsidR="009925CF">
        <w:rPr>
          <w:b/>
          <w:color w:val="000000" w:themeColor="text1"/>
        </w:rPr>
        <w:t xml:space="preserve">Expression of GFAP and Ki67 in our co-culture system is not an artifact of culture conditions. </w:t>
      </w:r>
      <w:r w:rsidR="00582A55">
        <w:rPr>
          <w:b/>
          <w:color w:val="000000" w:themeColor="text1"/>
        </w:rPr>
        <w:t xml:space="preserve">There is no negative control per se for these experiments. </w:t>
      </w:r>
      <w:r w:rsidR="009925CF">
        <w:rPr>
          <w:b/>
          <w:color w:val="000000" w:themeColor="text1"/>
        </w:rPr>
        <w:t>Glioma cell aggregate</w:t>
      </w:r>
      <w:r w:rsidR="00582A55">
        <w:rPr>
          <w:b/>
          <w:color w:val="000000" w:themeColor="text1"/>
        </w:rPr>
        <w:t>s</w:t>
      </w:r>
      <w:r w:rsidR="009925CF">
        <w:rPr>
          <w:b/>
          <w:color w:val="000000" w:themeColor="text1"/>
        </w:rPr>
        <w:t xml:space="preserve"> express</w:t>
      </w:r>
      <w:r w:rsidR="00582A55">
        <w:rPr>
          <w:b/>
          <w:color w:val="000000" w:themeColor="text1"/>
        </w:rPr>
        <w:t xml:space="preserve"> </w:t>
      </w:r>
      <w:r w:rsidR="009925CF">
        <w:rPr>
          <w:b/>
          <w:color w:val="000000" w:themeColor="text1"/>
        </w:rPr>
        <w:t xml:space="preserve">differentiation markers like GFAP in the presence of serum containing media and absence of </w:t>
      </w:r>
      <w:proofErr w:type="spellStart"/>
      <w:r w:rsidR="009925CF">
        <w:rPr>
          <w:b/>
          <w:color w:val="000000" w:themeColor="text1"/>
        </w:rPr>
        <w:t>bFGF</w:t>
      </w:r>
      <w:proofErr w:type="spellEnd"/>
      <w:r w:rsidR="009925CF">
        <w:rPr>
          <w:b/>
          <w:color w:val="000000" w:themeColor="text1"/>
        </w:rPr>
        <w:t>, EGF or DRG axons (see image below)</w:t>
      </w:r>
      <w:r w:rsidR="00582A55">
        <w:rPr>
          <w:b/>
          <w:color w:val="000000" w:themeColor="text1"/>
        </w:rPr>
        <w:t>:</w:t>
      </w:r>
    </w:p>
    <w:p w14:paraId="1255D0DB" w14:textId="5F12283F" w:rsidR="009925CF" w:rsidRDefault="009925CF" w:rsidP="00515718">
      <w:pPr>
        <w:pStyle w:val="ListParagraph"/>
        <w:rPr>
          <w:b/>
          <w:color w:val="000000" w:themeColor="text1"/>
        </w:rPr>
      </w:pPr>
    </w:p>
    <w:p w14:paraId="2B8AF459" w14:textId="6C850B6B" w:rsidR="009925CF" w:rsidRDefault="009925CF" w:rsidP="00515718">
      <w:pPr>
        <w:pStyle w:val="ListParagrap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774994F5" wp14:editId="430A719B">
            <wp:simplePos x="0" y="0"/>
            <wp:positionH relativeFrom="column">
              <wp:posOffset>544195</wp:posOffset>
            </wp:positionH>
            <wp:positionV relativeFrom="paragraph">
              <wp:posOffset>41275</wp:posOffset>
            </wp:positionV>
            <wp:extent cx="2861945" cy="21456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3-12-gb16-diff-gfap-dapi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95B19" w14:textId="77777777" w:rsidR="009925CF" w:rsidRDefault="009925CF" w:rsidP="00515718">
      <w:pPr>
        <w:pStyle w:val="ListParagraph"/>
        <w:rPr>
          <w:b/>
          <w:color w:val="000000" w:themeColor="text1"/>
        </w:rPr>
      </w:pPr>
    </w:p>
    <w:p w14:paraId="79F38BA2" w14:textId="23DA107E" w:rsidR="009925CF" w:rsidRDefault="009925CF" w:rsidP="00515718">
      <w:pPr>
        <w:pStyle w:val="ListParagraph"/>
        <w:rPr>
          <w:b/>
          <w:color w:val="000000" w:themeColor="text1"/>
        </w:rPr>
      </w:pPr>
    </w:p>
    <w:p w14:paraId="40295938" w14:textId="6B498E32" w:rsidR="009925CF" w:rsidRDefault="009925CF" w:rsidP="00515718">
      <w:pPr>
        <w:pStyle w:val="ListParagraph"/>
        <w:rPr>
          <w:b/>
          <w:color w:val="000000" w:themeColor="text1"/>
        </w:rPr>
      </w:pPr>
    </w:p>
    <w:p w14:paraId="66E366FA" w14:textId="77777777" w:rsidR="009925CF" w:rsidRDefault="009925CF" w:rsidP="00515718">
      <w:pPr>
        <w:pStyle w:val="ListParagraph"/>
        <w:rPr>
          <w:b/>
          <w:color w:val="000000" w:themeColor="text1"/>
        </w:rPr>
      </w:pPr>
    </w:p>
    <w:p w14:paraId="3D05FE73" w14:textId="77777777" w:rsidR="009925CF" w:rsidRDefault="009925CF" w:rsidP="00515718">
      <w:pPr>
        <w:pStyle w:val="ListParagraph"/>
        <w:rPr>
          <w:b/>
          <w:color w:val="000000" w:themeColor="text1"/>
        </w:rPr>
      </w:pPr>
    </w:p>
    <w:p w14:paraId="440032DB" w14:textId="77777777" w:rsidR="009925CF" w:rsidRDefault="009925CF" w:rsidP="00515718">
      <w:pPr>
        <w:pStyle w:val="ListParagraph"/>
        <w:rPr>
          <w:b/>
          <w:color w:val="000000" w:themeColor="text1"/>
        </w:rPr>
      </w:pPr>
    </w:p>
    <w:p w14:paraId="0844E7FD" w14:textId="765348DC" w:rsidR="009925CF" w:rsidRDefault="009925CF" w:rsidP="00515718">
      <w:pPr>
        <w:pStyle w:val="ListParagrap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</w:p>
    <w:p w14:paraId="741F291D" w14:textId="6A792DDA" w:rsidR="009925CF" w:rsidRDefault="009925CF" w:rsidP="00515718">
      <w:pPr>
        <w:pStyle w:val="ListParagraph"/>
        <w:rPr>
          <w:b/>
          <w:color w:val="000000" w:themeColor="text1"/>
        </w:rPr>
      </w:pPr>
    </w:p>
    <w:p w14:paraId="45E0E8D3" w14:textId="6050BE51" w:rsidR="009925CF" w:rsidRDefault="009925CF" w:rsidP="00515718">
      <w:pPr>
        <w:pStyle w:val="ListParagraph"/>
        <w:rPr>
          <w:b/>
          <w:color w:val="000000" w:themeColor="text1"/>
        </w:rPr>
      </w:pPr>
    </w:p>
    <w:p w14:paraId="14A21733" w14:textId="552CF969" w:rsidR="009925CF" w:rsidRDefault="00C71104" w:rsidP="00515718">
      <w:pPr>
        <w:pStyle w:val="ListParagraph"/>
        <w:rPr>
          <w:b/>
          <w:color w:val="000000" w:themeColor="text1"/>
        </w:rPr>
      </w:pP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27D27" wp14:editId="0966153B">
                <wp:simplePos x="0" y="0"/>
                <wp:positionH relativeFrom="column">
                  <wp:posOffset>527685</wp:posOffset>
                </wp:positionH>
                <wp:positionV relativeFrom="paragraph">
                  <wp:posOffset>94067</wp:posOffset>
                </wp:positionV>
                <wp:extent cx="1039495" cy="3505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EED4F" w14:textId="51D006CC" w:rsidR="009925CF" w:rsidRPr="00C71104" w:rsidRDefault="00C71104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GFAP/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</w:rPr>
                              <w:t>DAPI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27D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55pt;margin-top:7.4pt;width:81.8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" filled="f" stroked="f" strokeweight=".5pt">
                <v:textbox>
                  <w:txbxContent>
                    <w:p w14:paraId="684EED4F" w14:textId="51D006CC" w:rsidR="009925CF" w:rsidRPr="00C71104" w:rsidRDefault="00C71104">
                      <w:pP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>GFAP/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</w:rPr>
                        <w:t>DAPI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E58582D" w14:textId="67021002" w:rsidR="009925CF" w:rsidRDefault="009925CF" w:rsidP="00515718">
      <w:pPr>
        <w:pStyle w:val="ListParagraph"/>
        <w:rPr>
          <w:b/>
          <w:color w:val="000000" w:themeColor="text1"/>
        </w:rPr>
      </w:pPr>
    </w:p>
    <w:p w14:paraId="55129FB7" w14:textId="77777777" w:rsidR="009925CF" w:rsidRDefault="009925CF" w:rsidP="00515718">
      <w:pPr>
        <w:pStyle w:val="ListParagraph"/>
        <w:rPr>
          <w:b/>
          <w:color w:val="000000" w:themeColor="text1"/>
        </w:rPr>
      </w:pPr>
    </w:p>
    <w:p w14:paraId="7F05D5FF" w14:textId="46860DD1" w:rsidR="008E3AD9" w:rsidRPr="0087608B" w:rsidRDefault="00272A6A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 xml:space="preserve">The authors agree that glioblastoma is a very heterogeneous disease and frequently isolate tissue from multiple patients to account for patient to patient variation in our experiments. In our 2018 Oncogene manuscript (3), we report that co-culture of </w:t>
      </w:r>
      <w:proofErr w:type="spellStart"/>
      <w:r w:rsidRPr="0087608B">
        <w:rPr>
          <w:b/>
          <w:color w:val="000000" w:themeColor="text1"/>
        </w:rPr>
        <w:t>hGCs</w:t>
      </w:r>
      <w:proofErr w:type="spellEnd"/>
      <w:r w:rsidRPr="0087608B">
        <w:rPr>
          <w:b/>
          <w:color w:val="000000" w:themeColor="text1"/>
        </w:rPr>
        <w:t xml:space="preserve"> with DRG axons is reproducible with </w:t>
      </w:r>
      <w:proofErr w:type="spellStart"/>
      <w:r w:rsidR="00700323" w:rsidRPr="0087608B">
        <w:rPr>
          <w:b/>
          <w:color w:val="000000" w:themeColor="text1"/>
        </w:rPr>
        <w:t>hGCs</w:t>
      </w:r>
      <w:proofErr w:type="spellEnd"/>
      <w:r w:rsidR="00700323" w:rsidRPr="0087608B">
        <w:rPr>
          <w:b/>
          <w:color w:val="000000" w:themeColor="text1"/>
        </w:rPr>
        <w:t xml:space="preserve"> of two patients, representing different subtypes of glioblastoma according to TCGA classification.</w:t>
      </w:r>
      <w:r w:rsidR="009925CF">
        <w:rPr>
          <w:b/>
          <w:color w:val="000000" w:themeColor="text1"/>
        </w:rPr>
        <w:t xml:space="preserve"> </w:t>
      </w:r>
    </w:p>
    <w:p w14:paraId="1DEF8329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0887888D" w14:textId="77777777" w:rsidR="00515718" w:rsidRPr="0087608B" w:rsidRDefault="00515718" w:rsidP="00515718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 w:themeColor="text1"/>
        </w:rPr>
      </w:pPr>
      <w:r w:rsidRPr="0087608B">
        <w:rPr>
          <w:rFonts w:eastAsia="Times New Roman" w:cs="Arial"/>
          <w:color w:val="000000" w:themeColor="text1"/>
          <w:shd w:val="clear" w:color="auto" w:fill="FFFFFF"/>
        </w:rPr>
        <w:t>Figure 2 has been already published, but no reference in the text is found (see "Regulation of human glioma cell migration, tumor growth, and stemness gene expression using a Lck targeted inhibitor", Oncogene 2018). Furthermore, in this manuscript already published they described the protocol submitted to JOVE; authors should make reference to this manuscript.</w:t>
      </w:r>
    </w:p>
    <w:p w14:paraId="528E35BB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34B01CBA" w14:textId="77777777" w:rsidR="00700323" w:rsidRPr="0087608B" w:rsidRDefault="007C7AD2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>Manuscript reference for “Regulation of human glioma cell migration, tumor growth, and stemness gene expression using a Lck targeted inhibitor” has been added.</w:t>
      </w:r>
    </w:p>
    <w:p w14:paraId="634AE495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4B30203D" w14:textId="77777777" w:rsidR="00515718" w:rsidRPr="0087608B" w:rsidRDefault="00515718" w:rsidP="00515718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 w:themeColor="text1"/>
        </w:rPr>
      </w:pPr>
      <w:r w:rsidRPr="0087608B">
        <w:rPr>
          <w:rFonts w:eastAsia="Times New Roman" w:cs="Arial"/>
          <w:color w:val="000000" w:themeColor="text1"/>
          <w:shd w:val="clear" w:color="auto" w:fill="FFFFFF"/>
        </w:rPr>
        <w:t>Authors should also discuss limitations of this technique.</w:t>
      </w:r>
    </w:p>
    <w:p w14:paraId="1051A485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27214C6C" w14:textId="77777777" w:rsidR="007C7AD2" w:rsidRPr="0087608B" w:rsidRDefault="007C7AD2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 xml:space="preserve">The technical limitations of this technique were already discussed at length in the discussion. </w:t>
      </w:r>
    </w:p>
    <w:p w14:paraId="437D975D" w14:textId="77777777" w:rsidR="007C7AD2" w:rsidRPr="0087608B" w:rsidRDefault="007C7AD2" w:rsidP="007C7AD2">
      <w:pPr>
        <w:rPr>
          <w:color w:val="000000" w:themeColor="text1"/>
        </w:rPr>
      </w:pPr>
    </w:p>
    <w:p w14:paraId="7F11254B" w14:textId="77777777" w:rsidR="004B7D10" w:rsidRDefault="004B7D10" w:rsidP="007C7AD2">
      <w:pPr>
        <w:rPr>
          <w:b/>
          <w:color w:val="000000" w:themeColor="text1"/>
        </w:rPr>
      </w:pPr>
    </w:p>
    <w:p w14:paraId="14879A87" w14:textId="77777777" w:rsidR="004B7D10" w:rsidRDefault="004B7D10" w:rsidP="007C7AD2">
      <w:pPr>
        <w:rPr>
          <w:b/>
          <w:color w:val="000000" w:themeColor="text1"/>
        </w:rPr>
      </w:pPr>
    </w:p>
    <w:p w14:paraId="7DE519D5" w14:textId="77777777" w:rsidR="004B7D10" w:rsidRDefault="004B7D10" w:rsidP="007C7AD2">
      <w:pPr>
        <w:rPr>
          <w:b/>
          <w:color w:val="000000" w:themeColor="text1"/>
        </w:rPr>
      </w:pPr>
    </w:p>
    <w:p w14:paraId="4A63F203" w14:textId="77777777" w:rsidR="004B7D10" w:rsidRDefault="004B7D10" w:rsidP="007C7AD2">
      <w:pPr>
        <w:rPr>
          <w:b/>
          <w:color w:val="000000" w:themeColor="text1"/>
        </w:rPr>
      </w:pPr>
    </w:p>
    <w:p w14:paraId="2B9D9589" w14:textId="77777777" w:rsidR="004B7D10" w:rsidRDefault="004B7D10" w:rsidP="007C7AD2">
      <w:pPr>
        <w:rPr>
          <w:b/>
          <w:color w:val="000000" w:themeColor="text1"/>
        </w:rPr>
      </w:pPr>
    </w:p>
    <w:p w14:paraId="4424933E" w14:textId="577E72DF" w:rsidR="007C7AD2" w:rsidRDefault="007C7AD2" w:rsidP="007C7AD2">
      <w:pPr>
        <w:rPr>
          <w:b/>
          <w:color w:val="000000" w:themeColor="text1"/>
        </w:rPr>
      </w:pPr>
      <w:r w:rsidRPr="004B7D10">
        <w:rPr>
          <w:b/>
          <w:color w:val="000000" w:themeColor="text1"/>
        </w:rPr>
        <w:t>Reviewer 2</w:t>
      </w:r>
    </w:p>
    <w:p w14:paraId="2909C781" w14:textId="77777777" w:rsidR="004B7D10" w:rsidRPr="004B7D10" w:rsidRDefault="004B7D10" w:rsidP="007C7AD2">
      <w:pPr>
        <w:rPr>
          <w:b/>
          <w:color w:val="000000" w:themeColor="text1"/>
        </w:rPr>
      </w:pPr>
    </w:p>
    <w:p w14:paraId="4A317DCD" w14:textId="77777777" w:rsidR="00515718" w:rsidRPr="0087608B" w:rsidRDefault="00515718" w:rsidP="00515718">
      <w:pPr>
        <w:pStyle w:val="ListParagraph"/>
        <w:numPr>
          <w:ilvl w:val="0"/>
          <w:numId w:val="5"/>
        </w:numPr>
        <w:rPr>
          <w:rFonts w:eastAsia="Times New Roman" w:cs="Times New Roman"/>
          <w:color w:val="000000" w:themeColor="text1"/>
        </w:rPr>
      </w:pPr>
      <w:r w:rsidRPr="0087608B">
        <w:rPr>
          <w:rFonts w:eastAsia="Times New Roman" w:cs="Arial"/>
          <w:color w:val="000000" w:themeColor="text1"/>
          <w:shd w:val="clear" w:color="auto" w:fill="FFFFFF"/>
        </w:rPr>
        <w:t>If it is possible, I suggest author provide a flow chart summary including the crucial steps and time points of this methods.</w:t>
      </w:r>
    </w:p>
    <w:p w14:paraId="67B3F7DD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7E38C3AE" w14:textId="77777777" w:rsidR="007C7AD2" w:rsidRPr="0087608B" w:rsidRDefault="007C7AD2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>A flow chart summary has been added.</w:t>
      </w:r>
    </w:p>
    <w:p w14:paraId="62B7E7B7" w14:textId="77777777" w:rsidR="007C7AD2" w:rsidRPr="0087608B" w:rsidRDefault="007C7AD2" w:rsidP="007C7AD2">
      <w:pPr>
        <w:rPr>
          <w:color w:val="000000" w:themeColor="text1"/>
        </w:rPr>
      </w:pPr>
    </w:p>
    <w:p w14:paraId="44413AE9" w14:textId="77376851" w:rsidR="007C7AD2" w:rsidRDefault="007C7AD2" w:rsidP="007C7AD2">
      <w:pPr>
        <w:rPr>
          <w:b/>
          <w:color w:val="000000" w:themeColor="text1"/>
        </w:rPr>
      </w:pPr>
      <w:r w:rsidRPr="004B7D10">
        <w:rPr>
          <w:b/>
          <w:color w:val="000000" w:themeColor="text1"/>
        </w:rPr>
        <w:t>Reviewer 3</w:t>
      </w:r>
    </w:p>
    <w:p w14:paraId="23A9DE11" w14:textId="77777777" w:rsidR="004B7D10" w:rsidRPr="004B7D10" w:rsidRDefault="004B7D10" w:rsidP="007C7AD2">
      <w:pPr>
        <w:rPr>
          <w:b/>
          <w:color w:val="000000" w:themeColor="text1"/>
        </w:rPr>
      </w:pPr>
    </w:p>
    <w:p w14:paraId="157DD7E9" w14:textId="77777777" w:rsidR="00515718" w:rsidRPr="0087608B" w:rsidRDefault="00515718" w:rsidP="00515718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 w:themeColor="text1"/>
        </w:rPr>
      </w:pPr>
      <w:r w:rsidRPr="0087608B">
        <w:rPr>
          <w:rFonts w:eastAsia="Times New Roman" w:cs="Arial"/>
          <w:color w:val="000000" w:themeColor="text1"/>
          <w:shd w:val="clear" w:color="auto" w:fill="FFFFFF"/>
        </w:rPr>
        <w:t>The title and abstract are appropriate for this article and the method presented seem to have a great potential in biomaterials science, cell biology and cancer research. Hopefully it can be applied in the broader context (not only for migration studies) - can the authors elaborate on that?</w:t>
      </w:r>
    </w:p>
    <w:p w14:paraId="17D0C244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3EB95C28" w14:textId="77777777" w:rsidR="007C7AD2" w:rsidRPr="0087608B" w:rsidRDefault="007C7AD2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 xml:space="preserve">The protocol described here is not just limited to migration studies. This </w:t>
      </w:r>
      <w:r w:rsidRPr="0087608B">
        <w:rPr>
          <w:b/>
          <w:i/>
          <w:color w:val="000000" w:themeColor="text1"/>
        </w:rPr>
        <w:t>ex vivo</w:t>
      </w:r>
      <w:r w:rsidRPr="0087608B">
        <w:rPr>
          <w:b/>
          <w:color w:val="000000" w:themeColor="text1"/>
        </w:rPr>
        <w:t xml:space="preserve"> co-culture system has the potential</w:t>
      </w:r>
      <w:r w:rsidR="00515718" w:rsidRPr="0087608B">
        <w:rPr>
          <w:b/>
          <w:color w:val="000000" w:themeColor="text1"/>
        </w:rPr>
        <w:t xml:space="preserve"> to be used for</w:t>
      </w:r>
      <w:r w:rsidRPr="0087608B">
        <w:rPr>
          <w:b/>
          <w:color w:val="000000" w:themeColor="text1"/>
        </w:rPr>
        <w:t xml:space="preserve"> drug discovery. The potential future uses of this model have been expanded upon further in the manuscript.</w:t>
      </w:r>
    </w:p>
    <w:p w14:paraId="68113FDF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78CC49F1" w14:textId="77777777" w:rsidR="00515718" w:rsidRPr="008D09B2" w:rsidRDefault="00515718" w:rsidP="00515718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 w:themeColor="text1"/>
        </w:rPr>
      </w:pPr>
      <w:r w:rsidRPr="008D09B2">
        <w:rPr>
          <w:rFonts w:eastAsia="Times New Roman" w:cs="Arial"/>
          <w:color w:val="000000" w:themeColor="text1"/>
          <w:shd w:val="clear" w:color="auto" w:fill="FFFFFF"/>
        </w:rPr>
        <w:t>Also, can the authors present the quantities obtained with ImageJ analysis of glioma migration? I assume the quantification might be difficult since cells move in quasi 3D environment? Please, discuss the challenges if possible.</w:t>
      </w:r>
    </w:p>
    <w:p w14:paraId="503D8D06" w14:textId="77777777" w:rsidR="00515718" w:rsidRPr="0087608B" w:rsidRDefault="00515718" w:rsidP="00515718">
      <w:pPr>
        <w:pStyle w:val="ListParagraph"/>
        <w:rPr>
          <w:color w:val="000000" w:themeColor="text1"/>
          <w:highlight w:val="yellow"/>
        </w:rPr>
      </w:pPr>
    </w:p>
    <w:p w14:paraId="1E9FBEFD" w14:textId="0121AD32" w:rsidR="00515718" w:rsidRDefault="008D09B2" w:rsidP="00515718">
      <w:pPr>
        <w:pStyle w:val="ListParagraph"/>
        <w:rPr>
          <w:b/>
          <w:color w:val="000000" w:themeColor="text1"/>
        </w:rPr>
      </w:pPr>
      <w:r w:rsidRPr="008D09B2">
        <w:rPr>
          <w:b/>
          <w:color w:val="000000" w:themeColor="text1"/>
        </w:rPr>
        <w:t>Migration was quantified by dividing the area of migration by the area of each sphere to account for variations in sphere size. This was done at a single time point post-fixation.</w:t>
      </w:r>
    </w:p>
    <w:p w14:paraId="03FE13B6" w14:textId="77777777" w:rsidR="00A2342B" w:rsidRPr="008D09B2" w:rsidRDefault="00A2342B" w:rsidP="00515718">
      <w:pPr>
        <w:pStyle w:val="ListParagraph"/>
        <w:rPr>
          <w:b/>
          <w:color w:val="000000" w:themeColor="text1"/>
        </w:rPr>
      </w:pPr>
    </w:p>
    <w:p w14:paraId="716EC075" w14:textId="1E389ADC" w:rsidR="00515718" w:rsidRPr="008D09B2" w:rsidRDefault="00515718" w:rsidP="008D09B2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 w:themeColor="text1"/>
        </w:rPr>
      </w:pPr>
      <w:r w:rsidRPr="0087608B">
        <w:rPr>
          <w:rFonts w:eastAsia="Times New Roman" w:cs="Arial"/>
          <w:color w:val="000000" w:themeColor="text1"/>
          <w:shd w:val="clear" w:color="auto" w:fill="FFFFFF"/>
        </w:rPr>
        <w:t>All the materials and equipmen</w:t>
      </w:r>
      <w:r w:rsidRPr="008D09B2">
        <w:rPr>
          <w:rFonts w:eastAsia="Times New Roman" w:cs="Arial"/>
          <w:color w:val="000000" w:themeColor="text1"/>
          <w:shd w:val="clear" w:color="auto" w:fill="FFFFFF"/>
        </w:rPr>
        <w:t>t are appropriately listed in the table and the steps listed in the procedure are clearly explained, with one exemption: Point 2.2.1. "When spheres form and reach a size between 200-500 µm" is this diameter or radius?? Please specify.</w:t>
      </w:r>
    </w:p>
    <w:p w14:paraId="40DA2C75" w14:textId="77777777" w:rsidR="00515718" w:rsidRPr="0087608B" w:rsidRDefault="00515718" w:rsidP="00515718">
      <w:pPr>
        <w:pStyle w:val="ListParagraph"/>
        <w:rPr>
          <w:color w:val="000000" w:themeColor="text1"/>
        </w:rPr>
      </w:pPr>
    </w:p>
    <w:p w14:paraId="0CE86A56" w14:textId="77777777" w:rsidR="007C7AD2" w:rsidRPr="0087608B" w:rsidRDefault="007C7AD2" w:rsidP="00515718">
      <w:pPr>
        <w:pStyle w:val="ListParagraph"/>
        <w:rPr>
          <w:b/>
          <w:color w:val="000000" w:themeColor="text1"/>
        </w:rPr>
      </w:pPr>
      <w:r w:rsidRPr="0087608B">
        <w:rPr>
          <w:b/>
          <w:color w:val="000000" w:themeColor="text1"/>
        </w:rPr>
        <w:t>This is diameter. The manuscript has been revised to clarify.</w:t>
      </w:r>
    </w:p>
    <w:p w14:paraId="0BABC0A7" w14:textId="77777777" w:rsidR="001262E0" w:rsidRDefault="001262E0" w:rsidP="00784203">
      <w:pPr>
        <w:rPr>
          <w:color w:val="000000" w:themeColor="text1"/>
        </w:rPr>
      </w:pPr>
      <w:bookmarkStart w:id="0" w:name="_GoBack"/>
      <w:bookmarkEnd w:id="0"/>
    </w:p>
    <w:p w14:paraId="49A33C1A" w14:textId="77777777" w:rsidR="001262E0" w:rsidRDefault="001262E0" w:rsidP="00784203">
      <w:pPr>
        <w:rPr>
          <w:color w:val="000000" w:themeColor="text1"/>
        </w:rPr>
      </w:pPr>
    </w:p>
    <w:p w14:paraId="0D97C67A" w14:textId="164592DB" w:rsidR="00784203" w:rsidRDefault="00784203" w:rsidP="00784203">
      <w:pPr>
        <w:rPr>
          <w:b/>
          <w:color w:val="000000" w:themeColor="text1"/>
        </w:rPr>
      </w:pPr>
      <w:r w:rsidRPr="001262E0">
        <w:rPr>
          <w:b/>
          <w:color w:val="000000" w:themeColor="text1"/>
        </w:rPr>
        <w:t>References</w:t>
      </w:r>
    </w:p>
    <w:p w14:paraId="061F9422" w14:textId="77777777" w:rsidR="001262E0" w:rsidRPr="001262E0" w:rsidRDefault="001262E0" w:rsidP="00784203">
      <w:pPr>
        <w:rPr>
          <w:b/>
          <w:color w:val="000000" w:themeColor="text1"/>
        </w:rPr>
      </w:pPr>
    </w:p>
    <w:p w14:paraId="12A5F3C4" w14:textId="77777777" w:rsidR="00784203" w:rsidRPr="0087608B" w:rsidRDefault="00784203" w:rsidP="00784203">
      <w:pPr>
        <w:pStyle w:val="ListParagraph"/>
        <w:numPr>
          <w:ilvl w:val="0"/>
          <w:numId w:val="2"/>
        </w:numPr>
        <w:rPr>
          <w:rFonts w:eastAsia="Times New Roman" w:cs="Times New Roman"/>
          <w:color w:val="000000" w:themeColor="text1"/>
        </w:rPr>
      </w:pPr>
      <w:proofErr w:type="spellStart"/>
      <w:r w:rsidRPr="0087608B">
        <w:rPr>
          <w:rFonts w:eastAsia="Times New Roman" w:cs="Times New Roman"/>
          <w:color w:val="000000" w:themeColor="text1"/>
          <w:shd w:val="clear" w:color="auto" w:fill="FFFFFF"/>
        </w:rPr>
        <w:t>Reifenberger</w:t>
      </w:r>
      <w:proofErr w:type="spellEnd"/>
      <w:r w:rsidRPr="0087608B">
        <w:rPr>
          <w:rFonts w:eastAsia="Times New Roman" w:cs="Times New Roman"/>
          <w:color w:val="000000" w:themeColor="text1"/>
          <w:shd w:val="clear" w:color="auto" w:fill="FFFFFF"/>
        </w:rPr>
        <w:t xml:space="preserve"> G, </w:t>
      </w:r>
      <w:proofErr w:type="spellStart"/>
      <w:r w:rsidRPr="0087608B">
        <w:rPr>
          <w:rFonts w:eastAsia="Times New Roman" w:cs="Times New Roman"/>
          <w:color w:val="000000" w:themeColor="text1"/>
          <w:shd w:val="clear" w:color="auto" w:fill="FFFFFF"/>
        </w:rPr>
        <w:t>Szymas</w:t>
      </w:r>
      <w:proofErr w:type="spellEnd"/>
      <w:r w:rsidRPr="0087608B">
        <w:rPr>
          <w:rFonts w:eastAsia="Times New Roman" w:cs="Times New Roman"/>
          <w:color w:val="000000" w:themeColor="text1"/>
          <w:shd w:val="clear" w:color="auto" w:fill="FFFFFF"/>
        </w:rPr>
        <w:t xml:space="preserve"> J, Wechsler W. Differential expression of glial- and neuronal-associated antigens in human tumors of the central and peripheral nervous system</w:t>
      </w:r>
      <w:r w:rsidRPr="0087608B">
        <w:rPr>
          <w:rFonts w:eastAsia="Times New Roman" w:cs="Times New Roman"/>
          <w:i/>
          <w:color w:val="000000" w:themeColor="text1"/>
          <w:shd w:val="clear" w:color="auto" w:fill="FFFFFF"/>
        </w:rPr>
        <w:t xml:space="preserve">. Acta </w:t>
      </w:r>
      <w:proofErr w:type="spellStart"/>
      <w:r w:rsidRPr="0087608B">
        <w:rPr>
          <w:rFonts w:eastAsia="Times New Roman" w:cs="Times New Roman"/>
          <w:i/>
          <w:color w:val="000000" w:themeColor="text1"/>
          <w:shd w:val="clear" w:color="auto" w:fill="FFFFFF"/>
        </w:rPr>
        <w:t>Neuropathol</w:t>
      </w:r>
      <w:proofErr w:type="spellEnd"/>
      <w:r w:rsidRPr="0087608B">
        <w:rPr>
          <w:rFonts w:eastAsia="Times New Roman" w:cs="Times New Roman"/>
          <w:i/>
          <w:color w:val="000000" w:themeColor="text1"/>
          <w:shd w:val="clear" w:color="auto" w:fill="FFFFFF"/>
        </w:rPr>
        <w:t>.</w:t>
      </w:r>
      <w:r w:rsidRPr="0087608B">
        <w:rPr>
          <w:rFonts w:eastAsia="Times New Roman" w:cs="Times New Roman"/>
          <w:color w:val="000000" w:themeColor="text1"/>
          <w:shd w:val="clear" w:color="auto" w:fill="FFFFFF"/>
        </w:rPr>
        <w:t xml:space="preserve"> 1987;74(2):105–23</w:t>
      </w:r>
    </w:p>
    <w:p w14:paraId="03855796" w14:textId="77777777" w:rsidR="00784203" w:rsidRPr="0087608B" w:rsidRDefault="00272A6A" w:rsidP="00784203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87608B">
        <w:rPr>
          <w:color w:val="000000" w:themeColor="text1"/>
        </w:rPr>
        <w:t>Scholzen</w:t>
      </w:r>
      <w:proofErr w:type="spellEnd"/>
      <w:r w:rsidRPr="0087608B">
        <w:rPr>
          <w:color w:val="000000" w:themeColor="text1"/>
        </w:rPr>
        <w:t xml:space="preserve"> T, Gerdes J. The Ki-67 protein: From the known and the unknown. </w:t>
      </w:r>
      <w:r w:rsidRPr="0087608B">
        <w:rPr>
          <w:i/>
          <w:color w:val="000000" w:themeColor="text1"/>
        </w:rPr>
        <w:t>J Cell Physiol.</w:t>
      </w:r>
      <w:r w:rsidRPr="0087608B">
        <w:rPr>
          <w:color w:val="000000" w:themeColor="text1"/>
        </w:rPr>
        <w:t xml:space="preserve"> 2000 Mar;182(3):311-22</w:t>
      </w:r>
    </w:p>
    <w:p w14:paraId="2D7DBD81" w14:textId="77777777" w:rsidR="00700323" w:rsidRPr="0087608B" w:rsidRDefault="00700323" w:rsidP="00700323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87608B">
        <w:rPr>
          <w:noProof/>
          <w:color w:val="000000" w:themeColor="text1"/>
        </w:rPr>
        <w:t xml:space="preserve">Zepecki, J.P., Snyder, K.M., Moreno, M.M., Fajardo, E., Fiser, A., Ness, J., Sarkar, A., Toms, S.A., &amp; Tapinos, N. </w:t>
      </w:r>
      <w:r w:rsidRPr="0087608B">
        <w:rPr>
          <w:color w:val="000000" w:themeColor="text1"/>
        </w:rPr>
        <w:t xml:space="preserve">Regulation of human glioma cell migration, tumor growth, and stemness gene expression using a Lck targeted inhibitor. </w:t>
      </w:r>
      <w:r w:rsidRPr="0087608B">
        <w:rPr>
          <w:i/>
          <w:color w:val="000000" w:themeColor="text1"/>
        </w:rPr>
        <w:t>Oncogene</w:t>
      </w:r>
      <w:r w:rsidRPr="0087608B">
        <w:rPr>
          <w:color w:val="000000" w:themeColor="text1"/>
        </w:rPr>
        <w:t>.</w:t>
      </w:r>
      <w:r w:rsidR="007C7AD2" w:rsidRPr="0087608B">
        <w:rPr>
          <w:color w:val="000000" w:themeColor="text1"/>
        </w:rPr>
        <w:t xml:space="preserve"> 2018 </w:t>
      </w:r>
      <w:r w:rsidRPr="0087608B">
        <w:rPr>
          <w:b/>
          <w:color w:val="000000" w:themeColor="text1"/>
        </w:rPr>
        <w:t>38</w:t>
      </w:r>
      <w:r w:rsidR="007C7AD2" w:rsidRPr="0087608B">
        <w:rPr>
          <w:color w:val="000000" w:themeColor="text1"/>
        </w:rPr>
        <w:t>, 1734-1750</w:t>
      </w:r>
    </w:p>
    <w:sectPr w:rsidR="00700323" w:rsidRPr="0087608B" w:rsidSect="006D4D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44BFF"/>
    <w:multiLevelType w:val="hybridMultilevel"/>
    <w:tmpl w:val="5AA83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33943"/>
    <w:multiLevelType w:val="hybridMultilevel"/>
    <w:tmpl w:val="5A025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B1A7E"/>
    <w:multiLevelType w:val="hybridMultilevel"/>
    <w:tmpl w:val="2E967C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65A89"/>
    <w:multiLevelType w:val="hybridMultilevel"/>
    <w:tmpl w:val="CF80F906"/>
    <w:lvl w:ilvl="0" w:tplc="08389B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D0971"/>
    <w:multiLevelType w:val="hybridMultilevel"/>
    <w:tmpl w:val="CA362C0A"/>
    <w:lvl w:ilvl="0" w:tplc="09CA03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2754D"/>
    <w:multiLevelType w:val="hybridMultilevel"/>
    <w:tmpl w:val="5A025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A6A10"/>
    <w:multiLevelType w:val="hybridMultilevel"/>
    <w:tmpl w:val="F35CB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A082C"/>
    <w:multiLevelType w:val="hybridMultilevel"/>
    <w:tmpl w:val="CF68657A"/>
    <w:lvl w:ilvl="0" w:tplc="9AB0C86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166FA4"/>
    <w:multiLevelType w:val="hybridMultilevel"/>
    <w:tmpl w:val="D688D956"/>
    <w:lvl w:ilvl="0" w:tplc="6FD81AE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BD4A0D"/>
    <w:multiLevelType w:val="multilevel"/>
    <w:tmpl w:val="4DB8E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BE3"/>
    <w:rsid w:val="000D154E"/>
    <w:rsid w:val="001262E0"/>
    <w:rsid w:val="00272A6A"/>
    <w:rsid w:val="0043586E"/>
    <w:rsid w:val="004B7D10"/>
    <w:rsid w:val="004D2F45"/>
    <w:rsid w:val="00515718"/>
    <w:rsid w:val="00520BCA"/>
    <w:rsid w:val="00582A55"/>
    <w:rsid w:val="006B33A4"/>
    <w:rsid w:val="006D4D5D"/>
    <w:rsid w:val="00700323"/>
    <w:rsid w:val="00784203"/>
    <w:rsid w:val="007A6BE3"/>
    <w:rsid w:val="007C7AD2"/>
    <w:rsid w:val="0087608B"/>
    <w:rsid w:val="008D09B2"/>
    <w:rsid w:val="008E3AD9"/>
    <w:rsid w:val="009925CF"/>
    <w:rsid w:val="00A2342B"/>
    <w:rsid w:val="00C71104"/>
    <w:rsid w:val="00C94F63"/>
    <w:rsid w:val="00EB7397"/>
    <w:rsid w:val="00ED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0AD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BE3"/>
    <w:pPr>
      <w:ind w:left="720"/>
      <w:contextualSpacing/>
    </w:pPr>
  </w:style>
  <w:style w:type="character" w:customStyle="1" w:styleId="ref-title">
    <w:name w:val="ref-title"/>
    <w:basedOn w:val="DefaultParagraphFont"/>
    <w:rsid w:val="00784203"/>
  </w:style>
  <w:style w:type="character" w:customStyle="1" w:styleId="ref-journal">
    <w:name w:val="ref-journal"/>
    <w:basedOn w:val="DefaultParagraphFont"/>
    <w:rsid w:val="00784203"/>
  </w:style>
  <w:style w:type="character" w:customStyle="1" w:styleId="ref-vol">
    <w:name w:val="ref-vol"/>
    <w:basedOn w:val="DefaultParagraphFont"/>
    <w:rsid w:val="00784203"/>
  </w:style>
  <w:style w:type="character" w:customStyle="1" w:styleId="ref-iss">
    <w:name w:val="ref-iss"/>
    <w:basedOn w:val="DefaultParagraphFont"/>
    <w:rsid w:val="00784203"/>
  </w:style>
  <w:style w:type="paragraph" w:styleId="NormalWeb">
    <w:name w:val="Normal (Web)"/>
    <w:basedOn w:val="Normal"/>
    <w:rsid w:val="00700323"/>
    <w:pPr>
      <w:widowControl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ascii="Calibri" w:eastAsia="Times New Roman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582A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82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Nikos Tapinos</cp:lastModifiedBy>
  <cp:revision>11</cp:revision>
  <dcterms:created xsi:type="dcterms:W3CDTF">2019-03-12T01:42:00Z</dcterms:created>
  <dcterms:modified xsi:type="dcterms:W3CDTF">2019-03-29T16:14:00Z</dcterms:modified>
</cp:coreProperties>
</file>