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Development of </w:t>
      </w:r>
      <w:r>
        <w:rPr>
          <w:rFonts w:ascii="Calibri" w:hAnsi="Calibri" w:cs="Calibri" w:eastAsia="Calibri"/>
          <w:b/>
          <w:color w:val="000000"/>
          <w:spacing w:val="0"/>
          <w:position w:val="0"/>
          <w:sz w:val="24"/>
          <w:shd w:fill="auto" w:val="clear"/>
        </w:rPr>
        <w:t xml:space="preserve">Targeting Induced Local Lesions IN Genomes (</w:t>
      </w:r>
      <w:r>
        <w:rPr>
          <w:rFonts w:ascii="Calibri" w:hAnsi="Calibri" w:cs="Calibri" w:eastAsia="Calibri"/>
          <w:b/>
          <w:color w:val="auto"/>
          <w:spacing w:val="0"/>
          <w:position w:val="0"/>
          <w:sz w:val="24"/>
          <w:shd w:fill="auto" w:val="clear"/>
        </w:rPr>
        <w:t xml:space="preserve">TILLING) Populations in Small Grain Crops by</w:t>
      </w:r>
      <w:r>
        <w:rPr>
          <w:rFonts w:ascii="Calibri" w:hAnsi="Calibri" w:cs="Calibri" w:eastAsia="Calibri"/>
          <w:b/>
          <w:color w:val="000000"/>
          <w:spacing w:val="0"/>
          <w:position w:val="0"/>
          <w:sz w:val="24"/>
          <w:shd w:fill="auto" w:val="clear"/>
        </w:rPr>
        <w:t xml:space="preserve"> Ethyl Methanesulfonate</w:t>
      </w:r>
      <w:r>
        <w:rPr>
          <w:rFonts w:ascii="Calibri" w:hAnsi="Calibri" w:cs="Calibri" w:eastAsia="Calibri"/>
          <w:b/>
          <w:color w:val="auto"/>
          <w:spacing w:val="0"/>
          <w:position w:val="0"/>
          <w:sz w:val="24"/>
          <w:shd w:fill="auto" w:val="clear"/>
        </w:rPr>
        <w:t xml:space="preserve"> Mutagenesis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Lovepreet Singh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Adam Schoen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Alexander Mahlandt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Bhavit Chhabra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James Steadham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Vijay Tiwari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Nidhi Rawat</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Plant Science and Landscape Architecture, University of Maryland, College Park, MD,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Nidhi Rawat</w:t>
        <w:tab/>
        <w:tab/>
        <w:t xml:space="preserve">(nidhirwt@umd.edu)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Lovepreet Singh</w:t>
        <w:tab/>
        <w:t xml:space="preserve">(lps1699@umd.edu)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 Schoen</w:t>
        <w:tab/>
        <w:tab/>
        <w:t xml:space="preserve">(awschoen@terpmail.umd.edu)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Mahlandt</w:t>
        <w:tab/>
        <w:t xml:space="preserve">(amahland@umd.edu)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Bhavit Chhabra</w:t>
        <w:tab/>
        <w:t xml:space="preserve">(bchhabra@umd.edu)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Steadham</w:t>
        <w:tab/>
        <w:t xml:space="preserve">(jstea@umd.edu)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Vijay Tiwari</w:t>
        <w:tab/>
        <w:tab/>
        <w:t xml:space="preserve">(vktiwari@umd.edu)</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FFFFFF"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Mutagenesis, TILLING population, EMS, Reverse Genetics, Small Grains, Cel-1 endonuclease</w:t>
      </w:r>
      <w:r>
        <w:rPr>
          <w:rFonts w:ascii="Calibri" w:hAnsi="Calibri" w:cs="Calibri" w:eastAsia="Calibri"/>
          <w:color w:val="auto"/>
          <w:spacing w:val="0"/>
          <w:position w:val="0"/>
          <w:sz w:val="24"/>
          <w:shd w:fill="auto" w:val="clear"/>
        </w:rPr>
        <w:br/>
        <w:br/>
      </w: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Described is a protocol for developing a Targeting Induced Local Lesions IN Genomes (TILLING) population in small grain crops with use of ethyl methanesulfonate (EMS) as a mutagen. Also provided is a protocol for mutation detection using the Cel-1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Targeting Induced Local Lesions IN Genomes (TILLING) is a powerful reverse genetics tool that includes chemical mutagenesis and detection of sequence variation in target genes. TILLING is a highly valuable functional genomics tool for gene validation, especially in small grains in which transformation-based approaches hold serious limitations. </w:t>
      </w:r>
      <w:r>
        <w:rPr>
          <w:rFonts w:ascii="Calibri" w:hAnsi="Calibri" w:cs="Calibri" w:eastAsia="Calibri"/>
          <w:color w:val="000000"/>
          <w:spacing w:val="0"/>
          <w:position w:val="0"/>
          <w:sz w:val="24"/>
          <w:shd w:fill="auto" w:val="clear"/>
        </w:rPr>
        <w:t xml:space="preserve">Developing a robust mutagenized population is key to determining the efficiency of a TILLING-based gene validation study. A TILLING population with a low overall mutation frequency indicates that an impractically large population must be screened to find desired mutations, whereas a high mutagen concentration leads to high mortality in the population, leading to an insufficient number of mutagenized individuals. Once an effective population is developed, there are multiple ways to detect mutations in a gene of interest, and the choice of platform depends upon the experimental scale and availability of resources. </w:t>
      </w:r>
      <w:r>
        <w:rPr>
          <w:rFonts w:ascii="Calibri" w:hAnsi="Calibri" w:cs="Calibri" w:eastAsia="Calibri"/>
          <w:color w:val="auto"/>
          <w:spacing w:val="0"/>
          <w:position w:val="0"/>
          <w:sz w:val="24"/>
          <w:shd w:fill="auto" w:val="clear"/>
        </w:rPr>
        <w:t xml:space="preserve">The Cel-1 assay and agarose gel-based approach for mutant identification is convenient, reproducible, and a less resource-intensive platform. It </w:t>
      </w:r>
      <w:r>
        <w:rPr>
          <w:rFonts w:ascii="Calibri" w:hAnsi="Calibri" w:cs="Calibri" w:eastAsia="Calibri"/>
          <w:color w:val="000000"/>
          <w:spacing w:val="0"/>
          <w:position w:val="0"/>
          <w:sz w:val="24"/>
          <w:shd w:fill="auto" w:val="clear"/>
        </w:rPr>
        <w:t xml:space="preserve">is advantageous in that it is simple, requiring no computational knowledge, and it is especially suitable for validation of a small number of genes with basic lab equipment. In the present article, described are the methods for development of a good TILLING population, including preparation of the dosage curve, mutagenesis and maintenance of the mutant population, and screening of the mutant population using the PCR-based Cel-1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Point mutations in genomes can serve many useful purposes for researchers. Depending on their nature and location, these mutations can be used to assign functions to genes or even distinct domains of proteins of interest. On the other hand, as a source of novel genetic variation, useful mutations can be selected for desired traits using phenotyping screens and further used in crop improvement. </w:t>
      </w:r>
      <w:r>
        <w:rPr>
          <w:rFonts w:ascii="Calibri" w:hAnsi="Calibri" w:cs="Calibri" w:eastAsia="Calibri"/>
          <w:color w:val="auto"/>
          <w:spacing w:val="0"/>
          <w:position w:val="0"/>
          <w:sz w:val="24"/>
          <w:shd w:fill="auto" w:val="clear"/>
        </w:rPr>
        <w:t xml:space="preserve">TILLING is a powerful reverse genetics tool that includes chemical mutagenesis and detection of sequence variation in the target gene.</w:t>
      </w:r>
      <w:r>
        <w:rPr>
          <w:rFonts w:ascii="Calibri" w:hAnsi="Calibri" w:cs="Calibri" w:eastAsia="Calibri"/>
          <w:color w:val="000000"/>
          <w:spacing w:val="0"/>
          <w:position w:val="0"/>
          <w:sz w:val="24"/>
          <w:shd w:fill="auto" w:val="clear"/>
        </w:rPr>
        <w:t xml:space="preserve"> First developed in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Drosophilia melanogaster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TILLING populations have been developed and utilized in many small grain crops such as hexaploid bread wheat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Triticum aestivum</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barley (</w:t>
      </w:r>
      <w:r>
        <w:rPr>
          <w:rFonts w:ascii="Calibri" w:hAnsi="Calibri" w:cs="Calibri" w:eastAsia="Calibri"/>
          <w:i/>
          <w:color w:val="000000"/>
          <w:spacing w:val="0"/>
          <w:position w:val="0"/>
          <w:sz w:val="24"/>
          <w:shd w:fill="auto" w:val="clear"/>
        </w:rPr>
        <w:t xml:space="preserve">Hordeum vulgare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tetraploid durum wheat (</w:t>
      </w:r>
      <w:r>
        <w:rPr>
          <w:rFonts w:ascii="Calibri" w:hAnsi="Calibri" w:cs="Calibri" w:eastAsia="Calibri"/>
          <w:i/>
          <w:color w:val="000000"/>
          <w:spacing w:val="0"/>
          <w:position w:val="0"/>
          <w:sz w:val="24"/>
          <w:shd w:fill="auto" w:val="clear"/>
        </w:rPr>
        <w:t xml:space="preserve">T. dicoccoides durum</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diploid wheat (</w:t>
      </w:r>
      <w:r>
        <w:rPr>
          <w:rFonts w:ascii="Calibri" w:hAnsi="Calibri" w:cs="Calibri" w:eastAsia="Calibri"/>
          <w:i/>
          <w:color w:val="000000"/>
          <w:spacing w:val="0"/>
          <w:position w:val="0"/>
          <w:sz w:val="24"/>
          <w:shd w:fill="auto" w:val="clear"/>
        </w:rPr>
        <w:t xml:space="preserve">T. monococcum</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the “D” genome progenitor of wheat </w:t>
      </w:r>
      <w:r>
        <w:rPr>
          <w:rFonts w:ascii="Calibri" w:hAnsi="Calibri" w:cs="Calibri" w:eastAsia="Calibri"/>
          <w:i/>
          <w:color w:val="000000"/>
          <w:spacing w:val="0"/>
          <w:position w:val="0"/>
          <w:sz w:val="24"/>
          <w:shd w:fill="auto" w:val="clear"/>
        </w:rPr>
        <w:t xml:space="preserve">Aegilops tauschii</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These resources have been used to validate the roles of genes in regulating abiotic and biotic stress tolerance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regulating flowering time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developing nutritionally superior crop varieties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TILLING, along with the use of alkylating mutagenic agents such as ethyl methanesulfonate (EMS), sodium azide, N-methyl-N-nitrosourea (MNU), and methyl methanesulfonate (MMS), has advantages over other reverse genetics tools for several reasons. First, mutagenesis can be conducted on practically any species or variety of plant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is independent of the transformation bottleneck, which is particularly challenging in the case of small grains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Second, in addition to generating knockout mutations that can be obtained by other gene validation approaches, a range of missense and splicing mutations can be induced, which can discern functions of individual domains of the proteins of interest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Moreover, TILLING generates an immortal collection of mutations throughout the genome; thus, a single population can be used for functional validation of multiple genes. In contrast, other reverse genetics tools generate resources specific to only the gene under study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Useful mutations identified through TILLING can be deployed for breeding purposes and are not subject to regulation, unlike gene editing, whose non-transgenic classification is still uncertain in many countries. This becomes especially relevant to small grains that are internationally traded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TILLING is a simple and efficient gene validation strategy and requires mutagenized populations to be developed for investigating genes of interest. Developing an effective mutagenized population is key to determining the efficiency of a TILLING-based gene validation study. A TILLING population with a low overall mutation frequency indicates that an impractically large population must be screened for desired mutations, whereas a high mutagen concentration leads to high mortality in the population and an insufficient number of mutagenized individuals. Once a good population is developed, there are multiple ways to detect mutations in the genes of interest, and the choice of platform depends on the experimental scale and availability of resources. Whole genome sequencing and exome sequencing has been used to characterize all mutations in TILLING populations in plants with small genomes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Exome sequencing of two TILLING populations has been performed in bread and durum wheat and is available to the public for identifying desirable mutations and ordering mutant lines of interest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It is a great public resource in terms of availability of desirable mutations; however, in gene validation studies, the wild-type line should possess the candidate gene of interest. Unfortunately, it is still cost-prohibitive to sequence the exome of the entire TILLING population for reverse genetics-based validation of a few candidate genes in another background. Amplicon sequencing and Cel-1-based assays have been used in detecting mutations in targeted populations in wheat, and Cel-1 assays are simpler, requiring no computational knowledge, and are especially suitable for validation of a small number of genes with basic lab equipment</w:t>
      </w:r>
      <w:r>
        <w:rPr>
          <w:rFonts w:ascii="Calibri" w:hAnsi="Calibri" w:cs="Calibri" w:eastAsia="Calibri"/>
          <w:color w:val="auto"/>
          <w:spacing w:val="0"/>
          <w:position w:val="0"/>
          <w:sz w:val="24"/>
          <w:shd w:fill="auto" w:val="clear"/>
          <w:vertAlign w:val="superscript"/>
        </w:rPr>
        <w:t xml:space="preserve">6,18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the present article, described are methods for the development of a good TILLING population, including preparation of the dosage curve, mutagenesis and maintenance of the mutant population, and screening of the mutant population using the PCR-based Cel-1 assay. This protocol has already been implemented successfully in developing and utilizing mutagenized populations of </w:t>
      </w:r>
      <w:r>
        <w:rPr>
          <w:rFonts w:ascii="Calibri" w:hAnsi="Calibri" w:cs="Calibri" w:eastAsia="Calibri"/>
          <w:i/>
          <w:color w:val="000000"/>
          <w:spacing w:val="0"/>
          <w:position w:val="0"/>
          <w:sz w:val="24"/>
          <w:shd w:fill="auto" w:val="clear"/>
        </w:rPr>
        <w:t xml:space="preserve">Triticum aestivum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Triticum monoccocum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barley,</w:t>
      </w:r>
      <w:r>
        <w:rPr>
          <w:rFonts w:ascii="Calibri" w:hAnsi="Calibri" w:cs="Calibri" w:eastAsia="Calibri"/>
          <w:i/>
          <w:color w:val="000000"/>
          <w:spacing w:val="0"/>
          <w:position w:val="0"/>
          <w:sz w:val="24"/>
          <w:shd w:fill="auto" w:val="clear"/>
        </w:rPr>
        <w:t xml:space="preserve"> Aegilops tauchii</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several others. Included are explicit details of these methods along with useful tips that will help researchers develop TILLING populations, using EMS as a mutagen in any small grain plant of choice.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dosage curve for effective mutagenesis</w:t>
      </w:r>
    </w:p>
    <w:p>
      <w:pPr>
        <w:spacing w:before="0" w:after="0" w:line="240"/>
        <w:ind w:right="0" w:left="360" w:firstLine="0"/>
        <w:jc w:val="both"/>
        <w:rPr>
          <w:rFonts w:ascii="Calibri" w:hAnsi="Calibri" w:cs="Calibri" w:eastAsia="Calibri"/>
          <w:b/>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Soak 100 seeds with the genotype of interest in six 250 mL glass flasks (100 in each flask) containing 50 mL of distilled water. Shake at 100 rpm for 8 h at room temperature (RT) for imbibition by the seeds.</w:t>
      </w:r>
    </w:p>
    <w:p>
      <w:pPr>
        <w:spacing w:before="0" w:after="0" w:line="240"/>
        <w:ind w:right="0" w:left="360" w:firstLine="0"/>
        <w:jc w:val="both"/>
        <w:rPr>
          <w:rFonts w:ascii="Calibri" w:hAnsi="Calibri" w:cs="Calibri" w:eastAsia="Calibri"/>
          <w:color w:val="auto"/>
          <w:spacing w:val="0"/>
          <w:position w:val="0"/>
          <w:sz w:val="24"/>
          <w:shd w:fill="FFFF00"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a fume hood, prepare 50 mL of 0.4%, 0.6%, 0.8%, 1.0%, and 1.2% (w/v) ethyl methanesulfonate (EMS) solution by dissolving 0.167, 0.249, 0.331, 0.415, and 0.498 mL of EMS in distilled water, respectively.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EMS is liquid at RT with a density of 1.206 g/mL.</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Use appropriate personal protective equipment (PPE) while handling EMS.</w:t>
      </w:r>
    </w:p>
    <w:p>
      <w:pPr>
        <w:spacing w:before="0" w:after="0" w:line="240"/>
        <w:ind w:right="0" w:left="360" w:firstLine="0"/>
        <w:jc w:val="both"/>
        <w:rPr>
          <w:rFonts w:ascii="Calibri" w:hAnsi="Calibri" w:cs="Calibri" w:eastAsia="Calibri"/>
          <w:color w:val="auto"/>
          <w:spacing w:val="0"/>
          <w:position w:val="0"/>
          <w:sz w:val="24"/>
          <w:shd w:fill="FFFF00"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Decant the water out of five flasks and add 50 mL of EMS solution in each flask containing imbibed seed so that there are six different treatments with 0.0%, 0.4%, 0.6%, 0.8%, 1.0%, and 1.2% EMS solution. Shake flasks for 16 h at 75 rpm and RT. </w:t>
      </w:r>
    </w:p>
    <w:p>
      <w:pPr>
        <w:spacing w:before="0" w:after="0" w:line="240"/>
        <w:ind w:right="0" w:left="360" w:firstLine="0"/>
        <w:jc w:val="both"/>
        <w:rPr>
          <w:rFonts w:ascii="Calibri" w:hAnsi="Calibri" w:cs="Calibri" w:eastAsia="Calibri"/>
          <w:color w:val="auto"/>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Decant the EMS solution and collect the treated seeds separately for each treatment using cheese cloth. Inactivate the used EMS solution by adding one volume of EMS-inactivating solution (0.1 M NaOH, 20% w/v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for 24 h. Also treat the contaminated flasks and pipette tips with the EMS-inactivating solution for 24 h. </w:t>
      </w:r>
    </w:p>
    <w:p>
      <w:pPr>
        <w:spacing w:before="0" w:after="0" w:line="240"/>
        <w:ind w:right="0" w:left="360" w:firstLine="0"/>
        <w:jc w:val="both"/>
        <w:rPr>
          <w:rFonts w:ascii="Calibri" w:hAnsi="Calibri" w:cs="Calibri" w:eastAsia="Calibri"/>
          <w:color w:val="auto"/>
          <w:spacing w:val="0"/>
          <w:position w:val="0"/>
          <w:sz w:val="24"/>
          <w:shd w:fill="FFFF00"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EMS-treated seeds under running tap water for 2 h. Transplant each seed individually into root trainers containing potting soil. </w:t>
      </w:r>
    </w:p>
    <w:p>
      <w:pPr>
        <w:spacing w:before="0" w:after="0" w:line="240"/>
        <w:ind w:right="0" w:left="360" w:firstLine="0"/>
        <w:jc w:val="both"/>
        <w:rPr>
          <w:rFonts w:ascii="Calibri" w:hAnsi="Calibri" w:cs="Calibri" w:eastAsia="Calibri"/>
          <w:color w:val="auto"/>
          <w:spacing w:val="0"/>
          <w:position w:val="0"/>
          <w:sz w:val="24"/>
          <w:shd w:fill="FFFF00"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Grow plants at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°C under a 16 h light period.</w:t>
      </w:r>
    </w:p>
    <w:p>
      <w:pPr>
        <w:spacing w:before="0" w:after="0" w:line="240"/>
        <w:ind w:right="0" w:left="360" w:firstLine="0"/>
        <w:jc w:val="both"/>
        <w:rPr>
          <w:rFonts w:ascii="Calibri" w:hAnsi="Calibri" w:cs="Calibri" w:eastAsia="Calibri"/>
          <w:color w:val="auto"/>
          <w:spacing w:val="0"/>
          <w:position w:val="0"/>
          <w:sz w:val="24"/>
          <w:shd w:fill="FFFF00"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Record data on plant survival after 15 days of transplantation. </w:t>
      </w:r>
      <w:r>
        <w:rPr>
          <w:rFonts w:ascii="Calibri" w:hAnsi="Calibri" w:cs="Calibri" w:eastAsia="Calibri"/>
          <w:color w:val="auto"/>
          <w:spacing w:val="0"/>
          <w:position w:val="0"/>
          <w:sz w:val="24"/>
          <w:shd w:fill="auto" w:val="clear"/>
        </w:rPr>
        <w:t xml:space="preserve">Use the following equation to calculate the survival rate for each treatment: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NOTE: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If the germination rate is lower than 100% in controls, accurate survival rates in all the treatments should be calculated after subtracting the number of seeds that failed to germinate in the controls.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 survival rate of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is desirable for effective mutagenesis. It may be required to perform a second round of dosage optimization with a modified concentration according to the survival of the treated seeds until achieving the desirable lethality rate of 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Mutagenesis and maintenance of mutant population </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Soak the final batch of at least 3,000 seeds dividing equally (600 seeds each) in five 1000 mL flasks containing 300 mL distilled water. Shake for 8 h at 100 rpm under RT for imbibition.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size of the desirable population will depend on the mutation frequency and ploidy level of the genotype, but it is advisable to use at least 3,000 seeds for hexaploids, 4,000 seeds for tetraploids, and more than 7,000 seeds for diploids.</w:t>
      </w:r>
      <w:r>
        <w:rPr>
          <w:rFonts w:ascii="Calibri" w:hAnsi="Calibri" w:cs="Calibri" w:eastAsia="Calibri"/>
          <w:b/>
          <w:color w:val="auto"/>
          <w:spacing w:val="0"/>
          <w:position w:val="0"/>
          <w:sz w:val="24"/>
          <w:shd w:fill="auto" w:val="clear"/>
        </w:rPr>
        <w:t xml:space="preserve"> </w:t>
      </w:r>
    </w:p>
    <w:p>
      <w:pPr>
        <w:tabs>
          <w:tab w:val="left" w:pos="270" w:leader="none"/>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fume hood, prepare 1,500 mL of the optimized EMS concentration solution in distilled water. </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Decant the water out of the flasks and add 300 ml of the optimal concentration of EMS solution in each flask containing 600 imbibed seeds. Shake the flasks for 16 h at 75 rpm and RT. </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Decant the EMS and collect the treated seeds in cheese cloth. Inactivate the EMS solution and treatment containers with EMS-inactivating solution as done in step 1.4.</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EMS-treated seeds under running tap water for 2 h. Transplant each EMS-treated M</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seed individually into root trainers. </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Grow M</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plants (derived from M</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seeds) at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°C under a 16 h light period.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be required to vernalize the seedlings at the two leaf stage for 6 weeks at 4 °C, if the genotype of interest has a winter-type growth habit.</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Allow the M</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plants to self-pollinate, and harvest the M</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seeds separately for each fertile M</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plant.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chances of potential outcrossing, cover the spikes of M</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plants with pollination bags before anthesis. </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4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Plant a single M</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seed from each M</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plant to avoid genetic redundancy.</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4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tissue from M</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plants at the two-leaf stage in 1.1 mL of racked 96 well microtubes. Collect around 80 mm of leaf tissue from each plant and record the ID of each sample in a tissue collection plan.</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47"/>
        </w:num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Freeze-dry the leaf tissue using a lyophilizer and store at -80 °C.</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49"/>
        </w:num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Maintain the M</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plants at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°C under a 16 h light period.</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51"/>
        </w:num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Record data on mutant phenotypes of the M</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plants at regular intervals. The expected phenotypes are albino, chlorina, grassy shoot, variegated, partially fertile, sterile, etc. </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53"/>
        </w:numPr>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Allow the M</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plants to self-fertilize and mature. Separately harvest and save the M3 seeds of the M</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plants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seeds are used for validating the phenotype in reverse genetics studies. Therefore, M</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should be carefully catalogued and stored under cool and dry conditions. Alternatively, if the seed must be increased in field, head rows can be planted for each M</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plant, and M</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seeds from each row can be harvested and saved separately as the TILLING population resource.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Cel-1 assay for genetic characterization of mutants</w:t>
      </w:r>
    </w:p>
    <w:p>
      <w:pPr>
        <w:spacing w:before="0" w:after="0" w:line="240"/>
        <w:ind w:right="0" w:left="360" w:firstLine="0"/>
        <w:jc w:val="both"/>
        <w:rPr>
          <w:rFonts w:ascii="Calibri" w:hAnsi="Calibri" w:cs="Calibri" w:eastAsia="Calibri"/>
          <w:b/>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Extract DNA from the leaf tissue of M</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using a plant DNA extraction kit with a DNA purification system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following the manufacturer’s recommendations.</w:t>
      </w:r>
    </w:p>
    <w:p>
      <w:pPr>
        <w:spacing w:before="0" w:after="0" w:line="240"/>
        <w:ind w:right="0" w:left="360" w:firstLine="0"/>
        <w:jc w:val="both"/>
        <w:rPr>
          <w:rFonts w:ascii="Calibri" w:hAnsi="Calibri" w:cs="Calibri" w:eastAsia="Calibri"/>
          <w:color w:val="auto"/>
          <w:spacing w:val="0"/>
          <w:position w:val="0"/>
          <w:sz w:val="24"/>
          <w:shd w:fill="FFFF00"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Quantify DNA using a spectrophotometer and normalize the DNA concentrations to 25 ng/µL with nuclease-free water in 96 well blocks.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check the quality of the DNA by running it on a gel, as low-quality DNA (smeared DNA) may result in false negatives in pooled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Create 4x DNA pools by combining DNA from four 96 well blocks into one plate, while maintaining the row and column identity of each sample. Add 50 µL of DNA from each individual sample into the pool plate so that each pool plate well contains a total 200 µL of DNA from four different 96 well blocks. </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Catalogue the identity of pooled DNA in the format of </w:t>
      </w:r>
      <w:r>
        <w:rPr>
          <w:rFonts w:ascii="Calibri" w:hAnsi="Calibri" w:cs="Calibri" w:eastAsia="Calibri"/>
          <w:b/>
          <w:color w:val="auto"/>
          <w:spacing w:val="0"/>
          <w:position w:val="0"/>
          <w:sz w:val="24"/>
          <w:shd w:fill="auto" w:val="clear"/>
        </w:rPr>
        <w:t xml:space="preserve">Pool Plate-Row-Column </w:t>
      </w:r>
      <w:r>
        <w:rPr>
          <w:rFonts w:ascii="Calibri" w:hAnsi="Calibri" w:cs="Calibri" w:eastAsia="Calibri"/>
          <w:color w:val="auto"/>
          <w:spacing w:val="0"/>
          <w:position w:val="0"/>
          <w:sz w:val="24"/>
          <w:shd w:fill="auto" w:val="clear"/>
        </w:rPr>
        <w:t xml:space="preserve">(e.g., Pool 1 A1 = Box1A1 + Box2A1 + Box3A1 + Box4A1).</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 genome-specific primers for the gene of interest using the Genome Specific Primers (GSP) page &lt;</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https://probes.pw.usda.gov/GSP</w:t>
        </w:r>
      </w:hyperlink>
      <w:r>
        <w:rPr>
          <w:rFonts w:ascii="Calibri" w:hAnsi="Calibri" w:cs="Calibri" w:eastAsia="Calibri"/>
          <w:color w:val="auto"/>
          <w:spacing w:val="0"/>
          <w:position w:val="0"/>
          <w:sz w:val="24"/>
          <w:shd w:fill="auto" w:val="clear"/>
        </w:rPr>
        <w:t xml:space="preserve">&gt; with default settings for polyploid species. For diploids, use Primer 3 &lt;</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http://primer3.ut.ee/</w:t>
        </w:r>
      </w:hyperlink>
      <w:r>
        <w:rPr>
          <w:rFonts w:ascii="Calibri" w:hAnsi="Calibri" w:cs="Calibri" w:eastAsia="Calibri"/>
          <w:color w:val="auto"/>
          <w:spacing w:val="0"/>
          <w:position w:val="0"/>
          <w:sz w:val="24"/>
          <w:shd w:fill="auto" w:val="clear"/>
        </w:rPr>
        <w:t xml:space="preserve">&gt; for designing primers using default settings. Design multiple primers, if needed, to cover the entire coding region of the gene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latest IWGSC assembly can be used to obtain sequences for the gene of interest in wheat using the URGI BLAST tool &lt;</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https://wheat-urgi.versailles.inra.fr/Seq-Repository/BLAST</w:t>
        </w:r>
      </w:hyperlink>
      <w:r>
        <w:rPr>
          <w:rFonts w:ascii="Calibri" w:hAnsi="Calibri" w:cs="Calibri" w:eastAsia="Calibri"/>
          <w:color w:val="auto"/>
          <w:spacing w:val="0"/>
          <w:position w:val="0"/>
          <w:sz w:val="24"/>
          <w:shd w:fill="auto" w:val="clear"/>
        </w:rPr>
        <w:t xml:space="preserve">&gt;. The optimal amplicon length is in the range of 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 bp.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shows examples of primers for waxy genes in hexaploid wheat.</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Run a PCR for gene-specific primers on pooled DNA as follows:</w:t>
      </w:r>
    </w:p>
    <w:p>
      <w:pPr>
        <w:spacing w:before="0" w:after="0" w:line="240"/>
        <w:ind w:right="0" w:left="360" w:firstLine="0"/>
        <w:jc w:val="both"/>
        <w:rPr>
          <w:rFonts w:ascii="Calibri" w:hAnsi="Calibri" w:cs="Calibri" w:eastAsia="Calibri"/>
          <w:color w:val="auto"/>
          <w:spacing w:val="0"/>
          <w:position w:val="0"/>
          <w:sz w:val="24"/>
          <w:shd w:fill="FFFF00" w:val="clear"/>
        </w:rPr>
      </w:pPr>
    </w:p>
    <w:p>
      <w:pPr>
        <w:numPr>
          <w:ilvl w:val="0"/>
          <w:numId w:val="71"/>
        </w:numPr>
        <w:tabs>
          <w:tab w:val="left" w:pos="5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5 µL of PCR buffer, 2 µL (each) of 4 µM forward and reverse primers, 0.1 µL of DNA polymerase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5 µL of pooled DNA template, then increase the volume to 25 µL using nuclease-free water.</w:t>
      </w:r>
    </w:p>
    <w:p>
      <w:pPr>
        <w:spacing w:before="0" w:after="0" w:line="240"/>
        <w:ind w:right="0" w:left="540" w:hanging="540"/>
        <w:jc w:val="both"/>
        <w:rPr>
          <w:rFonts w:ascii="Calibri" w:hAnsi="Calibri" w:cs="Calibri" w:eastAsia="Calibri"/>
          <w:color w:val="auto"/>
          <w:spacing w:val="0"/>
          <w:position w:val="0"/>
          <w:sz w:val="24"/>
          <w:shd w:fill="FFFF00" w:val="clear"/>
        </w:rPr>
      </w:pPr>
    </w:p>
    <w:p>
      <w:pPr>
        <w:numPr>
          <w:ilvl w:val="0"/>
          <w:numId w:val="7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touch down profile to run the PCR reaction on a thermal cycler as follows: 95 °C for 1 min, seven cycles of 95 °C for 1 min, 67 °C to 60 °C for 1 min with temperature decreases of 1 °C per cycle and 72 °C for 2 min, followed by 30 cycles of 95 °C for 1 min, 60 °C for 1 min, 72 °C for 2 min, and final extension at 72 °C</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for 7 min.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Above PCR profile works on wheat DNA template for most of the primers designed using primer 3 default settings. In case of non-specific amplification, PCR profile should be made stringent before moving to the next steps.</w:t>
      </w:r>
    </w:p>
    <w:p>
      <w:pPr>
        <w:spacing w:before="0" w:after="0" w:line="240"/>
        <w:ind w:right="0" w:left="450" w:firstLine="0"/>
        <w:jc w:val="both"/>
        <w:rPr>
          <w:rFonts w:ascii="Calibri" w:hAnsi="Calibri" w:cs="Calibri" w:eastAsia="Calibri"/>
          <w:color w:val="auto"/>
          <w:spacing w:val="0"/>
          <w:position w:val="0"/>
          <w:sz w:val="24"/>
          <w:shd w:fill="FFFF00" w:val="clear"/>
        </w:rPr>
      </w:pPr>
    </w:p>
    <w:p>
      <w:pPr>
        <w:numPr>
          <w:ilvl w:val="0"/>
          <w:numId w:val="7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Generate heteroduplexes between mismatched DNA by incubating PCR products in thermal cycler using profile as follows: 95 °C for 2 min, five cycles of 95 °C for 1 s, 95 °C to 85 °C for 1 min with temperature decreases of 2 °C per cycle, and 60 cycles of 85 °C to 25 °C with decreases of 1 °C per cycle.</w:t>
      </w:r>
    </w:p>
    <w:p>
      <w:pPr>
        <w:spacing w:before="0" w:after="0" w:line="240"/>
        <w:ind w:right="0" w:left="360" w:firstLine="0"/>
        <w:jc w:val="both"/>
        <w:rPr>
          <w:rFonts w:ascii="Calibri" w:hAnsi="Calibri" w:cs="Calibri" w:eastAsia="Calibri"/>
          <w:color w:val="auto"/>
          <w:spacing w:val="0"/>
          <w:position w:val="0"/>
          <w:sz w:val="24"/>
          <w:shd w:fill="FFFF00" w:val="clear"/>
        </w:rPr>
      </w:pPr>
    </w:p>
    <w:p>
      <w:pPr>
        <w:numPr>
          <w:ilvl w:val="0"/>
          <w:numId w:val="7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2.5 µL of homemade Cel-1 endonuclease to the heteroduplexed PCR products and incubate for 45 min at 45 °C. Terminate the Cel-1 reaction by adding 2.5 µL of 0.5 M EDTA (pH 8.0).</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Cel-1 endonuclease can be extracted from fresh celery stalks using the protocol performed by Till et al.</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It is very important to test the activity and optimum amount of Cel-1 endonuclease, which can be tested using previously characterized mutants or a commercially available mutation detection kit.</w:t>
      </w:r>
    </w:p>
    <w:p>
      <w:pPr>
        <w:spacing w:before="0" w:after="0" w:line="240"/>
        <w:ind w:right="0" w:left="360" w:firstLine="0"/>
        <w:jc w:val="both"/>
        <w:rPr>
          <w:rFonts w:ascii="Calibri" w:hAnsi="Calibri" w:cs="Calibri" w:eastAsia="Calibri"/>
          <w:color w:val="auto"/>
          <w:spacing w:val="0"/>
          <w:position w:val="0"/>
          <w:sz w:val="24"/>
          <w:shd w:fill="FFFF00" w:val="clear"/>
        </w:rPr>
      </w:pPr>
    </w:p>
    <w:p>
      <w:pPr>
        <w:numPr>
          <w:ilvl w:val="0"/>
          <w:numId w:val="8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Run the Cel-1 treated products on a 3.0% agarose gel at 100 V for 2.5 h. The wells containing smaller and unique cleaved band(s), in addition to full-length uncleaved bands, will contain the mutant DNA sample.</w:t>
      </w:r>
    </w:p>
    <w:p>
      <w:pPr>
        <w:spacing w:before="0" w:after="0" w:line="240"/>
        <w:ind w:right="0" w:left="360" w:firstLine="0"/>
        <w:jc w:val="both"/>
        <w:rPr>
          <w:rFonts w:ascii="Calibri" w:hAnsi="Calibri" w:cs="Calibri" w:eastAsia="Calibri"/>
          <w:color w:val="auto"/>
          <w:spacing w:val="0"/>
          <w:position w:val="0"/>
          <w:sz w:val="24"/>
          <w:shd w:fill="FFFF00" w:val="clear"/>
        </w:rPr>
      </w:pPr>
    </w:p>
    <w:p>
      <w:pPr>
        <w:numPr>
          <w:ilvl w:val="0"/>
          <w:numId w:val="8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Denconvolute mutant pools.</w:t>
      </w:r>
    </w:p>
    <w:p>
      <w:pPr>
        <w:spacing w:before="0" w:after="0" w:line="240"/>
        <w:ind w:right="0" w:left="720" w:firstLine="0"/>
        <w:jc w:val="both"/>
        <w:rPr>
          <w:rFonts w:ascii="Calibri" w:hAnsi="Calibri" w:cs="Calibri" w:eastAsia="Calibri"/>
          <w:color w:val="auto"/>
          <w:spacing w:val="0"/>
          <w:position w:val="0"/>
          <w:sz w:val="24"/>
          <w:shd w:fill="FFFF00" w:val="clear"/>
        </w:rPr>
      </w:pPr>
    </w:p>
    <w:p>
      <w:pPr>
        <w:numPr>
          <w:ilvl w:val="0"/>
          <w:numId w:val="8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Follow steps 3.6, 3.7, 3.8, and 3.9 for individual M</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DNA samples constituting the mutant pools identified in step 3.9.</w:t>
      </w:r>
    </w:p>
    <w:p>
      <w:pPr>
        <w:spacing w:before="0" w:after="0" w:line="240"/>
        <w:ind w:right="0" w:left="720" w:firstLine="0"/>
        <w:jc w:val="both"/>
        <w:rPr>
          <w:rFonts w:ascii="Calibri" w:hAnsi="Calibri" w:cs="Calibri" w:eastAsia="Calibri"/>
          <w:color w:val="auto"/>
          <w:spacing w:val="0"/>
          <w:position w:val="0"/>
          <w:sz w:val="24"/>
          <w:shd w:fill="FFFF00" w:val="clear"/>
        </w:rPr>
      </w:pPr>
    </w:p>
    <w:p>
      <w:pPr>
        <w:numPr>
          <w:ilvl w:val="0"/>
          <w:numId w:val="8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determine the zygosity of mutants, run two PCR (as described in step 3.6) for individual M</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DNA, in which the first reaction contains 2.5 µL of M</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DNA and 2.5 µL of wild-type DNA and the second reaction contains only 5 µL of M</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DNA. If the mutation is heterozygous, an additional cleaved band will be present in both reactions. On the other hand, additional cleaved bands will be found only in the first reaction if the mutant is homozygous.</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9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identify the nature of the mutation, sequence the PCR products of the confirmed mutants using a Sanger sequencing platform following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Calculation of mutation frequency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Mutation frequency of a TILLING population refers to the average physical distance in which one mutation occurs in the individuals of that population. For example, a mutation frequency of 1/35 kb in a TILLING population means that an average individual of that population possesses 1 mutation per every 35 kb in the genome.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mutation frequency of a TILLING population, calculate the total number of bases screened.</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9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calculate the total number of bases screened, multiply the PCR product size by the total number of individuals screened.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Divide the total number of bases screened by the number of unique mutations observed using the following equation, which will yield the physical region possessing 1 mutation in the given TILLING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36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account for the limitation in resolution of 50 bp at both the ends based on an agarose gel-based platform, subtract 100 bp from the product size in the calculation.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shows the dosage curve of hexaploid bread wheat cultivar Jagger, diploid wheat</w:t>
      </w:r>
      <w:r>
        <w:rPr>
          <w:rFonts w:ascii="Calibri" w:hAnsi="Calibri" w:cs="Calibri" w:eastAsia="Calibri"/>
          <w:i/>
          <w:color w:val="auto"/>
          <w:spacing w:val="0"/>
          <w:position w:val="0"/>
          <w:sz w:val="24"/>
          <w:shd w:fill="auto" w:val="clear"/>
        </w:rPr>
        <w:t xml:space="preserve"> Triticum monococcum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a genome donor of wheat </w:t>
      </w:r>
      <w:r>
        <w:rPr>
          <w:rFonts w:ascii="Calibri" w:hAnsi="Calibri" w:cs="Calibri" w:eastAsia="Calibri"/>
          <w:i/>
          <w:color w:val="auto"/>
          <w:spacing w:val="0"/>
          <w:position w:val="0"/>
          <w:sz w:val="24"/>
          <w:shd w:fill="auto" w:val="clear"/>
        </w:rPr>
        <w:t xml:space="preserve">Aegilops tauschii</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EMS doses for desired 50% survival rates were about 0.25%, 0.6% and 0.7% for </w:t>
      </w:r>
      <w:r>
        <w:rPr>
          <w:rFonts w:ascii="Calibri" w:hAnsi="Calibri" w:cs="Calibri" w:eastAsia="Calibri"/>
          <w:i/>
          <w:color w:val="auto"/>
          <w:spacing w:val="0"/>
          <w:position w:val="0"/>
          <w:sz w:val="24"/>
          <w:shd w:fill="auto" w:val="clear"/>
        </w:rPr>
        <w:t xml:space="preserve">T. monococcum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Ae. tauschii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 aestivum</w:t>
      </w:r>
      <w:r>
        <w:rPr>
          <w:rFonts w:ascii="Calibri" w:hAnsi="Calibri" w:cs="Calibri" w:eastAsia="Calibri"/>
          <w:color w:val="auto"/>
          <w:spacing w:val="0"/>
          <w:position w:val="0"/>
          <w:sz w:val="24"/>
          <w:shd w:fill="auto" w:val="clear"/>
        </w:rPr>
        <w:t xml:space="preserve">, respectively. The higher EMS tolerance of hexaploid wheat is due to its genome buffering capacity. However, despite both being diploid, EMS tolerance of </w:t>
      </w:r>
      <w:r>
        <w:rPr>
          <w:rFonts w:ascii="Calibri" w:hAnsi="Calibri" w:cs="Calibri" w:eastAsia="Calibri"/>
          <w:i/>
          <w:color w:val="auto"/>
          <w:spacing w:val="0"/>
          <w:position w:val="0"/>
          <w:sz w:val="24"/>
          <w:shd w:fill="auto" w:val="clear"/>
        </w:rPr>
        <w:t xml:space="preserve">T. monococcum</w:t>
      </w:r>
      <w:r>
        <w:rPr>
          <w:rFonts w:ascii="Calibri" w:hAnsi="Calibri" w:cs="Calibri" w:eastAsia="Calibri"/>
          <w:color w:val="auto"/>
          <w:spacing w:val="0"/>
          <w:position w:val="0"/>
          <w:sz w:val="24"/>
          <w:shd w:fill="auto" w:val="clear"/>
        </w:rPr>
        <w:t xml:space="preserve"> was almost half that of </w:t>
      </w:r>
      <w:r>
        <w:rPr>
          <w:rFonts w:ascii="Calibri" w:hAnsi="Calibri" w:cs="Calibri" w:eastAsia="Calibri"/>
          <w:i/>
          <w:color w:val="auto"/>
          <w:spacing w:val="0"/>
          <w:position w:val="0"/>
          <w:sz w:val="24"/>
          <w:shd w:fill="auto" w:val="clear"/>
        </w:rPr>
        <w:t xml:space="preserve">Ae. tauschii.</w:t>
      </w:r>
      <w:r>
        <w:rPr>
          <w:rFonts w:ascii="Calibri" w:hAnsi="Calibri" w:cs="Calibri" w:eastAsia="Calibri"/>
          <w:color w:val="auto"/>
          <w:spacing w:val="0"/>
          <w:position w:val="0"/>
          <w:sz w:val="24"/>
          <w:shd w:fill="auto" w:val="clear"/>
        </w:rPr>
        <w:t xml:space="preserve"> Therefore, these results underscore the importance of determining the appropriate EMS dose for individual genotypes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presence of easily identifiable phenotypes in the M</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population confirms effectiveness of mutagenesis in small grain populations. The mutant phenotypes typically include albino, chlorina, stunted, grassy shoot, variegated, early/late flowering, partially fertile, and sterile.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some typical mutant phenotypes obtained in TILLING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Cel-1 assay and agarose gel-based approach for mutant identification is convenient, reproducible, and less resource-intensive platform.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 mutant identification using Cel-1 on agarose gel platforms. It should be noted that mutant DNA lanes contain unique patterns of cleaved band. The first round of 4x pool screening reduces labor needs, resources, and time expenditure. For instance, as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one mutant pool was identified out of 12 pooled samples representing 48 individuals by performing PCR and the Cel-1 assay. The deconvolution of mutant pools determined the zygosity of mutation and helped track the mutation down to individual samples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the detection of heterozygous mutations in the A4 pool, as unique, cleaved bands are present in both Box 4-A4 and Box 4-A4 + wild-type DNA samples. On the other, the H5 pool contained homozygous mutations, as unique, cleaved bands are only present in the Box 5-H5 + wild-type DNA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developing EMS-mutagenized TILLING populations in small grain crops.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EMS dosage curve in three different species of wheat including </w:t>
      </w:r>
      <w:r>
        <w:rPr>
          <w:rFonts w:ascii="Calibri" w:hAnsi="Calibri" w:cs="Calibri" w:eastAsia="Calibri"/>
          <w:b/>
          <w:i/>
          <w:color w:val="auto"/>
          <w:spacing w:val="0"/>
          <w:position w:val="0"/>
          <w:sz w:val="24"/>
          <w:shd w:fill="auto" w:val="clear"/>
        </w:rPr>
        <w:t xml:space="preserve">Triticum aestivum</w:t>
      </w:r>
      <w:r>
        <w:rPr>
          <w:rFonts w:ascii="Calibri" w:hAnsi="Calibri" w:cs="Calibri" w:eastAsia="Calibri"/>
          <w:b/>
          <w:color w:val="auto"/>
          <w:spacing w:val="0"/>
          <w:position w:val="0"/>
          <w:sz w:val="24"/>
          <w:shd w:fill="auto" w:val="clear"/>
        </w:rPr>
        <w:t xml:space="preserve">, T</w:t>
      </w:r>
      <w:r>
        <w:rPr>
          <w:rFonts w:ascii="Calibri" w:hAnsi="Calibri" w:cs="Calibri" w:eastAsia="Calibri"/>
          <w:b/>
          <w:i/>
          <w:color w:val="auto"/>
          <w:spacing w:val="0"/>
          <w:position w:val="0"/>
          <w:sz w:val="24"/>
          <w:shd w:fill="auto" w:val="clear"/>
        </w:rPr>
        <w:t xml:space="preserve">. monococcum</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Aegilops tauschii</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Mutant phenotypes (yellow arrows) in various small grain M</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TILLING populations.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albino mutant in a barley M2 population,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chlorina mutant in a barley M2 population,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variegated mutant with pink discoloration in an </w:t>
      </w:r>
      <w:r>
        <w:rPr>
          <w:rFonts w:ascii="Calibri" w:hAnsi="Calibri" w:cs="Calibri" w:eastAsia="Calibri"/>
          <w:i/>
          <w:color w:val="auto"/>
          <w:spacing w:val="0"/>
          <w:position w:val="0"/>
          <w:sz w:val="24"/>
          <w:shd w:fill="auto" w:val="clear"/>
        </w:rPr>
        <w:t xml:space="preserve">Ae. tauschii</w:t>
      </w:r>
      <w:r>
        <w:rPr>
          <w:rFonts w:ascii="Calibri" w:hAnsi="Calibri" w:cs="Calibri" w:eastAsia="Calibri"/>
          <w:color w:val="auto"/>
          <w:spacing w:val="0"/>
          <w:position w:val="0"/>
          <w:sz w:val="24"/>
          <w:shd w:fill="auto" w:val="clear"/>
        </w:rPr>
        <w:t xml:space="preserve"> M2 population, and (D) low tillering mutant in a </w:t>
      </w:r>
      <w:r>
        <w:rPr>
          <w:rFonts w:ascii="Calibri" w:hAnsi="Calibri" w:cs="Calibri" w:eastAsia="Calibri"/>
          <w:i/>
          <w:color w:val="auto"/>
          <w:spacing w:val="0"/>
          <w:position w:val="0"/>
          <w:sz w:val="24"/>
          <w:shd w:fill="auto" w:val="clear"/>
        </w:rPr>
        <w:t xml:space="preserve">T. monococcum</w:t>
      </w:r>
      <w:r>
        <w:rPr>
          <w:rFonts w:ascii="Calibri" w:hAnsi="Calibri" w:cs="Calibri" w:eastAsia="Calibri"/>
          <w:color w:val="auto"/>
          <w:spacing w:val="0"/>
          <w:position w:val="0"/>
          <w:sz w:val="24"/>
          <w:shd w:fill="auto" w:val="clear"/>
        </w:rPr>
        <w:t xml:space="preserve"> M2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Mutant identification in 4x pools following deconvolution using the Cel-1 assay and agarose gel-based approach</w:t>
      </w:r>
      <w:r>
        <w:rPr>
          <w:rFonts w:ascii="Calibri" w:hAnsi="Calibri" w:cs="Calibri" w:eastAsia="Calibri"/>
          <w:color w:val="auto"/>
          <w:spacing w:val="0"/>
          <w:position w:val="0"/>
          <w:sz w:val="24"/>
          <w:shd w:fill="auto" w:val="clear"/>
        </w:rPr>
        <w:t xml:space="preserve">. Shown is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mutant pool in lane 7 with unique cleaved bands,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deconvolution of the heterozygous mutant pool, detecting the mutation in the A4 sample of DNA Box 4 with unique cleaved bands in Box 4-A4 and Box 4-A4+ wild-type DNA samples,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deconvolution of the homozygous mutant, detecting the mutation in the H5 sample of DNA Box 5 with unique cleaved bands only in the Box 5-H5+ wild-type DNA sample.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Primers for amplifying waxy genes in hexaploid wheat.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TILLING is a highly valuable reverse genetics tool for gene validation, especially for small grains where transformation-based approaches have serious bottlenecks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Developing a mutagenized population with a high mutation frequency is one of the critical steps in conducting functional genomics studies. The most important step in developing a robust TILLING population is to determine the optimal concentration of EMS. The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survival rate in the M</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has been found to be a good indicator of effectiveness of EMS mutagenesis in wheat and barley</w:t>
      </w:r>
      <w:r>
        <w:rPr>
          <w:rFonts w:ascii="Calibri" w:hAnsi="Calibri" w:cs="Calibri" w:eastAsia="Calibri"/>
          <w:color w:val="auto"/>
          <w:spacing w:val="0"/>
          <w:position w:val="0"/>
          <w:sz w:val="24"/>
          <w:shd w:fill="auto" w:val="clear"/>
          <w:vertAlign w:val="superscript"/>
        </w:rPr>
        <w:t xml:space="preserve">4,6,18</w:t>
      </w:r>
      <w:r>
        <w:rPr>
          <w:rFonts w:ascii="Calibri" w:hAnsi="Calibri" w:cs="Calibri" w:eastAsia="Calibri"/>
          <w:color w:val="auto"/>
          <w:spacing w:val="0"/>
          <w:position w:val="0"/>
          <w:sz w:val="24"/>
          <w:shd w:fill="auto" w:val="clear"/>
        </w:rPr>
        <w:t xml:space="preserve">. The surviving plants can provide decent mutation frequencies to help discover mutations in any gene of interest. In rice, fertility of the M</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plant is another determinant, in addition to survival of M</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plants, and is reported to vary among different genotypes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Hexaploid bread wheat and tetraploid durum wheat, on account of their polypoidy, have homoeoalleles in each genome for most of the genes, compensating for the loss-of-function of important genes due to mutations. This is known as genome buffering. Thus, polyploids can tolerate higher levels of EMS doses compared to diploids due to genome buffering</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However, it is known that tolerance of different diploid species to mutagens varies and may be regulated by diversity in genetic backgrounds. For example, </w:t>
      </w:r>
      <w:r>
        <w:rPr>
          <w:rFonts w:ascii="Calibri" w:hAnsi="Calibri" w:cs="Calibri" w:eastAsia="Calibri"/>
          <w:i/>
          <w:color w:val="auto"/>
          <w:spacing w:val="0"/>
          <w:position w:val="0"/>
          <w:sz w:val="24"/>
          <w:shd w:fill="auto" w:val="clear"/>
        </w:rPr>
        <w:t xml:space="preserve">Ae. tauschii </w:t>
      </w:r>
      <w:r>
        <w:rPr>
          <w:rFonts w:ascii="Calibri" w:hAnsi="Calibri" w:cs="Calibri" w:eastAsia="Calibri"/>
          <w:color w:val="auto"/>
          <w:spacing w:val="0"/>
          <w:position w:val="0"/>
          <w:sz w:val="24"/>
          <w:shd w:fill="auto" w:val="clear"/>
        </w:rPr>
        <w:t xml:space="preserve">showed a 55% survival rate at 0.6% EMS, whereas</w:t>
      </w:r>
      <w:r>
        <w:rPr>
          <w:rFonts w:ascii="Calibri" w:hAnsi="Calibri" w:cs="Calibri" w:eastAsia="Calibri"/>
          <w:i/>
          <w:color w:val="auto"/>
          <w:spacing w:val="0"/>
          <w:position w:val="0"/>
          <w:sz w:val="24"/>
          <w:shd w:fill="auto" w:val="clear"/>
        </w:rPr>
        <w:t xml:space="preserve"> T. monococcum</w:t>
      </w:r>
      <w:r>
        <w:rPr>
          <w:rFonts w:ascii="Calibri" w:hAnsi="Calibri" w:cs="Calibri" w:eastAsia="Calibri"/>
          <w:color w:val="auto"/>
          <w:spacing w:val="0"/>
          <w:position w:val="0"/>
          <w:sz w:val="24"/>
          <w:shd w:fill="auto" w:val="clear"/>
        </w:rPr>
        <w:t xml:space="preserve"> showed a 51% rate with 0.24% EMS; furthermore, any higher concentration in the latter species led to excessive plant death</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We have previously experienced that even in hexaploids, different cultivars tolerate different mutagen concentrations (data not shown). Furthermore, EMS tolerance varies significantly among different rice genotypes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Therefore, it is highly recommended to obtain dosage curves for individual genotype of interest.</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analyze the efficacy of mutagenesis, several types of phenotypic mutants should be visible from the seedling stage to maturity of a TILLING population</w:t>
      </w:r>
      <w:r>
        <w:rPr>
          <w:rFonts w:ascii="Calibri" w:hAnsi="Calibri" w:cs="Calibri" w:eastAsia="Calibri"/>
          <w:color w:val="auto"/>
          <w:spacing w:val="0"/>
          <w:position w:val="0"/>
          <w:sz w:val="24"/>
          <w:shd w:fill="auto" w:val="clear"/>
          <w:vertAlign w:val="superscript"/>
        </w:rPr>
        <w:t xml:space="preserve">7,23,24</w:t>
      </w:r>
      <w:r>
        <w:rPr>
          <w:rFonts w:ascii="Calibri" w:hAnsi="Calibri" w:cs="Calibri" w:eastAsia="Calibri"/>
          <w:color w:val="auto"/>
          <w:spacing w:val="0"/>
          <w:position w:val="0"/>
          <w:sz w:val="24"/>
          <w:shd w:fill="auto" w:val="clear"/>
        </w:rPr>
        <w:t xml:space="preserve">. The phenotypic mutants to note include chlorina, albinos, variegated leaves, stunted, broad/narrow leaves, low/high tillering, early/late flowering, partially fertile, and sterile. Any deviation from the wild type phenotype represents a potential phenotypic mutant.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G and C are the primary target residues of EMS mutagenesis, there will be bias in the mutation frequencies of genes depending upon the GC content. A region with higher GC content will yield a high mutation frequency, whereas a region with low GC content will yield a low mutation frequency. To calculate the correct mutation frequency of a TILLING population, it is therefore suggested to obtain an average of two to three genes with varying GC content or normalize the rate of mutation to a 50% GC content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Cel-1 assay and agarose gel-based protocol described here are simple methods that do not require expensive instrumentation or complex analysis. However, it should be noted that this method is only suitable and efficient for mutation detection in a few genes. For screening mutations in a larger set of genes, multiplex amplicon sequencing method is recommended</w:t>
      </w:r>
      <w:r>
        <w:rPr>
          <w:rFonts w:ascii="Calibri" w:hAnsi="Calibri" w:cs="Calibri" w:eastAsia="Calibri"/>
          <w:color w:val="auto"/>
          <w:spacing w:val="0"/>
          <w:position w:val="0"/>
          <w:sz w:val="24"/>
          <w:shd w:fill="auto" w:val="clear"/>
          <w:vertAlign w:val="superscript"/>
        </w:rPr>
        <w:t xml:space="preserve">3,24</w:t>
      </w:r>
      <w:r>
        <w:rPr>
          <w:rFonts w:ascii="Calibri" w:hAnsi="Calibri" w:cs="Calibri" w:eastAsia="Calibri"/>
          <w:color w:val="auto"/>
          <w:spacing w:val="0"/>
          <w:position w:val="0"/>
          <w:sz w:val="24"/>
          <w:shd w:fill="auto" w:val="clear"/>
        </w:rPr>
        <w:t xml:space="preserve">. For a detailed protocol on multiple amplicon sequencing method, readers can refer to Tsai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With advances in sequencing technology and reduced costs of sequencing, platforms such as exome capture have been used in characterizing mutations across a whole genome in the entire wheat TILLING population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For plants with small genomes, even whole genomes of all individuals in the TILLING population can be sequenced</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However, the cost of screening all mutations in the individuals of a given TILLING population make it expensive perform whole-genome sequencing for a population developed for specific purposes. Therefore, for performing reverse genetics-based validation for a limited number of candidate genes in any laboratory with regular molecular biology instrumentation, Cel-1 based assays are a decent method of choice. Nonetheless, the choice of platform for detection of mutations is secondary to developing a TILLING population harboring multiple mutations throughout the genome. Therefore, the most critical step in the protocol is development of a robust TILLING population with a high mutation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USDA National Institute of Food and Agriculture, Hatch project 1016879 and Maryland Agricultural Experiment Station via MAES Grant No. 2956952.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McCallum, C. M., Comai, L., Greene, E. A., Henikoff, S. Targeted screening for induced mutations.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 doi: 10.1038/74542 (2000).</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Bentley, A., MacLennan, B., Calvo, J., Dearolf, C. R. Targeted Recovery of Mutations in Drosophila.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(3), 1169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1173 (2000).</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Tsai,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Discovery of Rare Mutations in Populations: TILLING by Sequencing.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(3), 1257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1268, doi: 10.1104/pp.110.169748 (2011).</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Caldwell, D. G. </w:t>
      </w:r>
      <w:r>
        <w:rPr>
          <w:rFonts w:ascii="Calibri" w:hAnsi="Calibri" w:cs="Calibri" w:eastAsia="Calibri"/>
          <w:i/>
          <w:color w:val="auto"/>
          <w:spacing w:val="0"/>
          <w:position w:val="0"/>
          <w:sz w:val="24"/>
          <w:shd w:fill="auto" w:val="clear"/>
        </w:rPr>
        <w:t xml:space="preserve">et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al</w:t>
      </w:r>
      <w:r>
        <w:rPr>
          <w:rFonts w:ascii="Calibri" w:hAnsi="Calibri" w:cs="Calibri" w:eastAsia="Calibri"/>
          <w:color w:val="auto"/>
          <w:spacing w:val="0"/>
          <w:position w:val="0"/>
          <w:sz w:val="24"/>
          <w:shd w:fill="auto" w:val="clear"/>
        </w:rPr>
        <w:t xml:space="preserve">. A structured mutant population for forward and reverse genetics in Barley (Hordeum vulgare L.).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doi: 10.1111/j.1365-313X.2004.02190.x (2004).</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Hazard, B. </w:t>
      </w:r>
      <w:r>
        <w:rPr>
          <w:rFonts w:ascii="Calibri" w:hAnsi="Calibri" w:cs="Calibri" w:eastAsia="Calibri"/>
          <w:i/>
          <w:color w:val="auto"/>
          <w:spacing w:val="0"/>
          <w:position w:val="0"/>
          <w:sz w:val="24"/>
          <w:shd w:fill="auto" w:val="clear"/>
        </w:rPr>
        <w:t xml:space="preserve">et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al</w:t>
      </w:r>
      <w:r>
        <w:rPr>
          <w:rFonts w:ascii="Calibri" w:hAnsi="Calibri" w:cs="Calibri" w:eastAsia="Calibri"/>
          <w:color w:val="auto"/>
          <w:spacing w:val="0"/>
          <w:position w:val="0"/>
          <w:sz w:val="24"/>
          <w:shd w:fill="auto" w:val="clear"/>
        </w:rPr>
        <w:t xml:space="preserve">. Induced Mutations in the Starch Branching Enzyme II ( SBEII ) Genes Increase Amylose and Resistant Starch Content in Durum Wheat. </w:t>
      </w:r>
      <w:r>
        <w:rPr>
          <w:rFonts w:ascii="Calibri" w:hAnsi="Calibri" w:cs="Calibri" w:eastAsia="Calibri"/>
          <w:i/>
          <w:color w:val="auto"/>
          <w:spacing w:val="0"/>
          <w:position w:val="0"/>
          <w:sz w:val="24"/>
          <w:shd w:fill="auto" w:val="clear"/>
        </w:rPr>
        <w:t xml:space="preserve">Crop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(4), 1754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1766, doi: 10.2135/cropsci2012.02.0126 (2012).</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Rawat,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diploid wheat TILLING resource for wheat functional genomics. </w:t>
      </w:r>
      <w:r>
        <w:rPr>
          <w:rFonts w:ascii="Calibri" w:hAnsi="Calibri" w:cs="Calibri" w:eastAsia="Calibri"/>
          <w:i/>
          <w:color w:val="auto"/>
          <w:spacing w:val="0"/>
          <w:position w:val="0"/>
          <w:sz w:val="24"/>
          <w:shd w:fill="auto" w:val="clear"/>
        </w:rPr>
        <w:t xml:space="preserve">BMC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205, doi: 10.1186/1471-2229-12-205 (2012).</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Rawat,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TILL-D: An Aegilops tauschii TILLING Resource for Wheat Improvement.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doi: 10.3389/fpls.2018.01665 (2018).</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Rawat,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Wheat Fhb1 encodes a chimeric lectin with agglutinin domains and a pore-forming toxin-like domain conferring resistance to Fusarium head blight.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(12), 1576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1580, doi: 10.1038/ng.3706 (2016).</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Kippes, N., Chen, A., Zhang, X., Lukaszewski, A. J., Dubcovsky, J. Development and characterization of a spring hexaploid wheat line with no functional VRN2 genes. </w:t>
      </w:r>
      <w:r>
        <w:rPr>
          <w:rFonts w:ascii="Calibri" w:hAnsi="Calibri" w:cs="Calibri" w:eastAsia="Calibri"/>
          <w:i/>
          <w:color w:val="auto"/>
          <w:spacing w:val="0"/>
          <w:position w:val="0"/>
          <w:sz w:val="24"/>
          <w:shd w:fill="auto" w:val="clear"/>
        </w:rPr>
        <w:t xml:space="preserve">Theoretical and Applied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(7), 1417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1428, doi: 10.1007/s00122-016-2713-3 (2016).</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Greene, E.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Spectrum of Chemically Induced Mutations From a Large-Scale Reverse-Genetic Screen in Arabidopsis.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(2),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740 (2003).</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Harwood, W. A. Advances and remaining challenges in the transformation of barley and wheat.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(5), 1791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1798, doi: 10.1093/jxb/err380 (2012).</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Henikoff, S., Comai, L. Single-Nucleotide Mutations for Plant Functional Genomics. </w:t>
      </w:r>
      <w:r>
        <w:rPr>
          <w:rFonts w:ascii="Calibri" w:hAnsi="Calibri" w:cs="Calibri" w:eastAsia="Calibri"/>
          <w:i/>
          <w:color w:val="auto"/>
          <w:spacing w:val="0"/>
          <w:position w:val="0"/>
          <w:sz w:val="24"/>
          <w:shd w:fill="auto" w:val="clear"/>
        </w:rPr>
        <w:t xml:space="preserve">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401, doi: 10.1146/annurev.arplant.54.031902.135009 (2003).</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Uauy,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modified TILLING approach to detect induced mutations in tetraploid and hexaploid wheat. </w:t>
      </w:r>
      <w:r>
        <w:rPr>
          <w:rFonts w:ascii="Calibri" w:hAnsi="Calibri" w:cs="Calibri" w:eastAsia="Calibri"/>
          <w:i/>
          <w:color w:val="auto"/>
          <w:spacing w:val="0"/>
          <w:position w:val="0"/>
          <w:sz w:val="24"/>
          <w:shd w:fill="auto" w:val="clear"/>
        </w:rPr>
        <w:t xml:space="preserve">BMC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115, doi: 10.1186/1471-2229-9-115 (2009).</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Uauy, C., Wulff, B. B. H., Dubcovsky, J. Combining Traditional Mutagenesis with New High-Throughput Sequencing and Genome Editing to Reveal Hidden Variation in Polyploid Wheat. </w:t>
      </w:r>
      <w:r>
        <w:rPr>
          <w:rFonts w:ascii="Calibri" w:hAnsi="Calibri" w:cs="Calibri" w:eastAsia="Calibri"/>
          <w:i/>
          <w:color w:val="auto"/>
          <w:spacing w:val="0"/>
          <w:position w:val="0"/>
          <w:sz w:val="24"/>
          <w:shd w:fill="auto" w:val="clear"/>
        </w:rPr>
        <w:t xml:space="preserve">Annual Review of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454, doi: 10.1146/annurev-genet-120116-024533 (2017).</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Sequences of 1504 Mutants in the Model Rice Variety Kitaake Facilitate Rapid Functional Genomic Studies.</w:t>
      </w:r>
      <w:r>
        <w:rPr>
          <w:rFonts w:ascii="Calibri" w:hAnsi="Calibri" w:cs="Calibri" w:eastAsia="Calibri"/>
          <w:i/>
          <w:color w:val="auto"/>
          <w:spacing w:val="0"/>
          <w:position w:val="0"/>
          <w:sz w:val="24"/>
          <w:shd w:fill="auto" w:val="clear"/>
        </w:rPr>
        <w:t xml:space="preserve"> 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1218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1231, doi: 10.1105/tpc.17.00154 (2017).</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Jiao,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Sorghum Mutant Resource as an Efficient Platform for Gene Discovery in Grasses.</w:t>
      </w:r>
      <w:r>
        <w:rPr>
          <w:rFonts w:ascii="Calibri" w:hAnsi="Calibri" w:cs="Calibri" w:eastAsia="Calibri"/>
          <w:i/>
          <w:color w:val="auto"/>
          <w:spacing w:val="0"/>
          <w:position w:val="0"/>
          <w:sz w:val="24"/>
          <w:shd w:fill="auto" w:val="clear"/>
        </w:rPr>
        <w:t xml:space="preserve"> 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 1551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1562, doi: 10.1105/tpc.16.00373 (2016).</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Krasileva, K.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Uncovering hidden variation in polyploid wheat.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201619268, doi: 10.1073/pnas.1619268114 (2017).</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Dong, C., Dalton-Morgan, J., Vincent, K., Sharp, P. A Modified TILLING Method for Wheat Breeding.</w:t>
      </w:r>
      <w:r>
        <w:rPr>
          <w:rFonts w:ascii="Calibri" w:hAnsi="Calibri" w:cs="Calibri" w:eastAsia="Calibri"/>
          <w:i/>
          <w:color w:val="auto"/>
          <w:spacing w:val="0"/>
          <w:position w:val="0"/>
          <w:sz w:val="24"/>
          <w:shd w:fill="auto" w:val="clear"/>
        </w:rPr>
        <w:t xml:space="preserve"> The Plant Genome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doi: 10.3835/plantgenome2008.10.0012 (2009).</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Till, B. J., Zerr, T., Comai, L., Henikoff, S. A protocol for TILLING and Ecotilling in plants and animals.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 2465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2477, doi: 10.1038/nprot.2006.329 (2006). </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20. Wu, J.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Chemical- and Irradiation-induced Mutants of Indica Rice IR64 for Forward and Reverse Genetics. </w:t>
      </w:r>
      <w:r>
        <w:rPr>
          <w:rFonts w:ascii="Calibri" w:hAnsi="Calibri" w:cs="Calibri" w:eastAsia="Calibri"/>
          <w:i/>
          <w:color w:val="auto"/>
          <w:spacing w:val="0"/>
          <w:position w:val="0"/>
          <w:sz w:val="24"/>
          <w:shd w:fill="auto" w:val="clear"/>
        </w:rPr>
        <w:t xml:space="preserve">Plant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doi: 10.1007/s11103-004-5112-0 (2005).</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Feldman, M., Levy, A. A. Genome Evolution Due to Allopolyploidization in Wheat.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(3), 763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774, doi: 10.1534/genetics.112.146316 (2012).</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Comai, L. The advantages and disadvantages of being polyploid.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836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846, doi: 10.1038/nrg1711 (2005).</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Guo,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Development of a High-Efficient Mutation Resource with Phenotypic Variation in Hexaploid Winter Wheat and Identification of Novel Alleles in the TaAGP.L-B1 Gene.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doi: 10.3389/fpls.2017.01404 (2017).</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Rakszegi,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Diversity of agronomic and morphological traits in a mutant population of bread wheat studied in the Healthgrain program. </w:t>
      </w:r>
      <w:r>
        <w:rPr>
          <w:rFonts w:ascii="Calibri" w:hAnsi="Calibri" w:cs="Calibri" w:eastAsia="Calibri"/>
          <w:i/>
          <w:color w:val="auto"/>
          <w:spacing w:val="0"/>
          <w:position w:val="0"/>
          <w:sz w:val="24"/>
          <w:shd w:fill="auto" w:val="clear"/>
        </w:rPr>
        <w:t xml:space="preserve">Euphytica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(3),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 doi: 10.1007/s10681-010-0149-4 (2010).</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Tsai, H., Ngo, K., Lieberman, M., Missirian, V., Comai, L. Tilling by Sequencing. </w:t>
      </w:r>
      <w:r>
        <w:rPr>
          <w:rFonts w:ascii="Calibri" w:hAnsi="Calibri" w:cs="Calibri" w:eastAsia="Calibri"/>
          <w:i/>
          <w:color w:val="auto"/>
          <w:spacing w:val="0"/>
          <w:position w:val="0"/>
          <w:sz w:val="24"/>
          <w:shd w:fill="auto" w:val="clear"/>
        </w:rPr>
        <w:t xml:space="preserve">Plant Functional Genomics: Methods and Protocols</w:t>
      </w:r>
      <w:r>
        <w:rPr>
          <w:rFonts w:ascii="Calibri" w:hAnsi="Calibri" w:cs="Calibri" w:eastAsia="Calibri"/>
          <w:color w:val="auto"/>
          <w:spacing w:val="0"/>
          <w:position w:val="0"/>
          <w:sz w:val="24"/>
          <w:shd w:fill="auto" w:val="clear"/>
        </w:rPr>
        <w:t xml:space="preserve">. 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doi: 10.1007/978-1-4939-2444-8_18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2">
    <w:abstractNumId w:val="246"/>
  </w:num>
  <w:num w:numId="4">
    <w:abstractNumId w:val="240"/>
  </w:num>
  <w:num w:numId="6">
    <w:abstractNumId w:val="234"/>
  </w:num>
  <w:num w:numId="12">
    <w:abstractNumId w:val="228"/>
  </w:num>
  <w:num w:numId="14">
    <w:abstractNumId w:val="222"/>
  </w:num>
  <w:num w:numId="16">
    <w:abstractNumId w:val="216"/>
  </w:num>
  <w:num w:numId="18">
    <w:abstractNumId w:val="210"/>
  </w:num>
  <w:num w:numId="20">
    <w:abstractNumId w:val="204"/>
  </w:num>
  <w:num w:numId="23">
    <w:abstractNumId w:val="198"/>
  </w:num>
  <w:num w:numId="25">
    <w:abstractNumId w:val="192"/>
  </w:num>
  <w:num w:numId="28">
    <w:abstractNumId w:val="186"/>
  </w:num>
  <w:num w:numId="30">
    <w:abstractNumId w:val="180"/>
  </w:num>
  <w:num w:numId="32">
    <w:abstractNumId w:val="174"/>
  </w:num>
  <w:num w:numId="34">
    <w:abstractNumId w:val="168"/>
  </w:num>
  <w:num w:numId="36">
    <w:abstractNumId w:val="162"/>
  </w:num>
  <w:num w:numId="40">
    <w:abstractNumId w:val="156"/>
  </w:num>
  <w:num w:numId="43">
    <w:abstractNumId w:val="150"/>
  </w:num>
  <w:num w:numId="45">
    <w:abstractNumId w:val="144"/>
  </w:num>
  <w:num w:numId="47">
    <w:abstractNumId w:val="138"/>
  </w:num>
  <w:num w:numId="49">
    <w:abstractNumId w:val="132"/>
  </w:num>
  <w:num w:numId="51">
    <w:abstractNumId w:val="126"/>
  </w:num>
  <w:num w:numId="53">
    <w:abstractNumId w:val="120"/>
  </w:num>
  <w:num w:numId="56">
    <w:abstractNumId w:val="114"/>
  </w:num>
  <w:num w:numId="58">
    <w:abstractNumId w:val="108"/>
  </w:num>
  <w:num w:numId="60">
    <w:abstractNumId w:val="102"/>
  </w:num>
  <w:num w:numId="62">
    <w:abstractNumId w:val="96"/>
  </w:num>
  <w:num w:numId="64">
    <w:abstractNumId w:val="90"/>
  </w:num>
  <w:num w:numId="66">
    <w:abstractNumId w:val="84"/>
  </w:num>
  <w:num w:numId="69">
    <w:abstractNumId w:val="78"/>
  </w:num>
  <w:num w:numId="71">
    <w:abstractNumId w:val="72"/>
  </w:num>
  <w:num w:numId="73">
    <w:abstractNumId w:val="66"/>
  </w:num>
  <w:num w:numId="77">
    <w:abstractNumId w:val="60"/>
  </w:num>
  <w:num w:numId="79">
    <w:abstractNumId w:val="54"/>
  </w:num>
  <w:num w:numId="83">
    <w:abstractNumId w:val="48"/>
  </w:num>
  <w:num w:numId="85">
    <w:abstractNumId w:val="42"/>
  </w:num>
  <w:num w:numId="87">
    <w:abstractNumId w:val="36"/>
  </w:num>
  <w:num w:numId="89">
    <w:abstractNumId w:val="30"/>
  </w:num>
  <w:num w:numId="91">
    <w:abstractNumId w:val="24"/>
  </w:num>
  <w:num w:numId="93">
    <w:abstractNumId w:val="18"/>
  </w:num>
  <w:num w:numId="95">
    <w:abstractNumId w:val="12"/>
  </w:num>
  <w:num w:numId="97">
    <w:abstractNumId w:val="6"/>
  </w:num>
  <w:num w:numId="9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primer3.ut.ee/" Id="docRId1" Type="http://schemas.openxmlformats.org/officeDocument/2006/relationships/hyperlink" /><Relationship Target="numbering.xml" Id="docRId3" Type="http://schemas.openxmlformats.org/officeDocument/2006/relationships/numbering" /><Relationship TargetMode="External" Target="https://probes.pw.usda.gov/GSP" Id="docRId0" Type="http://schemas.openxmlformats.org/officeDocument/2006/relationships/hyperlink" /><Relationship TargetMode="External" Target="https://wheat-urgi.versailles.inra.fr/Seq-Repository/BLAST" Id="docRId2" Type="http://schemas.openxmlformats.org/officeDocument/2006/relationships/hyperlink" /><Relationship Target="styles.xml" Id="docRId4" Type="http://schemas.openxmlformats.org/officeDocument/2006/relationships/styles" /></Relationships>
</file>