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Quantitative Fluorescence In Situ Hybridization (FISH) And Immunofluorescence (IF) of Specific Gene Products in KSHV-Infected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Tenaya K. Vallery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Joan A. Steitz</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Norfolk Academy, Norfolk, Virginia,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Molecular Biophysics and Biochemistry, Howard Hughes Medical Institute, Yale School of Medicine, New Haven, Connecticut,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Joan A. Steitz  </w:t>
        <w:tab/>
        <w:tab/>
        <w:t xml:space="preserve">(jsteitz@yale.edu)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Tenaya K. Vallery</w:t>
        <w:tab/>
        <w:t xml:space="preserve">(tvallery@norfolkacademy.org)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RNA FISH, IF, herpesviruses, quantification, nucleocytoplasmic shift, suspension cells, KSHV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protocol utilizing fluorescence in situ hybridization (FISH) to visualize multiple herpesviral RNAs within lytically infected human cells, either in suspension or adherent. This protocol includes quantification of fluorescence producing a nucleocytoplasmic ratio and can be extended for simultaneous visualization of host and viral proteins with immunofluorescence (IF).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Mechanistic insight arrives from careful study and quantification of specific RNAs and proteins. The relative locations of these biomolecules throughout the cell at specific times can be captured with fluorescence in situ hybridization (FISH) and immunofluorescence (IF). During lytic herpesvirus infection, the virus hijacks the host cell to preferentially express viral genes, causing changes in cell morphology and behavior of biomolecules. Lytic activities are centered in nuclear factories, termed viral replication compartments, which are discernable only with FISH and IF. Here we describe an adaptable protocol of RNA FISH and IF techniques for Kaposi’s sarcoma-associated herpesvirus (KSHV)-infected cells, both adherent and in suspension. The method includes steps for the development of specific anti-sense oligonucleotides, double RNA FISH, RNA FISH with IF, and quantitative calculations of fluorescence intensities. This protocol has been successfully applied to multiple cell types, uninfected cells, latent cells, lytic cells, time-courses, and cells treated with inhibitors to analyze the spatiotemporal activities of specific RNAs and proteins from both the human host and KSHV.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their lytic (active) phase, herpesviruses hijack the host cell, causing changes in cell morphology and localization of biological molecules, to produce virions. The base of operations is the nucleus, where the double stranded DNA viral genome is replicated and packaged into a protein shell, called a capsid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begin, the virus expresses its own proteins, hijacking host machinery and preventing expression of non-essential host genes, a process termed the host shutoff effect. The majority of this activity is localized to specific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,6-diamidino-2-phenylindole (DAPI)-free nuclear regions called viral replication compartments, comprised of both host and viral proteins, RNAs, and viral DNA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cell is overhauled to provide space and resources for the replication compartments and thus assembly of viral capsids. Once the capsid exits the nucleus, how the capsid is enveloped in the cytoplasm to produce a membrane-bound viral particle, also known as a virion, is unclear. Understanding of the localization and spatial shifts of both host and viral biomolecules during the lytic phase provides deeper mechanistic insight into the arrangement of the replication compartment, host shutoff effect, the virion-egress pathway, and other processes related to herpesviral infection and replication.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the best method to detect and study these changes is the visualization of proteins and RNAs in infected cells with immunofluorescence (IF) and fluorescent in situ hybridization (FISH), respectively. Use of a time-course with these techniques reveals the localization of biomolecules at key points of the lytic phase or simply, spatiotemporal data. FISH and IF complement other biochemical techniques, such as inhibition of a cellular process (e.g., inhibition of viral DNA replication), RT-qPCR (real-time polymerase chain reaction), RNA sequencing, Northern blots, mass spectrometry, western blotting, and analysis of viral DNA production, that may provide a more global picture of cellular activities.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developed RNA FISH strategies to examine the RNA products from specific genes and a computational analysis that quantitatively calculates the nucleocytoplasmic ratio of a specific gene product. The sample preparation, modified from earlier publications by Steitz and colleagues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is relatively easy and can be used for both adherent and suspended cells. The protocol is also adaptable for simultaneous use of multiple RNA FISH strategies (double RNA FISH) or RNA FISH with IF strategies. Development of a specific FISH strategy is challenging, but suggestions to improve success are outlined. The data analysis described here is quantitative if fluorescent beads and strong markers of compartment boundaries are used and offers additional insight into the micrographs, insight that removes observation bias. The detailed protocol is designed for both latent and lytic cells infected by Kaposi’s sarcoma-associated herpesvirus (KSHV) and can be used with uninfected cells or cells infected by other herpesviruses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methods of quantitation are applicable to studies on nucleocytoplasmic shifts or relocalization between subcellular compartments in most cells.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Design of fluorescence in situ (FISH) anti-sense oligonucleotides to detect a specific herpesviral transcript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Select 25 to 40 nt segments from the sequence of RNA of interest and convert to be anti-sense. A successful FISH strategy may contain from one up to ten or more different anti-sense oligonucleotides. When selecting sequences, consider the following.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If the RNA of interest contains a unique repeat region, then capitalize on this feature and design an anti-sense oligonucleotide to target the repeat sequence.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Tycowski and colleagues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provide an example of this strategy with rhesus rhadinovirus (RRV) polyadenylated nuclear (PAN) RNA.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If the RNA of interest contains a known protein-binding site or stem-loop structure, design oligonucleotides that avoid these regions.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Depending on the goals of the experiments, consider the intronic sequence and whether or not to design an anti-sense oligonucleotide for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Perform simple computational analyses on the selected anti-sense sequences to insure binding specificity and reduce aggregation of the anti-sense oligonucleotide.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The sequences must be approximately 50% GC-rich (high guanine and cytosine content) and have a melting temperature in the range of 60 to 70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Use a sequence analyzer tool to select sequences that do not self-dimerize or form hairpins with melting temperatures above 37 &amp;#176;C, the hybridization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Perform a NCBI BLASTn (National Center for Biotechnology Information Basic Local Alignment Search Tool for nucleotide alignments) search of the selected sequences against both the host and viral transcriptomes using the ‘somewhat similar’ setting. This search will identify unique anti-sense oligonucleotides that will not likely bind to other host or viral transcripts.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transcriptomes are not available, perform the BLAST search with the genomic sequences. It is ideal if the searches are performed on the sequences from the virus isolated from the infected cells used in the experiment because wild strains tend to diversify and contain a combination of sequences from different lab strains.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Order purified DNA oligonucleotides corresponding to the anti-sense sequence that has been verified computationally to be unique and likely to bind to the target RNA. No special modifications need to be introduced into the oligonucleotides.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Test the designed anti-sense oligonucleotides for binding specificity by FISH and Northern blot.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Using an uninfected cell-line from the same host species (e.g., 293T) and ideally the same cell type, conduct a transfection with a plasmid expressing the RNA of interest from a robust promoter (CMV, cytomegalovirus) and one with the empty vector (e.g., pcDNA3). Use a positive control for transfection such as co-transfection with a GFP (green fluorescent protein) plasmid (e.g., pmaxGFP) or the vector containing GFP.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avoid cell-lines that have been immortalized using the herpesvirus Epstein-Barr virus (EBV) since there are sequence similarities between herpesviruses.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Perform FISH as described in section 3 on both sets of cells with the anti-sense oligonucleotides as described in this protocol. Deduce the successful candidates by comparing FISH experiments with individual, pairs, or sets of the anti-sense oligonucleotides. Use a positive control for the FISH protocol such U2 snRNA (small nuclear RNA) FISH, present at 500,000 copies per human cell nucleus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 The fluorescent signal should be specific and strong in the cell containing the RNA of interest. Design additional anti-sense oligonucleotides to strengthen the signal and remove anti-sense oligonucleotides that bind nonspecifically from consideration. Signal strength must be above background and autofluorescence.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 Test binding specificity by Northern blot.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Oligonucleotide and cell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Following manufacturer’s instructions, use terminal transferase to label the anti-sense oligonucleotides with dioxigenin(DIG)-dUTP or, if strongly binding, directly with a fluorescent nucleotide like Alexa Fluor 594-5-dUTP. After labeling, additional purification is not necessary. Store labeled oligonucleotides at -20 &amp;#176;C up to several years and in tin foil if directly labeled to prevent photobleaching.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labeling solution contains a toxic material, potassium cacodylate.  Handle labeling reactions with gloves.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conserve resources, several different anti-sense oligonucleotides can be labeled in one reaction. This protocol utilizes 3-end labeling. Internal labeling is challenging because the chemical group (e.g., DIG or the fluorophore) gets caught or is unable able to enter the active site of a DNA polymerase. An experiment with two different RNAs can be performed using directly-labeled anti-sense oligonucleotides and anti-DIG immunofluorescence with a different fluorophore (e.g., FITC (fluorescein) or Alexa Fluor 488 with Alexa Fluor 594).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Adhere the cells to the eight-chamber slides.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Eight-chamber slides allow several simultaneous experiments while minimizing precious resources like antibodies. An alternative to eight-chamber slides is a six-well tissue culture plate with standard coverslips (22 mm x 22 mm) that are both sterile. A similar arrangement is possible with circular coverslips and a 24-well tissue culture plate. For both, increase the volumes mentioned in this protocol by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15x (e.g., 1.75 mL hybridization solution), and 4x (e.g., 600 &amp;#181;L hybridization solution)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For adherent lytic cells, use 1x trypsin/PBS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10 min to suspend cells and dilute to 60% confluency.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Adherent cell lines used in FISH experiments included 293T, iSLK.219</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iSLK-BAC36 cells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2.2.2) Apply 200 &amp;#181;L of cell suspension to each chamber of the sterile eight-chambered slides and allow seed growth for 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 h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Adjust as necessary for slow- or fast-growing cells and for cells that are easily damaged by trypsin.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objective is to have evenly spaced cells firmly attached to the slide. Consider inducing lytic phase after adhesion if the lytic cells are fragile. Conclusions drawn from experiments with iSLK cells are limited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For lytic suspension-cells, pre-treat eight-chamber slides with 1:10 poly L-lysine for 5 min under the tissue culture hood. Then leave the slides to dry overnight at room temperature or 1 h at 65 &amp;#176;C. Incubate 800 &amp;#181;L of lytic cells at a concentration of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with the chambered slides for 30 min to 1 h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Suspension-cells will settle in a monolayer, sticking to the poly L-lysine and thus excess cells are not a concern in comparison to adherent cells. Lytic cells that form grape clusters, if possible, should be separated by gentle vortexing or chemical means. Admittedly, the authors have not had much success with such recommendations in the case of lytic BJAB-RRV-GFP cells.  If suspension-cells do not adhere well, consider increasing either the time or concentration of the poly L-lysine incubation.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Fixation, Immunofluorescence (Optional), Hybridization, and Visualization of Viral RNAs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 Remove media and excess cells. Throughout this protocol, use vacuum suction to remove solutions and gentle micropipetting to add solutions.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strength of a vacuum can be reduced by placing a 200 &amp;#181;L micropipette tip over the glass Pasteur pipette. Replace the micropipette tip between wash steps to prevent contamination. Each wash step must be performed quickly because it is imperative that the cells never dry out.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Immediately, fix the cells with pre-chilled 4% formaldehyde/PBS (phosphate buffered saline) on ice for 30 min. Wash the cells three times with 200 &amp;#181;L 1x PBS cooled to 4 &amp;#176;C and incubate for 5 min at room temperature or on 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Permeabilize the fixed cells with 200 &amp;#181;L of pre-chilled 0.5% Triton-X/PBS (phosphate buffered saline) for 10 min on ice or 750 &amp;#181;L of pre-chilled 70% ethanol at 4 &amp;#176;C for 1 h (min) to 7 d (max).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Collect protein, total RNA, and genomic DNA samples at the point of fixation to ensure consistency between images and biochemical assays. All washes throughout this protocol are performed in the same manner unless otherwise specified. 70% ethanol loosens the glue between the chambers and the slide, which eases later separation, and also provides a significant pause in the protocol. Nonetheless, use paraffin film around the chamber slide to reduce evaporation and check the level of the ethanol in each chamber about every 8 h. 70% ethanol also flattens the cells, making a crisper image, while Triton-X does not dehydrate the cells and change the dimensions of the cell.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Remove chambers carefully to prevent cracking the slide. If the experiment includes immunofluorescence (IF) of a viral or host protein with a polyclonal primary antibody, perform the IF as described below before proceeding to RNA FISH. If the immunofluorescence uses a monoclonal primary antibody, then perform immunofluorescence as described in step 3.3.1 after step 3.11.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fresh removal device or one with very little leftover adhesive provided by manufacturer and gently ease the chambers off to prevent the slide from cracking. Using 70% ethanol as the permeabilizing reagent for 4 h greatly reduces the likelihood of cracking. In the case of a crack, continue the protocol on chambers not affected by the crack and be mindful of the higher oxidation- rate of imperfectly sealed slides (i.e. decreased storage- life).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Rinse cells with pre-chilled 1x PBS and block with pre-chilled 4% BSA (bovine serum albumin)/1x PBS for 30 min at 4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 of BSA throughout this protocol limits nonspecific labeling.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Remove blocking solution and incubate the cells with 1:200 or another polyclonal primary antibody in 0.1% BSA/1x PBS for 1 h at 4 &amp;#176;C. Then wash three times with 1x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antibody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for detection of SSB/ORF6 (viral single-stranded DNA binding protein) was used at 1:200 dilution.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Incubate the cells with a secondary antibody with fluorophore compatible with the FISH-detecting antibody for 1 h at 4 &amp;#176;C. Wash three times with 1x PBS.  Then fix with 4% formaldehyde/1x PBS for 10-15 min and permeabilize with either Triton-X or 70% ethanol as previously described before proceeding to FISH. Cover slide with tin foil to preserve fluorescent signal and prevent photobleaching.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Wash the cells with 2x SSC (saline sodium citrate) once and then apply 45 &amp;#181;L of hybridization solution consisting of 50% formamide, 10% dextran sulfate, 2x SSC, 0.1% BSA, 500 &amp;#181;g/mL salmon sperm DNA, 125 &amp;#181;g/mL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tRNA, and 1 mM vanadyl ribonucleoside complexes. Incubate for 1 h at 37 &amp;#176;C in a humidity chamber that can be a 150 mm Petri dish with moistened sterile wipes.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fresh hybridization solution at least an hour before use.  Dissolve the dextran sulfate in water first, vortexing frequently and incubating in a 37 &amp;#176;C water bath.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w:t>
      </w:r>
      <w:r>
        <w:rPr>
          <w:rFonts w:ascii="Calibri" w:hAnsi="Calibri" w:cs="Calibri" w:eastAsia="Calibri"/>
          <w:color w:val="auto"/>
          <w:spacing w:val="0"/>
          <w:position w:val="0"/>
          <w:sz w:val="24"/>
          <w:shd w:fill="auto" w:val="clear"/>
        </w:rPr>
        <w:t xml:space="preserve">Calculate to have a suggested concentration of 25 &amp;#181;M oligonucleotides in 35-uL hybridization solution per chamber. Adjust concentration of anti-sense oligonucleotide as needed. </w:t>
      </w:r>
      <w:r>
        <w:rPr>
          <w:rFonts w:ascii="Calibri" w:hAnsi="Calibri" w:cs="Calibri" w:eastAsia="Calibri"/>
          <w:color w:val="auto"/>
          <w:spacing w:val="0"/>
          <w:position w:val="0"/>
          <w:sz w:val="24"/>
          <w:shd w:fill="FFFF00" w:val="clear"/>
        </w:rPr>
        <w:t xml:space="preserve">Add distilled water to the oligonucleotides to bring the denaturation-volume to 10 &amp;#181;L.  Remove the pre-hybridization solution and then add hybridization solution containing the labeled oligonucleotides to the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Following the labeling reaction, the oligonucleotides are stored in the quenched solution containing 0.18 M potassium cacodylate, 23 mM Tris-HCl, 0.23 mg/mL BSA, 4.5 mM CoCl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18 mM EDTA, 2.7 mM K-phosphate, and 6.8 mM KCl, 45 &amp;#181;M 2-Mercaptoethanol, 0.02% Triton X-100, and 2% glycerol.  The concentrations are high enough that dilution with water will bring the denaturation solution to concentrations near to 1x TE (10 mM Tris-HCl and 1 mM EDTA), a standard oligonucleotide denaturation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Denature the DIG- and/or Alexa Fluor 594-labeled oligonucleotides at 95 &amp;#176;C for 5 min. Then add 35 &amp;#181;L fresh hybridization solution per intended chamber to the denatured oligonucleotides.  If performing double FISH, both sets of anti-sense oligonucleotides may be denatured and hybridized together.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Incubate overnight in the humidity chamber at 37 &amp;#176;C with tin foil to protect the fluorophore-labeled oligonucleotides.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Incubation should be at least 10 h and not more than 24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The next day, wash the cells twice with 2x SSC for 10 min at 37 &amp;#176;C and then twice with 1x SSC for 10 min at 25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Fix the cells with pre-chilled 4% formaldehyde/1x PBS for 10-15 min on ice. Then wash the cells with PBS three times and permeabilize for 1 h with pre-chilled 70% ethanol or for 10 min with pre-chilled 0.5% Triton-X/1x PBS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Incubate the cells with 1:200 anti-DIG FITC in pre-chilled 0.1% BSA/1x PBS for 1 h at 4 &amp;#176;C. Remove the antibody solution and wash three times with 1x PBS.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Fix with pre-chilled 4% paraformaldehyde/1x PBS for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min at 4 &amp;#176;C and then wash three times with 1x PBS. If performing immunofluorescence for a host or viral protein with a monoclonal primary antibody, permeabilize the cells and then perform the IF protocol outlined in step 3.3.1. Otherwise proceed to the DAPI staining.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Incubate the cells with 0.4 &amp;#181;g/mL DAPI in pre-chilled 0.5% Triton-X/1x PBS for 15 min on ice and then wash three times with 1x PBS.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Mount slides with fluorescent beads (optional) and a mounting medium. Then seal the coverslip to the slide with clear nail polish.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Using a confocal microscope, collect images of the samples within an hour to a week of performing the protocol at 630x magnification. Apply multiple coats of nail polish to seal the cover slip and to prolong fluorophore life by reducing the rate of oxidation.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use a DAPI-containing mounting medium. When collecting the images, include the scale bar on each image for later quantification. Fluorescent beads serve as controls of fluorescence intensity between slides and sample preparations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Acquire images at the midsection of the cell for two dimensional (2D) quantification in step 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Quantification of FISH and IF images to highlight subcellular localization and to determine nucleocytoplasmic ratio of fluorescence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Perform image analysis on an assembled stack of the various fluorescent stained and merged images to insure consistency. Set the scale of the image analysis software using the scale bar included when the images were collected.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To quantify fluorescence intensity across several channels and in reference to the nuclear DAPI stain, use a line tool and a plot-profile function. Then indicate the line permanently on a copy of the image using markers that do not obstruct or influence the viewer’s judgment.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Establish criteria to guide where the line is drawn such as a trace that captures a diversity of topographical features, peaks and valleys, along a central axis or a line that does not traverse supersaturated areas.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line traces depict raw fluorescence in a cell and thus are limited to comparisons of the locations of a stain, not intensity. To compare intensities of the same stain between slides, treatments, or preparations, add a fluorescent bead to the slide as an internal control during step 3.13. The fluorescent bead must be added during the mounting process and detected with the same settings on the excitation laser and photomultiplier tube (confocal).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To quantify a shift in subcellular localization, calculate nucleocytoplasmic ratios of cells undergoing different treatments.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Measure the area and raw fluorescence intensity of both the nucleus and cytoplasm using the nuclear DAPI stain to set the inner boundary.  Include nuclear and cytoplasmic controls such as a nuclear RNA (e.g., KSHV PAN RNA) and cytoplasmic RNA (e.g., host GAPDH mRNA). Moreover, calculate background intensity for three cell-like areas and average the values per pixel or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Intensity values tend to lack units and so the term ‘units’ is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Normalize both nuclear and cellular raw intensity values by first determining the average background for the same area and then subtracting that individualized value from the raw intensity of the area.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4.3.2.1) For example, a nucleus of a lytic B-cell has an area of 133.4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a raw intensity of 75976 units while the background intensity for the same fluorescent signal was determined to be 0.67 units per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normalized nuclear intensity would 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 Enter the values in the following equation.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calculation controls for changes in subcellular area. Lytic induction and drug treatments can enlarge the nucleus or change the size of the cell,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 To interpret the results, create a box-whisker plot. An equal distribution of the fluorescent signal would be close to zero, whereas a nuclear distribution would favor a positive ratio value and a cytoplasmic distribution would trend toward a negative ratio value.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FISH and IF methods detailed in this manuscript are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along with the quantification of results by line traces of fluorescent intensity. The results presented here are semi-quantitative and offer insight into localization, rather than into comparisons between intensities of different fluorescent stains because experiments did not include a fluorescent bead in the slide preparation.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also reveals that the cytoplasmic and nuclear areas and their ratios are different for latent and lytic KSHV-infected cells. Thus, area is controlled in the nucleocytoplasmic ratio showcased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validates the calculation detailed in this manuscript for a nucleocytoplasmic ratio with the use of a nuclear control, the viral polyadenylated nuclear (PAN) RNA, and a cytoplasmic control, the host GAPDH mRNA.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reveals that when KSHV DNA replication is inhibited in the lytic phase by the use of either phosphonoacetic acid (Doxy + PAA) or cidofovir (Doxy + Cido), the early ORF59-58 transcript shifts to a predominantly cytoplasmic localization. The micrographs and the two quantification methods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support this result and reveal that PAN RNA localizes to specific nuclear sites despite inhibition of viral DNA replication and the change seen for early ORF59-58 transcript.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Lines traces of fluorescent intensity reveal subtleties in fluorescence in situ hybridization (FISH) of KSHV transcripts and immunofluorescence (IF) of KSHV replication compartments.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Confocal images of TREx RTA (tetracycline inducible viral replication and transcription activator protein) BCBL-1 cells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that have been induced into the lytic phase for 24 h with doxycycline (Doxy). Scale bar indicates 10 &amp;#181;m.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Fluorescence in situ hybridization (FISH) for viral RNAs (green) and immunofluorescence (IF) for viral single-stranded DNA binding protein (ORF6/SSB) (red), a component of KSHV replications compartments, reveal that viral transcripts localize in the cytoplasm, nucleus, and in nuclear foci outside ORF6/SSB enriched areas, also known as replication compartments. The anti-SSB antibody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was diluted to 1:200 in 0.4% BSA/1x PBS and detected with 1:500 anti-rabbit Alexa Fluor 594 secondary antibody in 0.4% BSA/1x PBS. All anti-sense oligonucleotides used throughout this study are provided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detection of ORF59-58 mRNA includes both the bicistronic and monocistronic transcripts. However, in KSHV-infected JSC-1 cells, the monocistronic mRNA is at least 18-fold less abundant than the bicistronic transcript and likely contributes only a minor portion of the total fluorescent signal observed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Moreover one of the PAN RNA oligonucleotides (SB88) can also detect the viral transcript for K7. The signal from a detection of K7 will not be as significant compared to the signal detecting KSHV PAN RNA, which is present at nearly 80% of all polyadenylated RNA in a lytic KSHV-infected cell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Additionally one of the four anti-sense oligonucleotides (tkv13) in the detection of the K8.1 mRNA is able to bind to multiple isoforms of K8.1 and other isoforms of nearby open reading frames (ORF). The FISH signal from only oligonucleotide tkv13 is insufficient (data not shown).  The combined hybridization of the four oligonucleotides and the binding of them on the same transcript likely provides the observed strong signal. White lines flanking cells in (A) depict the line path of fluorescence intensities for the FISH and IF signals, plotted in (C).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Digitally zoomed images of cells in (A) flanked by white lines. For simplicity, the blue DAPI channel is omitted.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plots show the relative fluorescent intensities for each stain along the same line: &amp;#945;SSB (red), viral transcripts (green; transcript indicated on plot), and DAPI (blue). Shaded areas indicate DAPI-reduced regions that correspond to viral replication compartments or SSB/ORF6-enriched areas.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ratio of nuclear area to cellular area changes and thus the fluorescence intensity ratio used throughout was normalized for area.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Nuclear and cellular areas measured for TREx RTA BCBL-1 cells with and without undergoing lytic activation. Statistically significant changes are seen compared to uninduced cells. The box and whisker plots represent the 10 and 90 percentiles. Figure reprinted with slight modifications from Vallery, Withers, and colleagues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under a Creative Commons Attribution license.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Control nuclear and cytoplasmic FISH strategies validate the calculation-method of the nucleocytoplasmic ratio.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FISH for the host GAPDH mRNA (red) and for the viral polyadenylated nuclear (PAN) lncRNA (green) and DAPI nuclear staining (blue) are positive FISH controls for the calculation- method determining the nucleocytoplasmic ratio. Host GAPDH mRNA is a canonical target of the KSHV’s host shutoff effect and is degraded upon lytic induction as shown here.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Fluorescence intensities along a line indicated by white lines flanking lytic cells in (A). DAPI (blue), PAN RNA (green), and GAPDH mRNA (red). Shaded areas are as defined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Quantification of the fluorescence intensities of cells represented by (A) (n = 150 for each GAPDH sample, n = 75 for the ORF59-58 or K8.1 samples) were performed for three biological replicates of cells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Figure 3</w:t>
      </w:r>
      <w:r>
        <w:rPr>
          <w:rFonts w:ascii="Calibri" w:hAnsi="Calibri" w:cs="Calibri" w:eastAsia="Calibri"/>
          <w:color w:val="auto"/>
          <w:spacing w:val="0"/>
          <w:position w:val="0"/>
          <w:sz w:val="24"/>
          <w:shd w:fill="auto" w:val="clear"/>
        </w:rPr>
        <w:t xml:space="preserve">. P-values: &amp;gt;0.05 (ns), &amp;lt;0.05 (*), &amp;lt;0.005 (**), and &amp;lt;0.0005 (***).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Northern blot of RNA from TREx RTA BCBL-1 cells 24 h after Doxy. The box and whisker plots represent the 10 and 90 percentile. Figure reprinted with slight modifications from Vallery, Withers, and colleagues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under a Creative Commons Attribution license.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Line traces and calculation of nucleocytoplasmic ratios reveal a strong shift to the cytoplasm for the early lytic ORF59-58 transcript upon inhibition of viral DNA replication.</w:t>
      </w:r>
      <w:r>
        <w:rPr>
          <w:rFonts w:ascii="Calibri" w:hAnsi="Calibri" w:cs="Calibri" w:eastAsia="Calibri"/>
          <w:color w:val="auto"/>
          <w:spacing w:val="0"/>
          <w:position w:val="0"/>
          <w:sz w:val="24"/>
          <w:shd w:fill="auto" w:val="clear"/>
        </w:rPr>
        <w:t xml:space="preserve"> TREx RTA BCBL-1 cells were treated for 24 h with no drug (Unind), doxycycline only (Doxy), or with doxycycline and one inhibitor of herpesviral DNA replication, phosphonoacetic acid (Doxy + PAA) or cidofovir (Doxy + Cido). Panels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 data from samples collected from three biological replicates.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qPCR values for viral intracellular DNA during inhibition of viral DNA replication were normalized to the quantity of promoter DNA of the host-cell GAPDH gene.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Northern blot (left) and quantification (right) show total RNA levels during inhibition of viral DNA replication. Uninduced levels of all RNAs were undetectable.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FISH images for viral ORF59-58 transcripts (green) and PAN RNA (red) upon inhibition of viral DNA replication. DAPI (blue) was the nuclear stain.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Quantification of the fluorescence intensities of cells represented by (C) (n = 75 each) was done on biological triplicates.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Fluorescence intensities along lines drawn across cells indicated by white lines in (C) are shown: DAPI (blue), PAN RNA (red), and ORF59-58 mRNA (green). P-values: &amp;gt;0.05 (ns), &amp;lt;0.05 (*), &amp;lt;0.005 (**), and &amp;lt;0.0005 (***). The sequences of all oligonucleotides in this study are provided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box and whisker plots represent the 10 and 90 percentiles. Figure reprinted from Vallery, Withers, and colleagues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under a Creative Commons Attribution license.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All oligonucleotides used in the analyses of this publication</w:t>
      </w:r>
      <w:r>
        <w:rPr>
          <w:rFonts w:ascii="Calibri" w:hAnsi="Calibri" w:cs="Calibri" w:eastAsia="Calibri"/>
          <w:color w:val="auto"/>
          <w:spacing w:val="0"/>
          <w:position w:val="0"/>
          <w:sz w:val="24"/>
          <w:shd w:fill="auto" w:val="clear"/>
        </w:rPr>
        <w:t xml:space="preserve">.  Table 1 was reproduced with permission from the American Society for Microbiology under a Creative Commons Attribution license from Vallery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in this manuscript can be adapted to different cell types and includes steps for double RNA FISH and RNA FISH with IF using both monoclonal and polyclonal primary antibodies. Although prepared slides are typically imaged with a confocal microscope, imaging can be performed with a STED (stimulated emission depletion) microscope after modifications of increased antibody concentration and a different mounting medium. For enhanced analysis of individual cells, samples prepared with this protocol may also be sorted, imaged, and analyzed by a cell sorter or flow cytometer with modest changes, as shown by Borah and colleagues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This protocol however cannot be adopted for live cell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quantification methods detailed eliminate observation bias and serve to validate a potential nucleocytoplasmic shift. The nucleocytoplasmic ratio also pinpoints when a biomolecule adjusts from being evenly dispersed to localizing in a specific subcellular compartment. The results presented here are semi-quantitative while the protocol outlines ways to strengthen the quantification. The strength of the nucleocytoplasmic ratio and line traces (step 4) depend on the use of fluorescent beads as intensity controls (step 3.13) and the use of clear subcellular markers, such as one for nuclear Lamin A/C. At this time, a clear boundary-marker does not exist for KSHV viral replication compartments. Regardless, this calculation can be extended to other subcellular compartments with the use of appropriate markers.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 hurdle for the protocol detailed in this manuscript is the development of FISH strategies for specific transcripts (step 1). Success relies on the abundance and binding strength of anti-sense oligonucleotides. Specificity to particular transcripts is made even more difficult by the presence of overlapping open reading frames (ORFs) in viral genomes. Thus, viral transcripts often have sequence similarity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with other viral transcripts from the same genomic region, especially in case of herpesviruses. Often development of a FISH strategy must take advantage of more abundant transcripts. To troubleshoot a lack of a FISH signal, users should perform the FISH protocol with the U2 snRNA FISH strategy to confirm that techniques in human cells and preparation of reagents are adequate. Likewise, the KSHV PAN RNA FISH strategy can confirm lytic activation in KSHV-infected cells. To troubleshoot binding by the anti-sense oligonucleotides, the authors recommend developing several anti-sense oligonucleotides. If all fails, a commercial option is available as demonstrated by the use of the GAPDH FISH strategy in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and by Vallery, Withers, and colleagues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Stronger algorithms to define the cellular and subcellular boundaries would further eliminate quantification bias. Some analytical image processing software can set boundaries for the cell, nucleus, and more, but require definitive markers. Unusual cell morphologies such as viral replication compartments are difficult for such software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challenge for future development.  Moreover the quantification methods described here are limited to one optical slice of a cell (2D image analysis).  While 3D image acquisition is possible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future development of a quantitative 3D image analysis may provide further insight into spatiotemporal regulation of viral replication compartments.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Jonathan Rodenfels, Kazimierz Tycowski, and Johanna B. Withers for advice on data analysis.  We also thank G. Hayward for the anti-SSB antibody. This work was supported by grants </w:t>
      </w:r>
      <w:r>
        <w:rPr>
          <w:rFonts w:ascii="Calibri" w:hAnsi="Calibri" w:cs="Calibri" w:eastAsia="Calibri"/>
          <w:color w:val="1D1D1D"/>
          <w:spacing w:val="0"/>
          <w:position w:val="0"/>
          <w:sz w:val="24"/>
          <w:shd w:fill="FFFFFF" w:val="clear"/>
        </w:rPr>
        <w:t xml:space="preserve">T32GM007223 and </w:t>
      </w:r>
      <w:r>
        <w:rPr>
          <w:rFonts w:ascii="Calibri" w:hAnsi="Calibri" w:cs="Calibri" w:eastAsia="Calibri"/>
          <w:color w:val="auto"/>
          <w:spacing w:val="0"/>
          <w:position w:val="0"/>
          <w:sz w:val="24"/>
          <w:shd w:fill="auto" w:val="clear"/>
        </w:rPr>
        <w:t xml:space="preserve">T32AI055403 from the National Institutes of Health (to TKV) and NIH grant (CA16038) (to JAS). JAS is an investigator of the Howard Hughes Medical Institute.  Figures 1-4 and Table 1 were reproduced with permission from the American Society for Microbiology under a Creative Commons Attribution license from the following publication: Vallery, T. K., Withers, J. B., Andoh, J. A., Steitz, J. A. Kaposi's Sarcoma-Associated Herpesvirus mRNA Accumulation in Nuclear Foci Is Influenced by Viral DNA Replication and Viral Noncoding Polyadenylated Nuclear RNA.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(13), doi:10.1128/JVI.00220-18, (2018).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Amen, M. A., Griffiths, A. Packaging of Non-Coding RNAs into Herpesvirus Virions: Comparisons to Coding RNAs. </w:t>
      </w:r>
      <w:r>
        <w:rPr>
          <w:rFonts w:ascii="Calibri" w:hAnsi="Calibri" w:cs="Calibri" w:eastAsia="Calibri"/>
          <w:i/>
          <w:color w:val="auto"/>
          <w:spacing w:val="0"/>
          <w:position w:val="0"/>
          <w:sz w:val="24"/>
          <w:shd w:fill="auto" w:val="clear"/>
        </w:rPr>
        <w:t xml:space="preserve">Frontiers in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81, doi:10.3389/fgene.2011.00081,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Schmid, M., Speiseder, T., Dobner, T., Gonzalez, R. A. DNA virus replication compartments.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(3), 1404-1420, doi:10.1128/JVI.02046-13,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Pawlicki, J. M., Steitz, J. A. Primary microRNA transcript retention at sites of transcription leads to enhanced microRNA production.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(1), 61-76, doi:10.1083/jcb.200803111,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Borah, S., Darricarrere, N., Darnell, A., Myoung, J., Steitz, J. A. A viral nuclear noncoding RNA binds re-localized poly(A) binding protein and is required for late KSHV gene expression. </w:t>
      </w:r>
      <w:r>
        <w:rPr>
          <w:rFonts w:ascii="Calibri" w:hAnsi="Calibri" w:cs="Calibri" w:eastAsia="Calibri"/>
          <w:i/>
          <w:color w:val="auto"/>
          <w:spacing w:val="0"/>
          <w:position w:val="0"/>
          <w:sz w:val="24"/>
          <w:shd w:fill="auto" w:val="clear"/>
        </w:rPr>
        <w:t xml:space="preserve">Public Library of Science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 e1002300, doi:10.1371/journal.ppat.1002300,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Tycowski, K. T., Shu, M. D., Borah, S., Shi, M., Steitz, J. A. Conservation of a triple-helix-forming RNA stability element in noncoding and genomic RNAs of diverse viruses.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26-32, doi:10.1016/j.celrep.2012.05.020,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Weinberg, R. A., Penman, S. Small molecular weight monodisperse nuclear RNA.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(3), 289-304 (1968).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Myoung, J., Ganem, D. Generation of a doxycycline-inducible KSHV producer cell line of endothelial origin: maintenance of tight latency with efficient reactivation upon induction. </w:t>
      </w:r>
      <w:r>
        <w:rPr>
          <w:rFonts w:ascii="Calibri" w:hAnsi="Calibri" w:cs="Calibri" w:eastAsia="Calibri"/>
          <w:i/>
          <w:color w:val="auto"/>
          <w:spacing w:val="0"/>
          <w:position w:val="0"/>
          <w:sz w:val="24"/>
          <w:shd w:fill="auto" w:val="clear"/>
        </w:rPr>
        <w:t xml:space="preserve">Journal of Virology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(1-2), 12-21, doi:10.1016/j.jviromet.2011.03.012,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Brulois, K.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Construction and manipulation of a new Kaposi's sarcoma-associated herpesvirus bacterial artificial chromosome clone.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(18), 9708-9720, doi:10.1128/JVI.01019-12,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Sturzl, M., Gaus, D., Dirks, W. G., Ganem, D., Jochmann, R. Kaposi's sarcoma-derived cell line SLK is not of endothelial origin, but is a contaminant from a known renal carcinoma cell line. </w:t>
      </w:r>
      <w:r>
        <w:rPr>
          <w:rFonts w:ascii="Calibri" w:hAnsi="Calibri" w:cs="Calibri" w:eastAsia="Calibri"/>
          <w:i/>
          <w:color w:val="auto"/>
          <w:spacing w:val="0"/>
          <w:position w:val="0"/>
          <w:sz w:val="24"/>
          <w:shd w:fill="auto" w:val="clear"/>
        </w:rPr>
        <w:t xml:space="preserve">International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(8), 1954-1958, doi:10.1002/ijc.27849,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Chiou, C.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Patterns of gene expression and a transactivation function exhibited by the vGCR (ORF74) chemokine receptor protein of Kaposi's sarcoma-associated herpesvirus.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(7), 3421-3439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Cole, R. W., Jinadasa, T., Brown, C. M. Measuring and interpreting point spread functions to determine confocal microscope resolution and ensure quality control.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(12), 1929-1941, doi:10.1038/nprot.2011.407,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Nakamura,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Global changes in Kaposi's sarcoma-associated virus gene expression patterns following expression of a tetracycline-inducible Rta transactivator.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(7), 4205-4220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Majerciak, V., Yamanegi, K., Zheng, Z. M. Gene structure and expression of Kaposi's sarcoma-associated herpesvirus ORF56, ORF57, ORF58, and ORF59.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(24), 11968-11981, doi:10.1128/JVI.01394-06,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Sun, R., Lin, S. F., Gradoville, L., Miller, G. Polyadenylylated nuclear RNA encoded by Kaposi sarcoma-associated herpesvirus. </w:t>
      </w:r>
      <w:r>
        <w:rPr>
          <w:rFonts w:ascii="Calibri" w:hAnsi="Calibri" w:cs="Calibri" w:eastAsia="Calibri"/>
          <w:i/>
          <w:color w:val="auto"/>
          <w:spacing w:val="0"/>
          <w:position w:val="0"/>
          <w:sz w:val="24"/>
          <w:shd w:fill="auto" w:val="clear"/>
        </w:rPr>
        <w:t xml:space="preserve">Proceedings of the National Academy Sciences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(21), 11883-11888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Vallery, T. K., Withers, J. B., Andoh, J. A., Steitz, J. A. Kaposi's Sarcoma-Associated Herpesvirus mRNA Accumulation in Nuclear Foci Is Influenced by Viral DNA Replication and Viral Noncoding Polyadenylated Nuclear RNA.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(13), doi:10.1128/JVI.00220-18,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Borah, S., Nichols, L. A., Hassman, L. M., Kedes, D. H., Steitz, J. A. Tracking expression and subcellular localization of RNA and protein species using high-throughput single cell imaging flow cytometry. </w:t>
      </w:r>
      <w:r>
        <w:rPr>
          <w:rFonts w:ascii="Calibri" w:hAnsi="Calibri" w:cs="Calibri" w:eastAsia="Calibri"/>
          <w:i/>
          <w:color w:val="auto"/>
          <w:spacing w:val="0"/>
          <w:position w:val="0"/>
          <w:sz w:val="24"/>
          <w:shd w:fill="auto" w:val="clear"/>
        </w:rPr>
        <w:t xml:space="preserve">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(8), 1573-1579, doi:10.1261/rna.033126.112,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Bruce, A.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Quantitative Analysis of the KSHV Transcriptome Following Primary Infection of Blood and Lymphatic Endothelial Cells. </w:t>
      </w:r>
      <w:r>
        <w:rPr>
          <w:rFonts w:ascii="Calibri" w:hAnsi="Calibri" w:cs="Calibri" w:eastAsia="Calibri"/>
          <w:i/>
          <w:color w:val="auto"/>
          <w:spacing w:val="0"/>
          <w:position w:val="0"/>
          <w:sz w:val="24"/>
          <w:shd w:fill="auto" w:val="clear"/>
        </w:rPr>
        <w:t xml:space="preserve">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doi:10.3390/pathogens6010011,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Chen, C.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Kaposi's Sarcoma-Associated Herpesvirus Hijacks RNA Polymerase II To Create a Viral Transcriptional Factory.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(11), doi:10.1128/JVI.02491-16, (2017).</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