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A156B" w14:textId="6EF64C67" w:rsidR="00317594" w:rsidRPr="00116D48" w:rsidRDefault="00317594" w:rsidP="002B0200">
      <w:pPr>
        <w:jc w:val="center"/>
        <w:rPr>
          <w:rFonts w:ascii="Arial" w:hAnsi="Arial" w:cs="Arial"/>
          <w:b/>
          <w:u w:val="single"/>
        </w:rPr>
      </w:pPr>
      <w:r w:rsidRPr="00116D48">
        <w:rPr>
          <w:rFonts w:ascii="Arial" w:hAnsi="Arial" w:cs="Arial"/>
          <w:b/>
          <w:u w:val="single"/>
        </w:rPr>
        <w:t>Response to Reviewers:</w:t>
      </w:r>
    </w:p>
    <w:p w14:paraId="03948942" w14:textId="77777777" w:rsidR="00192C9C" w:rsidRPr="00116D48" w:rsidRDefault="00192C9C" w:rsidP="00317594">
      <w:pPr>
        <w:jc w:val="center"/>
        <w:rPr>
          <w:rFonts w:ascii="Arial" w:hAnsi="Arial" w:cs="Arial"/>
          <w:u w:val="single"/>
        </w:rPr>
      </w:pPr>
    </w:p>
    <w:p w14:paraId="5A59C0B3" w14:textId="560F30E7" w:rsidR="00AD088C" w:rsidRPr="00116D48" w:rsidRDefault="00317594" w:rsidP="004E4A2A">
      <w:pPr>
        <w:jc w:val="both"/>
        <w:rPr>
          <w:rFonts w:ascii="Arial" w:eastAsia="Times New Roman" w:hAnsi="Arial" w:cs="Arial"/>
        </w:rPr>
      </w:pPr>
      <w:r w:rsidRPr="00116D48">
        <w:rPr>
          <w:rFonts w:ascii="Arial" w:eastAsia="Times New Roman" w:hAnsi="Arial" w:cs="Arial"/>
        </w:rPr>
        <w:t xml:space="preserve">The authors would like to thank the </w:t>
      </w:r>
      <w:r w:rsidR="00495DF9" w:rsidRPr="00116D48">
        <w:rPr>
          <w:rFonts w:ascii="Arial" w:eastAsia="Times New Roman" w:hAnsi="Arial" w:cs="Arial"/>
        </w:rPr>
        <w:t xml:space="preserve">editors and the </w:t>
      </w:r>
      <w:r w:rsidRPr="00116D48">
        <w:rPr>
          <w:rFonts w:ascii="Arial" w:eastAsia="Times New Roman" w:hAnsi="Arial" w:cs="Arial"/>
        </w:rPr>
        <w:t xml:space="preserve">reviewers for their </w:t>
      </w:r>
      <w:r w:rsidR="00495DF9" w:rsidRPr="00116D48">
        <w:rPr>
          <w:rFonts w:ascii="Arial" w:eastAsia="Times New Roman" w:hAnsi="Arial" w:cs="Arial"/>
        </w:rPr>
        <w:t xml:space="preserve">feedback and </w:t>
      </w:r>
      <w:r w:rsidRPr="00116D48">
        <w:rPr>
          <w:rFonts w:ascii="Arial" w:eastAsia="Times New Roman" w:hAnsi="Arial" w:cs="Arial"/>
        </w:rPr>
        <w:t xml:space="preserve">comments. We have made significant revisions to the manuscript, and this document will reflect and outline the changes we have made, per </w:t>
      </w:r>
      <w:r w:rsidR="006155A0" w:rsidRPr="00116D48">
        <w:rPr>
          <w:rFonts w:ascii="Arial" w:eastAsia="Times New Roman" w:hAnsi="Arial" w:cs="Arial"/>
        </w:rPr>
        <w:t>your</w:t>
      </w:r>
      <w:r w:rsidRPr="00116D48">
        <w:rPr>
          <w:rFonts w:ascii="Arial" w:eastAsia="Times New Roman" w:hAnsi="Arial" w:cs="Arial"/>
        </w:rPr>
        <w:t xml:space="preserve"> suggestions.</w:t>
      </w:r>
      <w:r w:rsidR="00B07F9B" w:rsidRPr="00116D48">
        <w:rPr>
          <w:rFonts w:ascii="Arial" w:eastAsia="Times New Roman" w:hAnsi="Arial" w:cs="Arial"/>
        </w:rPr>
        <w:t xml:space="preserve"> </w:t>
      </w:r>
      <w:r w:rsidR="00AD4C1C" w:rsidRPr="00116D48">
        <w:rPr>
          <w:rFonts w:ascii="Arial" w:eastAsia="Times New Roman" w:hAnsi="Arial" w:cs="Arial"/>
        </w:rPr>
        <w:t>Several changes have</w:t>
      </w:r>
      <w:r w:rsidRPr="00116D48">
        <w:rPr>
          <w:rFonts w:ascii="Arial" w:eastAsia="Times New Roman" w:hAnsi="Arial" w:cs="Arial"/>
        </w:rPr>
        <w:t xml:space="preserve"> been made in the main manuscript, </w:t>
      </w:r>
      <w:r w:rsidR="005343AE" w:rsidRPr="00116D48">
        <w:rPr>
          <w:rFonts w:ascii="Arial" w:eastAsia="Times New Roman" w:hAnsi="Arial" w:cs="Arial"/>
        </w:rPr>
        <w:t xml:space="preserve">and are </w:t>
      </w:r>
      <w:r w:rsidRPr="00116D48">
        <w:rPr>
          <w:rFonts w:ascii="Arial" w:eastAsia="Times New Roman" w:hAnsi="Arial" w:cs="Arial"/>
        </w:rPr>
        <w:t>highlighted in red text</w:t>
      </w:r>
      <w:r w:rsidR="005343AE" w:rsidRPr="00116D48">
        <w:rPr>
          <w:rFonts w:ascii="Arial" w:eastAsia="Times New Roman" w:hAnsi="Arial" w:cs="Arial"/>
        </w:rPr>
        <w:t xml:space="preserve"> in the tracked changes manuscript</w:t>
      </w:r>
      <w:r w:rsidRPr="00116D48">
        <w:rPr>
          <w:rFonts w:ascii="Arial" w:eastAsia="Times New Roman" w:hAnsi="Arial" w:cs="Arial"/>
        </w:rPr>
        <w:t xml:space="preserve">. A detailed list of edits and the author response to the reviewers’ comments follow below. </w:t>
      </w:r>
    </w:p>
    <w:p w14:paraId="6C5351AF" w14:textId="77777777" w:rsidR="00E4463D" w:rsidRPr="00116D48" w:rsidRDefault="00E4463D" w:rsidP="007A372D">
      <w:pPr>
        <w:rPr>
          <w:rFonts w:eastAsia="Times New Roman" w:cstheme="minorHAnsi"/>
          <w:b/>
          <w:bCs/>
          <w:color w:val="222222"/>
        </w:rPr>
      </w:pPr>
    </w:p>
    <w:p w14:paraId="5F327263" w14:textId="77777777" w:rsidR="00116D48" w:rsidRPr="00116D48" w:rsidRDefault="00116D48" w:rsidP="00116D48">
      <w:pPr>
        <w:rPr>
          <w:rFonts w:eastAsia="Times New Roman" w:cstheme="minorHAnsi"/>
          <w:b/>
          <w:color w:val="000000"/>
        </w:rPr>
      </w:pPr>
      <w:r w:rsidRPr="00116D48">
        <w:rPr>
          <w:rFonts w:eastAsia="Times New Roman" w:cstheme="minorHAnsi"/>
          <w:b/>
          <w:bCs/>
          <w:color w:val="000000"/>
          <w:u w:val="single"/>
        </w:rPr>
        <w:t>Editorial comments:</w:t>
      </w:r>
      <w:r w:rsidRPr="00116D48">
        <w:rPr>
          <w:rFonts w:eastAsia="Times New Roman" w:cstheme="minorHAnsi"/>
          <w:color w:val="000000"/>
        </w:rPr>
        <w:br/>
      </w:r>
    </w:p>
    <w:p w14:paraId="2D5B1682"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t>General:</w:t>
      </w:r>
      <w:r w:rsidRPr="00116D48">
        <w:rPr>
          <w:rFonts w:eastAsia="Times New Roman" w:cstheme="minorHAnsi"/>
          <w:b/>
          <w:color w:val="000000"/>
        </w:rPr>
        <w:br/>
      </w:r>
    </w:p>
    <w:p w14:paraId="1A7B4B33" w14:textId="77777777" w:rsidR="00116D48" w:rsidRPr="00116D48" w:rsidRDefault="00116D48" w:rsidP="00116D48">
      <w:pPr>
        <w:rPr>
          <w:rFonts w:eastAsia="Times New Roman" w:cstheme="minorHAnsi"/>
          <w:b/>
          <w:bCs/>
          <w:color w:val="222222"/>
        </w:rPr>
      </w:pPr>
      <w:r w:rsidRPr="00116D48">
        <w:rPr>
          <w:rFonts w:eastAsia="Times New Roman" w:cstheme="minorHAnsi"/>
          <w:b/>
          <w:color w:val="000000"/>
        </w:rPr>
        <w:t>1. Please take this opportunity to thoroughly proofread the manuscript to ensure that there are no spelling or grammar issues.</w:t>
      </w:r>
      <w:r w:rsidRPr="00116D48">
        <w:rPr>
          <w:rFonts w:eastAsia="Times New Roman" w:cstheme="minorHAnsi"/>
          <w:b/>
          <w:color w:val="000000"/>
        </w:rPr>
        <w:br/>
        <w:t>2. Please ensure that the</w:t>
      </w:r>
      <w:bookmarkStart w:id="0" w:name="_GoBack"/>
      <w:bookmarkEnd w:id="0"/>
      <w:r w:rsidRPr="00116D48">
        <w:rPr>
          <w:rFonts w:eastAsia="Times New Roman" w:cstheme="minorHAnsi"/>
          <w:b/>
          <w:color w:val="000000"/>
        </w:rPr>
        <w:t xml:space="preserve"> manuscript is formatted according to JoVE guidelines–letter (8.5” x 11”) page size, 1-inch margins, 12 pt Calibri font throughout, all text aligned to the left margin, single spacing within paragraphs, and spaces between all paragraphs and protocol steps/substeps.</w:t>
      </w:r>
      <w:r w:rsidRPr="00116D48">
        <w:rPr>
          <w:rFonts w:eastAsia="Times New Roman" w:cstheme="minorHAnsi"/>
          <w:b/>
          <w:color w:val="000000"/>
        </w:rPr>
        <w:br/>
        <w:t>3. Note that all text written using Word’s equation editor (or Microsoft Equation) will be formatted differently from the rest of the text. Please rewrite inline variables, if possible, in the same font as the rest of the text, and ensure all equations are on their own line.</w:t>
      </w:r>
      <w:r w:rsidRPr="00116D48">
        <w:rPr>
          <w:rFonts w:eastAsia="Times New Roman" w:cstheme="minorHAnsi"/>
          <w:b/>
          <w:color w:val="000000"/>
        </w:rPr>
        <w:br/>
        <w:t>4. Please use SI abbreviations for all units: L, mL, µL, h, min, s, etc. Please use the micro symbol µ instead of u. Please abbreviate liters to L to avoid confusion.</w:t>
      </w:r>
      <w:r w:rsidRPr="00116D48">
        <w:rPr>
          <w:rFonts w:eastAsia="Times New Roman" w:cstheme="minorHAnsi"/>
          <w:b/>
          <w:color w:val="000000"/>
        </w:rPr>
        <w:br/>
        <w:t>5. Please include a space between all numerical values and their corresponding units (except %): 15 mL, 37 °C, 60 s, 15,000 x g; etc.</w:t>
      </w:r>
      <w:r w:rsidRPr="00116D48">
        <w:rPr>
          <w:rFonts w:eastAsia="Times New Roman" w:cstheme="minorHAnsi"/>
          <w:b/>
          <w:color w:val="000000"/>
        </w:rPr>
        <w:br/>
        <w:t>6. Please provide an email address for each author.</w:t>
      </w:r>
      <w:r w:rsidRPr="00116D48">
        <w:rPr>
          <w:rFonts w:eastAsia="Times New Roman" w:cstheme="minorHAnsi"/>
          <w:b/>
          <w:color w:val="000000"/>
        </w:rPr>
        <w:br/>
        <w:t>7.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116D48">
        <w:rPr>
          <w:rFonts w:eastAsia="Times New Roman" w:cstheme="minorHAnsi"/>
          <w:b/>
          <w:color w:val="000000"/>
        </w:rPr>
        <w:br/>
        <w:t>For example: alamarBlue, Fisher Scientific, Gibco, Celltreat, Parafilm, Excel, GraphPad, Millipore, Histogel, Life Technologies, Olympus.</w:t>
      </w:r>
      <w:r w:rsidRPr="00116D48">
        <w:rPr>
          <w:rFonts w:eastAsia="Times New Roman" w:cstheme="minorHAnsi"/>
          <w:color w:val="000000"/>
        </w:rPr>
        <w:br/>
      </w:r>
    </w:p>
    <w:p w14:paraId="0700B26E" w14:textId="77777777" w:rsidR="00116D48" w:rsidRPr="00116D48" w:rsidRDefault="00116D48" w:rsidP="00116D48">
      <w:pPr>
        <w:rPr>
          <w:rFonts w:eastAsia="Times New Roman" w:cstheme="minorHAnsi"/>
          <w:color w:val="000000"/>
        </w:rPr>
      </w:pPr>
      <w:r w:rsidRPr="00116D48">
        <w:rPr>
          <w:rFonts w:eastAsia="Times New Roman" w:cstheme="minorHAnsi"/>
          <w:color w:val="000000"/>
        </w:rPr>
        <w:t>Thank you for these suggestions! All general suggested changes have been made.</w:t>
      </w:r>
    </w:p>
    <w:p w14:paraId="40C9E3B4" w14:textId="77777777" w:rsidR="00116D48" w:rsidRPr="00116D48" w:rsidRDefault="00116D48" w:rsidP="00116D48">
      <w:pPr>
        <w:rPr>
          <w:rFonts w:eastAsia="Times New Roman" w:cstheme="minorHAnsi"/>
          <w:b/>
          <w:color w:val="000000"/>
        </w:rPr>
      </w:pPr>
      <w:r w:rsidRPr="00116D48">
        <w:rPr>
          <w:rFonts w:eastAsia="Times New Roman" w:cstheme="minorHAnsi"/>
          <w:color w:val="000000"/>
        </w:rPr>
        <w:br/>
      </w:r>
      <w:r w:rsidRPr="00116D48">
        <w:rPr>
          <w:rFonts w:eastAsia="Times New Roman" w:cstheme="minorHAnsi"/>
          <w:b/>
          <w:color w:val="000000"/>
        </w:rPr>
        <w:t>Protocol:</w:t>
      </w:r>
      <w:r w:rsidRPr="00116D48">
        <w:rPr>
          <w:rFonts w:eastAsia="Times New Roman" w:cstheme="minorHAnsi"/>
          <w:b/>
          <w:color w:val="000000"/>
        </w:rPr>
        <w:br/>
      </w:r>
    </w:p>
    <w:p w14:paraId="1C313DA5"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t>1. Please ensure that all text in the protocol section is written in the imperative tense as if telling someone how to do the technique. The actions should be described in the imperative tense in complete sentences wherever possible. Any text that cannot be written in the imperative tense may be added as a “Note.” However, notes should be concise and used sparingly.</w:t>
      </w:r>
    </w:p>
    <w:p w14:paraId="2816A0D5"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lastRenderedPageBreak/>
        <w:br/>
        <w:t>2. There is a 10 page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724E692"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br/>
        <w:t>3. Please include an ethics statement before the numbered protocol steps, indicating that the protocol follows the guidelines of your institution’s human research ethics committee.</w:t>
      </w:r>
    </w:p>
    <w:p w14:paraId="2DAE24B0"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br/>
        <w:t>4. 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r w:rsidRPr="00116D48">
        <w:rPr>
          <w:rFonts w:eastAsia="Times New Roman" w:cstheme="minorHAnsi"/>
          <w:b/>
          <w:color w:val="000000"/>
        </w:rPr>
        <w:br/>
      </w:r>
    </w:p>
    <w:p w14:paraId="0CC24FE1" w14:textId="77777777" w:rsidR="00116D48" w:rsidRPr="00116D48" w:rsidRDefault="00116D48" w:rsidP="00116D48">
      <w:pPr>
        <w:rPr>
          <w:rFonts w:eastAsia="Times New Roman" w:cstheme="minorHAnsi"/>
          <w:color w:val="000000"/>
        </w:rPr>
      </w:pPr>
      <w:r w:rsidRPr="00116D48">
        <w:rPr>
          <w:rFonts w:eastAsia="Times New Roman" w:cstheme="minorHAnsi"/>
          <w:color w:val="000000"/>
        </w:rPr>
        <w:t xml:space="preserve">Thank you for these suggestions! All suggested changes in the protocol have been made. </w:t>
      </w:r>
      <w:r w:rsidRPr="00116D48">
        <w:rPr>
          <w:rFonts w:eastAsia="Times New Roman" w:cstheme="minorHAnsi"/>
          <w:color w:val="222222"/>
        </w:rPr>
        <w:t>The filmable content of 2.75 pages in the protocol has been highlighted.</w:t>
      </w:r>
    </w:p>
    <w:p w14:paraId="157F1959"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br/>
        <w:t>Specific Protocol steps:</w:t>
      </w:r>
      <w:r w:rsidRPr="00116D48">
        <w:rPr>
          <w:rFonts w:eastAsia="Times New Roman" w:cstheme="minorHAnsi"/>
          <w:b/>
          <w:color w:val="000000"/>
        </w:rPr>
        <w:br/>
      </w:r>
    </w:p>
    <w:p w14:paraId="47FC1E0F"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t>1. “Evaluation of drug toxicity in spheroids” and “Analysis of cancer stem cell populations with flow cytometry”-please make these numbered sections, with the relevant sections as subsections under them. Everything in the protocol (except for the introductory ethics statement) should be in a numbered step, header, or ‘Note’.</w:t>
      </w:r>
      <w:r w:rsidRPr="00116D48">
        <w:rPr>
          <w:rFonts w:eastAsia="Times New Roman" w:cstheme="minorHAnsi"/>
          <w:b/>
          <w:color w:val="000000"/>
        </w:rPr>
        <w:br/>
      </w:r>
    </w:p>
    <w:p w14:paraId="2E19FE2A" w14:textId="77777777" w:rsidR="00116D48" w:rsidRPr="00116D48" w:rsidRDefault="00116D48" w:rsidP="00116D48">
      <w:pPr>
        <w:rPr>
          <w:rFonts w:eastAsia="Times New Roman" w:cstheme="minorHAnsi"/>
          <w:color w:val="000000"/>
        </w:rPr>
      </w:pPr>
      <w:r w:rsidRPr="00116D48">
        <w:rPr>
          <w:rFonts w:eastAsia="Times New Roman" w:cstheme="minorHAnsi"/>
          <w:color w:val="000000"/>
        </w:rPr>
        <w:t>The suggested change has been made.</w:t>
      </w:r>
    </w:p>
    <w:p w14:paraId="36386D7F"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br/>
        <w:t>Results:</w:t>
      </w:r>
      <w:r w:rsidRPr="00116D48">
        <w:rPr>
          <w:rFonts w:eastAsia="Times New Roman" w:cstheme="minorHAnsi"/>
          <w:b/>
          <w:color w:val="000000"/>
        </w:rPr>
        <w:br/>
      </w:r>
    </w:p>
    <w:p w14:paraId="2DCD6B9E"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t>1. In the 2nd paragraph, there is a reference to Figure 4 after a sentence discussing fixing and staining spheroids, but this figure only has flow cytometry results-should there be another Figure here?</w:t>
      </w:r>
      <w:r w:rsidRPr="00116D48">
        <w:rPr>
          <w:rFonts w:eastAsia="Times New Roman" w:cstheme="minorHAnsi"/>
          <w:b/>
          <w:color w:val="000000"/>
        </w:rPr>
        <w:br/>
      </w:r>
    </w:p>
    <w:p w14:paraId="3CA65501" w14:textId="77777777" w:rsidR="00116D48" w:rsidRPr="00116D48" w:rsidRDefault="00116D48" w:rsidP="00116D48">
      <w:pPr>
        <w:rPr>
          <w:rFonts w:eastAsia="Times New Roman" w:cstheme="minorHAnsi"/>
          <w:color w:val="000000"/>
        </w:rPr>
      </w:pPr>
      <w:r w:rsidRPr="00116D48">
        <w:rPr>
          <w:rFonts w:eastAsia="Times New Roman" w:cstheme="minorHAnsi"/>
          <w:color w:val="000000"/>
        </w:rPr>
        <w:t>This section has been modified.</w:t>
      </w:r>
    </w:p>
    <w:p w14:paraId="5417E193"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br/>
        <w:t>Figures:</w:t>
      </w:r>
      <w:r w:rsidRPr="00116D48">
        <w:rPr>
          <w:rFonts w:eastAsia="Times New Roman" w:cstheme="minorHAnsi"/>
          <w:b/>
          <w:color w:val="000000"/>
        </w:rPr>
        <w:br/>
      </w:r>
    </w:p>
    <w:p w14:paraId="3335B8EB"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t>1. Figure 3A, B: Please separate numbers and units here, and use ‘µ’ instead of ‘u’.</w:t>
      </w:r>
      <w:r w:rsidRPr="00116D48">
        <w:rPr>
          <w:rFonts w:eastAsia="Times New Roman" w:cstheme="minorHAnsi"/>
          <w:b/>
          <w:color w:val="000000"/>
        </w:rPr>
        <w:br/>
      </w:r>
    </w:p>
    <w:p w14:paraId="2F03D428" w14:textId="77777777" w:rsidR="00116D48" w:rsidRPr="00116D48" w:rsidRDefault="00116D48" w:rsidP="00116D48">
      <w:pPr>
        <w:rPr>
          <w:rFonts w:eastAsia="Times New Roman" w:cstheme="minorHAnsi"/>
          <w:color w:val="000000"/>
        </w:rPr>
      </w:pPr>
      <w:r w:rsidRPr="00116D48">
        <w:rPr>
          <w:rFonts w:eastAsia="Times New Roman" w:cstheme="minorHAnsi"/>
          <w:color w:val="000000"/>
        </w:rPr>
        <w:t>The suggested change has been made.</w:t>
      </w:r>
    </w:p>
    <w:p w14:paraId="40EED2A1"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br/>
        <w:t>References:</w:t>
      </w:r>
      <w:r w:rsidRPr="00116D48">
        <w:rPr>
          <w:rFonts w:eastAsia="Times New Roman" w:cstheme="minorHAnsi"/>
          <w:b/>
          <w:color w:val="000000"/>
        </w:rPr>
        <w:br/>
      </w:r>
    </w:p>
    <w:p w14:paraId="25134AFF"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lastRenderedPageBreak/>
        <w:t>1. Please do not abbreviate journal titles in the reference section.</w:t>
      </w:r>
      <w:r w:rsidRPr="00116D48">
        <w:rPr>
          <w:rFonts w:eastAsia="Times New Roman" w:cstheme="minorHAnsi"/>
          <w:b/>
          <w:color w:val="000000"/>
        </w:rPr>
        <w:br/>
      </w:r>
    </w:p>
    <w:p w14:paraId="7030F0AD" w14:textId="77777777" w:rsidR="00116D48" w:rsidRPr="00116D48" w:rsidRDefault="00116D48" w:rsidP="00116D48">
      <w:pPr>
        <w:rPr>
          <w:rFonts w:eastAsia="Times New Roman" w:cstheme="minorHAnsi"/>
          <w:color w:val="000000"/>
        </w:rPr>
      </w:pPr>
      <w:r w:rsidRPr="00116D48">
        <w:rPr>
          <w:rFonts w:eastAsia="Times New Roman" w:cstheme="minorHAnsi"/>
          <w:color w:val="000000"/>
        </w:rPr>
        <w:t>The suggested change has been made.</w:t>
      </w:r>
    </w:p>
    <w:p w14:paraId="208E0719" w14:textId="77777777" w:rsidR="00116D48" w:rsidRPr="00116D48" w:rsidRDefault="00116D48" w:rsidP="00116D48">
      <w:pPr>
        <w:rPr>
          <w:rFonts w:eastAsia="Times New Roman" w:cstheme="minorHAnsi"/>
          <w:b/>
          <w:color w:val="000000"/>
        </w:rPr>
      </w:pPr>
      <w:r w:rsidRPr="00116D48">
        <w:rPr>
          <w:rFonts w:eastAsia="Times New Roman" w:cstheme="minorHAnsi"/>
          <w:b/>
          <w:color w:val="000000"/>
        </w:rPr>
        <w:br/>
        <w:t>Table of Materials:</w:t>
      </w:r>
    </w:p>
    <w:p w14:paraId="03B31371" w14:textId="77777777" w:rsidR="00116D48" w:rsidRPr="00116D48" w:rsidRDefault="00116D48" w:rsidP="00116D48">
      <w:pPr>
        <w:rPr>
          <w:rFonts w:eastAsia="Times New Roman" w:cstheme="minorHAnsi"/>
          <w:b/>
        </w:rPr>
      </w:pPr>
      <w:r w:rsidRPr="00116D48">
        <w:rPr>
          <w:rFonts w:eastAsia="Times New Roman" w:cstheme="minorHAnsi"/>
          <w:b/>
          <w:color w:val="000000"/>
        </w:rPr>
        <w:br/>
        <w:t>1. Please ensure the Table of Materials has information on all materials and equipment used, especially those mentioned in the Protocol.</w:t>
      </w:r>
      <w:r w:rsidRPr="00116D48">
        <w:rPr>
          <w:rFonts w:eastAsia="Times New Roman" w:cstheme="minorHAnsi"/>
          <w:b/>
          <w:color w:val="000000"/>
        </w:rPr>
        <w:br/>
      </w:r>
    </w:p>
    <w:p w14:paraId="07FD82DD" w14:textId="77777777" w:rsidR="00116D48" w:rsidRPr="00116D48" w:rsidRDefault="00116D48" w:rsidP="00116D48">
      <w:pPr>
        <w:rPr>
          <w:rFonts w:eastAsia="Times New Roman" w:cstheme="minorHAnsi"/>
        </w:rPr>
      </w:pPr>
      <w:r w:rsidRPr="00116D48">
        <w:rPr>
          <w:rFonts w:eastAsia="Times New Roman" w:cstheme="minorHAnsi"/>
        </w:rPr>
        <w:t>The Table of Materials has been updated.</w:t>
      </w:r>
    </w:p>
    <w:p w14:paraId="2391FD3A" w14:textId="77777777" w:rsidR="00116D48" w:rsidRPr="00116D48" w:rsidRDefault="00116D48" w:rsidP="00116D48">
      <w:pPr>
        <w:rPr>
          <w:rFonts w:eastAsia="Times New Roman" w:cstheme="minorHAnsi"/>
          <w:b/>
        </w:rPr>
      </w:pPr>
    </w:p>
    <w:p w14:paraId="32AC629A" w14:textId="77777777" w:rsidR="00116D48" w:rsidRPr="00116D48" w:rsidRDefault="00116D48" w:rsidP="00116D48">
      <w:pPr>
        <w:rPr>
          <w:rFonts w:cstheme="minorHAnsi"/>
          <w:b/>
          <w:color w:val="222222"/>
          <w:shd w:val="clear" w:color="auto" w:fill="FFFFFF"/>
        </w:rPr>
      </w:pPr>
      <w:r w:rsidRPr="00116D48">
        <w:rPr>
          <w:rFonts w:cstheme="minorHAnsi"/>
          <w:b/>
          <w:color w:val="222222"/>
          <w:shd w:val="clear" w:color="auto" w:fill="FFFFFF"/>
        </w:rPr>
        <w:t>Formatted per JoVE guidelines (see attached), the highlighted portion of the protocol is ~5 pages; our limit is 2.75 pages for filming and video length purposes. Please reduce the highlighted portion to 2.75 pages (including by consolidating some of your shorter steps).</w:t>
      </w:r>
    </w:p>
    <w:p w14:paraId="1A4F8131" w14:textId="77777777" w:rsidR="00116D48" w:rsidRPr="00116D48" w:rsidRDefault="00116D48" w:rsidP="00116D48">
      <w:pPr>
        <w:pStyle w:val="ListParagraph"/>
        <w:rPr>
          <w:rFonts w:asciiTheme="minorHAnsi" w:hAnsiTheme="minorHAnsi" w:cstheme="minorHAnsi"/>
          <w:color w:val="222222"/>
        </w:rPr>
      </w:pPr>
    </w:p>
    <w:p w14:paraId="771C0712" w14:textId="77777777" w:rsidR="00116D48" w:rsidRPr="00116D48" w:rsidRDefault="00116D48" w:rsidP="00116D48">
      <w:pPr>
        <w:rPr>
          <w:rFonts w:cstheme="minorHAnsi"/>
          <w:color w:val="000000" w:themeColor="text1"/>
        </w:rPr>
      </w:pPr>
      <w:r w:rsidRPr="00116D48">
        <w:rPr>
          <w:rFonts w:cstheme="minorHAnsi"/>
          <w:color w:val="000000" w:themeColor="text1"/>
        </w:rPr>
        <w:t>This has been addressed.</w:t>
      </w:r>
    </w:p>
    <w:p w14:paraId="09482851" w14:textId="77777777" w:rsidR="00116D48" w:rsidRPr="00116D48" w:rsidRDefault="00116D48" w:rsidP="00116D48">
      <w:pPr>
        <w:rPr>
          <w:rFonts w:cstheme="minorHAnsi"/>
          <w:color w:val="000000" w:themeColor="text1"/>
          <w:shd w:val="clear" w:color="auto" w:fill="FFFFFF"/>
        </w:rPr>
      </w:pPr>
    </w:p>
    <w:p w14:paraId="303F58C2" w14:textId="77777777" w:rsidR="00116D48" w:rsidRPr="00116D48" w:rsidRDefault="00116D48" w:rsidP="00116D48">
      <w:pPr>
        <w:rPr>
          <w:rFonts w:cstheme="minorHAnsi"/>
          <w:b/>
          <w:color w:val="000000" w:themeColor="text1"/>
          <w:shd w:val="clear" w:color="auto" w:fill="FFFFFF"/>
        </w:rPr>
      </w:pPr>
      <w:r w:rsidRPr="00116D48">
        <w:rPr>
          <w:rFonts w:cstheme="minorHAnsi"/>
          <w:b/>
          <w:color w:val="000000" w:themeColor="text1"/>
          <w:shd w:val="clear" w:color="auto" w:fill="FFFFFF"/>
        </w:rPr>
        <w:t>Please remove the embedded figures and upload the latest versions of them as Figure files in your revised submission.</w:t>
      </w:r>
    </w:p>
    <w:p w14:paraId="093CE033" w14:textId="77777777" w:rsidR="00116D48" w:rsidRPr="00116D48" w:rsidRDefault="00116D48" w:rsidP="00116D48">
      <w:pPr>
        <w:pStyle w:val="ListParagraph"/>
        <w:rPr>
          <w:rFonts w:asciiTheme="minorHAnsi" w:hAnsiTheme="minorHAnsi" w:cstheme="minorHAnsi"/>
          <w:color w:val="000000" w:themeColor="text1"/>
        </w:rPr>
      </w:pPr>
    </w:p>
    <w:p w14:paraId="7F71B035" w14:textId="77777777" w:rsidR="00116D48" w:rsidRPr="00116D48" w:rsidRDefault="00116D48" w:rsidP="00116D48">
      <w:pPr>
        <w:rPr>
          <w:rFonts w:cstheme="minorHAnsi"/>
          <w:color w:val="000000" w:themeColor="text1"/>
        </w:rPr>
      </w:pPr>
      <w:r w:rsidRPr="00116D48">
        <w:rPr>
          <w:rFonts w:cstheme="minorHAnsi"/>
          <w:color w:val="000000" w:themeColor="text1"/>
        </w:rPr>
        <w:t>This has been addressed.</w:t>
      </w:r>
    </w:p>
    <w:p w14:paraId="4781DD7C" w14:textId="77777777" w:rsidR="00116D48" w:rsidRPr="00116D48" w:rsidRDefault="00116D48" w:rsidP="00116D48">
      <w:pPr>
        <w:rPr>
          <w:rFonts w:cstheme="minorHAnsi"/>
          <w:color w:val="000000" w:themeColor="text1"/>
          <w:shd w:val="clear" w:color="auto" w:fill="FFFFFF"/>
        </w:rPr>
      </w:pPr>
    </w:p>
    <w:p w14:paraId="5C1ABE2E" w14:textId="77777777" w:rsidR="00116D48" w:rsidRPr="00116D48" w:rsidRDefault="00116D48" w:rsidP="00116D48">
      <w:pPr>
        <w:rPr>
          <w:rFonts w:cstheme="minorHAnsi"/>
          <w:b/>
          <w:color w:val="000000" w:themeColor="text1"/>
        </w:rPr>
      </w:pPr>
      <w:r w:rsidRPr="00116D48">
        <w:rPr>
          <w:rFonts w:cstheme="minorHAnsi"/>
          <w:b/>
          <w:color w:val="000000" w:themeColor="text1"/>
          <w:shd w:val="clear" w:color="auto" w:fill="FFFFFF"/>
        </w:rPr>
        <w:t>Figure 4B: ‘Discrimmination’ is a typo.</w:t>
      </w:r>
    </w:p>
    <w:p w14:paraId="08FEC647" w14:textId="77777777" w:rsidR="00116D48" w:rsidRPr="00116D48" w:rsidRDefault="00116D48" w:rsidP="00116D48">
      <w:pPr>
        <w:pStyle w:val="ListParagraph"/>
        <w:rPr>
          <w:rFonts w:asciiTheme="minorHAnsi" w:hAnsiTheme="minorHAnsi" w:cstheme="minorHAnsi"/>
          <w:color w:val="000000" w:themeColor="text1"/>
          <w:shd w:val="clear" w:color="auto" w:fill="FFFFFF"/>
        </w:rPr>
      </w:pPr>
      <w:r w:rsidRPr="00116D48">
        <w:rPr>
          <w:rFonts w:asciiTheme="minorHAnsi" w:hAnsiTheme="minorHAnsi" w:cstheme="minorHAnsi"/>
          <w:color w:val="000000" w:themeColor="text1"/>
          <w:shd w:val="clear" w:color="auto" w:fill="FFFFFF"/>
        </w:rPr>
        <w:t xml:space="preserve"> </w:t>
      </w:r>
    </w:p>
    <w:p w14:paraId="310943EC" w14:textId="77777777" w:rsidR="00116D48" w:rsidRPr="00116D48" w:rsidRDefault="00116D48" w:rsidP="00116D48">
      <w:pPr>
        <w:rPr>
          <w:rFonts w:cstheme="minorHAnsi"/>
          <w:color w:val="000000" w:themeColor="text1"/>
          <w:shd w:val="clear" w:color="auto" w:fill="FFFFFF"/>
        </w:rPr>
      </w:pPr>
      <w:r w:rsidRPr="00116D48">
        <w:rPr>
          <w:rFonts w:cstheme="minorHAnsi"/>
          <w:color w:val="000000" w:themeColor="text1"/>
          <w:shd w:val="clear" w:color="auto" w:fill="FFFFFF"/>
        </w:rPr>
        <w:t>This has been addressed.</w:t>
      </w:r>
    </w:p>
    <w:p w14:paraId="4B7F7C11" w14:textId="77777777" w:rsidR="00116D48" w:rsidRPr="00116D48" w:rsidRDefault="00116D48" w:rsidP="00116D48">
      <w:pPr>
        <w:rPr>
          <w:rFonts w:cstheme="minorHAnsi"/>
          <w:color w:val="000000" w:themeColor="text1"/>
          <w:shd w:val="clear" w:color="auto" w:fill="FFFFFF"/>
        </w:rPr>
      </w:pPr>
    </w:p>
    <w:p w14:paraId="74C76F04" w14:textId="77777777" w:rsidR="00116D48" w:rsidRPr="00116D48" w:rsidRDefault="00116D48" w:rsidP="00116D48">
      <w:pPr>
        <w:rPr>
          <w:rFonts w:cstheme="minorHAnsi"/>
          <w:b/>
          <w:color w:val="000000" w:themeColor="text1"/>
        </w:rPr>
      </w:pPr>
      <w:r w:rsidRPr="00116D48">
        <w:rPr>
          <w:rFonts w:cstheme="minorHAnsi"/>
          <w:b/>
          <w:color w:val="000000" w:themeColor="text1"/>
          <w:shd w:val="clear" w:color="auto" w:fill="FFFFFF"/>
        </w:rPr>
        <w:t>Introduction: ‘Cancer remains (the) second largest cause of death’-where? Worldwide?</w:t>
      </w:r>
    </w:p>
    <w:p w14:paraId="21FADA4D" w14:textId="77777777" w:rsidR="00116D48" w:rsidRPr="00116D48" w:rsidRDefault="00116D48" w:rsidP="00116D48">
      <w:pPr>
        <w:rPr>
          <w:rFonts w:cstheme="minorHAnsi"/>
          <w:color w:val="000000" w:themeColor="text1"/>
        </w:rPr>
      </w:pPr>
      <w:r w:rsidRPr="00116D48">
        <w:rPr>
          <w:rFonts w:cstheme="minorHAnsi"/>
          <w:color w:val="000000" w:themeColor="text1"/>
        </w:rPr>
        <w:tab/>
      </w:r>
    </w:p>
    <w:p w14:paraId="2F957A8A" w14:textId="77777777" w:rsidR="00116D48" w:rsidRPr="00116D48" w:rsidRDefault="00116D48" w:rsidP="00116D48">
      <w:pPr>
        <w:rPr>
          <w:rFonts w:cstheme="minorHAnsi"/>
          <w:color w:val="000000" w:themeColor="text1"/>
        </w:rPr>
      </w:pPr>
      <w:r w:rsidRPr="00116D48">
        <w:rPr>
          <w:rFonts w:cstheme="minorHAnsi"/>
          <w:color w:val="000000" w:themeColor="text1"/>
        </w:rPr>
        <w:t>Worldwide – this section has been adjusted.</w:t>
      </w:r>
    </w:p>
    <w:p w14:paraId="148ACD50" w14:textId="77777777" w:rsidR="00116D48" w:rsidRPr="00116D48" w:rsidRDefault="00116D48" w:rsidP="00116D48">
      <w:pPr>
        <w:shd w:val="clear" w:color="auto" w:fill="FFFFFF"/>
        <w:spacing w:after="240"/>
        <w:rPr>
          <w:rFonts w:eastAsia="Times New Roman" w:cstheme="minorHAnsi"/>
          <w:b/>
          <w:bCs/>
          <w:color w:val="222222"/>
          <w:u w:val="single"/>
        </w:rPr>
      </w:pPr>
    </w:p>
    <w:p w14:paraId="2BF32CFD"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b/>
          <w:bCs/>
          <w:color w:val="222222"/>
          <w:u w:val="single"/>
        </w:rPr>
        <w:t>Reviewers' comments:</w:t>
      </w:r>
      <w:r w:rsidRPr="00116D48">
        <w:rPr>
          <w:rFonts w:eastAsia="Times New Roman" w:cstheme="minorHAnsi"/>
          <w:color w:val="222222"/>
          <w:u w:val="single"/>
        </w:rPr>
        <w:br/>
      </w:r>
      <w:r w:rsidRPr="00116D48">
        <w:rPr>
          <w:rFonts w:eastAsia="Times New Roman" w:cstheme="minorHAnsi"/>
          <w:color w:val="222222"/>
        </w:rPr>
        <w:br/>
      </w:r>
      <w:r w:rsidRPr="00116D48">
        <w:rPr>
          <w:rFonts w:eastAsia="Times New Roman" w:cstheme="minorHAnsi"/>
          <w:b/>
          <w:color w:val="222222"/>
          <w:u w:val="single"/>
        </w:rPr>
        <w:t>Reviewer #1:</w:t>
      </w:r>
      <w:r w:rsidRPr="00116D48">
        <w:rPr>
          <w:rFonts w:eastAsia="Times New Roman" w:cstheme="minorHAnsi"/>
          <w:color w:val="222222"/>
        </w:rPr>
        <w:br/>
      </w:r>
      <w:r w:rsidRPr="00116D48">
        <w:rPr>
          <w:rFonts w:eastAsia="Times New Roman" w:cstheme="minorHAnsi"/>
          <w:color w:val="222222"/>
        </w:rPr>
        <w:br/>
      </w:r>
      <w:r w:rsidRPr="00116D48">
        <w:rPr>
          <w:rFonts w:eastAsia="Times New Roman" w:cstheme="minorHAnsi"/>
          <w:b/>
          <w:color w:val="222222"/>
        </w:rPr>
        <w:t>Major Concerns:</w:t>
      </w:r>
    </w:p>
    <w:p w14:paraId="2B119EDB"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b/>
          <w:color w:val="222222"/>
        </w:rPr>
        <w:t>Q1. The author did not describe how the spheroids were collected from the 384-well hanging drop plates. For example, in line 366-367, before flow cytometry analysis, spheroids were collected. Was it by pipetting from each well? Or other methods?</w:t>
      </w:r>
    </w:p>
    <w:p w14:paraId="5E081332"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t xml:space="preserve">Details of spheroid collection method have been added to each section that involves spheroid harvesting where appropriate. Mostly spheroids are taken up by a 1000 microliter pipet through the top of the hanging drop well. For immunofluorescence following embedding in </w:t>
      </w:r>
      <w:r w:rsidRPr="00116D48">
        <w:rPr>
          <w:rFonts w:eastAsia="Times New Roman" w:cstheme="minorHAnsi"/>
          <w:color w:val="222222"/>
        </w:rPr>
        <w:lastRenderedPageBreak/>
        <w:t>agarose, spheroids are instead pushed through the bottom of the well with 20 microliters of PBS.</w:t>
      </w:r>
    </w:p>
    <w:p w14:paraId="76D5449F"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br/>
      </w:r>
      <w:r w:rsidRPr="00116D48">
        <w:rPr>
          <w:rFonts w:eastAsia="Times New Roman" w:cstheme="minorHAnsi"/>
          <w:b/>
          <w:color w:val="222222"/>
        </w:rPr>
        <w:t>Minor Concerns:</w:t>
      </w:r>
    </w:p>
    <w:p w14:paraId="6EB67155"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b/>
          <w:color w:val="222222"/>
        </w:rPr>
        <w:t>Q1. It may be helpful to add notes regarding how to dissociate the spheroids into single cells besides mechanically disaggregating by pipetting.</w:t>
      </w:r>
    </w:p>
    <w:p w14:paraId="6826C788"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t>A note has been added regarding enzymatic digestion to facilitate generation of a single cell suspension while maximizing viability and single cell yield</w:t>
      </w:r>
      <w:r w:rsidRPr="00116D48">
        <w:rPr>
          <w:rFonts w:eastAsia="Times New Roman" w:cstheme="minorHAnsi"/>
          <w:color w:val="222222"/>
        </w:rPr>
        <w:fldChar w:fldCharType="begin"/>
      </w:r>
      <w:r w:rsidRPr="00116D48">
        <w:rPr>
          <w:rFonts w:eastAsia="Times New Roman" w:cstheme="minorHAnsi"/>
          <w:color w:val="222222"/>
        </w:rPr>
        <w:instrText xml:space="preserve"> ADDIN ZOTERO_ITEM CSL_CITATION {"citationID":"nsjgJGTw","properties":{"formattedCitation":"\\super 1\\nosupersub{}","plainCitation":"1","noteIndex":0},"citationItems":[{"id":649,"uris":["http://zotero.org/users/local/9sJamRgX/items/C7YWWD7V"],"uri":["http://zotero.org/users/local/9sJamRgX/items/C7YWWD7V"],"itemData":{"id":649,"type":"article-journal","title":"Effect of enzymatic and mechanical methods of dissociation on neural progenitor cells derived from induced pluripotent stem cells","container-title":"Advances in medical sciences","page":"78-84","volume":"61","issue":"1","source":"PubMed Central","abstract":"Purpose\nTo determine the most effective method of dissociating neural stem and progenitor cells into a single-cell suspension.\n\nMaterials/methods\nInduced pluripotent stem cells were differentiated toward the neural fate for 4 weeks before clusters were subjected to enzymatic (Accutase, trypsin, TrypLE, dispase, or DNase I) or mechanical (trituration with pipettes of varying size) or combined dissociation. Images of cells were analyzed for cluster size using ImageJ.\n\nResults\nCells treated with the enzymes Accutase, TrypLE, or trypsin/EDTA, these enzymes followed by trituration, or a combination one of these enzymes followed by incubation with another enzyme, including DNase I, were more likely to be dissociated into a single-cell suspension.\n\nConclusions\nCells treated with enzymes or combinations of methods were more likely to be dissociated into a single-cell suspension.","DOI":"10.1016/j.advms.2015.09.005","ISSN":"1896-1126","note":"PMID: 26523795\nPMCID: PMC4785092","journalAbbreviation":"Adv Med Sci","author":[{"family":"Jager","given":"Lindsey D."},{"family":"Canda","given":"Claire-Marie A."},{"family":"Hall","given":"Crystal A."},{"family":"Heilingoetter","given":"Cassandra L."},{"family":"Huynh","given":"Joann"},{"family":"Kwok","given":"Susanna S."},{"family":"Kwon","given":"Jin H."},{"family":"Richie","given":"Jacob R."},{"family":"Jensen","given":"Matthew B."}],"issued":{"date-parts":[["2016",3]]}}}],"schema":"https://github.com/citation-style-language/schema/raw/master/csl-citation.json"} </w:instrText>
      </w:r>
      <w:r w:rsidRPr="00116D48">
        <w:rPr>
          <w:rFonts w:eastAsia="Times New Roman" w:cstheme="minorHAnsi"/>
          <w:color w:val="222222"/>
        </w:rPr>
        <w:fldChar w:fldCharType="separate"/>
      </w:r>
      <w:r w:rsidRPr="00116D48">
        <w:rPr>
          <w:rFonts w:eastAsia="Times New Roman" w:cstheme="minorHAnsi"/>
          <w:color w:val="000000"/>
          <w:vertAlign w:val="superscript"/>
        </w:rPr>
        <w:t>1</w:t>
      </w:r>
      <w:r w:rsidRPr="00116D48">
        <w:rPr>
          <w:rFonts w:eastAsia="Times New Roman" w:cstheme="minorHAnsi"/>
          <w:color w:val="222222"/>
        </w:rPr>
        <w:fldChar w:fldCharType="end"/>
      </w:r>
      <w:r w:rsidRPr="00116D48">
        <w:rPr>
          <w:rFonts w:eastAsia="Times New Roman" w:cstheme="minorHAnsi"/>
          <w:color w:val="222222"/>
        </w:rPr>
        <w:t xml:space="preserve"> in section 5 of the protocol</w:t>
      </w:r>
      <w:r w:rsidRPr="00116D48">
        <w:rPr>
          <w:rFonts w:eastAsia="Times New Roman" w:cstheme="minorHAnsi"/>
          <w:color w:val="000000" w:themeColor="text1"/>
        </w:rPr>
        <w:t>.</w:t>
      </w:r>
    </w:p>
    <w:p w14:paraId="32C19DC6" w14:textId="77777777" w:rsidR="00116D48" w:rsidRPr="00116D48" w:rsidRDefault="00116D48" w:rsidP="00116D48">
      <w:pPr>
        <w:shd w:val="clear" w:color="auto" w:fill="FFFFFF"/>
        <w:spacing w:after="240"/>
        <w:rPr>
          <w:rFonts w:eastAsia="Times New Roman" w:cstheme="minorHAnsi"/>
          <w:color w:val="222222"/>
          <w:u w:val="single"/>
        </w:rPr>
      </w:pPr>
      <w:r w:rsidRPr="00116D48">
        <w:rPr>
          <w:rFonts w:eastAsia="Times New Roman" w:cstheme="minorHAnsi"/>
          <w:b/>
          <w:color w:val="222222"/>
          <w:u w:val="single"/>
        </w:rPr>
        <w:t>Reviewer #2:</w:t>
      </w:r>
    </w:p>
    <w:p w14:paraId="48CE87F3"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b/>
          <w:color w:val="222222"/>
        </w:rPr>
        <w:t>Major Concerns:</w:t>
      </w:r>
    </w:p>
    <w:p w14:paraId="36425902"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t>Q1. The authors describe limitations to the culture method mostly centered on the maintenance of individual hanging drops. However, little to no discussion of the limitations of the analysis methods is included while these methods comprise a significant portion of this manuscript. Also, the methods for isolating patient cells are somewhat opaque, as the string of as-described-in-[reference]s ends in a paper that doesn't actually describe</w:t>
      </w:r>
      <w:r w:rsidRPr="00116D48">
        <w:rPr>
          <w:rFonts w:eastAsia="Times New Roman" w:cstheme="minorHAnsi"/>
          <w:b/>
          <w:color w:val="222222"/>
        </w:rPr>
        <w:br/>
        <w:t>the method.</w:t>
      </w:r>
    </w:p>
    <w:p w14:paraId="2A5D7280"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t>A paragraph describing spheroid specific limitations has been added to the discussion. One such limitation is increased droplet size during longer cultures, which decreases droplet stability and makes capture of clear images difficult. This is ameliorated by replacement of medium during feeding (remove an equal amount of old medium to the amount of new medium that will be added), as opposed to simple addition of fresh medium. An additional limitation is changes in viability due to method of spheroid disaggregation. Mechanical dissociation and/or enzymatic dissociation is required for spheroid dissociation, which can affect cell viability</w:t>
      </w:r>
      <w:r w:rsidRPr="00116D48">
        <w:rPr>
          <w:rFonts w:eastAsia="Times New Roman" w:cstheme="minorHAnsi"/>
          <w:color w:val="222222"/>
        </w:rPr>
        <w:fldChar w:fldCharType="begin"/>
      </w:r>
      <w:r w:rsidRPr="00116D48">
        <w:rPr>
          <w:rFonts w:eastAsia="Times New Roman" w:cstheme="minorHAnsi"/>
          <w:color w:val="222222"/>
        </w:rPr>
        <w:instrText xml:space="preserve"> ADDIN ZOTERO_ITEM CSL_CITATION {"citationID":"BBCBhFrJ","properties":{"formattedCitation":"\\super 1\\nosupersub{}","plainCitation":"1","noteIndex":0},"citationItems":[{"id":649,"uris":["http://zotero.org/users/local/9sJamRgX/items/C7YWWD7V"],"uri":["http://zotero.org/users/local/9sJamRgX/items/C7YWWD7V"],"itemData":{"id":649,"type":"article-journal","title":"Effect of enzymatic and mechanical methods of dissociation on neural progenitor cells derived from induced pluripotent stem cells","container-title":"Advances in medical sciences","page":"78-84","volume":"61","issue":"1","source":"PubMed Central","abstract":"Purpose\nTo determine the most effective method of dissociating neural stem and progenitor cells into a single-cell suspension.\n\nMaterials/methods\nInduced pluripotent stem cells were differentiated toward the neural fate for 4 weeks before clusters were subjected to enzymatic (Accutase, trypsin, TrypLE, dispase, or DNase I) or mechanical (trituration with pipettes of varying size) or combined dissociation. Images of cells were analyzed for cluster size using ImageJ.\n\nResults\nCells treated with the enzymes Accutase, TrypLE, or trypsin/EDTA, these enzymes followed by trituration, or a combination one of these enzymes followed by incubation with another enzyme, including DNase I, were more likely to be dissociated into a single-cell suspension.\n\nConclusions\nCells treated with enzymes or combinations of methods were more likely to be dissociated into a single-cell suspension.","DOI":"10.1016/j.advms.2015.09.005","ISSN":"1896-1126","note":"PMID: 26523795\nPMCID: PMC4785092","journalAbbreviation":"Adv Med Sci","author":[{"family":"Jager","given":"Lindsey D."},{"family":"Canda","given":"Claire-Marie A."},{"family":"Hall","given":"Crystal A."},{"family":"Heilingoetter","given":"Cassandra L."},{"family":"Huynh","given":"Joann"},{"family":"Kwok","given":"Susanna S."},{"family":"Kwon","given":"Jin H."},{"family":"Richie","given":"Jacob R."},{"family":"Jensen","given":"Matthew B."}],"issued":{"date-parts":[["2016",3]]}}}],"schema":"https://github.com/citation-style-language/schema/raw/master/csl-citation.json"} </w:instrText>
      </w:r>
      <w:r w:rsidRPr="00116D48">
        <w:rPr>
          <w:rFonts w:eastAsia="Times New Roman" w:cstheme="minorHAnsi"/>
          <w:color w:val="222222"/>
        </w:rPr>
        <w:fldChar w:fldCharType="separate"/>
      </w:r>
      <w:r w:rsidRPr="00116D48">
        <w:rPr>
          <w:rFonts w:eastAsia="Times New Roman" w:cstheme="minorHAnsi"/>
          <w:color w:val="000000"/>
          <w:vertAlign w:val="superscript"/>
        </w:rPr>
        <w:t>1</w:t>
      </w:r>
      <w:r w:rsidRPr="00116D48">
        <w:rPr>
          <w:rFonts w:eastAsia="Times New Roman" w:cstheme="minorHAnsi"/>
          <w:color w:val="222222"/>
        </w:rPr>
        <w:fldChar w:fldCharType="end"/>
      </w:r>
      <w:r w:rsidRPr="00116D48">
        <w:rPr>
          <w:rFonts w:eastAsia="Times New Roman" w:cstheme="minorHAnsi"/>
          <w:color w:val="222222"/>
        </w:rPr>
        <w:t xml:space="preserve">. Finally, histological analysis of spheroids can be difficult due to challenges locating the spheroids during the sectioning process. Improvement is achieved with practice.  </w:t>
      </w:r>
    </w:p>
    <w:p w14:paraId="5DFE6AFF" w14:textId="77777777" w:rsidR="00116D48" w:rsidRPr="00116D48" w:rsidRDefault="00116D48" w:rsidP="00116D48">
      <w:pPr>
        <w:shd w:val="clear" w:color="auto" w:fill="FFFFFF"/>
        <w:spacing w:after="240"/>
        <w:rPr>
          <w:rFonts w:eastAsia="Times New Roman" w:cstheme="minorHAnsi"/>
          <w:color w:val="222222"/>
          <w:highlight w:val="red"/>
        </w:rPr>
      </w:pPr>
      <w:r w:rsidRPr="00116D48">
        <w:rPr>
          <w:rFonts w:eastAsia="Times New Roman" w:cstheme="minorHAnsi"/>
          <w:color w:val="222222"/>
        </w:rPr>
        <w:t>The incorrect citation has been updated and a brief description of methods to isolate patient cells was been added in section 1 of the protocol.</w:t>
      </w:r>
    </w:p>
    <w:p w14:paraId="045B91F5"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b/>
          <w:color w:val="222222"/>
        </w:rPr>
        <w:t>Q2. Are the 384-well hanging drop plates commercially available? They are not listed in the materials table. If the plates are a custom product, this should be indicated. If a custom product, how can this work be reproduced in other laboratories?</w:t>
      </w:r>
    </w:p>
    <w:p w14:paraId="47FB04E6"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t xml:space="preserve">This information has been added in the Table of Materials. </w:t>
      </w:r>
    </w:p>
    <w:p w14:paraId="03F7BB6F"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t>Q3. A brief description of the isolation method for patient-derived cells would be helpful to include in this manuscript along with the reference for more details.</w:t>
      </w:r>
    </w:p>
    <w:p w14:paraId="51DE3690"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lastRenderedPageBreak/>
        <w:t>A brief description of the isolation methods has been added, and references have been provided in section 1 of the protocol.</w:t>
      </w:r>
    </w:p>
    <w:p w14:paraId="54E016B7"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br/>
      </w:r>
      <w:r w:rsidRPr="00116D48">
        <w:rPr>
          <w:rFonts w:eastAsia="Times New Roman" w:cstheme="minorHAnsi"/>
          <w:b/>
          <w:color w:val="222222"/>
        </w:rPr>
        <w:t>Q4.</w:t>
      </w:r>
      <w:r w:rsidRPr="00116D48">
        <w:rPr>
          <w:rFonts w:eastAsia="Times New Roman" w:cstheme="minorHAnsi"/>
          <w:color w:val="222222"/>
        </w:rPr>
        <w:t xml:space="preserve"> </w:t>
      </w:r>
      <w:r w:rsidRPr="00116D48">
        <w:rPr>
          <w:rFonts w:eastAsia="Times New Roman" w:cstheme="minorHAnsi"/>
          <w:b/>
          <w:color w:val="222222"/>
        </w:rPr>
        <w:t>How long can tumor spheroids be maintained in the hanging drop system? Are longer-term cultures possible?</w:t>
      </w:r>
    </w:p>
    <w:p w14:paraId="33D4539B" w14:textId="77777777" w:rsidR="00116D48" w:rsidRPr="00116D48" w:rsidRDefault="00116D48" w:rsidP="00116D48">
      <w:pPr>
        <w:shd w:val="clear" w:color="auto" w:fill="FFFFFF"/>
        <w:spacing w:after="240"/>
        <w:rPr>
          <w:rFonts w:eastAsia="Times New Roman" w:cstheme="minorHAnsi"/>
          <w:color w:val="000000" w:themeColor="text1"/>
        </w:rPr>
      </w:pPr>
      <w:r w:rsidRPr="00116D48">
        <w:rPr>
          <w:rFonts w:cstheme="minorHAnsi"/>
        </w:rPr>
        <w:t>In our previous and unpublished work, we have maintained spheroids for 42 days on the hanging drop plates. We routinely perform long term culture of spheroids for 3 weeks in our lab, prior to experiment termination. This data has not been published. Multiple other sources have published longer-term cultures of spheroids. Once such study performed 12 day cultures and showed greater than 90% viability within spheroids made with 1500 cells per drop on day 12</w:t>
      </w:r>
      <w:r w:rsidRPr="00116D48">
        <w:rPr>
          <w:rFonts w:cstheme="minorHAnsi"/>
        </w:rPr>
        <w:fldChar w:fldCharType="begin"/>
      </w:r>
      <w:r w:rsidRPr="00116D48">
        <w:rPr>
          <w:rFonts w:cstheme="minorHAnsi"/>
        </w:rPr>
        <w:instrText xml:space="preserve"> ADDIN ZOTERO_ITEM CSL_CITATION {"citationID":"p74FC22Q","properties":{"formattedCitation":"\\super 2\\nosupersub{}","plainCitation":"2","noteIndex":0},"citationItems":[{"id":653,"uris":["http://zotero.org/users/local/9sJamRgX/items/ZGBX5DG4"],"uri":["http://zotero.org/users/local/9sJamRgX/items/ZGBX5DG4"],"itemData":{"id":653,"type":"article-journal","title":"High-throughput 3D spheroid culture and drug testing using a 384 hanging drop array","container-title":"The Analyst","page":"473-478","volume":"136","issue":"3","source":"Crossref","DOI":"10.1039/C0AN00609B","ISSN":"0003-2654, 1364-5528","language":"en","author":[{"family":"Tung","given":"Yi-Chung"},{"family":"Hsiao","given":"Amy Y."},{"family":"Allen","given":"Steven G."},{"family":"Torisawa","given":"Yu-suke"},{"family":"Ho","given":"Mitchell"},{"family":"Takayama","given":"Shuichi"}],"issued":{"date-parts":[["2011"]]}}}],"schema":"https://github.com/citation-style-language/schema/raw/master/csl-citation.json"} </w:instrText>
      </w:r>
      <w:r w:rsidRPr="00116D48">
        <w:rPr>
          <w:rFonts w:cstheme="minorHAnsi"/>
        </w:rPr>
        <w:fldChar w:fldCharType="separate"/>
      </w:r>
      <w:r w:rsidRPr="00116D48">
        <w:rPr>
          <w:rFonts w:eastAsia="Times New Roman" w:cstheme="minorHAnsi"/>
          <w:vertAlign w:val="superscript"/>
        </w:rPr>
        <w:t>2</w:t>
      </w:r>
      <w:r w:rsidRPr="00116D48">
        <w:rPr>
          <w:rFonts w:cstheme="minorHAnsi"/>
        </w:rPr>
        <w:fldChar w:fldCharType="end"/>
      </w:r>
      <w:r w:rsidRPr="00116D48">
        <w:rPr>
          <w:rFonts w:cstheme="minorHAnsi"/>
        </w:rPr>
        <w:t>. Because our spheroids are typically made with less than 100 cells per well, they can be cultured for longer periods of time. Alternatively, modified hanging drop plates with micro-ring structures have been shown to stabilize droplets to allow for stable droplets for 14 - 24 days in culture</w:t>
      </w:r>
      <w:r w:rsidRPr="00116D48">
        <w:rPr>
          <w:rFonts w:cstheme="minorHAnsi"/>
        </w:rPr>
        <w:fldChar w:fldCharType="begin"/>
      </w:r>
      <w:r w:rsidRPr="00116D48">
        <w:rPr>
          <w:rFonts w:cstheme="minorHAnsi"/>
        </w:rPr>
        <w:instrText xml:space="preserve"> ADDIN ZOTERO_ITEM CSL_CITATION {"citationID":"OZT5PWUp","properties":{"formattedCitation":"\\super 3\\nosupersub{}","plainCitation":"3","noteIndex":0},"citationItems":[{"id":643,"uris":["http://zotero.org/users/local/9sJamRgX/items/7F7UMBEA"],"uri":["http://zotero.org/users/local/9sJamRgX/items/7F7UMBEA"],"itemData":{"id":643,"type":"article-journal","title":"Micro-Ring Structures Stabilize Microdroplets to Enable Long Term Spheroid Culture in 384 Hanging Drop Array Plates","container-title":"Biomedical Microdevices","page":"313-323","volume":"14","issue":"2","source":"PubMed Central","abstract":"Using stereolithography, 20 different structural variations comprised of millimeter diameter holes surrounded by trenches, plateaus, or micro-ring structures were prepared and tested for their ability to stably hold arrays of microliter sized droplets within the structures over an extended period of time. The micro-ring structures were the most effective in stabilizing droplets against mechanical and chemical perturbations. After confirming the importance of micro-ring structures using rapid prototyping, we developed an injection molding tool for mass production of polystyrene 3D cell culture plates with an array of 384 such micro-ring surrounded through-hole structures. These newly designed and injection molded polystyrene 384 hanging drop array plates with micro-rings were stable and robust against mechanical perturbations as well as surface fouling-facilitated droplet spreading making them capable of long term cell spheroid culture of up to 22 days within the droplet array. This is a significant improvement over previously reported 384 hanging drop array plates which are susceptible to small mechanical shocks and could not reliably maintain hanging drops for longer than a few days. With enhanced droplet stability, the hanging drop array plates with micro-ring structures provide better platforms and open up new opportunities for high-throughput preparation of microscale 3D cell constructs for drug screening and cell analysis.","DOI":"10.1007/s10544-011-9608-5","ISSN":"1387-2176","note":"PMID: 22057945\nPMCID: PMC3304008","journalAbbreviation":"Biomed Microdevices","author":[{"family":"Hsiao","given":"Amy Y."},{"family":"Tung","given":"Yi-Chung"},{"family":"Kuo","given":"Chuan-Hsien"},{"family":"Mosadegh","given":"Bobak"},{"family":"Bedenis","given":"Rachel"},{"family":"Pienta","given":"Kenneth J."},{"family":"Takayama","given":"Shuichi"}],"issued":{"date-parts":[["2012",4]]}}}],"schema":"https://github.com/citation-style-language/schema/raw/master/csl-citation.json"} </w:instrText>
      </w:r>
      <w:r w:rsidRPr="00116D48">
        <w:rPr>
          <w:rFonts w:cstheme="minorHAnsi"/>
        </w:rPr>
        <w:fldChar w:fldCharType="separate"/>
      </w:r>
      <w:r w:rsidRPr="00116D48">
        <w:rPr>
          <w:rFonts w:eastAsia="Times New Roman" w:cstheme="minorHAnsi"/>
          <w:vertAlign w:val="superscript"/>
        </w:rPr>
        <w:t>3</w:t>
      </w:r>
      <w:r w:rsidRPr="00116D48">
        <w:rPr>
          <w:rFonts w:cstheme="minorHAnsi"/>
        </w:rPr>
        <w:fldChar w:fldCharType="end"/>
      </w:r>
      <w:r w:rsidRPr="00116D48">
        <w:rPr>
          <w:rFonts w:cstheme="minorHAnsi"/>
        </w:rPr>
        <w:t xml:space="preserve">. It should be noted, and is mentioned in </w:t>
      </w:r>
      <w:r w:rsidRPr="00116D48">
        <w:rPr>
          <w:rFonts w:cstheme="minorHAnsi"/>
          <w:color w:val="000000" w:themeColor="text1"/>
        </w:rPr>
        <w:t>the discussion that longer term cultures require replacement of medium during feeding steps as opposed to simply adding some new medium, since the droplets may become too voluminous, compromising stability and quality of images.</w:t>
      </w:r>
    </w:p>
    <w:p w14:paraId="73983513" w14:textId="77777777" w:rsidR="00116D48" w:rsidRPr="00116D48" w:rsidRDefault="00116D48" w:rsidP="00116D48">
      <w:pPr>
        <w:shd w:val="clear" w:color="auto" w:fill="FFFFFF"/>
        <w:spacing w:after="240"/>
        <w:rPr>
          <w:rFonts w:cstheme="minorHAnsi"/>
        </w:rPr>
      </w:pPr>
      <w:r w:rsidRPr="00116D48">
        <w:rPr>
          <w:rFonts w:eastAsia="Times New Roman" w:cstheme="minorHAnsi"/>
          <w:b/>
          <w:color w:val="222222"/>
        </w:rPr>
        <w:t>Q5. Control samples should be treated with cell culture medium containing an equal concentration of vehicle (e.g. DMSO) compared to the treated samples.</w:t>
      </w:r>
    </w:p>
    <w:p w14:paraId="31391CF4" w14:textId="77777777" w:rsidR="00116D48" w:rsidRPr="00116D48" w:rsidRDefault="00116D48" w:rsidP="00116D48">
      <w:pPr>
        <w:jc w:val="both"/>
        <w:rPr>
          <w:rFonts w:eastAsia="Times New Roman" w:cstheme="minorHAnsi"/>
        </w:rPr>
      </w:pPr>
      <w:r w:rsidRPr="00116D48">
        <w:rPr>
          <w:rFonts w:eastAsia="Times New Roman" w:cstheme="minorHAnsi"/>
        </w:rPr>
        <w:t>The example provided in this manuscript is drug treatment with cisplatin, which is solubilized in water. Given that a small volume of cisplatin is added to medium to create the drug solution applied to spheroids, a suitable control is culture medium without drug. That said, drugs solubilized in other solvents, like DMSO, will require a cell culture medium control that has the same concentration of DMSO that the experimental condition has. This has been clarified in the manuscript in section 5 of the protocol.</w:t>
      </w:r>
    </w:p>
    <w:p w14:paraId="77188AA3"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color w:val="222222"/>
        </w:rPr>
        <w:br/>
      </w:r>
      <w:r w:rsidRPr="00116D48">
        <w:rPr>
          <w:rFonts w:eastAsia="Times New Roman" w:cstheme="minorHAnsi"/>
          <w:b/>
          <w:color w:val="222222"/>
        </w:rPr>
        <w:t>Q6. Does the alamarBlue reagent completely penetrate larger tumor spheroids during the incubation periods indicated?</w:t>
      </w:r>
    </w:p>
    <w:p w14:paraId="038B92CB"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rPr>
        <w:t>One of the advantages of our culture system is the fact that spheroids can be formed reliably with small cell numbers (&lt;10 cells/well)</w:t>
      </w:r>
      <w:r w:rsidRPr="00116D48">
        <w:rPr>
          <w:rFonts w:eastAsia="Times New Roman" w:cstheme="minorHAnsi"/>
        </w:rPr>
        <w:fldChar w:fldCharType="begin"/>
      </w:r>
      <w:r w:rsidRPr="00116D48">
        <w:rPr>
          <w:rFonts w:eastAsia="Times New Roman" w:cstheme="minorHAnsi"/>
        </w:rPr>
        <w:instrText xml:space="preserve"> ADDIN ZOTERO_ITEM CSL_CITATION {"citationID":"lVzh0Y1t","properties":{"formattedCitation":"\\super 4\\nosupersub{}","plainCitation":"4","noteIndex":0},"citationItems":[{"id":189,"uris":["http://zotero.org/users/local/9sJamRgX/items/XXLZZASE"],"uri":["http://zotero.org/users/local/9sJamRgX/items/XXLZZASE"],"itemData":{"id":189,"type":"article-journal","title":"Formation of stable small cell number three-dimensional ovarian cancer spheroids using hanging drop arrays for preclinical drug sensitivity assays","container-title":"Gynecologic oncology","page":"181-189","volume":"138","issue":"1","source":"PubMed Central","abstract":"Background\nOvarian cancer grows and metastasizes from multicellular spheroidal aggregates within the ascites fluid. Multicellular tumor spheroids are therefore physiologically significant3Din vitro models for ovarian cancer research. Conventional hanging drop cultures require high starting cell numbers, and are tedious for long-term maintenance. In this study, we generate stable, uniform multicellular spheroids using very small number of ovarian cancer cells in a novel 384 well hanging drop array platform.\n\nMethods\nWe used novel tumor spheroid platform and two ovarian cancer cell lines (A2780 and OVCAR3) to demonstrate the stable incorporation of as few as 10 cells into a single spheroid.\n\nResults\nSpheroids had uniform geometry, with projected areas (42.60 × 103 μm–475.22 × 103 μm2 for A2780 spheroids and 37.24 × 103 μm2–281.01 × 103 μm2 for OVCAR3 spheroids) that varied as a function of the initial cell seeding density. Phalloidin and nuclear stains indicated cells formed tightly packed spheroids with demarcated boundaries and cell–cell interaction within spheroids. Cells within spheroids demonstrated over 85% viability. 3D tumor spheroids demonstrated greater resistance (70–80% viability) to cisplatin chemotherapy compared to 2D cultures (30–50% viability).\n\nConclusions\nOvarian cancer spheroids can be generated from limited cell numbers in high throughput 384 well plates with high viability. Spheroids demonstrate therapeutic resistance relative to cells in traditional 2D culture. Stable incorporation of low cell numbers is advantageous when translating this research to rare patient-derived cells. This system can be used to understand ovarian cancer spheroid biology, as well as carry out preclinical drug sensitivity assays.","DOI":"10.1016/j.ygyno.2015.04.014","ISSN":"0090-8258","note":"PMID: 25913133\nPMCID: PMC4480341","journalAbbreviation":"Gynecol Oncol","author":[{"family":"Raghavan","given":"Shreya"},{"family":"Ward","given":"Maria R."},{"family":"Rowley","given":"Katelyn R."},{"family":"Wold","given":"Rachel M."},{"family":"Takayama","given":"Shuichi"},{"family":"Buckanovich","given":"Ronald J."},{"family":"Mehta","given":"Geeta"}],"issued":{"date-parts":[["2015",7]]}}}],"schema":"https://github.com/citation-style-language/schema/raw/master/csl-citation.json"} </w:instrText>
      </w:r>
      <w:r w:rsidRPr="00116D48">
        <w:rPr>
          <w:rFonts w:eastAsia="Times New Roman" w:cstheme="minorHAnsi"/>
        </w:rPr>
        <w:fldChar w:fldCharType="separate"/>
      </w:r>
      <w:r w:rsidRPr="00116D48">
        <w:rPr>
          <w:rFonts w:eastAsia="Times New Roman" w:cstheme="minorHAnsi"/>
          <w:vertAlign w:val="superscript"/>
        </w:rPr>
        <w:t>4</w:t>
      </w:r>
      <w:r w:rsidRPr="00116D48">
        <w:rPr>
          <w:rFonts w:eastAsia="Times New Roman" w:cstheme="minorHAnsi"/>
        </w:rPr>
        <w:fldChar w:fldCharType="end"/>
      </w:r>
      <w:r w:rsidRPr="00116D48">
        <w:rPr>
          <w:rFonts w:eastAsia="Times New Roman" w:cstheme="minorHAnsi"/>
        </w:rPr>
        <w:t>. Spheroids formed with small cell numbers may not need as long of an incubation with alamarBlue as larger spheroids. Additionally, diffusion may depend on cell type, how compact the spheroid is, and spheroid formation method and thus may require longer incubation times</w:t>
      </w:r>
      <w:r w:rsidRPr="00116D48">
        <w:rPr>
          <w:rFonts w:eastAsia="Times New Roman" w:cstheme="minorHAnsi"/>
        </w:rPr>
        <w:fldChar w:fldCharType="begin"/>
      </w:r>
      <w:r w:rsidRPr="00116D48">
        <w:rPr>
          <w:rFonts w:eastAsia="Times New Roman" w:cstheme="minorHAnsi"/>
        </w:rPr>
        <w:instrText xml:space="preserve"> ADDIN ZOTERO_ITEM CSL_CITATION {"citationID":"jWWhDEaQ","properties":{"formattedCitation":"\\super 5\\nosupersub{}","plainCitation":"5","noteIndex":0},"citationItems":[{"id":49,"uris":["http://zotero.org/users/local/9sJamRgX/items/849BEL6D"],"uri":["http://zotero.org/users/local/9sJamRgX/items/849BEL6D"],"itemData":{"id":49,"type":"article-journal","title":"Comparative analysis of tumor spheroid generation techniques for differential in vitro drug toxicity","container-title":"Oncotarget","page":"16948–16961","volume":"7","issue":"13","abstract":"// Shreya Raghavan 1 , Pooja Mehta 1, * , Eric N. Horst 2, * , Maria R. Ward 1, * , Katelyn R. Rowley 2 , Geeta Mehta 1, 2, 3 1 Department of Materials Science and Engineering, University of Michigan, Ann Arbor 2 Department of Biomedical Engineering, University of Michigan, Ann Arbor 3 Macromolecular Science and Engineering, University of Michigan, Ann Arbor * These authors have contributed equally to this work Correspondence to: Geeta Mehta, e-mail: mehtagee@umich.edu Keywords: ovarian cancer, breast cancer, high throughput, multicellular tumor spheroids, preclinical drug testing Received: December 01, 2015&amp;emsp;&amp;emsp;&amp;emsp;&amp;emsp; Accepted: February 11, 2016&amp;emsp;&amp;emsp;&amp;emsp;&amp;emsp; Published: February 24, 2016 ABSTRACT Multicellular tumor spheroids are powerful in vitro models to perform preclinical chemosensitivity assays. We compare different methodologies to generate tumor spheroids in terms of resultant spheroid morphology, cellular arrangement and chemosensitivity. We used two cancer cell lines (MCF7 and OVCAR8) to generate spheroids using i) hanging drop array plates; ii) liquid overlay on ultra-low attachment plates; iii) liquid overlay on ultra-low attachment plates with rotating mixing (nutator plates). Analysis of spheroid morphometry indicated that cellular compaction was increased in spheroids generated on nutator and hanging drop array plates. Collagen staining also indicated higher compaction and remodeling in tumor spheroids on nutator and hanging drop arrays compared to conventional liquid overlay. Consequently, spheroids generated on nutator or hanging drop plates had increased chemoresistance to cisplatin treatment (20-60% viability) compared to spheroids on ultra low attachment plates (10-20% viability). Lastly, we used a mathematical model to demonstrate minimal changes in oxygen and cisplatin diffusion within experimentally generated spheroids. Our results demonstrate that in vitro methods of tumor spheroid generation result in varied cellular arrangement and chemosensitivity.","DOI":"10.18632/oncotarget.7659","ISSN":"1949-2553","author":[{"family":"Raghavan","given":"Shreya"},{"family":"Mehta","given":"Pooja"},{"family":"Horst","given":"Eric N."},{"family":"Ward","given":"Maria R."},{"family":"Rowley","given":"Katelyn R."},{"family":"Mehta","given":"Geeta"}],"issued":{"date-parts":[["2016"]]}}}],"schema":"https://github.com/citation-style-language/schema/raw/master/csl-citation.json"} </w:instrText>
      </w:r>
      <w:r w:rsidRPr="00116D48">
        <w:rPr>
          <w:rFonts w:eastAsia="Times New Roman" w:cstheme="minorHAnsi"/>
        </w:rPr>
        <w:fldChar w:fldCharType="separate"/>
      </w:r>
      <w:r w:rsidRPr="00116D48">
        <w:rPr>
          <w:rFonts w:eastAsia="Times New Roman" w:cstheme="minorHAnsi"/>
          <w:vertAlign w:val="superscript"/>
        </w:rPr>
        <w:t>5</w:t>
      </w:r>
      <w:r w:rsidRPr="00116D48">
        <w:rPr>
          <w:rFonts w:eastAsia="Times New Roman" w:cstheme="minorHAnsi"/>
        </w:rPr>
        <w:fldChar w:fldCharType="end"/>
      </w:r>
      <w:r w:rsidRPr="00116D48">
        <w:rPr>
          <w:rFonts w:eastAsia="Times New Roman" w:cstheme="minorHAnsi"/>
        </w:rPr>
        <w:t xml:space="preserve">. For this reason, it is recommended in our protocol to first determine the appropriate incubation time with alamarBlue by reading fluorescence measurements every 30 minutes until the measurement starts to plateau. The time at which the measurement plateaus, is the time point at which future experiments should be read. This has been noted in section 4 of the protocol. Recent studies, as well as our previous publication utilize 24 hour alamarBlue incubation periods, as opposed to the standard 4 hours mentioned in this manuscript </w:t>
      </w:r>
      <w:r w:rsidRPr="00116D48">
        <w:rPr>
          <w:rFonts w:eastAsia="Times New Roman" w:cstheme="minorHAnsi"/>
        </w:rPr>
        <w:fldChar w:fldCharType="begin"/>
      </w:r>
      <w:r w:rsidRPr="00116D48">
        <w:rPr>
          <w:rFonts w:eastAsia="Times New Roman" w:cstheme="minorHAnsi"/>
        </w:rPr>
        <w:instrText xml:space="preserve"> ADDIN ZOTERO_ITEM CSL_CITATION {"citationID":"YKuraFsl","properties":{"formattedCitation":"\\super 4,6\\nosupersub{}","plainCitation":"4,6","noteIndex":0},"citationItems":[{"id":189,"uris":["http://zotero.org/users/local/9sJamRgX/items/XXLZZASE"],"uri":["http://zotero.org/users/local/9sJamRgX/items/XXLZZASE"],"itemData":{"id":189,"type":"article-journal","title":"Formation of stable small cell number three-dimensional ovarian cancer spheroids using hanging drop arrays for preclinical drug sensitivity assays","container-title":"Gynecologic oncology","page":"181-189","volume":"138","issue":"1","source":"PubMed Central","abstract":"Background\nOvarian cancer grows and metastasizes from multicellular spheroidal aggregates within the ascites fluid. Multicellular tumor spheroids are therefore physiologically significant3Din vitro models for ovarian cancer research. Conventional hanging drop cultures require high starting cell numbers, and are tedious for long-term maintenance. In this study, we generate stable, uniform multicellular spheroids using very small number of ovarian cancer cells in a novel 384 well hanging drop array platform.\n\nMethods\nWe used novel tumor spheroid platform and two ovarian cancer cell lines (A2780 and OVCAR3) to demonstrate the stable incorporation of as few as 10 cells into a single spheroid.\n\nResults\nSpheroids had uniform geometry, with projected areas (42.60 × 103 μm–475.22 × 103 μm2 for A2780 spheroids and 37.24 × 103 μm2–281.01 × 103 μm2 for OVCAR3 spheroids) that varied as a function of the initial cell seeding density. Phalloidin and nuclear stains indicated cells formed tightly packed spheroids with demarcated boundaries and cell–cell interaction within spheroids. Cells within spheroids demonstrated over 85% viability. 3D tumor spheroids demonstrated greater resistance (70–80% viability) to cisplatin chemotherapy compared to 2D cultures (30–50% viability).\n\nConclusions\nOvarian cancer spheroids can be generated from limited cell numbers in high throughput 384 well plates with high viability. Spheroids demonstrate therapeutic resistance relative to cells in traditional 2D culture. Stable incorporation of low cell numbers is advantageous when translating this research to rare patient-derived cells. This system can be used to understand ovarian cancer spheroid biology, as well as carry out preclinical drug sensitivity assays.","DOI":"10.1016/j.ygyno.2015.04.014","ISSN":"0090-8258","note":"PMID: 25913133\nPMCID: PMC4480341","journalAbbreviation":"Gynecol Oncol","author":[{"family":"Raghavan","given":"Shreya"},{"family":"Ward","given":"Maria R."},{"family":"Rowley","given":"Katelyn R."},{"family":"Wold","given":"Rachel M."},{"family":"Takayama","given":"Shuichi"},{"family":"Buckanovich","given":"Ronald J."},{"family":"Mehta","given":"Geeta"}],"issued":{"date-parts":[["2015",7]]}}},{"id":646,"uris":["http://zotero.org/users/local/9sJamRgX/items/LEDHDSZQ"],"uri":["http://zotero.org/users/local/9sJamRgX/items/LEDHDSZQ"],"itemData":{"id":646,"type":"article-journal","title":"Optimized alamarBlue assay protocol for drug dose-response determination of 3D tumor spheroids","container-title":"MethodsX","page":"781-787","volume":"5","source":"ScienceDirect","abstract":"The assessment of drug-dose responses is vital for the prediction of unwanted toxicological effects in modern medicine. Three-dimensional (3D) cell cultures techniques can provide in vivo-like spheroids and microtissues that resemble natural tumor function. However, formation of necrotic core and diffusion limitation of chemical compounds within these models can reduce the reproducibility and precision of standard bioassay protocols used to test two-dimensional (2D) cell cultures. Nonetheless, the accurate prediction of detrimental effects of test compounds based on functional bioassays is essential for the development of new efficient therapeutic strategies. For instance, alamarBlue® is a widely-used commercially available redox indicator dye that can evaluate metabolic activity and cellular health status in a single-step procedure however, suitability and optimization of this bioassay must be determined for each individual application scenario. Here, we optimized the standard alamarBlue® proliferation/viability protocol for tumor spheroid cultures to enhance assay precision during toxicological drug screening. We optimized the original protocol of alamarBlue® assay that usually suggests an incubation time of 2–4 hours. The key modifications of the protocol for spheroid cultures are as follows: •Aspiration of cell culture medium before drug exposure.•Replacement of drug-supplemented medium with 10% (v/v) alamarBlue® reagent mixed with culture medium.•Increase of incubation period to 24 h at 37 °C protected from light.","DOI":"10.1016/j.mex.2018.07.011","ISSN":"2215-0161","journalAbbreviation":"MethodsX","author":[{"family":"Eilenberger","given":"Christoph"},{"family":"Kratz","given":"Sebastian Rudi Adam"},{"family":"Rothbauer","given":"Mario"},{"family":"Ehmoser","given":"Eva-Kathrin"},{"family":"Ertl","given":"Peter"},{"family":"Küpcü","given":"Seta"}],"issued":{"date-parts":[["2018",1,1]]}}}],"schema":"https://github.com/citation-style-language/schema/raw/master/csl-citation.json"} </w:instrText>
      </w:r>
      <w:r w:rsidRPr="00116D48">
        <w:rPr>
          <w:rFonts w:eastAsia="Times New Roman" w:cstheme="minorHAnsi"/>
        </w:rPr>
        <w:fldChar w:fldCharType="separate"/>
      </w:r>
      <w:r w:rsidRPr="00116D48">
        <w:rPr>
          <w:rFonts w:eastAsia="Times New Roman" w:cstheme="minorHAnsi"/>
          <w:vertAlign w:val="superscript"/>
        </w:rPr>
        <w:t>4,6</w:t>
      </w:r>
      <w:r w:rsidRPr="00116D48">
        <w:rPr>
          <w:rFonts w:eastAsia="Times New Roman" w:cstheme="minorHAnsi"/>
        </w:rPr>
        <w:fldChar w:fldCharType="end"/>
      </w:r>
      <w:r w:rsidRPr="00116D48">
        <w:rPr>
          <w:rFonts w:eastAsia="Times New Roman" w:cstheme="minorHAnsi"/>
        </w:rPr>
        <w:t>.</w:t>
      </w:r>
    </w:p>
    <w:p w14:paraId="1C8B27BA" w14:textId="77777777" w:rsidR="00116D48" w:rsidRPr="00116D48" w:rsidRDefault="00116D48" w:rsidP="00116D48">
      <w:pPr>
        <w:shd w:val="clear" w:color="auto" w:fill="FFFFFF"/>
        <w:spacing w:after="240"/>
        <w:rPr>
          <w:rFonts w:eastAsia="Times New Roman" w:cstheme="minorHAnsi"/>
        </w:rPr>
      </w:pPr>
      <w:r w:rsidRPr="00116D48">
        <w:rPr>
          <w:rFonts w:eastAsia="Times New Roman" w:cstheme="minorHAnsi"/>
          <w:b/>
          <w:color w:val="222222"/>
        </w:rPr>
        <w:lastRenderedPageBreak/>
        <w:t>Q7. What is the cell viability loss after mechanical dissociation? Normalizing the data to the untreated control accounts for this but it decreases the sensitivity of the assay to include this background of cell death. Have other methods of dissociation been explored? Discussion of the limitation of this assay method should be included.</w:t>
      </w:r>
    </w:p>
    <w:p w14:paraId="217FC3F8" w14:textId="77777777" w:rsidR="00116D48" w:rsidRPr="00116D48" w:rsidRDefault="00116D48" w:rsidP="00116D48">
      <w:pPr>
        <w:jc w:val="both"/>
        <w:rPr>
          <w:rFonts w:cstheme="minorHAnsi"/>
        </w:rPr>
      </w:pPr>
      <w:r w:rsidRPr="00116D48">
        <w:rPr>
          <w:rFonts w:cstheme="minorHAnsi"/>
        </w:rPr>
        <w:t>While it is true that mechanical dissociation can cause cell death, we have not quantified this value as it will likely depend on the individual performing the experiment and cell type(s). That said, there are alternative methods to facilitate spheroid disaggregation including incubation with enyzmes, such as Trypsin, Accutase, or dispase, for example</w:t>
      </w:r>
      <w:r w:rsidRPr="00116D48">
        <w:rPr>
          <w:rFonts w:cstheme="minorHAnsi"/>
        </w:rPr>
        <w:fldChar w:fldCharType="begin"/>
      </w:r>
      <w:r w:rsidRPr="00116D48">
        <w:rPr>
          <w:rFonts w:cstheme="minorHAnsi"/>
        </w:rPr>
        <w:instrText xml:space="preserve"> ADDIN ZOTERO_ITEM CSL_CITATION {"citationID":"9BZrDFIe","properties":{"formattedCitation":"\\super 1\\nosupersub{}","plainCitation":"1","noteIndex":0},"citationItems":[{"id":649,"uris":["http://zotero.org/users/local/9sJamRgX/items/C7YWWD7V"],"uri":["http://zotero.org/users/local/9sJamRgX/items/C7YWWD7V"],"itemData":{"id":649,"type":"article-journal","title":"Effect of enzymatic and mechanical methods of dissociation on neural progenitor cells derived from induced pluripotent stem cells","container-title":"Advances in medical sciences","page":"78-84","volume":"61","issue":"1","source":"PubMed Central","abstract":"Purpose\nTo determine the most effective method of dissociating neural stem and progenitor cells into a single-cell suspension.\n\nMaterials/methods\nInduced pluripotent stem cells were differentiated toward the neural fate for 4 weeks before clusters were subjected to enzymatic (Accutase, trypsin, TrypLE, dispase, or DNase I) or mechanical (trituration with pipettes of varying size) or combined dissociation. Images of cells were analyzed for cluster size using ImageJ.\n\nResults\nCells treated with the enzymes Accutase, TrypLE, or trypsin/EDTA, these enzymes followed by trituration, or a combination one of these enzymes followed by incubation with another enzyme, including DNase I, were more likely to be dissociated into a single-cell suspension.\n\nConclusions\nCells treated with enzymes or combinations of methods were more likely to be dissociated into a single-cell suspension.","DOI":"10.1016/j.advms.2015.09.005","ISSN":"1896-1126","note":"PMID: 26523795\nPMCID: PMC4785092","journalAbbreviation":"Adv Med Sci","author":[{"family":"Jager","given":"Lindsey D."},{"family":"Canda","given":"Claire-Marie A."},{"family":"Hall","given":"Crystal A."},{"family":"Heilingoetter","given":"Cassandra L."},{"family":"Huynh","given":"Joann"},{"family":"Kwok","given":"Susanna S."},{"family":"Kwon","given":"Jin H."},{"family":"Richie","given":"Jacob R."},{"family":"Jensen","given":"Matthew B."}],"issued":{"date-parts":[["2016",3]]}}}],"schema":"https://github.com/citation-style-language/schema/raw/master/csl-citation.json"} </w:instrText>
      </w:r>
      <w:r w:rsidRPr="00116D48">
        <w:rPr>
          <w:rFonts w:cstheme="minorHAnsi"/>
        </w:rPr>
        <w:fldChar w:fldCharType="separate"/>
      </w:r>
      <w:r w:rsidRPr="00116D48">
        <w:rPr>
          <w:rFonts w:eastAsia="Times New Roman" w:cstheme="minorHAnsi"/>
          <w:vertAlign w:val="superscript"/>
        </w:rPr>
        <w:t>1</w:t>
      </w:r>
      <w:r w:rsidRPr="00116D48">
        <w:rPr>
          <w:rFonts w:cstheme="minorHAnsi"/>
        </w:rPr>
        <w:fldChar w:fldCharType="end"/>
      </w:r>
      <w:r w:rsidRPr="00116D48">
        <w:rPr>
          <w:rFonts w:cstheme="minorHAnsi"/>
        </w:rPr>
        <w:t>. It is recommended that each lab tailor their dissociation method to optimize cell viability and single cell yield based on their cell types and downstream analysis. It is also recommended that trypan blue results be corroborated by alternative methods of analyzing cell viability, such as alamarBlue and live/dead staining, which are both methods that do not require spheroid disaggregation and have shown agreement in our previous work</w:t>
      </w:r>
      <w:r w:rsidRPr="00116D48">
        <w:rPr>
          <w:rFonts w:cstheme="minorHAnsi"/>
        </w:rPr>
        <w:fldChar w:fldCharType="begin"/>
      </w:r>
      <w:r w:rsidRPr="00116D48">
        <w:rPr>
          <w:rFonts w:cstheme="minorHAnsi"/>
        </w:rPr>
        <w:instrText xml:space="preserve"> ADDIN ZOTERO_ITEM CSL_CITATION {"citationID":"bFlTcaVE","properties":{"formattedCitation":"\\super 4\\nosupersub{}","plainCitation":"4","noteIndex":0},"citationItems":[{"id":189,"uris":["http://zotero.org/users/local/9sJamRgX/items/XXLZZASE"],"uri":["http://zotero.org/users/local/9sJamRgX/items/XXLZZASE"],"itemData":{"id":189,"type":"article-journal","title":"Formation of stable small cell number three-dimensional ovarian cancer spheroids using hanging drop arrays for preclinical drug sensitivity assays","container-title":"Gynecologic oncology","page":"181-189","volume":"138","issue":"1","source":"PubMed Central","abstract":"Background\nOvarian cancer grows and metastasizes from multicellular spheroidal aggregates within the ascites fluid. Multicellular tumor spheroids are therefore physiologically significant3Din vitro models for ovarian cancer research. Conventional hanging drop cultures require high starting cell numbers, and are tedious for long-term maintenance. In this study, we generate stable, uniform multicellular spheroids using very small number of ovarian cancer cells in a novel 384 well hanging drop array platform.\n\nMethods\nWe used novel tumor spheroid platform and two ovarian cancer cell lines (A2780 and OVCAR3) to demonstrate the stable incorporation of as few as 10 cells into a single spheroid.\n\nResults\nSpheroids had uniform geometry, with projected areas (42.60 × 103 μm–475.22 × 103 μm2 for A2780 spheroids and 37.24 × 103 μm2–281.01 × 103 μm2 for OVCAR3 spheroids) that varied as a function of the initial cell seeding density. Phalloidin and nuclear stains indicated cells formed tightly packed spheroids with demarcated boundaries and cell–cell interaction within spheroids. Cells within spheroids demonstrated over 85% viability. 3D tumor spheroids demonstrated greater resistance (70–80% viability) to cisplatin chemotherapy compared to 2D cultures (30–50% viability).\n\nConclusions\nOvarian cancer spheroids can be generated from limited cell numbers in high throughput 384 well plates with high viability. Spheroids demonstrate therapeutic resistance relative to cells in traditional 2D culture. Stable incorporation of low cell numbers is advantageous when translating this research to rare patient-derived cells. This system can be used to understand ovarian cancer spheroid biology, as well as carry out preclinical drug sensitivity assays.","DOI":"10.1016/j.ygyno.2015.04.014","ISSN":"0090-8258","note":"PMID: 25913133\nPMCID: PMC4480341","journalAbbreviation":"Gynecol Oncol","author":[{"family":"Raghavan","given":"Shreya"},{"family":"Ward","given":"Maria R."},{"family":"Rowley","given":"Katelyn R."},{"family":"Wold","given":"Rachel M."},{"family":"Takayama","given":"Shuichi"},{"family":"Buckanovich","given":"Ronald J."},{"family":"Mehta","given":"Geeta"}],"issued":{"date-parts":[["2015",7]]}}}],"schema":"https://github.com/citation-style-language/schema/raw/master/csl-citation.json"} </w:instrText>
      </w:r>
      <w:r w:rsidRPr="00116D48">
        <w:rPr>
          <w:rFonts w:cstheme="minorHAnsi"/>
        </w:rPr>
        <w:fldChar w:fldCharType="separate"/>
      </w:r>
      <w:r w:rsidRPr="00116D48">
        <w:rPr>
          <w:rFonts w:eastAsia="Times New Roman" w:cstheme="minorHAnsi"/>
          <w:vertAlign w:val="superscript"/>
        </w:rPr>
        <w:t>4</w:t>
      </w:r>
      <w:r w:rsidRPr="00116D48">
        <w:rPr>
          <w:rFonts w:cstheme="minorHAnsi"/>
        </w:rPr>
        <w:fldChar w:fldCharType="end"/>
      </w:r>
      <w:r w:rsidRPr="00116D48">
        <w:rPr>
          <w:rFonts w:cstheme="minorHAnsi"/>
        </w:rPr>
        <w:t xml:space="preserve">. This has been addressed in section 5 of the protocol. </w:t>
      </w:r>
    </w:p>
    <w:p w14:paraId="3D8DB9D1"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br/>
      </w:r>
      <w:r w:rsidRPr="00116D48">
        <w:rPr>
          <w:rFonts w:eastAsia="Times New Roman" w:cstheme="minorHAnsi"/>
          <w:b/>
          <w:color w:val="222222"/>
        </w:rPr>
        <w:t>Q8. Are live/dead quantifications done using maximum intensity projections or single z-slices? Max intensity projections are a poor way to quantify 3D objects.</w:t>
      </w:r>
    </w:p>
    <w:p w14:paraId="011E4DAA" w14:textId="77777777" w:rsidR="00116D48" w:rsidRPr="00116D48" w:rsidRDefault="00116D48" w:rsidP="00116D48">
      <w:pPr>
        <w:jc w:val="both"/>
        <w:rPr>
          <w:rFonts w:cstheme="minorHAnsi"/>
        </w:rPr>
      </w:pPr>
      <w:r w:rsidRPr="00116D48">
        <w:rPr>
          <w:rFonts w:cstheme="minorHAnsi"/>
        </w:rPr>
        <w:t>Live/dead quantifications are done using composite images generated at the confocal microscope. Composite images are then split into different color channels in ImageJ and the percentage of live versus dead cells was determined based on the fluorescence measured in the live color channel and the dead color channel. We have published this work previously and showed using this analysis method that results correlate well with alternative methods of determining cell viability (alamarBlue) suggesting that this analysis method produces accurate results</w:t>
      </w:r>
      <w:r w:rsidRPr="00116D48">
        <w:rPr>
          <w:rFonts w:cstheme="minorHAnsi"/>
        </w:rPr>
        <w:fldChar w:fldCharType="begin"/>
      </w:r>
      <w:r w:rsidRPr="00116D48">
        <w:rPr>
          <w:rFonts w:cstheme="minorHAnsi"/>
        </w:rPr>
        <w:instrText xml:space="preserve"> ADDIN ZOTERO_ITEM CSL_CITATION {"citationID":"NnJg9r9V","properties":{"formattedCitation":"\\super 4\\nosupersub{}","plainCitation":"4","noteIndex":0},"citationItems":[{"id":189,"uris":["http://zotero.org/users/local/9sJamRgX/items/XXLZZASE"],"uri":["http://zotero.org/users/local/9sJamRgX/items/XXLZZASE"],"itemData":{"id":189,"type":"article-journal","title":"Formation of stable small cell number three-dimensional ovarian cancer spheroids using hanging drop arrays for preclinical drug sensitivity assays","container-title":"Gynecologic oncology","page":"181-189","volume":"138","issue":"1","source":"PubMed Central","abstract":"Background\nOvarian cancer grows and metastasizes from multicellular spheroidal aggregates within the ascites fluid. Multicellular tumor spheroids are therefore physiologically significant3Din vitro models for ovarian cancer research. Conventional hanging drop cultures require high starting cell numbers, and are tedious for long-term maintenance. In this study, we generate stable, uniform multicellular spheroids using very small number of ovarian cancer cells in a novel 384 well hanging drop array platform.\n\nMethods\nWe used novel tumor spheroid platform and two ovarian cancer cell lines (A2780 and OVCAR3) to demonstrate the stable incorporation of as few as 10 cells into a single spheroid.\n\nResults\nSpheroids had uniform geometry, with projected areas (42.60 × 103 μm–475.22 × 103 μm2 for A2780 spheroids and 37.24 × 103 μm2–281.01 × 103 μm2 for OVCAR3 spheroids) that varied as a function of the initial cell seeding density. Phalloidin and nuclear stains indicated cells formed tightly packed spheroids with demarcated boundaries and cell–cell interaction within spheroids. Cells within spheroids demonstrated over 85% viability. 3D tumor spheroids demonstrated greater resistance (70–80% viability) to cisplatin chemotherapy compared to 2D cultures (30–50% viability).\n\nConclusions\nOvarian cancer spheroids can be generated from limited cell numbers in high throughput 384 well plates with high viability. Spheroids demonstrate therapeutic resistance relative to cells in traditional 2D culture. Stable incorporation of low cell numbers is advantageous when translating this research to rare patient-derived cells. This system can be used to understand ovarian cancer spheroid biology, as well as carry out preclinical drug sensitivity assays.","DOI":"10.1016/j.ygyno.2015.04.014","ISSN":"0090-8258","note":"PMID: 25913133\nPMCID: PMC4480341","journalAbbreviation":"Gynecol Oncol","author":[{"family":"Raghavan","given":"Shreya"},{"family":"Ward","given":"Maria R."},{"family":"Rowley","given":"Katelyn R."},{"family":"Wold","given":"Rachel M."},{"family":"Takayama","given":"Shuichi"},{"family":"Buckanovich","given":"Ronald J."},{"family":"Mehta","given":"Geeta"}],"issued":{"date-parts":[["2015",7]]}}}],"schema":"https://github.com/citation-style-language/schema/raw/master/csl-citation.json"} </w:instrText>
      </w:r>
      <w:r w:rsidRPr="00116D48">
        <w:rPr>
          <w:rFonts w:cstheme="minorHAnsi"/>
        </w:rPr>
        <w:fldChar w:fldCharType="separate"/>
      </w:r>
      <w:r w:rsidRPr="00116D48">
        <w:rPr>
          <w:rFonts w:eastAsia="Times New Roman" w:cstheme="minorHAnsi"/>
          <w:vertAlign w:val="superscript"/>
        </w:rPr>
        <w:t>4</w:t>
      </w:r>
      <w:r w:rsidRPr="00116D48">
        <w:rPr>
          <w:rFonts w:cstheme="minorHAnsi"/>
        </w:rPr>
        <w:fldChar w:fldCharType="end"/>
      </w:r>
      <w:r w:rsidRPr="00116D48">
        <w:rPr>
          <w:rFonts w:cstheme="minorHAnsi"/>
        </w:rPr>
        <w:t>. That said, we recognize reviewer’s point that max intensity projections are not the best way to quantify 3D objects so we have also referred the readers to a microplate fluorescence protocol provided with the Live/Dead Assay kit as an alternative. This has been acknowledged in section 7 of the protocol.</w:t>
      </w:r>
    </w:p>
    <w:p w14:paraId="029611DB" w14:textId="77777777" w:rsidR="00116D48" w:rsidRPr="00116D48" w:rsidRDefault="00116D48" w:rsidP="00116D48">
      <w:pPr>
        <w:jc w:val="both"/>
        <w:rPr>
          <w:rFonts w:cstheme="minorHAnsi"/>
        </w:rPr>
      </w:pPr>
    </w:p>
    <w:p w14:paraId="5237C0A5"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t>Minor Concerns:</w:t>
      </w:r>
    </w:p>
    <w:p w14:paraId="3FE66739"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b/>
          <w:color w:val="222222"/>
        </w:rPr>
        <w:t>Q1. Sections of this manuscript would benefit from light editing for grammar and spelling.</w:t>
      </w:r>
    </w:p>
    <w:p w14:paraId="0512C8CE" w14:textId="77777777" w:rsidR="00116D48" w:rsidRPr="00116D48" w:rsidRDefault="00116D48" w:rsidP="00116D48">
      <w:pPr>
        <w:shd w:val="clear" w:color="auto" w:fill="FFFFFF"/>
        <w:spacing w:after="240"/>
        <w:rPr>
          <w:rFonts w:eastAsia="Times New Roman" w:cstheme="minorHAnsi"/>
          <w:b/>
          <w:color w:val="222222"/>
          <w:u w:val="single"/>
        </w:rPr>
      </w:pPr>
      <w:r w:rsidRPr="00116D48">
        <w:rPr>
          <w:rFonts w:eastAsia="Times New Roman" w:cstheme="minorHAnsi"/>
          <w:color w:val="222222"/>
        </w:rPr>
        <w:t>The manuscript has been reviewed and edited for grammar and spelling.</w:t>
      </w:r>
      <w:r w:rsidRPr="00116D48">
        <w:rPr>
          <w:rFonts w:eastAsia="Times New Roman" w:cstheme="minorHAnsi"/>
          <w:color w:val="222222"/>
        </w:rPr>
        <w:br/>
      </w:r>
      <w:r w:rsidRPr="00116D48">
        <w:rPr>
          <w:rFonts w:eastAsia="Times New Roman" w:cstheme="minorHAnsi"/>
          <w:color w:val="222222"/>
        </w:rPr>
        <w:br/>
      </w:r>
    </w:p>
    <w:p w14:paraId="3CAE4B2C"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b/>
          <w:color w:val="222222"/>
          <w:u w:val="single"/>
        </w:rPr>
        <w:t>Reviewer #3:</w:t>
      </w:r>
      <w:r w:rsidRPr="00116D48">
        <w:rPr>
          <w:rFonts w:eastAsia="Times New Roman" w:cstheme="minorHAnsi"/>
          <w:color w:val="222222"/>
        </w:rPr>
        <w:br/>
      </w:r>
      <w:r w:rsidRPr="00116D48">
        <w:rPr>
          <w:rFonts w:eastAsia="Times New Roman" w:cstheme="minorHAnsi"/>
          <w:color w:val="222222"/>
        </w:rPr>
        <w:br/>
      </w:r>
      <w:r w:rsidRPr="00116D48">
        <w:rPr>
          <w:rFonts w:eastAsia="Times New Roman" w:cstheme="minorHAnsi"/>
          <w:b/>
          <w:color w:val="222222"/>
        </w:rPr>
        <w:t>Minor Concerns:</w:t>
      </w:r>
      <w:r w:rsidRPr="00116D48">
        <w:rPr>
          <w:rFonts w:eastAsia="Times New Roman" w:cstheme="minorHAnsi"/>
          <w:color w:val="222222"/>
        </w:rPr>
        <w:br/>
      </w:r>
      <w:r w:rsidRPr="00116D48">
        <w:rPr>
          <w:rFonts w:eastAsia="Times New Roman" w:cstheme="minorHAnsi"/>
          <w:color w:val="222222"/>
        </w:rPr>
        <w:br/>
      </w:r>
      <w:r w:rsidRPr="00116D48">
        <w:rPr>
          <w:rFonts w:eastAsia="Times New Roman" w:cstheme="minorHAnsi"/>
          <w:b/>
          <w:color w:val="222222"/>
        </w:rPr>
        <w:t>Q1.</w:t>
      </w:r>
      <w:r w:rsidRPr="00116D48">
        <w:rPr>
          <w:rFonts w:eastAsia="Times New Roman" w:cstheme="minorHAnsi"/>
          <w:color w:val="222222"/>
        </w:rPr>
        <w:t xml:space="preserve"> </w:t>
      </w:r>
      <w:r w:rsidRPr="00116D48">
        <w:rPr>
          <w:rFonts w:eastAsia="Times New Roman" w:cstheme="minorHAnsi"/>
          <w:b/>
          <w:color w:val="222222"/>
        </w:rPr>
        <w:t>Line 55: 'chemoresistant cells are also called the cancer stem cells' is inaccurate as it is not necessary that all chemoresistant cells are cancer stem cells.</w:t>
      </w:r>
    </w:p>
    <w:p w14:paraId="0586A3A4"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t>This has been addressed in the introduction. Thank you for catching that.</w:t>
      </w:r>
    </w:p>
    <w:p w14:paraId="19407717"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lastRenderedPageBreak/>
        <w:t>Q2. Line 58: Comma after 'chemoresistance.'</w:t>
      </w:r>
    </w:p>
    <w:p w14:paraId="59255CC9"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t>This has been addressed.</w:t>
      </w:r>
    </w:p>
    <w:p w14:paraId="0965640A"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t>Q3. Line 175: More details on tissue processing and flow cytometry will be useful.</w:t>
      </w:r>
    </w:p>
    <w:p w14:paraId="11BB7F05" w14:textId="77777777" w:rsidR="00116D48" w:rsidRPr="00116D48" w:rsidRDefault="00116D48" w:rsidP="00116D48">
      <w:pPr>
        <w:shd w:val="clear" w:color="auto" w:fill="FFFFFF"/>
        <w:spacing w:after="240"/>
        <w:rPr>
          <w:rFonts w:eastAsia="Times New Roman" w:cstheme="minorHAnsi"/>
          <w:color w:val="000000" w:themeColor="text1"/>
        </w:rPr>
      </w:pPr>
      <w:r w:rsidRPr="00116D48">
        <w:rPr>
          <w:rFonts w:eastAsia="Times New Roman" w:cstheme="minorHAnsi"/>
          <w:color w:val="000000" w:themeColor="text1"/>
        </w:rPr>
        <w:t>Details have been added throughout the flow cytometry section and readers are referred to two recent publications for more details</w:t>
      </w:r>
      <w:r w:rsidRPr="00116D48">
        <w:rPr>
          <w:rFonts w:eastAsia="Times New Roman" w:cstheme="minorHAnsi"/>
          <w:color w:val="000000" w:themeColor="text1"/>
        </w:rPr>
        <w:fldChar w:fldCharType="begin"/>
      </w:r>
      <w:r w:rsidRPr="00116D48">
        <w:rPr>
          <w:rFonts w:eastAsia="Times New Roman" w:cstheme="minorHAnsi"/>
          <w:color w:val="000000" w:themeColor="text1"/>
        </w:rPr>
        <w:instrText xml:space="preserve"> ADDIN ZOTERO_ITEM CSL_CITATION {"citationID":"33h94k92","properties":{"formattedCitation":"\\super 7,8\\nosupersub{}","plainCitation":"7,8","noteIndex":0},"citationItems":[{"id":23,"uris":["http://zotero.org/users/local/9sJamRgX/items/HHDU3V86"],"uri":["http://zotero.org/users/local/9sJamRgX/items/HHDU3V86"],"itemData":{"id":23,"type":"article-journal","title":"Self-Renewal and CSCs In Vitro Enrichment: Growth as Floating Spheres","container-title":"Methods Mol Biol","page":"61–75","volume":"1692","DOI":"10.1007/978-1-4939-7401-6","author":[{"family":"Mehta","given":"Pooja"},{"family":"Novak","given":"Caymen"},{"family":"Raghavan","given":"Shreya"},{"family":"Ward","given":"Maria"},{"family":"Mehta","given":"Geeta"}],"issued":{"date-parts":[["2018"]]}}},{"id":33,"uris":["http://zotero.org/users/local/9sJamRgX/items/N6WMQZCP"],"uri":["http://zotero.org/users/local/9sJamRgX/items/N6WMQZCP"],"itemData":{"id":33,"type":"article-journal","title":"Personalized Medicine Based Approach to Model Patterns of Chemoresistance and Tumor Recurrence Using Ovarian Cancer Stem Cell Spheroids","container-title":"Clinical Cancer Research","page":"clincanres.0133.2017","DOI":"10.1158/1078-0432.CCR-17-0133","ISSN":"1078-0432","author":[{"family":"Raghavan","given":"Shreya"},{"family":"Mehta","given":"Pooja"},{"family":"Ward","given":"Maria W"},{"family":"Bregenzer","given":"Michael E."},{"family":"Fleck","given":"Elyse M.A."},{"family":"Tan","given":"Lijun"},{"family":"McLean","given":"Karen"},{"family":"Buckanovich","given":"Ronald"},{"family":"Mehta","given":"Geeta"}],"issued":{"date-parts":[["2017"]]}}}],"schema":"https://github.com/citation-style-language/schema/raw/master/csl-citation.json"} </w:instrText>
      </w:r>
      <w:r w:rsidRPr="00116D48">
        <w:rPr>
          <w:rFonts w:eastAsia="Times New Roman" w:cstheme="minorHAnsi"/>
          <w:color w:val="000000" w:themeColor="text1"/>
        </w:rPr>
        <w:fldChar w:fldCharType="separate"/>
      </w:r>
      <w:r w:rsidRPr="00116D48">
        <w:rPr>
          <w:rFonts w:eastAsia="Times New Roman" w:cstheme="minorHAnsi"/>
          <w:color w:val="000000"/>
          <w:vertAlign w:val="superscript"/>
        </w:rPr>
        <w:t>7,8</w:t>
      </w:r>
      <w:r w:rsidRPr="00116D48">
        <w:rPr>
          <w:rFonts w:eastAsia="Times New Roman" w:cstheme="minorHAnsi"/>
          <w:color w:val="000000" w:themeColor="text1"/>
        </w:rPr>
        <w:fldChar w:fldCharType="end"/>
      </w:r>
      <w:r w:rsidRPr="00116D48">
        <w:rPr>
          <w:rFonts w:eastAsia="Times New Roman" w:cstheme="minorHAnsi"/>
          <w:color w:val="000000" w:themeColor="text1"/>
        </w:rPr>
        <w:t>.</w:t>
      </w:r>
    </w:p>
    <w:p w14:paraId="61049CCF"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br/>
        <w:t>Q4. Line 176: Should be 'flow cytometry' and not 'low cytometry.'</w:t>
      </w:r>
    </w:p>
    <w:p w14:paraId="0900A1AC"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color w:val="222222"/>
        </w:rPr>
        <w:t>This has been addressed.</w:t>
      </w:r>
    </w:p>
    <w:p w14:paraId="7846E93F"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b/>
          <w:color w:val="222222"/>
        </w:rPr>
        <w:t>Q5. Line 178: Not clear what is meant by 'Freshly isolated single cells are frozen-thawed patient derived cells.'</w:t>
      </w:r>
    </w:p>
    <w:p w14:paraId="536F04B4"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color w:val="222222"/>
        </w:rPr>
        <w:t>This has been clarified in section 1 of the protocol.</w:t>
      </w:r>
      <w:r w:rsidRPr="00116D48">
        <w:rPr>
          <w:rFonts w:eastAsia="Times New Roman" w:cstheme="minorHAnsi"/>
          <w:color w:val="000000" w:themeColor="text1"/>
        </w:rPr>
        <w:t xml:space="preserve"> We meant to say that freshly isolated cells are frozen for storage and later thawed for use in experiments. In other words, isolated single cells were not always used immediately.</w:t>
      </w:r>
    </w:p>
    <w:p w14:paraId="6514601B"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t>Q6. Line 189: Please provide details of the hanging drop plate in the Table of Materials.</w:t>
      </w:r>
    </w:p>
    <w:p w14:paraId="59B7C92B"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color w:val="222222"/>
        </w:rPr>
        <w:t>Details on the hanging drop plate have been added in the Table of Materials.</w:t>
      </w:r>
    </w:p>
    <w:p w14:paraId="7AAD5CE5"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t>Q7. Lines 195-7: Parafilm will prevent gas exchange and that can affect buffering by the bicarbonate buffer system in the medium. Please comment/discuss.</w:t>
      </w:r>
    </w:p>
    <w:p w14:paraId="67D1BB12" w14:textId="77777777" w:rsidR="00116D48" w:rsidRPr="00116D48" w:rsidRDefault="00116D48" w:rsidP="00116D48">
      <w:pPr>
        <w:jc w:val="both"/>
        <w:rPr>
          <w:rFonts w:cstheme="minorHAnsi"/>
        </w:rPr>
      </w:pPr>
      <w:r w:rsidRPr="00116D48">
        <w:rPr>
          <w:rFonts w:cstheme="minorHAnsi"/>
        </w:rPr>
        <w:t>It is likely that the Parafilm does not completely block off the interior of the 6-well plate sandwich with the 384-well plate. Our medium contains phenol red, which has a red/pink color at pH of 8.2 and yellow/clear at pH of 6.8. If CO2 could not escape the sandwich structure, we would expect the pH to drop as a result of the buffer system. While we do see the hanging droplets transition to a yellow/clear color, it does not appear to be different than the change in color of the medium in 2D culture dishes, which are not sealed by Parafilm. Therefore, we suspect that any change in pH is a natural consequence of cell culture. That said, the product information sheet for Parafilm M, claims that it is permeable to gases, including CO2, but not to moisture.</w:t>
      </w:r>
    </w:p>
    <w:p w14:paraId="7402815F" w14:textId="77777777" w:rsidR="00116D48" w:rsidRPr="00116D48" w:rsidRDefault="00116D48" w:rsidP="00116D48">
      <w:pPr>
        <w:jc w:val="both"/>
        <w:rPr>
          <w:rFonts w:cstheme="minorHAnsi"/>
        </w:rPr>
      </w:pPr>
      <w:r w:rsidRPr="00116D48">
        <w:rPr>
          <w:rFonts w:eastAsia="Times New Roman" w:cstheme="minorHAnsi"/>
          <w:b/>
          <w:color w:val="222222"/>
        </w:rPr>
        <w:br/>
        <w:t>Q8. Line 253 and Line 265: There is a discrepancy '1 and 4 days' vs. '5-7 days.'</w:t>
      </w:r>
    </w:p>
    <w:p w14:paraId="1F29FF91" w14:textId="77777777" w:rsidR="00116D48" w:rsidRPr="00116D48" w:rsidRDefault="00116D48" w:rsidP="00116D48">
      <w:pPr>
        <w:shd w:val="clear" w:color="auto" w:fill="FFFFFF"/>
        <w:rPr>
          <w:rFonts w:eastAsia="Times New Roman" w:cstheme="minorHAnsi"/>
          <w:color w:val="222222"/>
        </w:rPr>
      </w:pPr>
    </w:p>
    <w:p w14:paraId="293E2070" w14:textId="77777777" w:rsidR="00116D48" w:rsidRPr="00116D48" w:rsidRDefault="00116D48" w:rsidP="00116D48">
      <w:pPr>
        <w:shd w:val="clear" w:color="auto" w:fill="FFFFFF"/>
        <w:rPr>
          <w:rFonts w:eastAsia="Times New Roman" w:cstheme="minorHAnsi"/>
          <w:color w:val="222222"/>
        </w:rPr>
      </w:pPr>
      <w:r w:rsidRPr="00116D48">
        <w:rPr>
          <w:rFonts w:eastAsia="Times New Roman" w:cstheme="minorHAnsi"/>
          <w:color w:val="222222"/>
        </w:rPr>
        <w:t>This has been clarified in section 5 of the protocol. It usually takes between 1 and 4 days for a stable spheroid to form. Any time after stable spheroids form and are equivalent size across all replicates, the drug treatment can be started. Therefore, if the spheroids have all formed by day 1, they could theoretically be treated on that day. However, for consistency, and to ensure that the spheroids are always completely formed and are same size by the start of drug treatment, we usually treat with drugs after 5-7 days.</w:t>
      </w:r>
    </w:p>
    <w:p w14:paraId="4F6F3C75"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lastRenderedPageBreak/>
        <w:br/>
        <w:t>Q9. Line 259. It will be more appropriate to use the solvent in which the drug is dissolved as a vehicle control instead of culture medium.</w:t>
      </w:r>
    </w:p>
    <w:p w14:paraId="796F3130" w14:textId="77777777" w:rsidR="00116D48" w:rsidRPr="00116D48" w:rsidRDefault="00116D48" w:rsidP="00116D48">
      <w:pPr>
        <w:jc w:val="both"/>
        <w:rPr>
          <w:rFonts w:eastAsia="Times New Roman" w:cstheme="minorHAnsi"/>
        </w:rPr>
      </w:pPr>
      <w:r w:rsidRPr="00116D48">
        <w:rPr>
          <w:rFonts w:eastAsia="Times New Roman" w:cstheme="minorHAnsi"/>
        </w:rPr>
        <w:t>The example provided in this manuscript is drug treatment with cisplatin, which is solubilized in water. Given that a small volume of cisplatin is added to medium to create the drug solution applied to spheroids, a suitable control is culture medium without drug. That said, drugs solubilized in other solvents, like DMSO, will require a cell culture medium control that has the same concentration of DMSO that the experimental condition has. This has been clarified in the manuscript in section 5 of the protocol.</w:t>
      </w:r>
    </w:p>
    <w:p w14:paraId="39BEF2BA"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br/>
        <w:t>Q10. Line 271: What is the size of the tips used. How to minimize cell death due to shearing?</w:t>
      </w:r>
    </w:p>
    <w:p w14:paraId="6D729FCF"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t xml:space="preserve">The size of the tips used has been clarified on </w:t>
      </w:r>
      <w:r w:rsidRPr="00116D48">
        <w:rPr>
          <w:rFonts w:eastAsia="Times New Roman" w:cstheme="minorHAnsi"/>
          <w:color w:val="000000" w:themeColor="text1"/>
        </w:rPr>
        <w:t>where appropriate throughout the manuscript.</w:t>
      </w:r>
      <w:r w:rsidRPr="00116D48">
        <w:rPr>
          <w:rFonts w:eastAsia="Times New Roman" w:cstheme="minorHAnsi"/>
          <w:color w:val="FF0000"/>
        </w:rPr>
        <w:t xml:space="preserve"> </w:t>
      </w:r>
      <w:r w:rsidRPr="00116D48">
        <w:rPr>
          <w:rFonts w:eastAsia="Times New Roman" w:cstheme="minorHAnsi"/>
          <w:color w:val="222222"/>
        </w:rPr>
        <w:t>Minimization of cell death could be accomplished in combination with enzymatic digestion such as with Accutase, Trypsin, and/or dispase to facilitate spheroid dissociation</w:t>
      </w:r>
      <w:r w:rsidRPr="00116D48">
        <w:rPr>
          <w:rFonts w:eastAsia="Times New Roman" w:cstheme="minorHAnsi"/>
          <w:color w:val="222222"/>
        </w:rPr>
        <w:fldChar w:fldCharType="begin"/>
      </w:r>
      <w:r w:rsidRPr="00116D48">
        <w:rPr>
          <w:rFonts w:eastAsia="Times New Roman" w:cstheme="minorHAnsi"/>
          <w:color w:val="222222"/>
        </w:rPr>
        <w:instrText xml:space="preserve"> ADDIN ZOTERO_ITEM CSL_CITATION {"citationID":"KFXyJlVn","properties":{"formattedCitation":"\\super 1\\nosupersub{}","plainCitation":"1","noteIndex":0},"citationItems":[{"id":649,"uris":["http://zotero.org/users/local/9sJamRgX/items/C7YWWD7V"],"uri":["http://zotero.org/users/local/9sJamRgX/items/C7YWWD7V"],"itemData":{"id":649,"type":"article-journal","title":"Effect of enzymatic and mechanical methods of dissociation on neural progenitor cells derived from induced pluripotent stem cells","container-title":"Advances in medical sciences","page":"78-84","volume":"61","issue":"1","source":"PubMed Central","abstract":"Purpose\nTo determine the most effective method of dissociating neural stem and progenitor cells into a single-cell suspension.\n\nMaterials/methods\nInduced pluripotent stem cells were differentiated toward the neural fate for 4 weeks before clusters were subjected to enzymatic (Accutase, trypsin, TrypLE, dispase, or DNase I) or mechanical (trituration with pipettes of varying size) or combined dissociation. Images of cells were analyzed for cluster size using ImageJ.\n\nResults\nCells treated with the enzymes Accutase, TrypLE, or trypsin/EDTA, these enzymes followed by trituration, or a combination one of these enzymes followed by incubation with another enzyme, including DNase I, were more likely to be dissociated into a single-cell suspension.\n\nConclusions\nCells treated with enzymes or combinations of methods were more likely to be dissociated into a single-cell suspension.","DOI":"10.1016/j.advms.2015.09.005","ISSN":"1896-1126","note":"PMID: 26523795\nPMCID: PMC4785092","journalAbbreviation":"Adv Med Sci","author":[{"family":"Jager","given":"Lindsey D."},{"family":"Canda","given":"Claire-Marie A."},{"family":"Hall","given":"Crystal A."},{"family":"Heilingoetter","given":"Cassandra L."},{"family":"Huynh","given":"Joann"},{"family":"Kwok","given":"Susanna S."},{"family":"Kwon","given":"Jin H."},{"family":"Richie","given":"Jacob R."},{"family":"Jensen","given":"Matthew B."}],"issued":{"date-parts":[["2016",3]]}}}],"schema":"https://github.com/citation-style-language/schema/raw/master/csl-citation.json"} </w:instrText>
      </w:r>
      <w:r w:rsidRPr="00116D48">
        <w:rPr>
          <w:rFonts w:eastAsia="Times New Roman" w:cstheme="minorHAnsi"/>
          <w:color w:val="222222"/>
        </w:rPr>
        <w:fldChar w:fldCharType="separate"/>
      </w:r>
      <w:r w:rsidRPr="00116D48">
        <w:rPr>
          <w:rFonts w:eastAsia="Times New Roman" w:cstheme="minorHAnsi"/>
          <w:color w:val="000000"/>
          <w:vertAlign w:val="superscript"/>
        </w:rPr>
        <w:t>1</w:t>
      </w:r>
      <w:r w:rsidRPr="00116D48">
        <w:rPr>
          <w:rFonts w:eastAsia="Times New Roman" w:cstheme="minorHAnsi"/>
          <w:color w:val="222222"/>
        </w:rPr>
        <w:fldChar w:fldCharType="end"/>
      </w:r>
      <w:r w:rsidRPr="00116D48">
        <w:rPr>
          <w:rFonts w:eastAsia="Times New Roman" w:cstheme="minorHAnsi"/>
          <w:color w:val="222222"/>
        </w:rPr>
        <w:t>. This has been mentioned in section 5 of the protocol.</w:t>
      </w:r>
    </w:p>
    <w:p w14:paraId="6169CB06"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br/>
        <w:t>Q11. Lines 272, 372 and 380: 17,000g is too high a centrifugal force for cell pelleting. They might rupture under such a high force.</w:t>
      </w:r>
    </w:p>
    <w:p w14:paraId="329E84B7"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color w:val="222222"/>
        </w:rPr>
        <w:t>We acknowledge that this has been reported and have changed the protocol to 400 x g for cell pelleting as used in culture of ovarian cancer cells and tumor initiating cells by House et al</w:t>
      </w:r>
      <w:r w:rsidRPr="00116D48">
        <w:rPr>
          <w:rFonts w:eastAsia="Times New Roman" w:cstheme="minorHAnsi"/>
          <w:color w:val="222222"/>
          <w:vertAlign w:val="superscript"/>
        </w:rPr>
        <w:t>9</w:t>
      </w:r>
      <w:r w:rsidRPr="00116D48">
        <w:rPr>
          <w:rFonts w:eastAsia="Times New Roman" w:cstheme="minorHAnsi"/>
          <w:color w:val="222222"/>
        </w:rPr>
        <w:t>.</w:t>
      </w:r>
    </w:p>
    <w:p w14:paraId="06562AAA" w14:textId="77777777" w:rsidR="00116D48" w:rsidRPr="00116D48" w:rsidRDefault="00116D48" w:rsidP="00116D48">
      <w:pPr>
        <w:shd w:val="clear" w:color="auto" w:fill="FFFFFF"/>
        <w:spacing w:after="240"/>
        <w:rPr>
          <w:rFonts w:eastAsia="Times New Roman" w:cstheme="minorHAnsi"/>
          <w:b/>
        </w:rPr>
      </w:pPr>
      <w:r w:rsidRPr="00116D48">
        <w:rPr>
          <w:rFonts w:eastAsia="Times New Roman" w:cstheme="minorHAnsi"/>
          <w:b/>
          <w:color w:val="222222"/>
        </w:rPr>
        <w:br/>
      </w:r>
      <w:r w:rsidRPr="00116D48">
        <w:rPr>
          <w:rFonts w:eastAsia="Times New Roman" w:cstheme="minorHAnsi"/>
          <w:b/>
        </w:rPr>
        <w:t>Q12. Line 339: Please provide more details of the sample preparation for confocal microscopy since these are spheroids.</w:t>
      </w:r>
    </w:p>
    <w:p w14:paraId="32AF687E" w14:textId="77777777" w:rsidR="00116D48" w:rsidRPr="00116D48" w:rsidRDefault="00116D48" w:rsidP="00116D48">
      <w:pPr>
        <w:shd w:val="clear" w:color="auto" w:fill="FFFFFF"/>
        <w:spacing w:after="240"/>
        <w:rPr>
          <w:rFonts w:eastAsia="Times New Roman" w:cstheme="minorHAnsi"/>
          <w:color w:val="222222"/>
        </w:rPr>
      </w:pPr>
      <w:r w:rsidRPr="00116D48">
        <w:rPr>
          <w:rFonts w:eastAsia="Times New Roman" w:cstheme="minorHAnsi"/>
        </w:rPr>
        <w:t>Additional details have been added to section 8 of the protocol.</w:t>
      </w:r>
    </w:p>
    <w:p w14:paraId="0E486E1D"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br/>
        <w:t>Q13. Line 458: While describing the results, it is desirable to have 3A before 3B in the sequence.</w:t>
      </w:r>
    </w:p>
    <w:p w14:paraId="0BB4F4D4"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color w:val="222222"/>
        </w:rPr>
        <w:t>This has been addressed in the results section.</w:t>
      </w:r>
    </w:p>
    <w:p w14:paraId="38211586"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t>Q14. 466: 'solutions' should be changed to 'suspensions.'</w:t>
      </w:r>
    </w:p>
    <w:p w14:paraId="68438B78"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color w:val="222222"/>
        </w:rPr>
        <w:t>This has been addressed.</w:t>
      </w:r>
    </w:p>
    <w:p w14:paraId="024A79FA" w14:textId="77777777" w:rsidR="00116D48" w:rsidRPr="00116D48" w:rsidRDefault="00116D48" w:rsidP="00116D48">
      <w:pPr>
        <w:shd w:val="clear" w:color="auto" w:fill="FFFFFF"/>
        <w:spacing w:after="240"/>
        <w:rPr>
          <w:rFonts w:eastAsia="Times New Roman" w:cstheme="minorHAnsi"/>
          <w:b/>
          <w:color w:val="222222"/>
        </w:rPr>
      </w:pPr>
      <w:r w:rsidRPr="00116D48">
        <w:rPr>
          <w:rFonts w:eastAsia="Times New Roman" w:cstheme="minorHAnsi"/>
          <w:b/>
          <w:color w:val="222222"/>
        </w:rPr>
        <w:t>Q15. Can this method be used to identify difference(s) between cancer stem cells from solid tumors and ascites?</w:t>
      </w:r>
    </w:p>
    <w:p w14:paraId="7E361733" w14:textId="77777777" w:rsidR="00116D48" w:rsidRPr="00116D48" w:rsidRDefault="00116D48" w:rsidP="00116D48">
      <w:pPr>
        <w:jc w:val="both"/>
        <w:rPr>
          <w:rFonts w:cstheme="minorHAnsi"/>
        </w:rPr>
      </w:pPr>
      <w:r w:rsidRPr="00116D48">
        <w:rPr>
          <w:rFonts w:cstheme="minorHAnsi"/>
        </w:rPr>
        <w:t xml:space="preserve">Yes. Forming spheroids from cancer stem cells derived from the two different sources would allow for comparison between the two groups of cancer stem cells. Whole spheroids could be </w:t>
      </w:r>
      <w:r w:rsidRPr="00116D48">
        <w:rPr>
          <w:rFonts w:cstheme="minorHAnsi"/>
        </w:rPr>
        <w:lastRenderedPageBreak/>
        <w:t>sequenced to examine the overall difference in spheroids generated from each group of CSCs. Alternatively, single cell sequencing techniques, such as drop sequencing</w:t>
      </w:r>
      <w:r w:rsidRPr="00116D48">
        <w:rPr>
          <w:rFonts w:cstheme="minorHAnsi"/>
          <w:vertAlign w:val="superscript"/>
        </w:rPr>
        <w:t>10</w:t>
      </w:r>
      <w:r w:rsidRPr="00116D48">
        <w:rPr>
          <w:rFonts w:cstheme="minorHAnsi"/>
        </w:rPr>
        <w:t xml:space="preserve"> could be used to identify the specific genetic signature of each CSC group. We have previously demonstrated that CSCs can be isolated from primary tumors as well as ascites to make spheroids</w:t>
      </w:r>
      <w:r w:rsidRPr="00116D48">
        <w:rPr>
          <w:rFonts w:cstheme="minorHAnsi"/>
        </w:rPr>
        <w:fldChar w:fldCharType="begin"/>
      </w:r>
      <w:r w:rsidRPr="00116D48">
        <w:rPr>
          <w:rFonts w:cstheme="minorHAnsi"/>
        </w:rPr>
        <w:instrText xml:space="preserve"> ADDIN ZOTERO_ITEM CSL_CITATION {"citationID":"kslVUm9G","properties":{"formattedCitation":"\\super 7,8\\nosupersub{}","plainCitation":"7,8","noteIndex":0},"citationItems":[{"id":23,"uris":["http://zotero.org/users/local/9sJamRgX/items/HHDU3V86"],"uri":["http://zotero.org/users/local/9sJamRgX/items/HHDU3V86"],"itemData":{"id":23,"type":"article-journal","title":"Self-Renewal and CSCs In Vitro Enrichment: Growth as Floating Spheres","container-title":"Methods Mol Biol","page":"61–75","volume":"1692","DOI":"10.1007/978-1-4939-7401-6","author":[{"family":"Mehta","given":"Pooja"},{"family":"Novak","given":"Caymen"},{"family":"Raghavan","given":"Shreya"},{"family":"Ward","given":"Maria"},{"family":"Mehta","given":"Geeta"}],"issued":{"date-parts":[["2018"]]}}},{"id":33,"uris":["http://zotero.org/users/local/9sJamRgX/items/N6WMQZCP"],"uri":["http://zotero.org/users/local/9sJamRgX/items/N6WMQZCP"],"itemData":{"id":33,"type":"article-journal","title":"Personalized Medicine Based Approach to Model Patterns of Chemoresistance and Tumor Recurrence Using Ovarian Cancer Stem Cell Spheroids","container-title":"Clinical Cancer Research","page":"clincanres.0133.2017","DOI":"10.1158/1078-0432.CCR-17-0133","ISSN":"1078-0432","author":[{"family":"Raghavan","given":"Shreya"},{"family":"Mehta","given":"Pooja"},{"family":"Ward","given":"Maria W"},{"family":"Bregenzer","given":"Michael E."},{"family":"Fleck","given":"Elyse M.A."},{"family":"Tan","given":"Lijun"},{"family":"McLean","given":"Karen"},{"family":"Buckanovich","given":"Ronald"},{"family":"Mehta","given":"Geeta"}],"issued":{"date-parts":[["2017"]]}}}],"schema":"https://github.com/citation-style-language/schema/raw/master/csl-citation.json"} </w:instrText>
      </w:r>
      <w:r w:rsidRPr="00116D48">
        <w:rPr>
          <w:rFonts w:cstheme="minorHAnsi"/>
        </w:rPr>
        <w:fldChar w:fldCharType="separate"/>
      </w:r>
      <w:r w:rsidRPr="00116D48">
        <w:rPr>
          <w:rFonts w:eastAsia="Times New Roman" w:cstheme="minorHAnsi"/>
          <w:vertAlign w:val="superscript"/>
        </w:rPr>
        <w:t>7,8</w:t>
      </w:r>
      <w:r w:rsidRPr="00116D48">
        <w:rPr>
          <w:rFonts w:cstheme="minorHAnsi"/>
        </w:rPr>
        <w:fldChar w:fldCharType="end"/>
      </w:r>
      <w:r w:rsidRPr="00116D48">
        <w:rPr>
          <w:rFonts w:cstheme="minorHAnsi"/>
        </w:rPr>
        <w:t>.</w:t>
      </w:r>
    </w:p>
    <w:p w14:paraId="7C25063F" w14:textId="77777777" w:rsidR="00116D48" w:rsidRPr="00116D48" w:rsidRDefault="00116D48" w:rsidP="00116D48">
      <w:pPr>
        <w:jc w:val="both"/>
        <w:rPr>
          <w:rFonts w:cstheme="minorHAnsi"/>
        </w:rPr>
      </w:pPr>
    </w:p>
    <w:p w14:paraId="336DA66F" w14:textId="77777777" w:rsidR="00116D48" w:rsidRPr="00116D48" w:rsidRDefault="00116D48" w:rsidP="00116D48">
      <w:pPr>
        <w:jc w:val="both"/>
        <w:rPr>
          <w:rFonts w:cstheme="minorHAnsi"/>
          <w:b/>
        </w:rPr>
      </w:pPr>
      <w:r w:rsidRPr="00116D48">
        <w:rPr>
          <w:rFonts w:cstheme="minorHAnsi"/>
          <w:b/>
        </w:rPr>
        <w:t>References:</w:t>
      </w:r>
    </w:p>
    <w:p w14:paraId="1096BA6E" w14:textId="77777777" w:rsidR="00116D48" w:rsidRPr="00116D48" w:rsidRDefault="00116D48" w:rsidP="00116D48">
      <w:pPr>
        <w:rPr>
          <w:rFonts w:cstheme="minorHAnsi"/>
          <w:color w:val="000000" w:themeColor="text1"/>
        </w:rPr>
      </w:pPr>
      <w:r w:rsidRPr="00116D48">
        <w:rPr>
          <w:rFonts w:cstheme="minorHAnsi"/>
          <w:b/>
          <w:color w:val="000000" w:themeColor="text1"/>
        </w:rPr>
        <w:fldChar w:fldCharType="begin"/>
      </w:r>
      <w:r w:rsidRPr="00116D48">
        <w:rPr>
          <w:rFonts w:cstheme="minorHAnsi"/>
          <w:b/>
          <w:color w:val="000000" w:themeColor="text1"/>
        </w:rPr>
        <w:instrText xml:space="preserve"> ADDIN ZOTERO_BIBL {"uncited":[],"omitted":[],"custom":[]} CSL_BIBLIOGRAPHY </w:instrText>
      </w:r>
      <w:r w:rsidRPr="00116D48">
        <w:rPr>
          <w:rFonts w:cstheme="minorHAnsi"/>
          <w:b/>
          <w:color w:val="000000" w:themeColor="text1"/>
        </w:rPr>
        <w:fldChar w:fldCharType="separate"/>
      </w:r>
      <w:r w:rsidRPr="00116D48">
        <w:rPr>
          <w:rFonts w:cstheme="minorHAnsi"/>
          <w:color w:val="000000" w:themeColor="text1"/>
        </w:rPr>
        <w:t>1.</w:t>
      </w:r>
      <w:r w:rsidRPr="00116D48">
        <w:rPr>
          <w:rFonts w:cstheme="minorHAnsi"/>
          <w:color w:val="000000" w:themeColor="text1"/>
        </w:rPr>
        <w:tab/>
        <w:t xml:space="preserve">Jager, L. D. </w:t>
      </w:r>
      <w:r w:rsidRPr="00116D48">
        <w:rPr>
          <w:rFonts w:cstheme="minorHAnsi"/>
          <w:i/>
          <w:iCs/>
          <w:color w:val="000000" w:themeColor="text1"/>
        </w:rPr>
        <w:t>et al.</w:t>
      </w:r>
      <w:r w:rsidRPr="00116D48">
        <w:rPr>
          <w:rFonts w:cstheme="minorHAnsi"/>
          <w:color w:val="000000" w:themeColor="text1"/>
        </w:rPr>
        <w:t xml:space="preserve"> Effect of enzymatic and mechanical methods of dissociation on neural progenitor cells derived from induced pluripotent stem cells. </w:t>
      </w:r>
      <w:r w:rsidRPr="00116D48">
        <w:rPr>
          <w:rFonts w:cstheme="minorHAnsi"/>
          <w:i/>
          <w:color w:val="000000" w:themeColor="text1"/>
          <w:shd w:val="clear" w:color="auto" w:fill="FFFFFF"/>
        </w:rPr>
        <w:t>Advances in Medical Sciences</w:t>
      </w:r>
    </w:p>
    <w:p w14:paraId="017ADA18" w14:textId="77777777" w:rsidR="00116D48" w:rsidRPr="00116D48" w:rsidRDefault="00116D48" w:rsidP="00116D48">
      <w:pPr>
        <w:pStyle w:val="Bibliography"/>
        <w:rPr>
          <w:rFonts w:cstheme="minorHAnsi"/>
          <w:color w:val="000000" w:themeColor="text1"/>
        </w:rPr>
      </w:pPr>
      <w:r w:rsidRPr="00116D48">
        <w:rPr>
          <w:rFonts w:cstheme="minorHAnsi"/>
          <w:b/>
          <w:bCs/>
          <w:color w:val="000000" w:themeColor="text1"/>
        </w:rPr>
        <w:t>61</w:t>
      </w:r>
      <w:r w:rsidRPr="00116D48">
        <w:rPr>
          <w:rFonts w:cstheme="minorHAnsi"/>
          <w:color w:val="000000" w:themeColor="text1"/>
        </w:rPr>
        <w:t>, 78–84 (2016).</w:t>
      </w:r>
    </w:p>
    <w:p w14:paraId="610D6CCF"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t>2.</w:t>
      </w:r>
      <w:r w:rsidRPr="00116D48">
        <w:rPr>
          <w:rFonts w:cstheme="minorHAnsi"/>
          <w:color w:val="000000" w:themeColor="text1"/>
        </w:rPr>
        <w:tab/>
        <w:t xml:space="preserve">Tung, Y.-C. </w:t>
      </w:r>
      <w:r w:rsidRPr="00116D48">
        <w:rPr>
          <w:rFonts w:cstheme="minorHAnsi"/>
          <w:i/>
          <w:iCs/>
          <w:color w:val="000000" w:themeColor="text1"/>
        </w:rPr>
        <w:t>et al.</w:t>
      </w:r>
      <w:r w:rsidRPr="00116D48">
        <w:rPr>
          <w:rFonts w:cstheme="minorHAnsi"/>
          <w:color w:val="000000" w:themeColor="text1"/>
        </w:rPr>
        <w:t xml:space="preserve"> High-throughput 3D spheroid culture and drug testing using a 384 hanging drop array. </w:t>
      </w:r>
      <w:r w:rsidRPr="00116D48">
        <w:rPr>
          <w:rFonts w:cstheme="minorHAnsi"/>
          <w:i/>
          <w:iCs/>
          <w:color w:val="000000" w:themeColor="text1"/>
        </w:rPr>
        <w:t>The Analyst</w:t>
      </w:r>
      <w:r w:rsidRPr="00116D48">
        <w:rPr>
          <w:rFonts w:cstheme="minorHAnsi"/>
          <w:color w:val="000000" w:themeColor="text1"/>
        </w:rPr>
        <w:t xml:space="preserve"> </w:t>
      </w:r>
      <w:r w:rsidRPr="00116D48">
        <w:rPr>
          <w:rFonts w:cstheme="minorHAnsi"/>
          <w:b/>
          <w:bCs/>
          <w:color w:val="000000" w:themeColor="text1"/>
        </w:rPr>
        <w:t>136</w:t>
      </w:r>
      <w:r w:rsidRPr="00116D48">
        <w:rPr>
          <w:rFonts w:cstheme="minorHAnsi"/>
          <w:color w:val="000000" w:themeColor="text1"/>
        </w:rPr>
        <w:t>, 473–478 (2011).</w:t>
      </w:r>
    </w:p>
    <w:p w14:paraId="5B1433D7"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t>3.</w:t>
      </w:r>
      <w:r w:rsidRPr="00116D48">
        <w:rPr>
          <w:rFonts w:cstheme="minorHAnsi"/>
          <w:color w:val="000000" w:themeColor="text1"/>
        </w:rPr>
        <w:tab/>
        <w:t xml:space="preserve">Hsiao, A. Y. </w:t>
      </w:r>
      <w:r w:rsidRPr="00116D48">
        <w:rPr>
          <w:rFonts w:cstheme="minorHAnsi"/>
          <w:i/>
          <w:iCs/>
          <w:color w:val="000000" w:themeColor="text1"/>
        </w:rPr>
        <w:t>et al.</w:t>
      </w:r>
      <w:r w:rsidRPr="00116D48">
        <w:rPr>
          <w:rFonts w:cstheme="minorHAnsi"/>
          <w:color w:val="000000" w:themeColor="text1"/>
        </w:rPr>
        <w:t xml:space="preserve"> Micro-Ring Structures Stabilize Microdroplets to Enable Long Term Spheroid Culture in 384 Hanging Drop Array Plates. </w:t>
      </w:r>
      <w:r w:rsidRPr="00116D48">
        <w:rPr>
          <w:rFonts w:cstheme="minorHAnsi"/>
          <w:i/>
          <w:iCs/>
          <w:color w:val="000000" w:themeColor="text1"/>
        </w:rPr>
        <w:t>Biomedical Microdevices</w:t>
      </w:r>
      <w:r w:rsidRPr="00116D48">
        <w:rPr>
          <w:rFonts w:cstheme="minorHAnsi"/>
          <w:color w:val="000000" w:themeColor="text1"/>
        </w:rPr>
        <w:t xml:space="preserve"> </w:t>
      </w:r>
      <w:r w:rsidRPr="00116D48">
        <w:rPr>
          <w:rFonts w:cstheme="minorHAnsi"/>
          <w:b/>
          <w:bCs/>
          <w:color w:val="000000" w:themeColor="text1"/>
        </w:rPr>
        <w:t>14</w:t>
      </w:r>
      <w:r w:rsidRPr="00116D48">
        <w:rPr>
          <w:rFonts w:cstheme="minorHAnsi"/>
          <w:color w:val="000000" w:themeColor="text1"/>
        </w:rPr>
        <w:t>, 313–323 (2012).</w:t>
      </w:r>
    </w:p>
    <w:p w14:paraId="3115A0F7"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t>4.</w:t>
      </w:r>
      <w:r w:rsidRPr="00116D48">
        <w:rPr>
          <w:rFonts w:cstheme="minorHAnsi"/>
          <w:color w:val="000000" w:themeColor="text1"/>
        </w:rPr>
        <w:tab/>
        <w:t xml:space="preserve">Raghavan, S. </w:t>
      </w:r>
      <w:r w:rsidRPr="00116D48">
        <w:rPr>
          <w:rFonts w:cstheme="minorHAnsi"/>
          <w:i/>
          <w:iCs/>
          <w:color w:val="000000" w:themeColor="text1"/>
        </w:rPr>
        <w:t>et al.</w:t>
      </w:r>
      <w:r w:rsidRPr="00116D48">
        <w:rPr>
          <w:rFonts w:cstheme="minorHAnsi"/>
          <w:color w:val="000000" w:themeColor="text1"/>
        </w:rPr>
        <w:t xml:space="preserve"> Formation of stable small cell number three-dimensional ovarian cancer spheroids using hanging drop arrays for preclinical drug sensitivity assays. </w:t>
      </w:r>
      <w:r w:rsidRPr="00116D48">
        <w:rPr>
          <w:rFonts w:cstheme="minorHAnsi"/>
          <w:i/>
          <w:iCs/>
          <w:color w:val="000000" w:themeColor="text1"/>
        </w:rPr>
        <w:t>Gynecologic Oncology</w:t>
      </w:r>
      <w:r w:rsidRPr="00116D48">
        <w:rPr>
          <w:rFonts w:cstheme="minorHAnsi"/>
          <w:color w:val="000000" w:themeColor="text1"/>
        </w:rPr>
        <w:t xml:space="preserve"> </w:t>
      </w:r>
      <w:r w:rsidRPr="00116D48">
        <w:rPr>
          <w:rFonts w:cstheme="minorHAnsi"/>
          <w:b/>
          <w:bCs/>
          <w:color w:val="000000" w:themeColor="text1"/>
        </w:rPr>
        <w:t>138</w:t>
      </w:r>
      <w:r w:rsidRPr="00116D48">
        <w:rPr>
          <w:rFonts w:cstheme="minorHAnsi"/>
          <w:color w:val="000000" w:themeColor="text1"/>
        </w:rPr>
        <w:t>, 181–189 (2015).</w:t>
      </w:r>
    </w:p>
    <w:p w14:paraId="25CCDFC0"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t>5.</w:t>
      </w:r>
      <w:r w:rsidRPr="00116D48">
        <w:rPr>
          <w:rFonts w:cstheme="minorHAnsi"/>
          <w:color w:val="000000" w:themeColor="text1"/>
        </w:rPr>
        <w:tab/>
        <w:t xml:space="preserve">Raghavan, S. </w:t>
      </w:r>
      <w:r w:rsidRPr="00116D48">
        <w:rPr>
          <w:rFonts w:cstheme="minorHAnsi"/>
          <w:i/>
          <w:iCs/>
          <w:color w:val="000000" w:themeColor="text1"/>
        </w:rPr>
        <w:t>et al.</w:t>
      </w:r>
      <w:r w:rsidRPr="00116D48">
        <w:rPr>
          <w:rFonts w:cstheme="minorHAnsi"/>
          <w:color w:val="000000" w:themeColor="text1"/>
        </w:rPr>
        <w:t xml:space="preserve"> Comparative analysis of tumor spheroid generation techniques for differential in vitro drug toxicity. </w:t>
      </w:r>
      <w:r w:rsidRPr="00116D48">
        <w:rPr>
          <w:rFonts w:cstheme="minorHAnsi"/>
          <w:i/>
          <w:iCs/>
          <w:color w:val="000000" w:themeColor="text1"/>
        </w:rPr>
        <w:t>Oncotarget</w:t>
      </w:r>
      <w:r w:rsidRPr="00116D48">
        <w:rPr>
          <w:rFonts w:cstheme="minorHAnsi"/>
          <w:color w:val="000000" w:themeColor="text1"/>
        </w:rPr>
        <w:t xml:space="preserve"> </w:t>
      </w:r>
      <w:r w:rsidRPr="00116D48">
        <w:rPr>
          <w:rFonts w:cstheme="minorHAnsi"/>
          <w:b/>
          <w:bCs/>
          <w:color w:val="000000" w:themeColor="text1"/>
        </w:rPr>
        <w:t>7</w:t>
      </w:r>
      <w:r w:rsidRPr="00116D48">
        <w:rPr>
          <w:rFonts w:cstheme="minorHAnsi"/>
          <w:color w:val="000000" w:themeColor="text1"/>
        </w:rPr>
        <w:t>, 16948–16961 (2016).</w:t>
      </w:r>
    </w:p>
    <w:p w14:paraId="3FB08F2F"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t>6.</w:t>
      </w:r>
      <w:r w:rsidRPr="00116D48">
        <w:rPr>
          <w:rFonts w:cstheme="minorHAnsi"/>
          <w:color w:val="000000" w:themeColor="text1"/>
        </w:rPr>
        <w:tab/>
        <w:t xml:space="preserve">Eilenberger, C. </w:t>
      </w:r>
      <w:r w:rsidRPr="00116D48">
        <w:rPr>
          <w:rFonts w:cstheme="minorHAnsi"/>
          <w:i/>
          <w:iCs/>
          <w:color w:val="000000" w:themeColor="text1"/>
        </w:rPr>
        <w:t>et al.</w:t>
      </w:r>
      <w:r w:rsidRPr="00116D48">
        <w:rPr>
          <w:rFonts w:cstheme="minorHAnsi"/>
          <w:color w:val="000000" w:themeColor="text1"/>
        </w:rPr>
        <w:t xml:space="preserve"> Optimized alamarBlue assay protocol for drug dose-response determination of 3D tumor spheroids. </w:t>
      </w:r>
      <w:r w:rsidRPr="00116D48">
        <w:rPr>
          <w:rFonts w:cstheme="minorHAnsi"/>
          <w:i/>
          <w:iCs/>
          <w:color w:val="000000" w:themeColor="text1"/>
        </w:rPr>
        <w:t>MethodsX</w:t>
      </w:r>
      <w:r w:rsidRPr="00116D48">
        <w:rPr>
          <w:rFonts w:cstheme="minorHAnsi"/>
          <w:color w:val="000000" w:themeColor="text1"/>
        </w:rPr>
        <w:t xml:space="preserve"> </w:t>
      </w:r>
      <w:r w:rsidRPr="00116D48">
        <w:rPr>
          <w:rFonts w:cstheme="minorHAnsi"/>
          <w:b/>
          <w:bCs/>
          <w:color w:val="000000" w:themeColor="text1"/>
        </w:rPr>
        <w:t>5</w:t>
      </w:r>
      <w:r w:rsidRPr="00116D48">
        <w:rPr>
          <w:rFonts w:cstheme="minorHAnsi"/>
          <w:color w:val="000000" w:themeColor="text1"/>
        </w:rPr>
        <w:t>, 781–787 (2018).</w:t>
      </w:r>
    </w:p>
    <w:p w14:paraId="7371CE05"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t>7.</w:t>
      </w:r>
      <w:r w:rsidRPr="00116D48">
        <w:rPr>
          <w:rFonts w:cstheme="minorHAnsi"/>
          <w:color w:val="000000" w:themeColor="text1"/>
        </w:rPr>
        <w:tab/>
        <w:t xml:space="preserve">Mehta, P., Novak, C., Raghavan, S., Ward, M. &amp; Mehta, G. Self-Renewal and CSCs In Vitro Enrichment: Growth as Floating Spheres. </w:t>
      </w:r>
      <w:r w:rsidRPr="00116D48">
        <w:rPr>
          <w:rFonts w:cstheme="minorHAnsi"/>
          <w:i/>
          <w:iCs/>
          <w:color w:val="000000" w:themeColor="text1"/>
        </w:rPr>
        <w:t>Methods in Molecular Biology</w:t>
      </w:r>
      <w:r w:rsidRPr="00116D48">
        <w:rPr>
          <w:rFonts w:cstheme="minorHAnsi"/>
          <w:color w:val="000000" w:themeColor="text1"/>
        </w:rPr>
        <w:t xml:space="preserve"> </w:t>
      </w:r>
      <w:r w:rsidRPr="00116D48">
        <w:rPr>
          <w:rFonts w:cstheme="minorHAnsi"/>
          <w:b/>
          <w:bCs/>
          <w:color w:val="000000" w:themeColor="text1"/>
        </w:rPr>
        <w:t>1692</w:t>
      </w:r>
      <w:r w:rsidRPr="00116D48">
        <w:rPr>
          <w:rFonts w:cstheme="minorHAnsi"/>
          <w:color w:val="000000" w:themeColor="text1"/>
        </w:rPr>
        <w:t>, 61–75 (2018).</w:t>
      </w:r>
    </w:p>
    <w:p w14:paraId="6FF98EC0"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t>8.</w:t>
      </w:r>
      <w:r w:rsidRPr="00116D48">
        <w:rPr>
          <w:rFonts w:cstheme="minorHAnsi"/>
          <w:color w:val="000000" w:themeColor="text1"/>
        </w:rPr>
        <w:tab/>
        <w:t xml:space="preserve">Raghavan, S. </w:t>
      </w:r>
      <w:r w:rsidRPr="00116D48">
        <w:rPr>
          <w:rFonts w:cstheme="minorHAnsi"/>
          <w:i/>
          <w:iCs/>
          <w:color w:val="000000" w:themeColor="text1"/>
        </w:rPr>
        <w:t>et al.</w:t>
      </w:r>
      <w:r w:rsidRPr="00116D48">
        <w:rPr>
          <w:rFonts w:cstheme="minorHAnsi"/>
          <w:color w:val="000000" w:themeColor="text1"/>
        </w:rPr>
        <w:t xml:space="preserve"> Personalized Medicine Based Approach to Model Patterns of Chemoresistance and Tumor Recurrence Using Ovarian Cancer Stem Cell Spheroids. </w:t>
      </w:r>
      <w:r w:rsidRPr="00116D48">
        <w:rPr>
          <w:rFonts w:cstheme="minorHAnsi"/>
          <w:i/>
          <w:iCs/>
          <w:color w:val="000000" w:themeColor="text1"/>
        </w:rPr>
        <w:t>Clinical Cancer Research</w:t>
      </w:r>
      <w:r w:rsidRPr="00116D48">
        <w:rPr>
          <w:rFonts w:cstheme="minorHAnsi"/>
          <w:color w:val="000000" w:themeColor="text1"/>
        </w:rPr>
        <w:t xml:space="preserve"> </w:t>
      </w:r>
      <w:r w:rsidRPr="00116D48">
        <w:rPr>
          <w:rFonts w:cstheme="minorHAnsi"/>
          <w:b/>
          <w:color w:val="000000" w:themeColor="text1"/>
        </w:rPr>
        <w:t>23</w:t>
      </w:r>
      <w:r w:rsidRPr="00116D48">
        <w:rPr>
          <w:rFonts w:cstheme="minorHAnsi"/>
          <w:color w:val="000000" w:themeColor="text1"/>
        </w:rPr>
        <w:t>(22):6934-6945 (2017).</w:t>
      </w:r>
    </w:p>
    <w:p w14:paraId="53E63C2F"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lastRenderedPageBreak/>
        <w:t>9.</w:t>
      </w:r>
      <w:r w:rsidRPr="00116D48">
        <w:rPr>
          <w:rFonts w:cstheme="minorHAnsi"/>
          <w:color w:val="000000" w:themeColor="text1"/>
        </w:rPr>
        <w:tab/>
        <w:t xml:space="preserve">House, C. D., Hernandez, L. &amp; Annunziata, C. M. In vitro Enrichment of Ovarian Cancer Tumor-initiating Cells. </w:t>
      </w:r>
      <w:r w:rsidRPr="00116D48">
        <w:rPr>
          <w:rFonts w:cstheme="minorHAnsi"/>
          <w:i/>
          <w:iCs/>
          <w:color w:val="000000" w:themeColor="text1"/>
        </w:rPr>
        <w:t>JoVE (Journal of Visualized Experiments)</w:t>
      </w:r>
      <w:r w:rsidRPr="00116D48">
        <w:rPr>
          <w:rFonts w:cstheme="minorHAnsi"/>
          <w:color w:val="000000" w:themeColor="text1"/>
        </w:rPr>
        <w:t xml:space="preserve"> e52446 (2015). doi:10.3791/52446</w:t>
      </w:r>
    </w:p>
    <w:p w14:paraId="429FA839" w14:textId="77777777" w:rsidR="00116D48" w:rsidRPr="00116D48" w:rsidRDefault="00116D48" w:rsidP="00116D48">
      <w:pPr>
        <w:pStyle w:val="Bibliography"/>
        <w:rPr>
          <w:rFonts w:cstheme="minorHAnsi"/>
          <w:color w:val="000000" w:themeColor="text1"/>
        </w:rPr>
      </w:pPr>
      <w:r w:rsidRPr="00116D48">
        <w:rPr>
          <w:rFonts w:cstheme="minorHAnsi"/>
          <w:color w:val="000000" w:themeColor="text1"/>
        </w:rPr>
        <w:t>10.</w:t>
      </w:r>
      <w:r w:rsidRPr="00116D48">
        <w:rPr>
          <w:rFonts w:cstheme="minorHAnsi"/>
          <w:color w:val="000000" w:themeColor="text1"/>
        </w:rPr>
        <w:tab/>
        <w:t xml:space="preserve">Macosko, E. Z. </w:t>
      </w:r>
      <w:r w:rsidRPr="00116D48">
        <w:rPr>
          <w:rFonts w:cstheme="minorHAnsi"/>
          <w:i/>
          <w:iCs/>
          <w:color w:val="000000" w:themeColor="text1"/>
        </w:rPr>
        <w:t>et al.</w:t>
      </w:r>
      <w:r w:rsidRPr="00116D48">
        <w:rPr>
          <w:rFonts w:cstheme="minorHAnsi"/>
          <w:color w:val="000000" w:themeColor="text1"/>
        </w:rPr>
        <w:t xml:space="preserve"> Highly Parallel Genome-wide Expression Profiling of Individual Cells Using Nanoliter Droplets. </w:t>
      </w:r>
      <w:r w:rsidRPr="00116D48">
        <w:rPr>
          <w:rFonts w:cstheme="minorHAnsi"/>
          <w:i/>
          <w:iCs/>
          <w:color w:val="000000" w:themeColor="text1"/>
        </w:rPr>
        <w:t>Cell</w:t>
      </w:r>
      <w:r w:rsidRPr="00116D48">
        <w:rPr>
          <w:rFonts w:cstheme="minorHAnsi"/>
          <w:color w:val="000000" w:themeColor="text1"/>
        </w:rPr>
        <w:t xml:space="preserve"> </w:t>
      </w:r>
      <w:r w:rsidRPr="00116D48">
        <w:rPr>
          <w:rFonts w:cstheme="minorHAnsi"/>
          <w:b/>
          <w:bCs/>
          <w:color w:val="000000" w:themeColor="text1"/>
        </w:rPr>
        <w:t>161</w:t>
      </w:r>
      <w:r w:rsidRPr="00116D48">
        <w:rPr>
          <w:rFonts w:cstheme="minorHAnsi"/>
          <w:color w:val="000000" w:themeColor="text1"/>
        </w:rPr>
        <w:t>, 1202–1214 (2015).</w:t>
      </w:r>
    </w:p>
    <w:p w14:paraId="309B4E05" w14:textId="2F46BCCA" w:rsidR="00D8598C" w:rsidRPr="00116D48" w:rsidRDefault="00116D48" w:rsidP="00116D48">
      <w:pPr>
        <w:jc w:val="both"/>
        <w:rPr>
          <w:rFonts w:cstheme="minorHAnsi"/>
          <w:b/>
        </w:rPr>
      </w:pPr>
      <w:r w:rsidRPr="00116D48">
        <w:rPr>
          <w:rFonts w:cstheme="minorHAnsi"/>
          <w:b/>
          <w:color w:val="000000" w:themeColor="text1"/>
        </w:rPr>
        <w:fldChar w:fldCharType="end"/>
      </w:r>
    </w:p>
    <w:sectPr w:rsidR="00D8598C" w:rsidRPr="00116D48" w:rsidSect="00D605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9C"/>
    <w:rsid w:val="00016447"/>
    <w:rsid w:val="000215C1"/>
    <w:rsid w:val="00023177"/>
    <w:rsid w:val="00032476"/>
    <w:rsid w:val="00042586"/>
    <w:rsid w:val="00047079"/>
    <w:rsid w:val="00057A07"/>
    <w:rsid w:val="000628BB"/>
    <w:rsid w:val="00067047"/>
    <w:rsid w:val="00076E24"/>
    <w:rsid w:val="000839E1"/>
    <w:rsid w:val="0008404E"/>
    <w:rsid w:val="00085C1C"/>
    <w:rsid w:val="00086B0F"/>
    <w:rsid w:val="00090983"/>
    <w:rsid w:val="000B3E28"/>
    <w:rsid w:val="000B53D9"/>
    <w:rsid w:val="000C6415"/>
    <w:rsid w:val="000C7514"/>
    <w:rsid w:val="000D3690"/>
    <w:rsid w:val="000D6A35"/>
    <w:rsid w:val="000E22DC"/>
    <w:rsid w:val="00102CEC"/>
    <w:rsid w:val="00104BA4"/>
    <w:rsid w:val="00116D48"/>
    <w:rsid w:val="001245EA"/>
    <w:rsid w:val="00132C6A"/>
    <w:rsid w:val="00144207"/>
    <w:rsid w:val="00164BFE"/>
    <w:rsid w:val="00172C4E"/>
    <w:rsid w:val="001758C6"/>
    <w:rsid w:val="00175EF5"/>
    <w:rsid w:val="00176E38"/>
    <w:rsid w:val="00192C9C"/>
    <w:rsid w:val="00194917"/>
    <w:rsid w:val="00196266"/>
    <w:rsid w:val="001A5AC8"/>
    <w:rsid w:val="001C0723"/>
    <w:rsid w:val="001E54DB"/>
    <w:rsid w:val="001E5C42"/>
    <w:rsid w:val="00203176"/>
    <w:rsid w:val="00207F9A"/>
    <w:rsid w:val="002103EC"/>
    <w:rsid w:val="002161D2"/>
    <w:rsid w:val="00232638"/>
    <w:rsid w:val="00240EF6"/>
    <w:rsid w:val="002412EA"/>
    <w:rsid w:val="00256D3E"/>
    <w:rsid w:val="00262511"/>
    <w:rsid w:val="002913DD"/>
    <w:rsid w:val="00292F44"/>
    <w:rsid w:val="002B0200"/>
    <w:rsid w:val="002C287B"/>
    <w:rsid w:val="002C6384"/>
    <w:rsid w:val="002D3696"/>
    <w:rsid w:val="002F4D72"/>
    <w:rsid w:val="00302BD5"/>
    <w:rsid w:val="00311D61"/>
    <w:rsid w:val="003149B1"/>
    <w:rsid w:val="00314AAF"/>
    <w:rsid w:val="00317594"/>
    <w:rsid w:val="003254BC"/>
    <w:rsid w:val="00337B0F"/>
    <w:rsid w:val="0034243B"/>
    <w:rsid w:val="00355D4B"/>
    <w:rsid w:val="00371D0A"/>
    <w:rsid w:val="00377D6C"/>
    <w:rsid w:val="0038321D"/>
    <w:rsid w:val="003E0243"/>
    <w:rsid w:val="004115FC"/>
    <w:rsid w:val="00420587"/>
    <w:rsid w:val="004229BF"/>
    <w:rsid w:val="00422FF1"/>
    <w:rsid w:val="00424AFC"/>
    <w:rsid w:val="00427C8D"/>
    <w:rsid w:val="004315B6"/>
    <w:rsid w:val="0046778B"/>
    <w:rsid w:val="004748DE"/>
    <w:rsid w:val="00480F07"/>
    <w:rsid w:val="004832C1"/>
    <w:rsid w:val="00487A1A"/>
    <w:rsid w:val="00495DF9"/>
    <w:rsid w:val="004A4AD0"/>
    <w:rsid w:val="004A6F64"/>
    <w:rsid w:val="004B0C76"/>
    <w:rsid w:val="004B3EBB"/>
    <w:rsid w:val="004B463D"/>
    <w:rsid w:val="004E1712"/>
    <w:rsid w:val="004E42BD"/>
    <w:rsid w:val="004E4A2A"/>
    <w:rsid w:val="004F3323"/>
    <w:rsid w:val="004F601E"/>
    <w:rsid w:val="004F62AC"/>
    <w:rsid w:val="00505B74"/>
    <w:rsid w:val="005214CE"/>
    <w:rsid w:val="00524F7C"/>
    <w:rsid w:val="005343AE"/>
    <w:rsid w:val="0054115C"/>
    <w:rsid w:val="00566304"/>
    <w:rsid w:val="00577E4C"/>
    <w:rsid w:val="00584B35"/>
    <w:rsid w:val="00594860"/>
    <w:rsid w:val="005A49B5"/>
    <w:rsid w:val="005B0A5C"/>
    <w:rsid w:val="005D0779"/>
    <w:rsid w:val="005D0CBE"/>
    <w:rsid w:val="005D5B39"/>
    <w:rsid w:val="005E56AC"/>
    <w:rsid w:val="005E6110"/>
    <w:rsid w:val="005F5EB5"/>
    <w:rsid w:val="005F7866"/>
    <w:rsid w:val="006155A0"/>
    <w:rsid w:val="0061726C"/>
    <w:rsid w:val="00625611"/>
    <w:rsid w:val="00643E81"/>
    <w:rsid w:val="00647A61"/>
    <w:rsid w:val="00660956"/>
    <w:rsid w:val="00663460"/>
    <w:rsid w:val="00672362"/>
    <w:rsid w:val="00673922"/>
    <w:rsid w:val="00675FDB"/>
    <w:rsid w:val="00690F39"/>
    <w:rsid w:val="0069115B"/>
    <w:rsid w:val="006B7EF2"/>
    <w:rsid w:val="006C0BCA"/>
    <w:rsid w:val="006C6C28"/>
    <w:rsid w:val="006F57D9"/>
    <w:rsid w:val="006F59C3"/>
    <w:rsid w:val="007027C7"/>
    <w:rsid w:val="007043C8"/>
    <w:rsid w:val="007205C9"/>
    <w:rsid w:val="00724016"/>
    <w:rsid w:val="00750EF1"/>
    <w:rsid w:val="0075280E"/>
    <w:rsid w:val="0075286C"/>
    <w:rsid w:val="00771719"/>
    <w:rsid w:val="00782B4B"/>
    <w:rsid w:val="00786658"/>
    <w:rsid w:val="007A372D"/>
    <w:rsid w:val="007C458B"/>
    <w:rsid w:val="007D722D"/>
    <w:rsid w:val="007F65FF"/>
    <w:rsid w:val="008131A3"/>
    <w:rsid w:val="00814B2F"/>
    <w:rsid w:val="00817D83"/>
    <w:rsid w:val="008304D8"/>
    <w:rsid w:val="008412BD"/>
    <w:rsid w:val="00842451"/>
    <w:rsid w:val="00842C14"/>
    <w:rsid w:val="00853B32"/>
    <w:rsid w:val="00853D28"/>
    <w:rsid w:val="008740A4"/>
    <w:rsid w:val="0087668E"/>
    <w:rsid w:val="008802C4"/>
    <w:rsid w:val="008B2671"/>
    <w:rsid w:val="008B268F"/>
    <w:rsid w:val="008D47C8"/>
    <w:rsid w:val="008E3E84"/>
    <w:rsid w:val="008E3E89"/>
    <w:rsid w:val="008F5EF9"/>
    <w:rsid w:val="00905E9B"/>
    <w:rsid w:val="00907FB5"/>
    <w:rsid w:val="00937211"/>
    <w:rsid w:val="0093772F"/>
    <w:rsid w:val="00955D1B"/>
    <w:rsid w:val="0095695D"/>
    <w:rsid w:val="009723E0"/>
    <w:rsid w:val="009904BF"/>
    <w:rsid w:val="009A47CE"/>
    <w:rsid w:val="009A6835"/>
    <w:rsid w:val="009B035F"/>
    <w:rsid w:val="009B30F2"/>
    <w:rsid w:val="009B6EA8"/>
    <w:rsid w:val="009B759F"/>
    <w:rsid w:val="009C6034"/>
    <w:rsid w:val="009C67FF"/>
    <w:rsid w:val="009D10B1"/>
    <w:rsid w:val="009D3670"/>
    <w:rsid w:val="009E271D"/>
    <w:rsid w:val="009E4D6A"/>
    <w:rsid w:val="009E5B9B"/>
    <w:rsid w:val="009F24F4"/>
    <w:rsid w:val="009F3EA9"/>
    <w:rsid w:val="009F7CAA"/>
    <w:rsid w:val="00A02CBB"/>
    <w:rsid w:val="00A10A64"/>
    <w:rsid w:val="00A32F31"/>
    <w:rsid w:val="00A36E6D"/>
    <w:rsid w:val="00A47DD0"/>
    <w:rsid w:val="00A67D55"/>
    <w:rsid w:val="00A73AAA"/>
    <w:rsid w:val="00A802B0"/>
    <w:rsid w:val="00A82D70"/>
    <w:rsid w:val="00A87390"/>
    <w:rsid w:val="00A907BF"/>
    <w:rsid w:val="00A90AB9"/>
    <w:rsid w:val="00A96114"/>
    <w:rsid w:val="00AA5B5D"/>
    <w:rsid w:val="00AD088C"/>
    <w:rsid w:val="00AD2105"/>
    <w:rsid w:val="00AD4C1C"/>
    <w:rsid w:val="00AD5B45"/>
    <w:rsid w:val="00AF0980"/>
    <w:rsid w:val="00AF6935"/>
    <w:rsid w:val="00B00496"/>
    <w:rsid w:val="00B0773F"/>
    <w:rsid w:val="00B07F9B"/>
    <w:rsid w:val="00B158FF"/>
    <w:rsid w:val="00B510CE"/>
    <w:rsid w:val="00B53392"/>
    <w:rsid w:val="00B66BE5"/>
    <w:rsid w:val="00B6725A"/>
    <w:rsid w:val="00B809A5"/>
    <w:rsid w:val="00B9270E"/>
    <w:rsid w:val="00B974CD"/>
    <w:rsid w:val="00BA371C"/>
    <w:rsid w:val="00BA7E8F"/>
    <w:rsid w:val="00BB32EF"/>
    <w:rsid w:val="00BC1840"/>
    <w:rsid w:val="00BE7FB5"/>
    <w:rsid w:val="00C21966"/>
    <w:rsid w:val="00C25E18"/>
    <w:rsid w:val="00C336D8"/>
    <w:rsid w:val="00C6075B"/>
    <w:rsid w:val="00C62396"/>
    <w:rsid w:val="00C73790"/>
    <w:rsid w:val="00C91029"/>
    <w:rsid w:val="00C93575"/>
    <w:rsid w:val="00CB7E16"/>
    <w:rsid w:val="00CC3F1C"/>
    <w:rsid w:val="00CC74FB"/>
    <w:rsid w:val="00CD4D9B"/>
    <w:rsid w:val="00D05AAF"/>
    <w:rsid w:val="00D343C8"/>
    <w:rsid w:val="00D35554"/>
    <w:rsid w:val="00D43CC4"/>
    <w:rsid w:val="00D515A7"/>
    <w:rsid w:val="00D6057D"/>
    <w:rsid w:val="00D71A5D"/>
    <w:rsid w:val="00D8598C"/>
    <w:rsid w:val="00D85E9F"/>
    <w:rsid w:val="00D91264"/>
    <w:rsid w:val="00DA76B7"/>
    <w:rsid w:val="00DB307C"/>
    <w:rsid w:val="00DB3BD8"/>
    <w:rsid w:val="00DB69CC"/>
    <w:rsid w:val="00DD50B2"/>
    <w:rsid w:val="00DE09EE"/>
    <w:rsid w:val="00DE35EA"/>
    <w:rsid w:val="00DE6D89"/>
    <w:rsid w:val="00DF1C3A"/>
    <w:rsid w:val="00E0028A"/>
    <w:rsid w:val="00E00615"/>
    <w:rsid w:val="00E10176"/>
    <w:rsid w:val="00E33902"/>
    <w:rsid w:val="00E41F86"/>
    <w:rsid w:val="00E4463D"/>
    <w:rsid w:val="00E57352"/>
    <w:rsid w:val="00E61477"/>
    <w:rsid w:val="00E826BB"/>
    <w:rsid w:val="00EA02B3"/>
    <w:rsid w:val="00EE7279"/>
    <w:rsid w:val="00F15AB8"/>
    <w:rsid w:val="00F22AB4"/>
    <w:rsid w:val="00F44D92"/>
    <w:rsid w:val="00F5428A"/>
    <w:rsid w:val="00F5560D"/>
    <w:rsid w:val="00F57A32"/>
    <w:rsid w:val="00F9150D"/>
    <w:rsid w:val="00F977CC"/>
    <w:rsid w:val="00FA0B1E"/>
    <w:rsid w:val="00FA376F"/>
    <w:rsid w:val="00FC4D82"/>
    <w:rsid w:val="00FE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4F08"/>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62511"/>
  </w:style>
  <w:style w:type="character" w:styleId="Strong">
    <w:name w:val="Strong"/>
    <w:basedOn w:val="DefaultParagraphFont"/>
    <w:uiPriority w:val="22"/>
    <w:qFormat/>
    <w:rsid w:val="00262511"/>
    <w:rPr>
      <w:b/>
      <w:bCs/>
    </w:rPr>
  </w:style>
  <w:style w:type="character" w:styleId="CommentReference">
    <w:name w:val="annotation reference"/>
    <w:basedOn w:val="DefaultParagraphFont"/>
    <w:uiPriority w:val="99"/>
    <w:semiHidden/>
    <w:unhideWhenUsed/>
    <w:rsid w:val="00B66BE5"/>
    <w:rPr>
      <w:sz w:val="18"/>
      <w:szCs w:val="18"/>
    </w:rPr>
  </w:style>
  <w:style w:type="paragraph" w:styleId="CommentText">
    <w:name w:val="annotation text"/>
    <w:basedOn w:val="Normal"/>
    <w:link w:val="CommentTextChar"/>
    <w:uiPriority w:val="99"/>
    <w:semiHidden/>
    <w:unhideWhenUsed/>
    <w:rsid w:val="00B66BE5"/>
  </w:style>
  <w:style w:type="character" w:customStyle="1" w:styleId="CommentTextChar">
    <w:name w:val="Comment Text Char"/>
    <w:basedOn w:val="DefaultParagraphFont"/>
    <w:link w:val="CommentText"/>
    <w:uiPriority w:val="99"/>
    <w:semiHidden/>
    <w:rsid w:val="00B66BE5"/>
  </w:style>
  <w:style w:type="paragraph" w:styleId="CommentSubject">
    <w:name w:val="annotation subject"/>
    <w:basedOn w:val="CommentText"/>
    <w:next w:val="CommentText"/>
    <w:link w:val="CommentSubjectChar"/>
    <w:uiPriority w:val="99"/>
    <w:semiHidden/>
    <w:unhideWhenUsed/>
    <w:rsid w:val="00B66BE5"/>
    <w:rPr>
      <w:b/>
      <w:bCs/>
      <w:sz w:val="20"/>
      <w:szCs w:val="20"/>
    </w:rPr>
  </w:style>
  <w:style w:type="character" w:customStyle="1" w:styleId="CommentSubjectChar">
    <w:name w:val="Comment Subject Char"/>
    <w:basedOn w:val="CommentTextChar"/>
    <w:link w:val="CommentSubject"/>
    <w:uiPriority w:val="99"/>
    <w:semiHidden/>
    <w:rsid w:val="00B66BE5"/>
    <w:rPr>
      <w:b/>
      <w:bCs/>
      <w:sz w:val="20"/>
      <w:szCs w:val="20"/>
    </w:rPr>
  </w:style>
  <w:style w:type="paragraph" w:styleId="BalloonText">
    <w:name w:val="Balloon Text"/>
    <w:basedOn w:val="Normal"/>
    <w:link w:val="BalloonTextChar"/>
    <w:uiPriority w:val="99"/>
    <w:semiHidden/>
    <w:unhideWhenUsed/>
    <w:rsid w:val="00B66B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6BE5"/>
    <w:rPr>
      <w:rFonts w:ascii="Times New Roman" w:hAnsi="Times New Roman" w:cs="Times New Roman"/>
      <w:sz w:val="18"/>
      <w:szCs w:val="18"/>
    </w:rPr>
  </w:style>
  <w:style w:type="character" w:styleId="Hyperlink">
    <w:name w:val="Hyperlink"/>
    <w:basedOn w:val="DefaultParagraphFont"/>
    <w:uiPriority w:val="99"/>
    <w:unhideWhenUsed/>
    <w:rsid w:val="00B66BE5"/>
    <w:rPr>
      <w:color w:val="0563C1" w:themeColor="hyperlink"/>
      <w:u w:val="single"/>
    </w:rPr>
  </w:style>
  <w:style w:type="paragraph" w:styleId="Bibliography">
    <w:name w:val="Bibliography"/>
    <w:basedOn w:val="Normal"/>
    <w:next w:val="Normal"/>
    <w:uiPriority w:val="37"/>
    <w:unhideWhenUsed/>
    <w:rsid w:val="00D8598C"/>
    <w:pPr>
      <w:tabs>
        <w:tab w:val="left" w:pos="380"/>
      </w:tabs>
      <w:spacing w:line="480" w:lineRule="auto"/>
      <w:ind w:left="384" w:hanging="384"/>
    </w:pPr>
  </w:style>
  <w:style w:type="paragraph" w:styleId="ListParagraph">
    <w:name w:val="List Paragraph"/>
    <w:basedOn w:val="Normal"/>
    <w:uiPriority w:val="34"/>
    <w:qFormat/>
    <w:rsid w:val="00116D48"/>
    <w:pPr>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7447">
      <w:bodyDiv w:val="1"/>
      <w:marLeft w:val="0"/>
      <w:marRight w:val="0"/>
      <w:marTop w:val="0"/>
      <w:marBottom w:val="0"/>
      <w:divBdr>
        <w:top w:val="none" w:sz="0" w:space="0" w:color="auto"/>
        <w:left w:val="none" w:sz="0" w:space="0" w:color="auto"/>
        <w:bottom w:val="none" w:sz="0" w:space="0" w:color="auto"/>
        <w:right w:val="none" w:sz="0" w:space="0" w:color="auto"/>
      </w:divBdr>
    </w:div>
    <w:div w:id="661394717">
      <w:bodyDiv w:val="1"/>
      <w:marLeft w:val="0"/>
      <w:marRight w:val="0"/>
      <w:marTop w:val="0"/>
      <w:marBottom w:val="0"/>
      <w:divBdr>
        <w:top w:val="none" w:sz="0" w:space="0" w:color="auto"/>
        <w:left w:val="none" w:sz="0" w:space="0" w:color="auto"/>
        <w:bottom w:val="none" w:sz="0" w:space="0" w:color="auto"/>
        <w:right w:val="none" w:sz="0" w:space="0" w:color="auto"/>
      </w:divBdr>
      <w:divsChild>
        <w:div w:id="1400833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597113">
              <w:marLeft w:val="0"/>
              <w:marRight w:val="0"/>
              <w:marTop w:val="0"/>
              <w:marBottom w:val="0"/>
              <w:divBdr>
                <w:top w:val="none" w:sz="0" w:space="0" w:color="auto"/>
                <w:left w:val="none" w:sz="0" w:space="0" w:color="auto"/>
                <w:bottom w:val="none" w:sz="0" w:space="0" w:color="auto"/>
                <w:right w:val="none" w:sz="0" w:space="0" w:color="auto"/>
              </w:divBdr>
              <w:divsChild>
                <w:div w:id="15676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4051">
      <w:bodyDiv w:val="1"/>
      <w:marLeft w:val="0"/>
      <w:marRight w:val="0"/>
      <w:marTop w:val="0"/>
      <w:marBottom w:val="0"/>
      <w:divBdr>
        <w:top w:val="none" w:sz="0" w:space="0" w:color="auto"/>
        <w:left w:val="none" w:sz="0" w:space="0" w:color="auto"/>
        <w:bottom w:val="none" w:sz="0" w:space="0" w:color="auto"/>
        <w:right w:val="none" w:sz="0" w:space="0" w:color="auto"/>
      </w:divBdr>
    </w:div>
    <w:div w:id="812868641">
      <w:bodyDiv w:val="1"/>
      <w:marLeft w:val="0"/>
      <w:marRight w:val="0"/>
      <w:marTop w:val="0"/>
      <w:marBottom w:val="0"/>
      <w:divBdr>
        <w:top w:val="none" w:sz="0" w:space="0" w:color="auto"/>
        <w:left w:val="none" w:sz="0" w:space="0" w:color="auto"/>
        <w:bottom w:val="none" w:sz="0" w:space="0" w:color="auto"/>
        <w:right w:val="none" w:sz="0" w:space="0" w:color="auto"/>
      </w:divBdr>
    </w:div>
    <w:div w:id="882719311">
      <w:bodyDiv w:val="1"/>
      <w:marLeft w:val="0"/>
      <w:marRight w:val="0"/>
      <w:marTop w:val="0"/>
      <w:marBottom w:val="0"/>
      <w:divBdr>
        <w:top w:val="none" w:sz="0" w:space="0" w:color="auto"/>
        <w:left w:val="none" w:sz="0" w:space="0" w:color="auto"/>
        <w:bottom w:val="none" w:sz="0" w:space="0" w:color="auto"/>
        <w:right w:val="none" w:sz="0" w:space="0" w:color="auto"/>
      </w:divBdr>
    </w:div>
    <w:div w:id="1326972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7993</Words>
  <Characters>45566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Bregenzer, Michael</dc:creator>
  <cp:keywords/>
  <dc:description/>
  <cp:lastModifiedBy>Mehta, Geeta</cp:lastModifiedBy>
  <cp:revision>3</cp:revision>
  <dcterms:created xsi:type="dcterms:W3CDTF">2019-03-26T19:23:00Z</dcterms:created>
  <dcterms:modified xsi:type="dcterms:W3CDTF">2019-03-26T19:25:00Z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id="qCHtIS5h"/&gt;&lt;style id="http://www.zotero.org/styles/nature" hasBibliography="1" bibliographyStyleHasBeenSet="1"/&gt;&lt;prefs&gt;&lt;pref name="fieldType" value="Field"/&gt;&lt;pref name="dontAskDelayCitationUpdate</vt:lpwstr>
  </property>
  <property fmtid="{D5CDD505-2E9C-101B-9397-08002B2CF9AE}" pid="3" name="ZOTERO_PREF_2">
    <vt:lpwstr>s" value="true"/&gt;&lt;/prefs&gt;&lt;/data&gt;</vt:lpwstr>
  </property>
</Properties>
</file>