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C5" w:rsidRDefault="00BA64C5" w:rsidP="002A022F">
      <w:pPr>
        <w:jc w:val="both"/>
        <w:rPr>
          <w:b/>
          <w:lang w:val="en-US"/>
        </w:rPr>
      </w:pPr>
      <w:r w:rsidRPr="00BA64C5">
        <w:rPr>
          <w:b/>
          <w:lang w:val="en-US"/>
        </w:rPr>
        <w:t>Editorial Comments:</w:t>
      </w:r>
    </w:p>
    <w:p w:rsidR="00BA64C5" w:rsidRDefault="00BA64C5" w:rsidP="002A022F">
      <w:pPr>
        <w:jc w:val="both"/>
        <w:rPr>
          <w:lang w:val="en-US"/>
        </w:rPr>
      </w:pPr>
      <w:r w:rsidRPr="00BA64C5">
        <w:rPr>
          <w:lang w:val="en-US"/>
        </w:rPr>
        <w:t xml:space="preserve">We would like to thank the editor for </w:t>
      </w:r>
      <w:r>
        <w:rPr>
          <w:lang w:val="en-US"/>
        </w:rPr>
        <w:t xml:space="preserve">the comments provided and will answer his concerns below: </w:t>
      </w:r>
    </w:p>
    <w:p w:rsidR="00BA64C5" w:rsidRDefault="00BA64C5" w:rsidP="002A022F">
      <w:pPr>
        <w:pStyle w:val="NoSpacing"/>
        <w:jc w:val="both"/>
      </w:pPr>
      <w:r>
        <w:t>1. Please take this opportunity to thoroughly proofread the manuscript to ensure that there are no spelling or grammar issues.</w:t>
      </w:r>
    </w:p>
    <w:p w:rsidR="00BA64C5" w:rsidRPr="00BA64C5" w:rsidRDefault="00BA64C5" w:rsidP="002A022F">
      <w:pPr>
        <w:pStyle w:val="NoSpacing"/>
        <w:jc w:val="both"/>
        <w:rPr>
          <w:i/>
        </w:rPr>
      </w:pPr>
      <w:r>
        <w:rPr>
          <w:i/>
        </w:rPr>
        <w:t>We have taken the time re-read the manuscript and have removed any spelling / grammatical mistakes we encountered.</w:t>
      </w:r>
    </w:p>
    <w:p w:rsidR="00BA64C5" w:rsidRDefault="00BA64C5" w:rsidP="002A022F">
      <w:pPr>
        <w:pStyle w:val="NoSpacing"/>
        <w:jc w:val="both"/>
      </w:pPr>
      <w: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5A3B28" w:rsidRDefault="00BA64C5" w:rsidP="002A022F">
      <w:pPr>
        <w:pStyle w:val="NoSpacing"/>
        <w:jc w:val="both"/>
        <w:rPr>
          <w:i/>
        </w:rPr>
      </w:pPr>
      <w:r w:rsidRPr="00BA64C5">
        <w:rPr>
          <w:i/>
        </w:rPr>
        <w:t xml:space="preserve">We have </w:t>
      </w:r>
      <w:r>
        <w:rPr>
          <w:i/>
        </w:rPr>
        <w:t xml:space="preserve">contacted the editors of both journals from which we </w:t>
      </w:r>
      <w:r w:rsidR="00D65681">
        <w:rPr>
          <w:i/>
        </w:rPr>
        <w:t xml:space="preserve">have adapted figures. Both editors have provided us with explicit permission to use the figures. Proof of these </w:t>
      </w:r>
      <w:r w:rsidR="005A3B28">
        <w:rPr>
          <w:i/>
        </w:rPr>
        <w:t>permissions have been uploaded as separate files.</w:t>
      </w:r>
    </w:p>
    <w:p w:rsidR="00BA64C5" w:rsidRDefault="00BA64C5" w:rsidP="002A022F">
      <w:pPr>
        <w:pStyle w:val="NoSpacing"/>
        <w:jc w:val="both"/>
      </w:pPr>
      <w:r>
        <w:br/>
      </w:r>
      <w:proofErr w:type="gramStart"/>
      <w:r>
        <w:t xml:space="preserve">3. </w:t>
      </w:r>
      <w:proofErr w:type="spellStart"/>
      <w:r>
        <w:t>JoVE</w:t>
      </w:r>
      <w:proofErr w:type="spellEnd"/>
      <w:proofErr w:type="gramEnd"/>
      <w:r>
        <w:t xml:space="preserve"> cannot publish manuscripts containing commercial language. This includes company names before an instrument or reagent. Please remove all commercial language from your manuscript and use generic terms instead. All commercial products should be sufficiently referenced in the Table of Materials and Reagents. Examples of commercial language in your manuscript include AZ, WAGO, </w:t>
      </w:r>
      <w:proofErr w:type="spellStart"/>
      <w:r>
        <w:t>milliQ</w:t>
      </w:r>
      <w:proofErr w:type="spellEnd"/>
      <w:r>
        <w:t>, Nikon, etc.</w:t>
      </w:r>
    </w:p>
    <w:p w:rsidR="005A3B28" w:rsidRPr="005A3B28" w:rsidRDefault="005A3B28" w:rsidP="002A022F">
      <w:pPr>
        <w:pStyle w:val="NoSpacing"/>
        <w:jc w:val="both"/>
        <w:rPr>
          <w:i/>
        </w:rPr>
      </w:pPr>
      <w:r w:rsidRPr="005A3B28">
        <w:rPr>
          <w:i/>
        </w:rPr>
        <w:t>We have taken care to remove any mentions to specific commercial products.</w:t>
      </w:r>
    </w:p>
    <w:p w:rsidR="00BA64C5" w:rsidRDefault="00BA64C5" w:rsidP="00880A20">
      <w:pPr>
        <w:pStyle w:val="NoSpacing"/>
      </w:pPr>
      <w:r>
        <w:br/>
      </w:r>
      <w:r w:rsidRPr="00880A20">
        <w:t>4. Please add a one-line space between each of your protocol steps.</w:t>
      </w:r>
    </w:p>
    <w:p w:rsidR="00880A20" w:rsidRPr="00880A20" w:rsidRDefault="00880A20" w:rsidP="002A022F">
      <w:pPr>
        <w:pStyle w:val="NoSpacing"/>
        <w:jc w:val="both"/>
        <w:rPr>
          <w:i/>
        </w:rPr>
      </w:pPr>
      <w:r>
        <w:rPr>
          <w:i/>
        </w:rPr>
        <w:t xml:space="preserve">We have included spacing between each of the protocol steps conform to the </w:t>
      </w:r>
    </w:p>
    <w:p w:rsidR="00BA64C5" w:rsidRDefault="00BA64C5" w:rsidP="002A022F">
      <w:pPr>
        <w:pStyle w:val="NoSpacing"/>
        <w:jc w:val="both"/>
      </w:pPr>
      <w:r>
        <w:br/>
        <w:t>5. Step 4.1.1: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br/>
        <w:t>6. 4.1.2: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br/>
        <w:t>7. 4.2.4: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5A3B28" w:rsidRDefault="005A3B28" w:rsidP="002A022F">
      <w:pPr>
        <w:pStyle w:val="NoSpacing"/>
        <w:jc w:val="both"/>
      </w:pPr>
    </w:p>
    <w:p w:rsidR="00BA64C5" w:rsidRDefault="00BA64C5" w:rsidP="002A022F">
      <w:pPr>
        <w:pStyle w:val="NoSpacing"/>
        <w:jc w:val="both"/>
      </w:pPr>
      <w:r>
        <w:t>8. 4.2.5: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br/>
        <w:t>9. 4.3.1: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lastRenderedPageBreak/>
        <w:br/>
        <w:t>10. 5.2.1: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br/>
        <w:t>11. 6.3.1: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br/>
        <w:t>12. 6.3.3: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br/>
        <w:t>13. Why are there two steps 6.3.3?</w:t>
      </w:r>
    </w:p>
    <w:p w:rsidR="005A3B28" w:rsidRPr="005A3B28" w:rsidRDefault="005A3B28" w:rsidP="002A022F">
      <w:pPr>
        <w:pStyle w:val="NoSpacing"/>
        <w:jc w:val="both"/>
        <w:rPr>
          <w:i/>
        </w:rPr>
      </w:pPr>
      <w:r>
        <w:rPr>
          <w:i/>
        </w:rPr>
        <w:t xml:space="preserve">We have restructured this section and have removed the incorrect numbering here. </w:t>
      </w:r>
    </w:p>
    <w:p w:rsidR="00BA64C5" w:rsidRDefault="00BA64C5" w:rsidP="002A022F">
      <w:pPr>
        <w:pStyle w:val="NoSpacing"/>
        <w:jc w:val="both"/>
      </w:pPr>
      <w:r>
        <w:br/>
        <w:t>14. 6.4.1-6.4.3: Please ensure that all text is written in the imperative tense. Any text that cannot be written in the imperative tense may be added as a “Note.”</w:t>
      </w:r>
    </w:p>
    <w:p w:rsidR="005A3B28" w:rsidRPr="005A3B28" w:rsidRDefault="005A3B28" w:rsidP="002A022F">
      <w:pPr>
        <w:pStyle w:val="NoSpacing"/>
        <w:jc w:val="both"/>
        <w:rPr>
          <w:i/>
        </w:rPr>
      </w:pPr>
      <w:r w:rsidRPr="005A3B28">
        <w:rPr>
          <w:i/>
        </w:rPr>
        <w:t>We have rewritten this step to ensure that it comprises solely of the imperative tense.</w:t>
      </w:r>
    </w:p>
    <w:p w:rsidR="00BA64C5" w:rsidRDefault="00BA64C5" w:rsidP="002A022F">
      <w:pPr>
        <w:pStyle w:val="NoSpacing"/>
        <w:jc w:val="both"/>
      </w:pPr>
      <w:r>
        <w:br/>
        <w:t>15. Please expand step 7 into more sub-steps to include enough details.</w:t>
      </w:r>
    </w:p>
    <w:p w:rsidR="005A3B28" w:rsidRDefault="005A3B28" w:rsidP="002A022F">
      <w:pPr>
        <w:pStyle w:val="NoSpacing"/>
        <w:jc w:val="both"/>
        <w:rPr>
          <w:i/>
        </w:rPr>
      </w:pPr>
      <w:r>
        <w:rPr>
          <w:i/>
        </w:rPr>
        <w:t xml:space="preserve">We have expanded step 7 into multiple sub-steps, using the imperative sense to guide readers through this process. </w:t>
      </w:r>
    </w:p>
    <w:p w:rsidR="00BA64C5" w:rsidRPr="00880A20" w:rsidRDefault="00BA64C5" w:rsidP="002A022F">
      <w:pPr>
        <w:pStyle w:val="NoSpacing"/>
        <w:jc w:val="both"/>
      </w:pPr>
      <w:r>
        <w:br/>
      </w:r>
      <w:r w:rsidRPr="00880A20">
        <w:t xml:space="preserve">16. Please do not </w:t>
      </w:r>
      <w:bookmarkStart w:id="0" w:name="_GoBack"/>
      <w:bookmarkEnd w:id="0"/>
      <w:r w:rsidRPr="00880A20">
        <w:t>abbreviate journal titles for filming.</w:t>
      </w:r>
    </w:p>
    <w:p w:rsidR="00880A20" w:rsidRPr="00880A20" w:rsidRDefault="00880A20" w:rsidP="002A022F">
      <w:pPr>
        <w:pStyle w:val="NoSpacing"/>
        <w:jc w:val="both"/>
        <w:rPr>
          <w:i/>
        </w:rPr>
      </w:pPr>
      <w:r w:rsidRPr="00880A20">
        <w:rPr>
          <w:i/>
        </w:rPr>
        <w:t>We shall take care to avoid the use of (abbreviated) journal titles during filming.</w:t>
      </w:r>
    </w:p>
    <w:p w:rsidR="00BA64C5" w:rsidRDefault="00BA64C5" w:rsidP="002A022F">
      <w:pPr>
        <w:pStyle w:val="NoSpacing"/>
        <w:jc w:val="both"/>
      </w:pPr>
      <w:r w:rsidRPr="00B8797D">
        <w:rPr>
          <w:highlight w:val="green"/>
        </w:rPr>
        <w:br/>
      </w:r>
      <w:r w:rsidRPr="00880A20">
        <w:t>17.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r>
        <w:br/>
      </w:r>
      <w:r w:rsidR="00880A20" w:rsidRPr="00880A20">
        <w:rPr>
          <w:i/>
        </w:rPr>
        <w:t xml:space="preserve">We have selected the most cohesive 2.75 pages of the protocols which highlight the most challenging and </w:t>
      </w:r>
      <w:r w:rsidR="00880A20">
        <w:rPr>
          <w:i/>
        </w:rPr>
        <w:t>critical</w:t>
      </w:r>
      <w:r w:rsidR="00880A20" w:rsidRPr="00880A20">
        <w:rPr>
          <w:i/>
        </w:rPr>
        <w:t xml:space="preserve"> elements of our method.</w:t>
      </w:r>
    </w:p>
    <w:p w:rsidR="00B8797D" w:rsidRDefault="00B8797D" w:rsidP="002A022F">
      <w:pPr>
        <w:pStyle w:val="NoSpacing"/>
        <w:jc w:val="both"/>
      </w:pPr>
    </w:p>
    <w:p w:rsidR="00B8797D" w:rsidRDefault="00B8797D" w:rsidP="002A022F">
      <w:pPr>
        <w:pStyle w:val="NoSpacing"/>
        <w:jc w:val="both"/>
        <w:rPr>
          <w:b/>
        </w:rPr>
      </w:pPr>
      <w:r w:rsidRPr="00B8797D">
        <w:rPr>
          <w:b/>
        </w:rPr>
        <w:t>Reviewer #1</w:t>
      </w:r>
      <w:r w:rsidR="00395DB5">
        <w:rPr>
          <w:b/>
        </w:rPr>
        <w:t>:</w:t>
      </w:r>
    </w:p>
    <w:p w:rsidR="002A022F" w:rsidRDefault="005B3107" w:rsidP="002A022F">
      <w:pPr>
        <w:pStyle w:val="NoSpacing"/>
        <w:jc w:val="both"/>
      </w:pPr>
      <w:r>
        <w:t>We thank the reviewer for their</w:t>
      </w:r>
      <w:r w:rsidR="00395DB5" w:rsidRPr="00395DB5">
        <w:t xml:space="preserve"> positive c</w:t>
      </w:r>
      <w:r w:rsidR="00395DB5">
        <w:t>omments regarding our manuscript an</w:t>
      </w:r>
      <w:r w:rsidR="002A022F">
        <w:t xml:space="preserve">d are especially pleased to hear that the reviewer sees our work as a valuable resource for other researchers in the field. A response to the reviewers question has been provided below. </w:t>
      </w:r>
    </w:p>
    <w:p w:rsidR="002A022F" w:rsidRDefault="002A022F" w:rsidP="002A022F">
      <w:pPr>
        <w:pStyle w:val="NoSpacing"/>
        <w:jc w:val="both"/>
      </w:pPr>
    </w:p>
    <w:p w:rsidR="002A022F" w:rsidRDefault="002A022F" w:rsidP="002A022F">
      <w:pPr>
        <w:pStyle w:val="NoSpacing"/>
        <w:jc w:val="both"/>
      </w:pPr>
      <w:r>
        <w:t>Are there CAD files available for the microfluidic design?</w:t>
      </w:r>
    </w:p>
    <w:p w:rsidR="002A022F" w:rsidRDefault="002A022F" w:rsidP="002A022F">
      <w:pPr>
        <w:pStyle w:val="NoSpacing"/>
        <w:jc w:val="both"/>
        <w:rPr>
          <w:i/>
        </w:rPr>
      </w:pPr>
      <w:r>
        <w:rPr>
          <w:i/>
        </w:rPr>
        <w:t xml:space="preserve">The microfluidic device designs are available online and a link has been provided within the materials list supplied with the manuscript. An explicit reference to the device designs is included in protocols sections 1 and 2. In addition, a schematic of the microfluidic device design is provided in figure 5 to provide readers with an overview of the device architecture whilst reading the manuscript. </w:t>
      </w:r>
    </w:p>
    <w:p w:rsidR="002A022F" w:rsidRDefault="002A022F" w:rsidP="002A022F">
      <w:pPr>
        <w:pStyle w:val="NoSpacing"/>
        <w:jc w:val="both"/>
        <w:rPr>
          <w:i/>
        </w:rPr>
      </w:pPr>
    </w:p>
    <w:p w:rsidR="002A022F" w:rsidRDefault="009A081A" w:rsidP="002A022F">
      <w:pPr>
        <w:pStyle w:val="NoSpacing"/>
        <w:jc w:val="both"/>
        <w:rPr>
          <w:b/>
        </w:rPr>
      </w:pPr>
      <w:r>
        <w:rPr>
          <w:b/>
        </w:rPr>
        <w:t>Reviewer #2:</w:t>
      </w:r>
    </w:p>
    <w:p w:rsidR="005B3107" w:rsidRDefault="009A081A" w:rsidP="002A022F">
      <w:pPr>
        <w:pStyle w:val="NoSpacing"/>
        <w:jc w:val="both"/>
      </w:pPr>
      <w:r w:rsidRPr="005B3107">
        <w:t>We thank the rev</w:t>
      </w:r>
      <w:r w:rsidR="005B3107" w:rsidRPr="005B3107">
        <w:t>iewer for their positive comments, and have reviewed the manuscript once more to remove any grammatical errors. Specifically, we have corrected the issues highlighted by the reviewer as detailed below.</w:t>
      </w:r>
    </w:p>
    <w:p w:rsidR="005B3107" w:rsidRDefault="005B3107" w:rsidP="002A022F">
      <w:pPr>
        <w:pStyle w:val="NoSpacing"/>
        <w:jc w:val="both"/>
      </w:pPr>
    </w:p>
    <w:p w:rsidR="005B3107" w:rsidRDefault="006C3FBA" w:rsidP="002A022F">
      <w:pPr>
        <w:pStyle w:val="NoSpacing"/>
        <w:jc w:val="both"/>
      </w:pPr>
      <w:r>
        <w:t xml:space="preserve">1) </w:t>
      </w:r>
      <w:r w:rsidR="005B3107">
        <w:t xml:space="preserve">Line 284: “Using a </w:t>
      </w:r>
      <w:proofErr w:type="spellStart"/>
      <w:r w:rsidR="005B3107">
        <w:t>scapel</w:t>
      </w:r>
      <w:proofErr w:type="spellEnd"/>
      <w:r w:rsidR="005B3107">
        <w:t xml:space="preserve"> to cut out”</w:t>
      </w:r>
    </w:p>
    <w:p w:rsidR="005B3107" w:rsidRPr="005B3107" w:rsidRDefault="005B3107" w:rsidP="002A022F">
      <w:pPr>
        <w:pStyle w:val="NoSpacing"/>
        <w:jc w:val="both"/>
        <w:rPr>
          <w:i/>
        </w:rPr>
      </w:pPr>
      <w:r w:rsidRPr="005B3107">
        <w:rPr>
          <w:i/>
        </w:rPr>
        <w:t>We agree that this sentence does not read easily and have amended it to read as follows: “</w:t>
      </w:r>
      <w:r w:rsidRPr="005B3107">
        <w:rPr>
          <w:rFonts w:cstheme="minorHAnsi"/>
          <w:i/>
          <w:sz w:val="24"/>
          <w:szCs w:val="24"/>
        </w:rPr>
        <w:t>Using a scalpel, remove each of the four devices from the PDMS on the flow layer wafer.</w:t>
      </w:r>
      <w:r w:rsidRPr="005B3107">
        <w:rPr>
          <w:i/>
        </w:rPr>
        <w:t>”</w:t>
      </w:r>
    </w:p>
    <w:p w:rsidR="005B3107" w:rsidRDefault="005B3107" w:rsidP="002A022F">
      <w:pPr>
        <w:pStyle w:val="NoSpacing"/>
        <w:jc w:val="both"/>
      </w:pPr>
    </w:p>
    <w:p w:rsidR="005B3107" w:rsidRDefault="006C3FBA" w:rsidP="002A022F">
      <w:pPr>
        <w:pStyle w:val="NoSpacing"/>
        <w:jc w:val="both"/>
      </w:pPr>
      <w:r>
        <w:t xml:space="preserve">2) </w:t>
      </w:r>
      <w:r w:rsidR="005B3107">
        <w:t>Line 317: “atop”</w:t>
      </w:r>
    </w:p>
    <w:p w:rsidR="005B3107" w:rsidRPr="005B3107" w:rsidRDefault="005B3107" w:rsidP="002A022F">
      <w:pPr>
        <w:pStyle w:val="NoSpacing"/>
        <w:jc w:val="both"/>
        <w:rPr>
          <w:i/>
        </w:rPr>
      </w:pPr>
      <w:r w:rsidRPr="005B3107">
        <w:rPr>
          <w:i/>
        </w:rPr>
        <w:t>We have adapted the sentence to read as follows: “</w:t>
      </w:r>
      <w:r w:rsidRPr="005B3107">
        <w:rPr>
          <w:rFonts w:cstheme="minorHAnsi"/>
          <w:i/>
          <w:sz w:val="24"/>
          <w:szCs w:val="24"/>
        </w:rPr>
        <w:t>Weights can be placed on top of the devices to improve adhesion of the device</w:t>
      </w:r>
      <w:r w:rsidRPr="005B3107">
        <w:rPr>
          <w:i/>
        </w:rPr>
        <w:t>”</w:t>
      </w:r>
    </w:p>
    <w:p w:rsidR="005B3107" w:rsidRDefault="005B3107" w:rsidP="002A022F">
      <w:pPr>
        <w:pStyle w:val="NoSpacing"/>
        <w:jc w:val="both"/>
      </w:pPr>
    </w:p>
    <w:p w:rsidR="005B3107" w:rsidRDefault="006C3FBA" w:rsidP="002A022F">
      <w:pPr>
        <w:pStyle w:val="NoSpacing"/>
        <w:jc w:val="both"/>
      </w:pPr>
      <w:r>
        <w:t xml:space="preserve">3) </w:t>
      </w:r>
      <w:r w:rsidR="005B3107">
        <w:t>Line 448: A comma is missing</w:t>
      </w:r>
    </w:p>
    <w:p w:rsidR="005B3107" w:rsidRPr="00C72B70" w:rsidRDefault="00C72B70" w:rsidP="002A022F">
      <w:pPr>
        <w:pStyle w:val="NoSpacing"/>
        <w:jc w:val="both"/>
        <w:rPr>
          <w:i/>
        </w:rPr>
      </w:pPr>
      <w:r>
        <w:rPr>
          <w:i/>
        </w:rPr>
        <w:t>We have adapted the sentence to read as follows: “When pressure is applied to the reservoirs via the pressure regulator software, the reagents will be forced into the microfluidic device.”</w:t>
      </w:r>
    </w:p>
    <w:p w:rsidR="005B3107" w:rsidRDefault="005B3107" w:rsidP="002A022F">
      <w:pPr>
        <w:pStyle w:val="NoSpacing"/>
        <w:jc w:val="both"/>
      </w:pPr>
    </w:p>
    <w:p w:rsidR="005B3107" w:rsidRDefault="006C3FBA" w:rsidP="002A022F">
      <w:pPr>
        <w:pStyle w:val="NoSpacing"/>
        <w:jc w:val="both"/>
      </w:pPr>
      <w:r>
        <w:t xml:space="preserve">4) </w:t>
      </w:r>
      <w:r w:rsidR="005B3107">
        <w:t xml:space="preserve">Line 583: </w:t>
      </w:r>
      <w:r w:rsidR="001077B8">
        <w:t xml:space="preserve">This sentence is confusing, </w:t>
      </w:r>
      <w:proofErr w:type="spellStart"/>
      <w:r w:rsidR="001077B8">
        <w:t>GamS</w:t>
      </w:r>
      <w:proofErr w:type="spellEnd"/>
      <w:r w:rsidR="001077B8">
        <w:t xml:space="preserve"> was introduced individually?</w:t>
      </w:r>
    </w:p>
    <w:p w:rsidR="001077B8" w:rsidRDefault="001077B8" w:rsidP="002A022F">
      <w:pPr>
        <w:pStyle w:val="NoSpacing"/>
        <w:jc w:val="both"/>
        <w:rPr>
          <w:i/>
        </w:rPr>
      </w:pPr>
      <w:r>
        <w:rPr>
          <w:i/>
        </w:rPr>
        <w:t xml:space="preserve">We understand that the sentence may be confusing to readers due to the lack of background information provided about the </w:t>
      </w:r>
      <w:proofErr w:type="spellStart"/>
      <w:r>
        <w:rPr>
          <w:i/>
        </w:rPr>
        <w:t>GamS</w:t>
      </w:r>
      <w:proofErr w:type="spellEnd"/>
      <w:r>
        <w:rPr>
          <w:i/>
        </w:rPr>
        <w:t xml:space="preserve"> addition. When working with linear DNA templates, the addition of </w:t>
      </w:r>
      <w:proofErr w:type="spellStart"/>
      <w:r>
        <w:rPr>
          <w:i/>
        </w:rPr>
        <w:t>GamS</w:t>
      </w:r>
      <w:proofErr w:type="spellEnd"/>
      <w:r>
        <w:rPr>
          <w:i/>
        </w:rPr>
        <w:t xml:space="preserve"> to IVTT reaction solutions is critical in limiting the degradation of the DNA templates by exonucleases. Since </w:t>
      </w:r>
      <w:proofErr w:type="spellStart"/>
      <w:r>
        <w:rPr>
          <w:i/>
        </w:rPr>
        <w:t>GamS</w:t>
      </w:r>
      <w:proofErr w:type="spellEnd"/>
      <w:r>
        <w:rPr>
          <w:i/>
        </w:rPr>
        <w:t xml:space="preserve"> is not present in the E.coli based IVTT solutions we use, it needs to be added to the reaction solution separately prior to beginning the experiments. It is not necessary to add the </w:t>
      </w:r>
      <w:proofErr w:type="spellStart"/>
      <w:r>
        <w:rPr>
          <w:i/>
        </w:rPr>
        <w:t>GamS</w:t>
      </w:r>
      <w:proofErr w:type="spellEnd"/>
      <w:r>
        <w:rPr>
          <w:i/>
        </w:rPr>
        <w:t xml:space="preserve"> when working with plasmids. The sentence referring to the </w:t>
      </w:r>
      <w:proofErr w:type="spellStart"/>
      <w:r>
        <w:rPr>
          <w:i/>
        </w:rPr>
        <w:t>GamS</w:t>
      </w:r>
      <w:proofErr w:type="spellEnd"/>
      <w:r>
        <w:rPr>
          <w:i/>
        </w:rPr>
        <w:t xml:space="preserve"> has been modified as follows in the hope that any ambiguity in the protocol has been removed. </w:t>
      </w:r>
    </w:p>
    <w:p w:rsidR="001077B8" w:rsidRDefault="001077B8" w:rsidP="002A022F">
      <w:pPr>
        <w:pStyle w:val="NoSpacing"/>
        <w:jc w:val="both"/>
        <w:rPr>
          <w:i/>
        </w:rPr>
      </w:pPr>
      <w:r w:rsidRPr="0027248D">
        <w:rPr>
          <w:i/>
        </w:rPr>
        <w:t xml:space="preserve">“The IVTT reaction mixture accommodates all the components required to successfully express proteins however, purified </w:t>
      </w:r>
      <w:proofErr w:type="spellStart"/>
      <w:r w:rsidRPr="0027248D">
        <w:rPr>
          <w:i/>
        </w:rPr>
        <w:t>GamS</w:t>
      </w:r>
      <w:proofErr w:type="spellEnd"/>
      <w:r w:rsidRPr="0027248D">
        <w:rPr>
          <w:i/>
        </w:rPr>
        <w:t xml:space="preserve"> was added to the reaction mixture – at a final concentration of 1.3 </w:t>
      </w:r>
      <w:r w:rsidRPr="0027248D">
        <w:rPr>
          <w:rFonts w:cstheme="minorHAnsi"/>
          <w:i/>
        </w:rPr>
        <w:t>µ</w:t>
      </w:r>
      <w:r w:rsidRPr="0027248D">
        <w:rPr>
          <w:i/>
        </w:rPr>
        <w:t xml:space="preserve">M - prior to the loading thereof into the microfluidic device. The addition of the </w:t>
      </w:r>
      <w:proofErr w:type="spellStart"/>
      <w:r w:rsidRPr="0027248D">
        <w:rPr>
          <w:i/>
        </w:rPr>
        <w:t>GamS</w:t>
      </w:r>
      <w:proofErr w:type="spellEnd"/>
      <w:r w:rsidRPr="0027248D">
        <w:rPr>
          <w:i/>
        </w:rPr>
        <w:t xml:space="preserve"> protein serves to minimise the degradation of linear DNA species </w:t>
      </w:r>
      <w:r w:rsidR="0027248D">
        <w:rPr>
          <w:i/>
        </w:rPr>
        <w:t>when</w:t>
      </w:r>
      <w:r w:rsidRPr="0027248D">
        <w:rPr>
          <w:i/>
        </w:rPr>
        <w:t xml:space="preserve"> performing the experiments.”</w:t>
      </w:r>
    </w:p>
    <w:p w:rsidR="006C3FBA" w:rsidRDefault="006C3FBA" w:rsidP="002A022F">
      <w:pPr>
        <w:pStyle w:val="NoSpacing"/>
        <w:jc w:val="both"/>
        <w:rPr>
          <w:i/>
        </w:rPr>
      </w:pPr>
    </w:p>
    <w:p w:rsidR="006C3FBA" w:rsidRDefault="006C3FBA" w:rsidP="002A022F">
      <w:pPr>
        <w:pStyle w:val="NoSpacing"/>
        <w:jc w:val="both"/>
        <w:rPr>
          <w:b/>
        </w:rPr>
      </w:pPr>
      <w:r>
        <w:rPr>
          <w:b/>
        </w:rPr>
        <w:t>Reviewer #3:</w:t>
      </w:r>
    </w:p>
    <w:p w:rsidR="006C3FBA" w:rsidRDefault="006C3FBA" w:rsidP="002A022F">
      <w:pPr>
        <w:pStyle w:val="NoSpacing"/>
        <w:jc w:val="both"/>
      </w:pPr>
      <w:r w:rsidRPr="006C3FBA">
        <w:t xml:space="preserve">We thank the reviewer for their positive comments regarding the work presented here and take this opportunity to thank them for their helpful feedback. We agree with the concerns presented by the reviewer and have outlined our responses to these concerns below. </w:t>
      </w:r>
    </w:p>
    <w:p w:rsidR="006C3FBA" w:rsidRDefault="006C3FBA" w:rsidP="002A022F">
      <w:pPr>
        <w:pStyle w:val="NoSpacing"/>
        <w:jc w:val="both"/>
      </w:pPr>
    </w:p>
    <w:p w:rsidR="006C3FBA" w:rsidRDefault="006C3FBA" w:rsidP="006C3FBA">
      <w:pPr>
        <w:pStyle w:val="NoSpacing"/>
        <w:jc w:val="both"/>
      </w:pPr>
      <w:r>
        <w:t xml:space="preserve">1) In the introduction, citing more researchers who have constructed cell-free gene circuits may help to broaden appeal. A few come to mind beyond the few that are already included: Julius Lucks, David </w:t>
      </w:r>
      <w:proofErr w:type="spellStart"/>
      <w:r>
        <w:t>Karig</w:t>
      </w:r>
      <w:proofErr w:type="spellEnd"/>
      <w:r>
        <w:t xml:space="preserve">, Tetsuya </w:t>
      </w:r>
      <w:proofErr w:type="spellStart"/>
      <w:r>
        <w:t>Yomo</w:t>
      </w:r>
      <w:proofErr w:type="spellEnd"/>
      <w:r>
        <w:t xml:space="preserve">, </w:t>
      </w:r>
      <w:proofErr w:type="spellStart"/>
      <w:proofErr w:type="gramStart"/>
      <w:r>
        <w:t>Sukanya</w:t>
      </w:r>
      <w:proofErr w:type="spellEnd"/>
      <w:proofErr w:type="gramEnd"/>
      <w:r>
        <w:t xml:space="preserve"> </w:t>
      </w:r>
      <w:proofErr w:type="spellStart"/>
      <w:r>
        <w:t>Iyer</w:t>
      </w:r>
      <w:proofErr w:type="spellEnd"/>
      <w:r>
        <w:t>.</w:t>
      </w:r>
    </w:p>
    <w:p w:rsidR="00F7696B" w:rsidRDefault="00F7696B" w:rsidP="006C3FBA">
      <w:pPr>
        <w:pStyle w:val="NoSpacing"/>
        <w:jc w:val="both"/>
        <w:rPr>
          <w:i/>
        </w:rPr>
      </w:pPr>
      <w:r w:rsidRPr="00F7696B">
        <w:rPr>
          <w:i/>
        </w:rPr>
        <w:t>We thank the review for this comment and agree that more references could be added to broaden the appeal of the manuscript. As such we have added the following references to the paper</w:t>
      </w:r>
      <w:r w:rsidR="001C23C8">
        <w:rPr>
          <w:i/>
        </w:rPr>
        <w:t xml:space="preserve"> on line 89 following this sentence: “</w:t>
      </w:r>
      <w:r w:rsidR="001C23C8" w:rsidRPr="001C23C8">
        <w:rPr>
          <w:i/>
        </w:rPr>
        <w:t>In this manner, a biologically relevant, albeit artificial, environment is created within which synthetic networks can be tested</w:t>
      </w:r>
      <w:r w:rsidR="001C23C8">
        <w:rPr>
          <w:i/>
        </w:rPr>
        <w:t>”.</w:t>
      </w:r>
    </w:p>
    <w:p w:rsidR="001C23C8" w:rsidRDefault="001C23C8" w:rsidP="006C3FBA">
      <w:pPr>
        <w:pStyle w:val="NoSpacing"/>
        <w:jc w:val="both"/>
        <w:rPr>
          <w:i/>
        </w:rPr>
      </w:pPr>
    </w:p>
    <w:p w:rsidR="00292BE6" w:rsidRPr="00292BE6" w:rsidRDefault="00292BE6" w:rsidP="00292BE6">
      <w:pPr>
        <w:widowControl w:val="0"/>
        <w:autoSpaceDE w:val="0"/>
        <w:autoSpaceDN w:val="0"/>
        <w:adjustRightInd w:val="0"/>
        <w:spacing w:after="0" w:line="240" w:lineRule="auto"/>
        <w:ind w:left="640" w:hanging="640"/>
        <w:rPr>
          <w:rFonts w:ascii="Calibri" w:hAnsi="Calibri" w:cs="Calibri"/>
          <w:noProof/>
        </w:rPr>
      </w:pPr>
      <w:r w:rsidRPr="00292BE6">
        <w:rPr>
          <w:rFonts w:ascii="Calibri" w:hAnsi="Calibri" w:cs="Calibri"/>
          <w:noProof/>
        </w:rPr>
        <w:t xml:space="preserve">1. </w:t>
      </w:r>
      <w:r w:rsidRPr="00292BE6">
        <w:rPr>
          <w:rFonts w:ascii="Calibri" w:hAnsi="Calibri" w:cs="Calibri"/>
          <w:noProof/>
        </w:rPr>
        <w:tab/>
        <w:t xml:space="preserve">Yelleswarapu, M. </w:t>
      </w:r>
      <w:r w:rsidRPr="00292BE6">
        <w:rPr>
          <w:rFonts w:ascii="Calibri" w:hAnsi="Calibri" w:cs="Calibri"/>
          <w:i/>
          <w:iCs/>
          <w:noProof/>
        </w:rPr>
        <w:t>et al.</w:t>
      </w:r>
      <w:r w:rsidRPr="00292BE6">
        <w:rPr>
          <w:rFonts w:ascii="Calibri" w:hAnsi="Calibri" w:cs="Calibri"/>
          <w:noProof/>
        </w:rPr>
        <w:t xml:space="preserve"> Sigma factor-mediated tuning of bacterial cell-free synthetic genetic oscillators. </w:t>
      </w:r>
      <w:r w:rsidRPr="00292BE6">
        <w:rPr>
          <w:rFonts w:ascii="Calibri" w:hAnsi="Calibri" w:cs="Calibri"/>
          <w:i/>
          <w:iCs/>
          <w:noProof/>
        </w:rPr>
        <w:t>ACS Synth. Biol.</w:t>
      </w:r>
      <w:r w:rsidRPr="00292BE6">
        <w:rPr>
          <w:rFonts w:ascii="Calibri" w:hAnsi="Calibri" w:cs="Calibri"/>
          <w:noProof/>
        </w:rPr>
        <w:t xml:space="preserve"> </w:t>
      </w:r>
      <w:r w:rsidRPr="00292BE6">
        <w:rPr>
          <w:rFonts w:ascii="Calibri" w:hAnsi="Calibri" w:cs="Calibri"/>
          <w:b/>
          <w:bCs/>
          <w:noProof/>
        </w:rPr>
        <w:t>7,</w:t>
      </w:r>
      <w:r w:rsidRPr="00292BE6">
        <w:rPr>
          <w:rFonts w:ascii="Calibri" w:hAnsi="Calibri" w:cs="Calibri"/>
          <w:noProof/>
        </w:rPr>
        <w:t xml:space="preserve"> acssynbio.8b00300 (2018).</w:t>
      </w:r>
    </w:p>
    <w:p w:rsidR="00292BE6" w:rsidRPr="00292BE6" w:rsidRDefault="00292BE6" w:rsidP="00292BE6">
      <w:pPr>
        <w:widowControl w:val="0"/>
        <w:autoSpaceDE w:val="0"/>
        <w:autoSpaceDN w:val="0"/>
        <w:adjustRightInd w:val="0"/>
        <w:spacing w:after="0" w:line="240" w:lineRule="auto"/>
        <w:ind w:left="640" w:hanging="640"/>
        <w:rPr>
          <w:rFonts w:ascii="Calibri" w:hAnsi="Calibri" w:cs="Calibri"/>
          <w:noProof/>
        </w:rPr>
      </w:pPr>
      <w:r w:rsidRPr="00292BE6">
        <w:rPr>
          <w:rFonts w:ascii="Calibri" w:hAnsi="Calibri" w:cs="Calibri"/>
          <w:noProof/>
        </w:rPr>
        <w:t>2.</w:t>
      </w:r>
      <w:r w:rsidRPr="00292BE6">
        <w:rPr>
          <w:rFonts w:ascii="Calibri" w:hAnsi="Calibri" w:cs="Calibri"/>
          <w:noProof/>
        </w:rPr>
        <w:tab/>
        <w:t xml:space="preserve">Karig, D. K., Iyer, S., Simpson, M. L. &amp; Doktycz, M. J. Expression optimization and synthetic gene networks in cell-free systems. </w:t>
      </w:r>
      <w:r w:rsidRPr="00292BE6">
        <w:rPr>
          <w:rFonts w:ascii="Calibri" w:hAnsi="Calibri" w:cs="Calibri"/>
          <w:i/>
          <w:iCs/>
          <w:noProof/>
        </w:rPr>
        <w:t>Nucleic Acids Res.</w:t>
      </w:r>
      <w:r w:rsidRPr="00292BE6">
        <w:rPr>
          <w:rFonts w:ascii="Calibri" w:hAnsi="Calibri" w:cs="Calibri"/>
          <w:noProof/>
        </w:rPr>
        <w:t xml:space="preserve"> </w:t>
      </w:r>
      <w:r w:rsidRPr="00292BE6">
        <w:rPr>
          <w:rFonts w:ascii="Calibri" w:hAnsi="Calibri" w:cs="Calibri"/>
          <w:b/>
          <w:bCs/>
          <w:noProof/>
        </w:rPr>
        <w:t>40,</w:t>
      </w:r>
      <w:r w:rsidRPr="00292BE6">
        <w:rPr>
          <w:rFonts w:ascii="Calibri" w:hAnsi="Calibri" w:cs="Calibri"/>
          <w:noProof/>
        </w:rPr>
        <w:t xml:space="preserve"> 3763–3774 (2012).</w:t>
      </w:r>
    </w:p>
    <w:p w:rsidR="00292BE6" w:rsidRPr="00292BE6" w:rsidRDefault="00292BE6" w:rsidP="00292BE6">
      <w:pPr>
        <w:widowControl w:val="0"/>
        <w:autoSpaceDE w:val="0"/>
        <w:autoSpaceDN w:val="0"/>
        <w:adjustRightInd w:val="0"/>
        <w:spacing w:after="0" w:line="240" w:lineRule="auto"/>
        <w:ind w:left="640" w:hanging="640"/>
        <w:rPr>
          <w:rFonts w:ascii="Calibri" w:hAnsi="Calibri" w:cs="Calibri"/>
          <w:noProof/>
        </w:rPr>
      </w:pPr>
      <w:r w:rsidRPr="00880A20">
        <w:rPr>
          <w:rFonts w:ascii="Calibri" w:hAnsi="Calibri" w:cs="Calibri"/>
          <w:noProof/>
          <w:lang w:val="en-US"/>
        </w:rPr>
        <w:t>3.</w:t>
      </w:r>
      <w:r w:rsidRPr="00880A20">
        <w:rPr>
          <w:rFonts w:ascii="Calibri" w:hAnsi="Calibri" w:cs="Calibri"/>
          <w:noProof/>
          <w:lang w:val="en-US"/>
        </w:rPr>
        <w:tab/>
        <w:t xml:space="preserve">Dunlop, M. J. </w:t>
      </w:r>
      <w:r w:rsidRPr="00880A20">
        <w:rPr>
          <w:rFonts w:ascii="Calibri" w:hAnsi="Calibri" w:cs="Calibri"/>
          <w:i/>
          <w:iCs/>
          <w:noProof/>
          <w:lang w:val="en-US"/>
        </w:rPr>
        <w:t>et al.</w:t>
      </w:r>
      <w:r w:rsidRPr="00880A20">
        <w:rPr>
          <w:rFonts w:ascii="Calibri" w:hAnsi="Calibri" w:cs="Calibri"/>
          <w:noProof/>
          <w:lang w:val="en-US"/>
        </w:rPr>
        <w:t xml:space="preserve"> </w:t>
      </w:r>
      <w:r w:rsidRPr="00292BE6">
        <w:rPr>
          <w:rFonts w:ascii="Calibri" w:hAnsi="Calibri" w:cs="Calibri"/>
          <w:noProof/>
        </w:rPr>
        <w:t xml:space="preserve">Distinct timescales of RNA regulators enable the construction of a genetic pulse generator. </w:t>
      </w:r>
      <w:r w:rsidRPr="00292BE6">
        <w:rPr>
          <w:rFonts w:ascii="Calibri" w:hAnsi="Calibri" w:cs="Calibri"/>
          <w:i/>
          <w:iCs/>
          <w:noProof/>
        </w:rPr>
        <w:t>Biotechnol. Bioeng.</w:t>
      </w:r>
      <w:r w:rsidRPr="00292BE6">
        <w:rPr>
          <w:rFonts w:ascii="Calibri" w:hAnsi="Calibri" w:cs="Calibri"/>
          <w:noProof/>
        </w:rPr>
        <w:t xml:space="preserve"> (2019). doi:10.1002/bit.26918</w:t>
      </w:r>
    </w:p>
    <w:p w:rsidR="00292BE6" w:rsidRPr="00292BE6" w:rsidRDefault="00292BE6" w:rsidP="00292BE6">
      <w:pPr>
        <w:widowControl w:val="0"/>
        <w:autoSpaceDE w:val="0"/>
        <w:autoSpaceDN w:val="0"/>
        <w:adjustRightInd w:val="0"/>
        <w:spacing w:after="0" w:line="240" w:lineRule="auto"/>
        <w:ind w:left="640" w:hanging="640"/>
        <w:rPr>
          <w:rFonts w:ascii="Calibri" w:hAnsi="Calibri" w:cs="Calibri"/>
          <w:noProof/>
        </w:rPr>
      </w:pPr>
      <w:r w:rsidRPr="00292BE6">
        <w:rPr>
          <w:rFonts w:ascii="Calibri" w:hAnsi="Calibri" w:cs="Calibri"/>
          <w:noProof/>
        </w:rPr>
        <w:t>4.</w:t>
      </w:r>
      <w:r w:rsidRPr="00292BE6">
        <w:rPr>
          <w:rFonts w:ascii="Calibri" w:hAnsi="Calibri" w:cs="Calibri"/>
          <w:noProof/>
        </w:rPr>
        <w:tab/>
        <w:t xml:space="preserve">Yoshiyama, T., Ichii, T., Yomo, T. &amp; Ichihashi, N. Automated in vitro evolution of a translation-coupled RNA replication system in a droplet flow reactor. </w:t>
      </w:r>
      <w:r w:rsidRPr="00292BE6">
        <w:rPr>
          <w:rFonts w:ascii="Calibri" w:hAnsi="Calibri" w:cs="Calibri"/>
          <w:i/>
          <w:iCs/>
          <w:noProof/>
        </w:rPr>
        <w:t>Sci. Rep.</w:t>
      </w:r>
      <w:r w:rsidRPr="00292BE6">
        <w:rPr>
          <w:rFonts w:ascii="Calibri" w:hAnsi="Calibri" w:cs="Calibri"/>
          <w:noProof/>
        </w:rPr>
        <w:t xml:space="preserve"> </w:t>
      </w:r>
      <w:r w:rsidRPr="00292BE6">
        <w:rPr>
          <w:rFonts w:ascii="Calibri" w:hAnsi="Calibri" w:cs="Calibri"/>
          <w:b/>
          <w:bCs/>
          <w:noProof/>
        </w:rPr>
        <w:t>8,</w:t>
      </w:r>
      <w:r w:rsidRPr="00292BE6">
        <w:rPr>
          <w:rFonts w:ascii="Calibri" w:hAnsi="Calibri" w:cs="Calibri"/>
          <w:noProof/>
        </w:rPr>
        <w:t xml:space="preserve"> 1–8 (2018).</w:t>
      </w:r>
    </w:p>
    <w:p w:rsidR="00292BE6" w:rsidRPr="00292BE6" w:rsidRDefault="00292BE6" w:rsidP="00292BE6">
      <w:pPr>
        <w:widowControl w:val="0"/>
        <w:autoSpaceDE w:val="0"/>
        <w:autoSpaceDN w:val="0"/>
        <w:adjustRightInd w:val="0"/>
        <w:spacing w:after="0" w:line="240" w:lineRule="auto"/>
        <w:ind w:left="640" w:hanging="640"/>
        <w:rPr>
          <w:rFonts w:ascii="Calibri" w:hAnsi="Calibri" w:cs="Calibri"/>
          <w:noProof/>
        </w:rPr>
      </w:pPr>
      <w:r w:rsidRPr="00292BE6">
        <w:rPr>
          <w:rFonts w:ascii="Calibri" w:hAnsi="Calibri" w:cs="Calibri"/>
          <w:noProof/>
        </w:rPr>
        <w:lastRenderedPageBreak/>
        <w:t xml:space="preserve">5. </w:t>
      </w:r>
      <w:r w:rsidRPr="00292BE6">
        <w:rPr>
          <w:rFonts w:ascii="Calibri" w:hAnsi="Calibri" w:cs="Calibri"/>
          <w:noProof/>
        </w:rPr>
        <w:tab/>
        <w:t xml:space="preserve">Iyer, S., Karig, D. K., Norred, S. E., Simpson, M. L. &amp; Doktycz, M. J. Multi-Input Regulation and Logic with T7 Promoters in Cells and Cell-Free Systems. </w:t>
      </w:r>
      <w:r w:rsidRPr="00292BE6">
        <w:rPr>
          <w:rFonts w:ascii="Calibri" w:hAnsi="Calibri" w:cs="Calibri"/>
          <w:i/>
          <w:iCs/>
          <w:noProof/>
        </w:rPr>
        <w:t>PLoS One</w:t>
      </w:r>
      <w:r w:rsidRPr="00292BE6">
        <w:rPr>
          <w:rFonts w:ascii="Calibri" w:hAnsi="Calibri" w:cs="Calibri"/>
          <w:noProof/>
        </w:rPr>
        <w:t xml:space="preserve"> </w:t>
      </w:r>
      <w:r w:rsidRPr="00292BE6">
        <w:rPr>
          <w:rFonts w:ascii="Calibri" w:hAnsi="Calibri" w:cs="Calibri"/>
          <w:b/>
          <w:bCs/>
          <w:noProof/>
        </w:rPr>
        <w:t>8,</w:t>
      </w:r>
      <w:r w:rsidRPr="00292BE6">
        <w:rPr>
          <w:rFonts w:ascii="Calibri" w:hAnsi="Calibri" w:cs="Calibri"/>
          <w:noProof/>
        </w:rPr>
        <w:t xml:space="preserve"> 1–12 (2013).</w:t>
      </w:r>
    </w:p>
    <w:p w:rsidR="00292BE6" w:rsidRPr="00292BE6" w:rsidRDefault="00292BE6" w:rsidP="00292BE6">
      <w:pPr>
        <w:widowControl w:val="0"/>
        <w:autoSpaceDE w:val="0"/>
        <w:autoSpaceDN w:val="0"/>
        <w:adjustRightInd w:val="0"/>
        <w:spacing w:after="0" w:line="240" w:lineRule="auto"/>
        <w:ind w:left="640" w:hanging="640"/>
        <w:rPr>
          <w:rFonts w:ascii="Calibri" w:hAnsi="Calibri" w:cs="Calibri"/>
          <w:noProof/>
        </w:rPr>
      </w:pPr>
      <w:r w:rsidRPr="00292BE6">
        <w:rPr>
          <w:rFonts w:ascii="Calibri" w:hAnsi="Calibri" w:cs="Calibri"/>
          <w:noProof/>
        </w:rPr>
        <w:t>6.</w:t>
      </w:r>
      <w:r w:rsidRPr="00292BE6">
        <w:rPr>
          <w:rFonts w:ascii="Calibri" w:hAnsi="Calibri" w:cs="Calibri"/>
          <w:noProof/>
        </w:rPr>
        <w:tab/>
        <w:t xml:space="preserve">De Los Santos, E. L. C., Meyerowitz, J. T., Mayo, S. L. &amp; Murray, R. M. Engineering Transcriptional Regulator Effector Specificity Using Computational Design and in Vitro Rapid Prototyping: Developing a Vanillin Sensor. </w:t>
      </w:r>
      <w:r w:rsidRPr="00292BE6">
        <w:rPr>
          <w:rFonts w:ascii="Calibri" w:hAnsi="Calibri" w:cs="Calibri"/>
          <w:i/>
          <w:iCs/>
          <w:noProof/>
        </w:rPr>
        <w:t>ACS Synth. Biol.</w:t>
      </w:r>
      <w:r w:rsidRPr="00292BE6">
        <w:rPr>
          <w:rFonts w:ascii="Calibri" w:hAnsi="Calibri" w:cs="Calibri"/>
          <w:noProof/>
        </w:rPr>
        <w:t xml:space="preserve"> </w:t>
      </w:r>
      <w:r w:rsidRPr="00292BE6">
        <w:rPr>
          <w:rFonts w:ascii="Calibri" w:hAnsi="Calibri" w:cs="Calibri"/>
          <w:b/>
          <w:bCs/>
          <w:noProof/>
        </w:rPr>
        <w:t>5,</w:t>
      </w:r>
      <w:r w:rsidRPr="00292BE6">
        <w:rPr>
          <w:rFonts w:ascii="Calibri" w:hAnsi="Calibri" w:cs="Calibri"/>
          <w:noProof/>
        </w:rPr>
        <w:t xml:space="preserve"> 287–295 (2016).</w:t>
      </w:r>
    </w:p>
    <w:p w:rsidR="001C23C8" w:rsidRPr="00F7696B" w:rsidRDefault="001C23C8" w:rsidP="006C3FBA">
      <w:pPr>
        <w:pStyle w:val="NoSpacing"/>
        <w:jc w:val="both"/>
        <w:rPr>
          <w:i/>
        </w:rPr>
      </w:pPr>
    </w:p>
    <w:p w:rsidR="006C3FBA" w:rsidRDefault="006C3FBA" w:rsidP="006C3FBA">
      <w:pPr>
        <w:pStyle w:val="NoSpacing"/>
        <w:jc w:val="both"/>
      </w:pPr>
    </w:p>
    <w:p w:rsidR="006C3FBA" w:rsidRDefault="006C3FBA" w:rsidP="006C3FBA">
      <w:pPr>
        <w:pStyle w:val="NoSpacing"/>
        <w:jc w:val="both"/>
      </w:pPr>
      <w:r>
        <w:t xml:space="preserve">2) Around line 109, a bit more expansion on this method in the context of other approaches would be helpful. Also, how does this microfluidic approach compare to other microfluidic approaches, e.g. </w:t>
      </w:r>
      <w:proofErr w:type="spellStart"/>
      <w:r>
        <w:t>Timm</w:t>
      </w:r>
      <w:proofErr w:type="spellEnd"/>
      <w:r>
        <w:t xml:space="preserve"> et al, Small 2015 (</w:t>
      </w:r>
      <w:hyperlink r:id="rId5" w:history="1">
        <w:r w:rsidR="00F7696B" w:rsidRPr="00331C50">
          <w:rPr>
            <w:rStyle w:val="Hyperlink"/>
          </w:rPr>
          <w:t>https://doi.org/10.1002/smll.201502764</w:t>
        </w:r>
      </w:hyperlink>
      <w:r>
        <w:t>)?</w:t>
      </w:r>
    </w:p>
    <w:p w:rsidR="00F7696B" w:rsidRDefault="00F7696B" w:rsidP="006C3FBA">
      <w:pPr>
        <w:pStyle w:val="NoSpacing"/>
        <w:jc w:val="both"/>
        <w:rPr>
          <w:i/>
        </w:rPr>
      </w:pPr>
      <w:r w:rsidRPr="00F7696B">
        <w:rPr>
          <w:i/>
        </w:rPr>
        <w:t>We thank the reviewer for their comment, and have added t</w:t>
      </w:r>
      <w:r w:rsidR="00A6782A">
        <w:rPr>
          <w:i/>
        </w:rPr>
        <w:t>wo references regarding the use of continuous flow microfluidics to this sentence: “</w:t>
      </w:r>
      <w:r w:rsidR="00A6782A" w:rsidRPr="00A6782A">
        <w:rPr>
          <w:i/>
        </w:rPr>
        <w:t>The versatility of IVTT systems enables multiple alternative methods by which prolonged IVTT reactions can be performed, ranging from continuous flow to droplet based methods as well as simpler dialysis approaches</w:t>
      </w:r>
      <w:r w:rsidR="00A6782A" w:rsidRPr="00A6782A">
        <w:rPr>
          <w:i/>
          <w:vertAlign w:val="superscript"/>
        </w:rPr>
        <w:t>2</w:t>
      </w:r>
      <w:proofErr w:type="gramStart"/>
      <w:r w:rsidR="00A6782A" w:rsidRPr="00A6782A">
        <w:rPr>
          <w:i/>
          <w:vertAlign w:val="superscript"/>
        </w:rPr>
        <w:t>,29,36</w:t>
      </w:r>
      <w:proofErr w:type="gramEnd"/>
      <w:r w:rsidR="00A6782A" w:rsidRPr="00A6782A">
        <w:rPr>
          <w:i/>
          <w:vertAlign w:val="superscript"/>
        </w:rPr>
        <w:t>–39</w:t>
      </w:r>
      <w:r w:rsidR="00A6782A" w:rsidRPr="00A6782A">
        <w:rPr>
          <w:i/>
        </w:rPr>
        <w:t>.</w:t>
      </w:r>
      <w:r w:rsidR="00A6782A">
        <w:rPr>
          <w:i/>
        </w:rPr>
        <w:t xml:space="preserve">” Furthermore, we elaborated on the differences between previously reported methods and that which we report here by adding the following sentences: </w:t>
      </w:r>
    </w:p>
    <w:p w:rsidR="00132C3F" w:rsidRDefault="00132C3F" w:rsidP="006C3FBA">
      <w:pPr>
        <w:pStyle w:val="NoSpacing"/>
        <w:jc w:val="both"/>
        <w:rPr>
          <w:i/>
        </w:rPr>
      </w:pPr>
    </w:p>
    <w:p w:rsidR="00A6782A" w:rsidRPr="00F7696B" w:rsidRDefault="00A6782A" w:rsidP="006C3FBA">
      <w:pPr>
        <w:pStyle w:val="NoSpacing"/>
        <w:jc w:val="both"/>
        <w:rPr>
          <w:i/>
        </w:rPr>
      </w:pPr>
      <w:r>
        <w:rPr>
          <w:i/>
        </w:rPr>
        <w:t>“</w:t>
      </w:r>
      <w:r w:rsidR="00441E60" w:rsidRPr="00441E60">
        <w:rPr>
          <w:i/>
        </w:rPr>
        <w:t>The versatility of IVTT systems enables multiple alternative methods by which prolonged IVTT reactions can be performed, ranging from continuous flow to droplet based methods as well as simpler dialysis approaches</w:t>
      </w:r>
      <w:r w:rsidR="00441E60" w:rsidRPr="00441E60">
        <w:rPr>
          <w:i/>
          <w:vertAlign w:val="superscript"/>
        </w:rPr>
        <w:t>2,29,36–39</w:t>
      </w:r>
      <w:r w:rsidR="00441E60" w:rsidRPr="00441E60">
        <w:rPr>
          <w:i/>
        </w:rPr>
        <w:t>. The application of microfluidic devices offers users increased control over their reactions whilst increasing the throughput and minimizing costs</w:t>
      </w:r>
      <w:r w:rsidR="00441E60" w:rsidRPr="00441E60">
        <w:rPr>
          <w:i/>
          <w:vertAlign w:val="superscript"/>
        </w:rPr>
        <w:t>34</w:t>
      </w:r>
      <w:proofErr w:type="gramStart"/>
      <w:r w:rsidR="00441E60" w:rsidRPr="00441E60">
        <w:rPr>
          <w:i/>
          <w:vertAlign w:val="superscript"/>
        </w:rPr>
        <w:t>,40,41</w:t>
      </w:r>
      <w:proofErr w:type="gramEnd"/>
      <w:r w:rsidR="00441E60" w:rsidRPr="00441E60">
        <w:rPr>
          <w:i/>
        </w:rPr>
        <w:t>, with each specific approach having its own advantages. The use of continuous flow can be easily optimized for increasing expression yields however, the inability to effectively remove specific reaction products makes the study of dynamic behaviour non-trivial</w:t>
      </w:r>
      <w:r w:rsidR="00441E60" w:rsidRPr="00441E60">
        <w:rPr>
          <w:i/>
          <w:vertAlign w:val="superscript"/>
        </w:rPr>
        <w:t>38</w:t>
      </w:r>
      <w:r w:rsidR="00441E60" w:rsidRPr="00441E60">
        <w:rPr>
          <w:i/>
        </w:rPr>
        <w:t>. Whilst employing droplet based microfluidic systems allows high-throughput screening of novel networks, the difficulty of supplying fresh reagents to the reaction result in droplets resembling small volume batch reactions42. Dialysis reactors allow the introduction of fresh reagents as well as the removal of some reaction products however, RNA molecules and larger proteins accumulate within the reactor, being too large to diffuse through the membrane pores. Furthermore, large volumes of reagents are required to sustain these reactio</w:t>
      </w:r>
      <w:r w:rsidR="00441E60">
        <w:rPr>
          <w:i/>
        </w:rPr>
        <w:t>ns for prolonged periods</w:t>
      </w:r>
      <w:r w:rsidR="00441E60">
        <w:rPr>
          <w:i/>
          <w:vertAlign w:val="superscript"/>
        </w:rPr>
        <w:t>29</w:t>
      </w:r>
      <w:proofErr w:type="gramStart"/>
      <w:r w:rsidR="00441E60">
        <w:rPr>
          <w:i/>
          <w:vertAlign w:val="superscript"/>
        </w:rPr>
        <w:t>,43</w:t>
      </w:r>
      <w:proofErr w:type="gramEnd"/>
      <w:r w:rsidR="00441E60">
        <w:rPr>
          <w:i/>
        </w:rPr>
        <w:t>.</w:t>
      </w:r>
      <w:r>
        <w:rPr>
          <w:i/>
        </w:rPr>
        <w:t>”</w:t>
      </w:r>
    </w:p>
    <w:p w:rsidR="006C3FBA" w:rsidRDefault="006C3FBA" w:rsidP="006C3FBA">
      <w:pPr>
        <w:pStyle w:val="NoSpacing"/>
        <w:jc w:val="both"/>
      </w:pPr>
    </w:p>
    <w:p w:rsidR="006C3FBA" w:rsidRDefault="006C3FBA" w:rsidP="006C3FBA">
      <w:pPr>
        <w:pStyle w:val="NoSpacing"/>
        <w:jc w:val="both"/>
      </w:pPr>
      <w:r>
        <w:t>3) I understand what the authors are getting at with the mention of negative feedback, but I would not refer to 'feedback'. Rather, I would suggest referring to negative regulation, ON-OFF transitions, or fluctuating dynamics. Negative feedback systems may have monotonic dynamics, and negative feedback was also implemented in batch (</w:t>
      </w:r>
      <w:hyperlink r:id="rId6" w:history="1">
        <w:r w:rsidR="00F7696B" w:rsidRPr="00331C50">
          <w:rPr>
            <w:rStyle w:val="Hyperlink"/>
          </w:rPr>
          <w:t>https://doi.org/10.1093/nar/gkr1191</w:t>
        </w:r>
      </w:hyperlink>
      <w:r>
        <w:t>).</w:t>
      </w:r>
    </w:p>
    <w:p w:rsidR="006C3FBA" w:rsidRDefault="0022077D" w:rsidP="006C3FBA">
      <w:pPr>
        <w:pStyle w:val="NoSpacing"/>
        <w:jc w:val="both"/>
        <w:rPr>
          <w:i/>
        </w:rPr>
      </w:pPr>
      <w:r w:rsidRPr="0022077D">
        <w:rPr>
          <w:i/>
        </w:rPr>
        <w:t xml:space="preserve">We thank the review for this critical comment and to avoid any misunderstandings we have </w:t>
      </w:r>
      <w:r>
        <w:rPr>
          <w:i/>
        </w:rPr>
        <w:t xml:space="preserve">replaced the mention of ‘negative feedback’ with the </w:t>
      </w:r>
      <w:proofErr w:type="gramStart"/>
      <w:r>
        <w:rPr>
          <w:i/>
        </w:rPr>
        <w:t>reviewers</w:t>
      </w:r>
      <w:proofErr w:type="gramEnd"/>
      <w:r>
        <w:rPr>
          <w:i/>
        </w:rPr>
        <w:t xml:space="preserve"> suggestion of ‘negative regulation’.</w:t>
      </w:r>
    </w:p>
    <w:p w:rsidR="0022077D" w:rsidRPr="0022077D" w:rsidRDefault="0022077D" w:rsidP="006C3FBA">
      <w:pPr>
        <w:pStyle w:val="NoSpacing"/>
        <w:jc w:val="both"/>
        <w:rPr>
          <w:i/>
        </w:rPr>
      </w:pPr>
    </w:p>
    <w:p w:rsidR="006C3FBA" w:rsidRDefault="006C3FBA" w:rsidP="006C3FBA">
      <w:pPr>
        <w:pStyle w:val="NoSpacing"/>
        <w:jc w:val="both"/>
      </w:pPr>
      <w:r>
        <w:t>4) Please specify the size and type of silicon wafer used.</w:t>
      </w:r>
    </w:p>
    <w:p w:rsidR="006C3FBA" w:rsidRPr="00F7696B" w:rsidRDefault="006C3FBA" w:rsidP="006C3FBA">
      <w:pPr>
        <w:pStyle w:val="NoSpacing"/>
        <w:numPr>
          <w:ilvl w:val="1"/>
          <w:numId w:val="1"/>
        </w:numPr>
        <w:jc w:val="both"/>
        <w:rPr>
          <w:rFonts w:cstheme="minorHAnsi"/>
          <w:sz w:val="24"/>
          <w:szCs w:val="24"/>
        </w:rPr>
      </w:pPr>
      <w:r>
        <w:rPr>
          <w:i/>
        </w:rPr>
        <w:t xml:space="preserve">We have included the specifications of the silicon wafer used in both the protocols section as well as in the materials list provided along with the main manuscript. </w:t>
      </w:r>
      <w:r w:rsidR="00F7696B">
        <w:rPr>
          <w:i/>
        </w:rPr>
        <w:t xml:space="preserve">The reference to the silicon wafer now </w:t>
      </w:r>
      <w:r w:rsidR="00F7696B" w:rsidRPr="00F7696B">
        <w:rPr>
          <w:i/>
        </w:rPr>
        <w:t>reads: “</w:t>
      </w:r>
      <w:r w:rsidR="00F7696B" w:rsidRPr="00F7696B">
        <w:rPr>
          <w:rFonts w:cstheme="minorHAnsi"/>
          <w:i/>
        </w:rPr>
        <w:t>Place a clean silicon wafer (100 mm diameter, &lt;1-0-0&gt; oriented, 525 µm thickness) in a preheated oven set to 250 °C and leave the wafer to dehydrate overnight (~16 h).”</w:t>
      </w:r>
    </w:p>
    <w:p w:rsidR="006C3FBA" w:rsidRDefault="006C3FBA" w:rsidP="006C3FBA">
      <w:pPr>
        <w:pStyle w:val="NoSpacing"/>
        <w:jc w:val="both"/>
      </w:pPr>
    </w:p>
    <w:p w:rsidR="006C3FBA" w:rsidRDefault="006C3FBA" w:rsidP="006C3FBA">
      <w:pPr>
        <w:pStyle w:val="NoSpacing"/>
        <w:jc w:val="both"/>
      </w:pPr>
      <w:r>
        <w:t>5) Please clarify "thermal paste" in the Figure 4 caption.</w:t>
      </w:r>
    </w:p>
    <w:p w:rsidR="006C3FBA" w:rsidRPr="006C3FBA" w:rsidRDefault="00F7696B" w:rsidP="006C3FBA">
      <w:pPr>
        <w:pStyle w:val="NoSpacing"/>
        <w:jc w:val="both"/>
        <w:rPr>
          <w:i/>
        </w:rPr>
      </w:pPr>
      <w:r>
        <w:rPr>
          <w:i/>
        </w:rPr>
        <w:t>We have clarified the type of thermal paste used in the figure caption, as well as adding the specific thermal paste to the materials list. The caption now reads: “</w:t>
      </w:r>
      <w:r w:rsidRPr="00F7696B">
        <w:rPr>
          <w:i/>
        </w:rPr>
        <w:t>To remove excess heat produced by the Peltier element, the hot-face of the Peltier is placed against a water cooled block, with the addition of silicone free heat sink grease thermal paste ensuring optimal heat transfer between the two faces.</w:t>
      </w:r>
      <w:r>
        <w:rPr>
          <w:i/>
        </w:rPr>
        <w:t>”</w:t>
      </w:r>
    </w:p>
    <w:sectPr w:rsidR="006C3FBA" w:rsidRPr="006C3F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F7BD3"/>
    <w:multiLevelType w:val="multilevel"/>
    <w:tmpl w:val="C3402B7C"/>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3."/>
      <w:lvlJc w:val="left"/>
      <w:pPr>
        <w:ind w:left="765" w:hanging="720"/>
      </w:pPr>
      <w:rPr>
        <w:rFonts w:asciiTheme="minorHAnsi" w:eastAsiaTheme="minorHAnsi" w:hAnsiTheme="minorHAnsi" w:cstheme="minorBidi"/>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08"/>
    <w:rsid w:val="001077B8"/>
    <w:rsid w:val="00132C3F"/>
    <w:rsid w:val="001C23C8"/>
    <w:rsid w:val="00207C64"/>
    <w:rsid w:val="0022077D"/>
    <w:rsid w:val="0027248D"/>
    <w:rsid w:val="00292BE6"/>
    <w:rsid w:val="002A022F"/>
    <w:rsid w:val="00395DB5"/>
    <w:rsid w:val="00441E60"/>
    <w:rsid w:val="00540086"/>
    <w:rsid w:val="005A3B28"/>
    <w:rsid w:val="005B3107"/>
    <w:rsid w:val="006C3FBA"/>
    <w:rsid w:val="00880A20"/>
    <w:rsid w:val="009A081A"/>
    <w:rsid w:val="00A6782A"/>
    <w:rsid w:val="00B8797D"/>
    <w:rsid w:val="00BA64C5"/>
    <w:rsid w:val="00C72B70"/>
    <w:rsid w:val="00D65681"/>
    <w:rsid w:val="00F7696B"/>
    <w:rsid w:val="00F82108"/>
    <w:rsid w:val="00FE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22693-9EE0-4BBF-B1A9-BD2EB4BF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B28"/>
    <w:pPr>
      <w:spacing w:after="0" w:line="240" w:lineRule="auto"/>
    </w:pPr>
    <w:rPr>
      <w:lang w:val="en-GB"/>
    </w:rPr>
  </w:style>
  <w:style w:type="character" w:styleId="Hyperlink">
    <w:name w:val="Hyperlink"/>
    <w:basedOn w:val="DefaultParagraphFont"/>
    <w:uiPriority w:val="99"/>
    <w:unhideWhenUsed/>
    <w:rsid w:val="00F7696B"/>
    <w:rPr>
      <w:color w:val="0563C1" w:themeColor="hyperlink"/>
      <w:u w:val="single"/>
    </w:rPr>
  </w:style>
  <w:style w:type="character" w:styleId="FollowedHyperlink">
    <w:name w:val="FollowedHyperlink"/>
    <w:basedOn w:val="DefaultParagraphFont"/>
    <w:uiPriority w:val="99"/>
    <w:semiHidden/>
    <w:unhideWhenUsed/>
    <w:rsid w:val="00F76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nar/gkr1191" TargetMode="External"/><Relationship Id="rId5" Type="http://schemas.openxmlformats.org/officeDocument/2006/relationships/hyperlink" Target="https://doi.org/10.1002/smll.2015027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1265</TotalTime>
  <Pages>4</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TU/e</Company>
  <LinksUpToDate>false</LinksUpToDate>
  <CharactersWithSpaces>12984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A.J. van der</dc:creator>
  <cp:keywords/>
  <dc:description/>
  <cp:lastModifiedBy>Linden, A.J. van der</cp:lastModifiedBy>
  <cp:revision>15</cp:revision>
  <dcterms:created xsi:type="dcterms:W3CDTF">2019-02-19T15:15:00Z</dcterms:created>
  <dcterms:modified xsi:type="dcterms:W3CDTF">2019-02-22T07:46:00Z</dcterms:modified>
</cp:coreProperties>
</file>