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Potentiation of Anticancer Antibody Efficacy by Antineoplastic Drugs: Detection of Antibody-drug Synergism Using the Combination Index Equation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Meriem Bahri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Julien Fleurence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S&amp;#233;bastien Faraj</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Mohamed Ben Mostefa Daho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Sophie Fougeray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St&amp;#233;phane Birkl&amp;#233;</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de Recherche en Canc&amp;#233;rologie et Immunologie Nantes Angers (CRCINA), Institut national de la sant&amp;#233; et de la recherche m&amp;#233;dicale (INSERM), Universit&amp;#233; d'Angers, Universit&amp;#233; de Nantes, Nantes,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Service de chirurgie p&amp;#233;diatrique, Centre hospitalier universitaire (CHU) de Nantes, Nantes,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Unit&amp;#233; de Formation et Recherche (UFR) des Sciences Pharmaceutiques et Biologiques, Universit&amp;#233; de Nantes, Nantes,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contributed equally to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St&amp;#233;phane Birkl&amp;#233;</w:t>
        <w:tab/>
        <w:tab/>
        <w:tab/>
        <w:t xml:space="preserve">(Stephane.Birkle@univ-nantes.fr)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+33 228 080 300</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Meriem Bahri</w:t>
        <w:tab/>
        <w:tab/>
        <w:tab/>
        <w:tab/>
        <w:t xml:space="preserve">(Meriem.Bahri@univ-nantes.fr)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Julien Fleurence</w:t>
        <w:tab/>
        <w:tab/>
        <w:tab/>
        <w:t xml:space="preserve">(jjfleure@texaschildrens.org)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S&amp;#233;bastien Faraj</w:t>
        <w:tab/>
        <w:tab/>
        <w:tab/>
        <w:t xml:space="preserve">(Sebastien.Faraj@chu-nantes.fr)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Mohamed Ben Mostefa Daho</w:t>
        <w:tab/>
        <w:tab/>
        <w:t xml:space="preserve">(Mohamed.ben-mostefa-daho@etu.univ-nantes.fr)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Fougeray</w:t>
        <w:tab/>
        <w:tab/>
        <w:tab/>
        <w:t xml:space="preserve">(Sophie.Fougeray@univ-nantes.fr)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research, drug development, antibody-drug combination, antibody-drug interaction, MTT assay, antibody-drug synergy, combination index equation,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line model, tumor xenograft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assess synergism between an anticancer antibody and antineoplastic drugs in preclinical models by using the combination index equation of Chou and Talalay.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Potentiation of hostile monoclonal antibodies (mAb) by chemotherapeutic agents constitutes a valuable strategy for designing effective and safer therapy against cancer. Here we provide a protocol to identify a rational combination at the preclinical step. First, we describe a cell-based assay to assess the synergism between anticancer mAb and cytotoxic drugs, that uses the combination index equation of Chou and Talalay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includes the measurement of tumor cell drug- and antibody-sensitivity using an MTT assay, followed by an automated computer analysis to calculate the combination index (CI) values. CI values of &amp;lt;1 indicate synergism between tested mAbs and cytotoxic agents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corroborate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findings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further describe a method to assess the combination regimen efficacy in a xenograft tumor model. In this model, the combined regimen significantly delays tumor growth, which results in a significant extended survival in comparison to single-agent controls. Importantly,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experimentation reveals that the combination regimen is well tolerated. This protocol allows the effective evaluation of anticancer drug combinations in preclinical models and the identification of rational combination to evaluate in clinical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conventional approach in the treatment of a large number of different types of cancer was based on monotherapy. Even if it is still used in many cases, this method met several obstacles leading to opting for combined therapies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Particularly, cancer cells are more susceptible to develop resistance when treated with a single drug by inducing alternative survival mechanisms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resulting in therapeutic failure in patients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Moreover, in monotherapy, drugs are usually administrated at a high dose. This situation often results in the occurrence of strong dose-dependent side effects that can be intolerable and force physicians to stop the treatment</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For these reasons, the association of anticancer molecules is now preferred to monotherapy.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Ideal drug combinations would be those that act in synergy against tumor cells, without increased toxicity against normal cells. Synergism refers to the interaction of two or more drugs that produces a therapeutic effect greater than the sum of each individual drug acting separately. Such interactions may result in enhanced clinical therapeutic efficacy</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It limits treatment resistance, increases efficacy, and can also reduce toxicity</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 fact, the dosage of each drug can be reduced to lower their side effects by targeting different pathways. In addition, one of the molecules can also serve as a sensitizing agent against cancer cells. The effect of the second drug may be enhanced on sensitized cells and fewer dosages can be used</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Combined therapy can include two or more chemotherapeutic drugs and/or biologics, such as monoclonal antibodies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These mAbs specifically target cells expressing a cell surface antigen of interest and are able to kill tumor cells through immunological pathways including antibody-dependent cell-mediated cytotoxicity (ADCC), with the involvement of immune effector cells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and complement-dependent cytotoxicity (CDC)</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They can also act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a nonimmunological mechanism mediated by apoptosis</w:t>
      </w:r>
      <w:r>
        <w:rPr>
          <w:rFonts w:ascii="Calibri" w:hAnsi="Calibri" w:cs="Calibri" w:eastAsia="Calibri"/>
          <w:color w:val="auto"/>
          <w:spacing w:val="0"/>
          <w:position w:val="0"/>
          <w:sz w:val="24"/>
          <w:shd w:fill="FFFFFF" w:val="clear"/>
          <w:vertAlign w:val="superscript"/>
        </w:rPr>
        <w:t xml:space="preserve">8-11</w:t>
      </w:r>
      <w:r>
        <w:rPr>
          <w:rFonts w:ascii="Calibri" w:hAnsi="Calibri" w:cs="Calibri" w:eastAsia="Calibri"/>
          <w:color w:val="auto"/>
          <w:spacing w:val="0"/>
          <w:position w:val="0"/>
          <w:sz w:val="24"/>
          <w:shd w:fill="FFFFFF" w:val="clear"/>
        </w:rPr>
        <w:t xml:space="preserve">. In this case, the induction of the process of programmed cell death may sensitize cancer cells, weaken their function, and make the associated chemotherapeutic drug more effective at a lower dosage. As such, proapoptotic mAb are good candidates for designing combination regimens with antineoplastic drugs.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Different mathematical models have been described to assess drug synergism; one of them is based on the combination index method</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This method is based on the median-effect principle developed by Chou</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median-effect equation correlates the drug dose and drug effect as follows.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2"/>
          <w:sz w:val="24"/>
          <w:shd w:fill="FFFFFF" w:val="clear"/>
        </w:rPr>
      </w:pPr>
      <w:r>
        <w:rPr>
          <w:rFonts w:ascii="Calibri" w:hAnsi="Calibri" w:cs="Calibri" w:eastAsia="Calibri"/>
          <w:color w:val="auto"/>
          <w:spacing w:val="0"/>
          <w:position w:val="0"/>
          <w:sz w:val="24"/>
          <w:shd w:fill="FFFFFF" w:val="clear"/>
        </w:rPr>
        <w:t xml:space="preserve">Here, </w:t>
      </w:r>
      <w:r>
        <w:rPr>
          <w:rFonts w:ascii="Calibri" w:hAnsi="Calibri" w:cs="Calibri" w:eastAsia="Calibri"/>
          <w:i/>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is the dose drug; </w:t>
      </w:r>
      <w:r>
        <w:rPr>
          <w:rFonts w:ascii="Calibri" w:hAnsi="Calibri" w:cs="Calibri" w:eastAsia="Calibri"/>
          <w:i/>
          <w:color w:val="auto"/>
          <w:spacing w:val="0"/>
          <w:position w:val="0"/>
          <w:sz w:val="24"/>
          <w:shd w:fill="FFFFFF" w:val="clear"/>
        </w:rPr>
        <w:t xml:space="preserve">Dm</w:t>
      </w:r>
      <w:r>
        <w:rPr>
          <w:rFonts w:ascii="Calibri" w:hAnsi="Calibri" w:cs="Calibri" w:eastAsia="Calibri"/>
          <w:color w:val="auto"/>
          <w:spacing w:val="0"/>
          <w:position w:val="-8"/>
          <w:sz w:val="24"/>
          <w:shd w:fill="FFFFFF" w:val="clear"/>
        </w:rPr>
        <w:t xml:space="preserve"> is the median-effect dose; </w:t>
      </w:r>
      <w:r>
        <w:rPr>
          <w:rFonts w:ascii="Calibri" w:hAnsi="Calibri" w:cs="Calibri" w:eastAsia="Calibri"/>
          <w:i/>
          <w:color w:val="auto"/>
          <w:spacing w:val="0"/>
          <w:position w:val="-8"/>
          <w:sz w:val="24"/>
          <w:shd w:fill="FFFFFF" w:val="clear"/>
        </w:rPr>
        <w:t xml:space="preserve">Fa</w:t>
      </w:r>
      <w:r>
        <w:rPr>
          <w:rFonts w:ascii="Calibri" w:hAnsi="Calibri" w:cs="Calibri" w:eastAsia="Calibri"/>
          <w:color w:val="auto"/>
          <w:spacing w:val="0"/>
          <w:position w:val="-8"/>
          <w:sz w:val="24"/>
          <w:shd w:fill="FFFFFF" w:val="clear"/>
        </w:rPr>
        <w:t xml:space="preserve"> is the fraction affected by the dose; </w:t>
      </w:r>
      <w:r>
        <w:rPr>
          <w:rFonts w:ascii="Calibri" w:hAnsi="Calibri" w:cs="Calibri" w:eastAsia="Calibri"/>
          <w:i/>
          <w:color w:val="auto"/>
          <w:spacing w:val="0"/>
          <w:position w:val="-8"/>
          <w:sz w:val="24"/>
          <w:shd w:fill="FFFFFF" w:val="clear"/>
        </w:rPr>
        <w:t xml:space="preserve">m</w:t>
      </w:r>
      <w:r>
        <w:rPr>
          <w:rFonts w:ascii="Calibri" w:hAnsi="Calibri" w:cs="Calibri" w:eastAsia="Calibri"/>
          <w:color w:val="auto"/>
          <w:spacing w:val="0"/>
          <w:position w:val="-8"/>
          <w:sz w:val="24"/>
          <w:shd w:fill="FFFFFF" w:val="clear"/>
        </w:rPr>
        <w:t xml:space="preserve"> is an exponent that signifies the shape of the dose-effect plot</w:t>
      </w:r>
      <w:r>
        <w:rPr>
          <w:rFonts w:ascii="Calibri" w:hAnsi="Calibri" w:cs="Calibri" w:eastAsia="Calibri"/>
          <w:color w:val="auto"/>
          <w:spacing w:val="0"/>
          <w:position w:val="-8"/>
          <w:sz w:val="24"/>
          <w:shd w:fill="FFFFFF" w:val="clear"/>
          <w:vertAlign w:val="superscript"/>
        </w:rPr>
        <w:t xml:space="preserve">1</w:t>
      </w:r>
      <w:r>
        <w:rPr>
          <w:rFonts w:ascii="Calibri" w:hAnsi="Calibri" w:cs="Calibri" w:eastAsia="Calibri"/>
          <w:color w:val="auto"/>
          <w:spacing w:val="0"/>
          <w:position w:val="-8"/>
          <w:sz w:val="24"/>
          <w:shd w:fill="FFFFFF" w:val="clear"/>
        </w:rPr>
        <w:t xml:space="preserve">. The median-effect dose is used to calculate the dose </w:t>
      </w:r>
      <w:r>
        <w:rPr>
          <w:rFonts w:ascii="Calibri" w:hAnsi="Calibri" w:cs="Calibri" w:eastAsia="Calibri"/>
          <w:i/>
          <w:color w:val="auto"/>
          <w:spacing w:val="0"/>
          <w:position w:val="-8"/>
          <w:sz w:val="24"/>
          <w:shd w:fill="FFFFFF" w:val="clear"/>
        </w:rPr>
        <w:t xml:space="preserve">Dx</w:t>
      </w:r>
      <w:r>
        <w:rPr>
          <w:rFonts w:ascii="Calibri" w:hAnsi="Calibri" w:cs="Calibri" w:eastAsia="Calibri"/>
          <w:color w:val="auto"/>
          <w:spacing w:val="0"/>
          <w:position w:val="-8"/>
          <w:sz w:val="24"/>
          <w:shd w:fill="FFFFFF" w:val="clear"/>
        </w:rPr>
        <w:t xml:space="preserve"> of a drug that inhibits or kills </w:t>
      </w:r>
      <w:r>
        <w:rPr>
          <w:rFonts w:ascii="Calibri" w:hAnsi="Calibri" w:cs="Calibri" w:eastAsia="Calibri"/>
          <w:color w:val="auto"/>
          <w:spacing w:val="0"/>
          <w:position w:val="-2"/>
          <w:sz w:val="24"/>
          <w:shd w:fill="FFFFFF" w:val="clear"/>
        </w:rPr>
        <w:t xml:space="preserve">"</w:t>
      </w:r>
      <w:r>
        <w:rPr>
          <w:rFonts w:ascii="Calibri" w:hAnsi="Calibri" w:cs="Calibri" w:eastAsia="Calibri"/>
          <w:i/>
          <w:color w:val="auto"/>
          <w:spacing w:val="0"/>
          <w:position w:val="-2"/>
          <w:sz w:val="24"/>
          <w:shd w:fill="FFFFFF" w:val="clear"/>
        </w:rPr>
        <w:t xml:space="preserve">x</w:t>
      </w:r>
      <w:r>
        <w:rPr>
          <w:rFonts w:ascii="Calibri" w:hAnsi="Calibri" w:cs="Calibri" w:eastAsia="Calibri"/>
          <w:color w:val="auto"/>
          <w:spacing w:val="0"/>
          <w:position w:val="-2"/>
          <w:sz w:val="24"/>
          <w:shd w:fill="FFFFFF" w:val="clear"/>
        </w:rPr>
        <w:t xml:space="preserve">" percent of cells. The CI value is then calculated to assess the additive effect of the drug combination, as follows</w:t>
      </w:r>
      <w:r>
        <w:rPr>
          <w:rFonts w:ascii="Calibri" w:hAnsi="Calibri" w:cs="Calibri" w:eastAsia="Calibri"/>
          <w:color w:val="auto"/>
          <w:spacing w:val="0"/>
          <w:position w:val="-2"/>
          <w:sz w:val="24"/>
          <w:shd w:fill="FFFFFF" w:val="clear"/>
          <w:vertAlign w:val="superscript"/>
        </w:rPr>
        <w:t xml:space="preserve">1</w:t>
      </w:r>
      <w:r>
        <w:rPr>
          <w:rFonts w:ascii="Calibri" w:hAnsi="Calibri" w:cs="Calibri" w:eastAsia="Calibri"/>
          <w:color w:val="auto"/>
          <w:spacing w:val="0"/>
          <w:position w:val="-2"/>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CI value of 1 indicates an additive effect and a CI value of &amp;lt;1 indicates a synergistic effect, while a CI value of &amp;gt;1 indicates antagonism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application of this method is further facilitated by the availability of a computer program, CompuSyn, that determines synergism and antagonism at all doses or effect levels simulated automatically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Our group has developed the mAb 8B6 specific for O-acetyl-GD2 ganglioside (OAcGD2) neuroblastoma antigen</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and further demonstrated that this mAb is able to induce cell death with attributes of apoptosis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To test whether mAb 8B6 can sensitize neuroblastoma cells to the antineoplastic agent topotecan, we adapted the above-mentioned method developed by Chou</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First, we determine the effective dose 50 (ED</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values of mAb 8B6 and topotecan. Next, the neuroblastoma cells with equipotent ratios of the two compounds based on ED</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values are exposed to determine the CI values using the above-mentioned simulation software. This method allows us to demonstrate synergism between mAb 8B6 and topotecan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Next, we describe a protocol to further assess the potency and the safety of this combination regimen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This protocol can be easily applied to select potent and safe anticancer mAb and chemotherapeutic agent combinations in preclinical studies. A schematic representation of this study is provided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housing and experimental procedure were approved by the French Government (agreements #C44-278 and #APAFIS 03479.01). Animal care and procedures were conducted under directive EU 2010/63/EU and French Law #2013-118 on the protection of animals used for scientific purposes.</w:t>
      </w: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Evaluation of the Drug Interaction Between mAb 8B6 and Topotecan </w:t>
      </w:r>
      <w:r>
        <w:rPr>
          <w:rFonts w:ascii="Calibri" w:hAnsi="Calibri" w:cs="Calibri" w:eastAsia="Calibri"/>
          <w:b/>
          <w:i/>
          <w:color w:val="auto"/>
          <w:spacing w:val="0"/>
          <w:position w:val="0"/>
          <w:sz w:val="24"/>
          <w:shd w:fill="auto" w:val="clear"/>
        </w:rPr>
        <w:t xml:space="preserve">In Vitro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96-well sample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Consult the institution’s Health and Safety committee and follow local regulation rules related to laboratory safety. Review the Material and Safety Data Sheet information before working with any media, cell line, or reagents. Use proper sterile technique and work in a laminar flow hood. All solutions/equipment that are used to manipulate cells must be sterile.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was designed for use with adherent cells. Modifications are required to apply the method to nonadherent cells growing in suspension; this protocol uses quadruplicate for each experimental condition.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Grow IMR5 cells in a T75 flask.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On the first day (day 0), observe the cell culture under a microscope to check the cell confluency. Aspirate the cell medium from the flask, wash it with 5 mL of phosphate-buffered saline (PBS), and add 3 mL of 0.05% ethylenediaminetetraacetic acid (EDTA)/PBS solution. Return the flask to the incubator for 3 min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Examine the cell culture under a microscope for cell detachment.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return the flask to the incubator for an additional 3 to 5 min, depending on tumor cell type.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Add 10 mL of complete cell medium to the flask and transfer the cell suspension to a sterile 15 mL conical tube. Centrifuge the cells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Count the cells using a hemocytometer.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Remove and discard the supernatant. Resuspend the cell pellet in complete growth medium. Adjust the medium volume to obtain a final concentration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Seed 84 wells of a 96-well culture plate with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each, which is 100 &amp;#181;L of cell suspension. Follow the experimental layout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Incubate the cells for 18 h in the cell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Drug solution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drug/mAb sensitization studies, modify the timing, the length, and the concentration treatment to suit the particular drug/mAb in question. Note that the initial concentration is 3x the final concentration.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The next morning (day 1), prepare the following drug solutions using complete growth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mAb solution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1.2.1.1.1. Dilute mAb in 500 &amp;#181;L of complete growth medium to obtain an antibody working solution with an mAb concentration of 240 &amp;#181;g/mL.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1.2.1.1.2. Perform five two-fold serial dilutions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1.2.1.2. Topotecan solution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1.2.1.2.1. Dilute, as above, the drug in 500 &amp;#181;L of complete growth medium to obtain a drug working solution with a final concentration of 120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1.2.1.2.2. Perform five two-fold serial dilutions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1.2.1.3. Antibody and drug solution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1.2.1.3.1. Dilute the drug and mAb solutions in 500 &amp;#181;L of complete growth medium to obtain a solution at 120 nM drug and 240 &amp;#181;g/mL mAb (working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1.2.1.3.2. Perform five two-fold serial dilutions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To arrive at the final concentration, transfer 50 &amp;#181;L of each drug solution into the corresponding wells, as indicated in the experimental layout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50 &amp;#181;L of complete growth medium into the untreated cell wells,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Incubate the cells for 72 h in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MTT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10 &amp;#181;L of MTT reagent solution into each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Incubate at 37 &amp;#176;C for 4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100 &amp;#181;L of lysis solution (10% SDS in 0.01 M HCl) into each well, using a multichannel pipette, and mix thoroughly by pipetting.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Incubate at 37 &amp;#176;C for 4 h in a humidified chamber (95% humidity).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Read the absorbance at 570 nm (A</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 and 620 nm (A</w:t>
      </w:r>
      <w:r>
        <w:rPr>
          <w:rFonts w:ascii="Calibri" w:hAnsi="Calibri" w:cs="Calibri" w:eastAsia="Calibri"/>
          <w:color w:val="auto"/>
          <w:spacing w:val="0"/>
          <w:position w:val="0"/>
          <w:sz w:val="24"/>
          <w:shd w:fill="auto" w:val="clear"/>
          <w:vertAlign w:val="subscript"/>
        </w:rPr>
        <w:t xml:space="preserve">620</w:t>
      </w:r>
      <w:r>
        <w:rPr>
          <w:rFonts w:ascii="Calibri" w:hAnsi="Calibri" w:cs="Calibri" w:eastAsia="Calibri"/>
          <w:color w:val="auto"/>
          <w:spacing w:val="0"/>
          <w:position w:val="0"/>
          <w:sz w:val="24"/>
          <w:shd w:fill="auto" w:val="clear"/>
        </w:rPr>
        <w:t xml:space="preserve">) using a 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each sample again by pipetting before reading the absorbance; absorbance at 620 nm allows the correction of nonspecific background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Calculate the corrected absorbance: corrected absorbance = A</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620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Calculate the cell viability as follows: cell viability = 100 x (sample mean corrected absorbance / control mean corrected absorbance).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Calculate the fraction-affected values (Fa) using the following equation: 1 - (sample mean corrected absorbance / control mean corrected absorbance).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Drug interaction analytical simulation software for single and drug combination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Run the simulation software to open the start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Click on the </w:t>
      </w:r>
      <w:r>
        <w:rPr>
          <w:rFonts w:ascii="Calibri" w:hAnsi="Calibri" w:cs="Calibri" w:eastAsia="Calibri"/>
          <w:b/>
          <w:color w:val="auto"/>
          <w:spacing w:val="0"/>
          <w:position w:val="0"/>
          <w:sz w:val="24"/>
          <w:shd w:fill="auto" w:val="clear"/>
        </w:rPr>
        <w:t xml:space="preserve">New Experiment</w:t>
      </w:r>
      <w:r>
        <w:rPr>
          <w:rFonts w:ascii="Calibri" w:hAnsi="Calibri" w:cs="Calibri" w:eastAsia="Calibri"/>
          <w:color w:val="auto"/>
          <w:spacing w:val="0"/>
          <w:position w:val="0"/>
          <w:sz w:val="24"/>
          <w:shd w:fill="auto" w:val="clear"/>
        </w:rPr>
        <w:t xml:space="preserve"> button to open the </w:t>
      </w:r>
      <w:r>
        <w:rPr>
          <w:rFonts w:ascii="Calibri" w:hAnsi="Calibri" w:cs="Calibri" w:eastAsia="Calibri"/>
          <w:b/>
          <w:color w:val="auto"/>
          <w:spacing w:val="0"/>
          <w:position w:val="0"/>
          <w:sz w:val="24"/>
          <w:shd w:fill="auto" w:val="clear"/>
        </w:rPr>
        <w:t xml:space="preserve">Main</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Type the name of the experiment in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date can be added in the </w:t>
      </w:r>
      <w:r>
        <w:rPr>
          <w:rFonts w:ascii="Calibri" w:hAnsi="Calibri" w:cs="Calibri" w:eastAsia="Calibri"/>
          <w:b/>
          <w:color w:val="auto"/>
          <w:spacing w:val="0"/>
          <w:position w:val="0"/>
          <w:sz w:val="24"/>
          <w:shd w:fill="auto" w:val="clear"/>
        </w:rPr>
        <w:t xml:space="preserve">Date</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Click on the </w:t>
      </w:r>
      <w:r>
        <w:rPr>
          <w:rFonts w:ascii="Calibri" w:hAnsi="Calibri" w:cs="Calibri" w:eastAsia="Calibri"/>
          <w:b/>
          <w:color w:val="auto"/>
          <w:spacing w:val="0"/>
          <w:position w:val="0"/>
          <w:sz w:val="24"/>
          <w:shd w:fill="auto" w:val="clear"/>
        </w:rPr>
        <w:t xml:space="preserve">New Single Drug</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Type the name in the </w:t>
      </w:r>
      <w:r>
        <w:rPr>
          <w:rFonts w:ascii="Calibri" w:hAnsi="Calibri" w:cs="Calibri" w:eastAsia="Calibri"/>
          <w:b/>
          <w:color w:val="auto"/>
          <w:spacing w:val="0"/>
          <w:position w:val="0"/>
          <w:sz w:val="24"/>
          <w:shd w:fill="auto" w:val="clear"/>
        </w:rPr>
        <w:t xml:space="preserve">Full Name</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Type the abbreviation in the </w:t>
      </w:r>
      <w:r>
        <w:rPr>
          <w:rFonts w:ascii="Calibri" w:hAnsi="Calibri" w:cs="Calibri" w:eastAsia="Calibri"/>
          <w:b/>
          <w:color w:val="auto"/>
          <w:spacing w:val="0"/>
          <w:position w:val="0"/>
          <w:sz w:val="24"/>
          <w:shd w:fill="auto" w:val="clear"/>
        </w:rPr>
        <w:t xml:space="preserve">Abbrev</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Type the drug concentration unit in the </w:t>
      </w:r>
      <w:r>
        <w:rPr>
          <w:rFonts w:ascii="Calibri" w:hAnsi="Calibri" w:cs="Calibri" w:eastAsia="Calibri"/>
          <w:b/>
          <w:color w:val="auto"/>
          <w:spacing w:val="0"/>
          <w:position w:val="0"/>
          <w:sz w:val="24"/>
          <w:shd w:fill="auto" w:val="clear"/>
        </w:rPr>
        <w:t xml:space="preserve">Units</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Enter </w:t>
      </w:r>
      <w:r>
        <w:rPr>
          <w:rFonts w:ascii="Calibri" w:hAnsi="Calibri" w:cs="Calibri" w:eastAsia="Calibri"/>
          <w:b/>
          <w:color w:val="auto"/>
          <w:spacing w:val="0"/>
          <w:position w:val="0"/>
          <w:sz w:val="24"/>
          <w:shd w:fill="auto" w:val="clear"/>
        </w:rPr>
        <w:t xml:space="preserve">Data Point 1 Dose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Fa value</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Repeat this step until all Data Points are entered.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 Click on the </w:t>
      </w:r>
      <w:r>
        <w:rPr>
          <w:rFonts w:ascii="Calibri" w:hAnsi="Calibri" w:cs="Calibri" w:eastAsia="Calibri"/>
          <w:b/>
          <w:color w:val="auto"/>
          <w:spacing w:val="0"/>
          <w:position w:val="0"/>
          <w:sz w:val="24"/>
          <w:shd w:fill="auto" w:val="clear"/>
        </w:rPr>
        <w:t xml:space="preserve">Finished</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Follow the same steps to enter mAb Data Points.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concentration unit as is used by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Click on the </w:t>
      </w:r>
      <w:r>
        <w:rPr>
          <w:rFonts w:ascii="Calibri" w:hAnsi="Calibri" w:cs="Calibri" w:eastAsia="Calibri"/>
          <w:b/>
          <w:color w:val="auto"/>
          <w:spacing w:val="0"/>
          <w:position w:val="0"/>
          <w:sz w:val="24"/>
          <w:shd w:fill="auto" w:val="clear"/>
        </w:rPr>
        <w:t xml:space="preserve">New Drug Combo</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 Select </w:t>
      </w:r>
      <w:r>
        <w:rPr>
          <w:rFonts w:ascii="Calibri" w:hAnsi="Calibri" w:cs="Calibri" w:eastAsia="Calibri"/>
          <w:b/>
          <w:color w:val="auto"/>
          <w:spacing w:val="0"/>
          <w:position w:val="0"/>
          <w:sz w:val="24"/>
          <w:shd w:fill="auto" w:val="clear"/>
        </w:rPr>
        <w:t xml:space="preserve">Drug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 Select </w:t>
      </w:r>
      <w:r>
        <w:rPr>
          <w:rFonts w:ascii="Calibri" w:hAnsi="Calibri" w:cs="Calibri" w:eastAsia="Calibri"/>
          <w:b/>
          <w:color w:val="auto"/>
          <w:spacing w:val="0"/>
          <w:position w:val="0"/>
          <w:sz w:val="24"/>
          <w:shd w:fill="auto" w:val="clear"/>
        </w:rPr>
        <w:t xml:space="preserve">Constant Ratio</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 Type the name in the </w:t>
      </w:r>
      <w:r>
        <w:rPr>
          <w:rFonts w:ascii="Calibri" w:hAnsi="Calibri" w:cs="Calibri" w:eastAsia="Calibri"/>
          <w:b/>
          <w:color w:val="auto"/>
          <w:spacing w:val="0"/>
          <w:position w:val="0"/>
          <w:sz w:val="24"/>
          <w:shd w:fill="auto" w:val="clear"/>
        </w:rPr>
        <w:t xml:space="preserve">Full Name</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 Type the abbreviation in the </w:t>
      </w:r>
      <w:r>
        <w:rPr>
          <w:rFonts w:ascii="Calibri" w:hAnsi="Calibri" w:cs="Calibri" w:eastAsia="Calibri"/>
          <w:b/>
          <w:color w:val="auto"/>
          <w:spacing w:val="0"/>
          <w:position w:val="0"/>
          <w:sz w:val="24"/>
          <w:shd w:fill="auto" w:val="clear"/>
        </w:rPr>
        <w:t xml:space="preserve">Abbrev</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 Type the drug/mAb ratio in the </w:t>
      </w:r>
      <w:r>
        <w:rPr>
          <w:rFonts w:ascii="Calibri" w:hAnsi="Calibri" w:cs="Calibri" w:eastAsia="Calibri"/>
          <w:b/>
          <w:color w:val="auto"/>
          <w:spacing w:val="0"/>
          <w:position w:val="0"/>
          <w:sz w:val="24"/>
          <w:shd w:fill="auto" w:val="clear"/>
        </w:rPr>
        <w:t xml:space="preserve">Ratio of</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 Enter </w:t>
      </w:r>
      <w:r>
        <w:rPr>
          <w:rFonts w:ascii="Calibri" w:hAnsi="Calibri" w:cs="Calibri" w:eastAsia="Calibri"/>
          <w:b/>
          <w:color w:val="auto"/>
          <w:spacing w:val="0"/>
          <w:position w:val="0"/>
          <w:sz w:val="24"/>
          <w:shd w:fill="auto" w:val="clear"/>
        </w:rPr>
        <w:t xml:space="preserve">Data Point 1 Dose</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automatically calculate the doses of mAb and Combo.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 Enter the </w:t>
      </w:r>
      <w:r>
        <w:rPr>
          <w:rFonts w:ascii="Calibri" w:hAnsi="Calibri" w:cs="Calibri" w:eastAsia="Calibri"/>
          <w:b/>
          <w:color w:val="auto"/>
          <w:spacing w:val="0"/>
          <w:position w:val="0"/>
          <w:sz w:val="24"/>
          <w:shd w:fill="auto" w:val="clear"/>
        </w:rPr>
        <w:t xml:space="preserve">Data Point 1 Fa</w:t>
      </w:r>
      <w:r>
        <w:rPr>
          <w:rFonts w:ascii="Calibri" w:hAnsi="Calibri" w:cs="Calibri" w:eastAsia="Calibri"/>
          <w:color w:val="auto"/>
          <w:spacing w:val="0"/>
          <w:position w:val="0"/>
          <w:sz w:val="24"/>
          <w:shd w:fill="auto" w:val="clear"/>
        </w:rPr>
        <w:t xml:space="preserve"> value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1.4.20. Repeat this step until all Data Points are entered.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Click on the </w:t>
      </w:r>
      <w:r>
        <w:rPr>
          <w:rFonts w:ascii="Calibri" w:hAnsi="Calibri" w:cs="Calibri" w:eastAsia="Calibri"/>
          <w:b/>
          <w:color w:val="auto"/>
          <w:spacing w:val="0"/>
          <w:position w:val="0"/>
          <w:sz w:val="24"/>
          <w:shd w:fill="auto" w:val="clear"/>
        </w:rPr>
        <w:t xml:space="preserve">Finished</w:t>
      </w:r>
      <w:r>
        <w:rPr>
          <w:rFonts w:ascii="Calibri" w:hAnsi="Calibri" w:cs="Calibri" w:eastAsia="Calibri"/>
          <w:color w:val="auto"/>
          <w:spacing w:val="0"/>
          <w:position w:val="0"/>
          <w:sz w:val="24"/>
          <w:shd w:fill="auto" w:val="clear"/>
        </w:rPr>
        <w:t xml:space="preserve"> button and, then, click on the </w:t>
      </w:r>
      <w:r>
        <w:rPr>
          <w:rFonts w:ascii="Calibri" w:hAnsi="Calibri" w:cs="Calibri" w:eastAsia="Calibri"/>
          <w:b/>
          <w:color w:val="auto"/>
          <w:spacing w:val="0"/>
          <w:position w:val="0"/>
          <w:sz w:val="24"/>
          <w:shd w:fill="auto" w:val="clear"/>
        </w:rPr>
        <w:t xml:space="preserve">Generate Report</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Select drug and mAb and, then,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 Select </w:t>
      </w:r>
      <w:r>
        <w:rPr>
          <w:rFonts w:ascii="Calibri" w:hAnsi="Calibri" w:cs="Calibri" w:eastAsia="Calibri"/>
          <w:b/>
          <w:color w:val="auto"/>
          <w:spacing w:val="0"/>
          <w:position w:val="0"/>
          <w:sz w:val="24"/>
          <w:shd w:fill="auto" w:val="clear"/>
        </w:rPr>
        <w:t xml:space="preserve">Combo </w:t>
      </w:r>
      <w:r>
        <w:rPr>
          <w:rFonts w:ascii="Calibri" w:hAnsi="Calibri" w:cs="Calibri" w:eastAsia="Calibri"/>
          <w:color w:val="auto"/>
          <w:spacing w:val="0"/>
          <w:position w:val="0"/>
          <w:sz w:val="24"/>
          <w:shd w:fill="auto" w:val="clear"/>
        </w:rPr>
        <w:t xml:space="preserve">and, then,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Select </w:t>
      </w:r>
      <w:r>
        <w:rPr>
          <w:rFonts w:ascii="Calibri" w:hAnsi="Calibri" w:cs="Calibri" w:eastAsia="Calibri"/>
          <w:b/>
          <w:color w:val="auto"/>
          <w:spacing w:val="0"/>
          <w:position w:val="0"/>
          <w:sz w:val="24"/>
          <w:shd w:fill="auto" w:val="clear"/>
        </w:rPr>
        <w:t xml:space="preserve">Header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CI table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Summary table</w:t>
      </w:r>
      <w:r>
        <w:rPr>
          <w:rFonts w:ascii="Calibri" w:hAnsi="Calibri" w:cs="Calibri" w:eastAsia="Calibri"/>
          <w:color w:val="auto"/>
          <w:spacing w:val="0"/>
          <w:position w:val="0"/>
          <w:sz w:val="24"/>
          <w:shd w:fill="auto" w:val="clear"/>
        </w:rPr>
        <w:t xml:space="preserve">. Then,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 Type the file name of the analysis file and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generate the report.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report will automatically open in the computer’s default web browser.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1.4.26. To print the report, choose </w:t>
      </w:r>
      <w:r>
        <w:rPr>
          <w:rFonts w:ascii="Calibri" w:hAnsi="Calibri" w:cs="Calibri" w:eastAsia="Calibri"/>
          <w:b/>
          <w:color w:val="auto"/>
          <w:spacing w:val="0"/>
          <w:position w:val="0"/>
          <w:sz w:val="24"/>
          <w:shd w:fill="auto" w:val="clear"/>
        </w:rPr>
        <w:t xml:space="preserve">Print</w:t>
      </w:r>
      <w:r>
        <w:rPr>
          <w:rFonts w:ascii="Calibri" w:hAnsi="Calibri" w:cs="Calibri" w:eastAsia="Calibri"/>
          <w:color w:val="auto"/>
          <w:spacing w:val="0"/>
          <w:position w:val="0"/>
          <w:sz w:val="24"/>
          <w:shd w:fill="auto" w:val="clear"/>
        </w:rPr>
        <w:t xml:space="preserve"> from the web browser’s file menu. The report contains a Summary Table Section that includes title, date, file name, description note, parameters (m, Dm, and r),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either agent used in monotherapy or in combination, and the CI table for each combination at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ED</w:t>
      </w:r>
      <w:r>
        <w:rPr>
          <w:rFonts w:ascii="Calibri" w:hAnsi="Calibri" w:cs="Calibri" w:eastAsia="Calibri"/>
          <w:color w:val="auto"/>
          <w:spacing w:val="0"/>
          <w:position w:val="0"/>
          <w:sz w:val="24"/>
          <w:shd w:fill="auto" w:val="clear"/>
          <w:vertAlign w:val="subscript"/>
        </w:rPr>
        <w:t xml:space="preserve">75</w:t>
      </w:r>
      <w:r>
        <w:rPr>
          <w:rFonts w:ascii="Calibri" w:hAnsi="Calibri" w:cs="Calibri" w:eastAsia="Calibri"/>
          <w:color w:val="auto"/>
          <w:spacing w:val="0"/>
          <w:position w:val="0"/>
          <w:sz w:val="24"/>
          <w:shd w:fill="auto" w:val="clear"/>
        </w:rPr>
        <w:t xml:space="preserve">, ED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and ED</w:t>
      </w:r>
      <w:r>
        <w:rPr>
          <w:rFonts w:ascii="Calibri" w:hAnsi="Calibri" w:cs="Calibri" w:eastAsia="Calibri"/>
          <w:color w:val="auto"/>
          <w:spacing w:val="0"/>
          <w:position w:val="0"/>
          <w:sz w:val="24"/>
          <w:shd w:fill="auto" w:val="clear"/>
          <w:vertAlign w:val="subscript"/>
        </w:rPr>
        <w:t xml:space="preserve">95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CI value of &amp;lt;1 indicates synergism, a CI value of =1 indicates additivity, and a CI value of &amp;gt;1 indicates antagonism.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Generation of Human Neuroblastoma Xenografts in Nonobese Diabetic NOD Scid Gamma Mice (NSG Mice)</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Exclude any contamination of the cell culture. Since the basement membrane matrix forms a gel above 5 &amp;#176;C, all cultureware or media coming in contact with the basement membrane matrix reagent should be prechilled/ice-cold. Keep the basement membrane matrix on ice during the entire process.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the IMR5 cell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Thaw the basement membrane matrix reagent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overnight by submerging the vial in ice in a 4 &amp;#176;C refrigerator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On day 0, harvest the cultured IMR5 cells as detailed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Transfer the cells to a 15 mL conical tube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Discard the supernatant. Wash the cells 2x with 15 mL of ice-cold PBS, and prepare a cell suspension of 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ice-cold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transfer the cell suspension to a 1.5 mL microcentrifuge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Swirl the basement membrane matrix vial.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basement membrane matrix reagent should be thawed and dispersed.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Add one volume of basement membrane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matrix reagent and mix it by pipetting to obtain a cell suspension of 2.5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Keep the cell suspension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Preparation of the mice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mice should be six to seven weeks 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Maintain mice under a specific pathogen-free condition.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Allow a three- to five-day acclimatization period after the mice have arrived.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On the day of inoculation, shave the flank where the injection will be done (see step 2.3.6).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Preparation of the tumor cell injection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ice-cold basement membrane matrix cell suspension aseptic throughout the procedure.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Mix the cells and carefully draw the cell suspension into a 1 mL syringe mounted with a 21 G needle.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Check to be sure that there are no air bubbles in the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Disinfect the inoculation area of the mouse with an antiseptic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Gently squeeze the mouse’s skin on the flank between fingers, at the injection site.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Insert the needle exactly into the skin fold. Do not place the needle deep into the tissue to ensure a subcutaneous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Inject 100 &amp;#181;L of IMR5 cell suspension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subcutaneously into the lower right flank of the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Rotate the syringe to prevent leakage and withdraw the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Monitoring of body weight changes and tumor growth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Measure the length (A) and the width (B) of the tumor with a caliper.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Calculate the tumor volume using the formula (A x 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 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Start therapy when the tumors have reached an average volume of ~50 - 60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Drug and Antibody Administration in Mice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 Intravenous administration of mAb 8B6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Carefully fill a 1 mL syringe mounted with a 25 G needle with mAb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mouse under a heat lamp for 10 min to dilate the tail vein.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Restrain the mouse in a rodent restrainer.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Disinfect the inoculation area of the mouse with an antiseptic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Insert the needle parallel to the tail vein, penetrating 2 - 4 mm into the lumen while keeping the bevel of the needle face upward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Inject 100 &amp;#181;L of antibody solution intravenously (i.v.).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When the injection is finished, gently pressure the injection site to prevent bleeding.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Intraperitoneal administration of topotecan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Draw the drug solution in a 1 mL syringe mounted with a 25 G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Hold the mouse in a supine position, with its posterior end slightly elevated.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Disinfect the inoculation area of the mouse with an antiseptic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Locate the mouse’s abdomen midline and mentally divide the abdomen into quadrants. Locate the injection site in the right or left lower quadrant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Insert the needle into the abdomen (5 mm deep) at ~10&amp;#176; angle, in the right or left lower quadrant.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Inject 100 &amp;#181;L of drug solution intraperitoneally (i.p.).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Disinfect the inoculation site.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and figures are adapted with permission from earlier published work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Anti-OAcGD2 mAb 8B6 Synergistically Enhances the Inhibitory Effects of Topotecan on Neuroblastoma Cell Line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the drug and the antibody concentrations to be used for assessing synergism between topotecan and mAb 8B6, the drug and the antibody sensitivities of human IMR5 neuroblastoma cells were measured first, using an MTT assay. Exposure to either mAb 8B6 or topotecan alone for 72 h resulted in a concentration-dependent inhibition of IMR5 cell viability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Dose-response curves allowed the calculation of the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for each compound. To this end, Fa values were computed using the analysis simulation software. The calculated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were found to be 10 nM &amp;plusmn; 1 for topotecan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18 &amp;#181;g/mL &amp;plusmn; 3 for mAb 8B6 (data not shown).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these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next, the potency of six combinational equipotent ratios of mAb 8B6 and topotecan were tested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shift of the combination dose-response curve toward the sensitive side of the graph indicates that the combination regimen is more potent than each monotherapy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To obtain the corresponding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CI values, Fa values were computed. The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topotecan were significantly lower in the presence of mAb 8B6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indicating that mAb 8B6 sensitizes the tumor cell to topotecan. Importantly, the CI values were significantly less than 1.0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demonstrating a synergistic interaction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Thus, mAb 8B6 has the potential as an adjuvant therapeutic agent for topotecan chemotherapy. </w:t>
      </w: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Anti-OAcGD2 mAb 8B6 Enhances Antitumor Activity of Topotecan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neither take into account the drug half-life nor the drug metabolism, it is necessary to corroborate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findings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Moreover,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models are very useful to assess the combination regimen safety. To confirm that the synergism between topotecan and mAb 8B6 was specific to cancer cells, the antineuroblastoma effects of the combination therapy in a tumor xenograft model were assessed. For this, the severe immunodeficient NSG mouse strain was selected. These mice lack both an innate and an adaptive immune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therefore, make it possible for researchers to exclude any immunomodulatory effects induced by topotecan therapy that can affect mAb potency. Treatment was started once the tumors displayed a mean volume of 50 &amp;plusmn; 2.5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treatments consisted of either mAb 8B6 (150 &amp;#181;g i.v., day 7 and day 11), topotecan (0.36 mg/kg i.p., days 7 - 11), or a combination of mAb 8B6 and topotecan. The tumor volumes were monitored during the course of the experimentation. All therapies led to tumor growth retardation compared with control groups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combination regimen, however, induced the strongest effect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growth can be further analyzed to study the survival rate upon treatment. To this end, the event resulting in mouse euthanasia was defined as the tumor volume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ethical reasons. This allowed us to perform a Kaplan-Meyer survival analysis and to calculate the median event-free survival time for each experimental group. As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both monotherapies improved the event-free survival (EFS) substantially when compared to control groups (the median EFS of the vehicle-treated group was 21 days; of the control antibody group, 22 days; of the topotecan group, 26 days; of the mAb 8B6 group, 29 days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Yet, the combined therapy had the strongest effect on the mice survival, with a median EFS extended to 39.5 days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mAb 8B6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combination;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topotecan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combination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synergistic interactions can result in increased toxicity, the combination regimen safety needs to be assessed. As such, weight loss is commonly used as a sensitive marker for health monitoring in rodents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auto" w:val="clear"/>
        </w:rPr>
        <w:t xml:space="preserve">. Thus, </w:t>
      </w:r>
      <w:r>
        <w:rPr>
          <w:rFonts w:ascii="Calibri" w:hAnsi="Calibri" w:cs="Calibri" w:eastAsia="Calibri"/>
          <w:color w:val="auto"/>
          <w:spacing w:val="0"/>
          <w:position w:val="0"/>
          <w:sz w:val="24"/>
          <w:shd w:fill="FFFFFF" w:val="clear"/>
        </w:rPr>
        <w:t xml:space="preserve">weight loss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measured as a decline in percentage from the initial weight</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was retained as an indicator of the systemic tolerability of each tested regimen</w:t>
      </w:r>
      <w:r>
        <w:rPr>
          <w:rFonts w:ascii="Calibri" w:hAnsi="Calibri" w:cs="Calibri" w:eastAsia="Calibri"/>
          <w:color w:val="auto"/>
          <w:spacing w:val="0"/>
          <w:position w:val="0"/>
          <w:sz w:val="24"/>
          <w:shd w:fill="auto" w:val="clear"/>
        </w:rPr>
        <w:t xml:space="preserve">. No loss of body weight was observed, suggesting that the treatment was well tolerated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These data suggest that the combination of topotecan plus mAb 8B6 represents a more potent antitumor efficacy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than either agent alone, without detectable toxicity.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Layout of the combination experiment on a 96-well plate with ratios of topotecan-to-mAb 8B6, prepared as six solutions. </w:t>
      </w:r>
      <w:r>
        <w:rPr>
          <w:rFonts w:ascii="Calibri" w:hAnsi="Calibri" w:cs="Calibri" w:eastAsia="Calibri"/>
          <w:color w:val="auto"/>
          <w:spacing w:val="0"/>
          <w:position w:val="0"/>
          <w:sz w:val="24"/>
          <w:shd w:fill="auto" w:val="clear"/>
        </w:rPr>
        <w:t xml:space="preserve">The solutions were prepared as described in the protocol. Wells labeled 1 to 4 serve as mAb 8B6 solutions, wells labeled 5 to 8 serve as topotecan solutions, and wells labeled 9 to 12 serve as mAb 8B6 and topotecan (combination) solutions. Wells labeled A and H serve as controls; wells labeled B serve as 0.125 x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wells labeled C serve as 0.25 x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wells labeled D serve as 0.5 x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wells labeled E serve as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wells labeled F serve as 2 x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wells labeled G serve as 4 x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 drug solutions, as indicated. Therapeutic agents with two different units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&amp;#181;g/mL for mAb 8B6, and nM for topotecan) are analyzed in a fixed-ratio combination (0.075, topotecan/8B6).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Injections.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Intravenous injection into the tail vein of a restrained mouse, using an insulin syringe of 27 G x 1/2 in, 1 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Intraperitoneal injection to the lower right quadrant of the mouse’s abdomen, using a 1 mL syringe mounted with a 25 G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0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Dose-effect relationship of topotecan, mAb 8B6, and their combination on growth viability inhibition of IMR5 neuroblastoma cells after 72 h of exposure.</w:t>
      </w:r>
      <w:r>
        <w:rPr>
          <w:rFonts w:ascii="Calibri" w:hAnsi="Calibri" w:cs="Calibri" w:eastAsia="Calibri"/>
          <w:color w:val="auto"/>
          <w:spacing w:val="0"/>
          <w:position w:val="0"/>
          <w:sz w:val="24"/>
          <w:shd w:fill="auto" w:val="clear"/>
        </w:rPr>
        <w:t xml:space="preserve"> An MTT assay was performed as described in the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dose-response curves shown are representative of three independent replicates, each run in quadruplicates. The data are presented as the mean &amp;plusmn; SD;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topotecan used as a single agent or in combination with mAb 8B6. The data are presented as the mean &amp;plusmn; SEM. This figure has been modified from Faraj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Combination index values.</w:t>
      </w:r>
      <w:r>
        <w:rPr>
          <w:rFonts w:ascii="Calibri" w:hAnsi="Calibri" w:cs="Calibri" w:eastAsia="Calibri"/>
          <w:color w:val="auto"/>
          <w:spacing w:val="0"/>
          <w:position w:val="0"/>
          <w:sz w:val="24"/>
          <w:shd w:fill="auto" w:val="clear"/>
        </w:rPr>
        <w:t xml:space="preserve"> Percentage survival values were transformed into fraction-affected (Fa) values and used to calculate the combination index (measure of synergy, additivity, and antagonism) using computer software, as indicated in the text. In the combination index plots, data are presented as mean &amp;plusmn; SD for three independent replicates. Results show that mAb 8B6 had a synergistic effect with topotecan (CI &amp;lt;1). This figure has been modified from Faraj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Combination treatment of IMR5 xenografts in NSG mice with mAb 8B6 plus topotecan.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Mice bearing human neuroblastoma IMR5 xenografts were treated with vehicle (PBS, i.p.), topotecan alone (0.36 mg/kg, i.p.), control IgG alone (150 &amp;#181;g, i.v.), mAb 8B6 alone (i.v.), or topotecan and mAb 8B6 combined, as indicated. The administration of mAb 8B6 or control antibody treatment started on day 7 after the IMR5 cell inoculation and was repeated once on day 11. The topotecan or PBS treatment was started on day 7 and given for five consecutive days. The tumor growth was monitored, and tumor volumes were calculated. The mean tumor volume &amp;plusmn; SEM of each treatment group (PBS group, 9 mice; all other groups, 10 mice) are depicted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for mAb 8B6 against mAb 8B6 and topotecan together,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for topotecan against mAb 8B6 and topotecan together), as indicated. A significant reduction in xenograft volume was observed for the mAb 8B6/topotecan combination, compared to the drug-alone controls, as indicated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Event-free survival Kaplan-Meyer curves of different groups treated are shown. This figure has been modified from Faraj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Mean weight for each treatment group, as indicated.</w:t>
      </w:r>
      <w:r>
        <w:rPr>
          <w:rFonts w:ascii="Calibri" w:hAnsi="Calibri" w:cs="Calibri" w:eastAsia="Calibri"/>
          <w:color w:val="auto"/>
          <w:spacing w:val="0"/>
          <w:position w:val="0"/>
          <w:sz w:val="24"/>
          <w:shd w:fill="auto" w:val="clear"/>
        </w:rPr>
        <w:t xml:space="preserve"> The mean weight of the mice on day 0 was defined as 100% weight. The weight in each group remained stable for the period of treatment. The data are presented as the mean &amp;plusmn; SEM. This figure has been modified from Faraj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predict the effect of drug interactions, three methods can be used: the isobologram methodology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nonlinear mixture model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the combination index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Combination index analysis is the most commonly used because its application is simplified by the availability of a user-friendly computer program. For this purpose, we first characterized the dose-effect response of each agent used alone or in combination, by performing an MTT assay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methodology relies on the ability of viable cells to reduce the tetrazolium salt in a purple-colored formazan product with an absorbance maximum of 570 nm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death, the cells lose the capacity to convert MTT into formazan. Thus, the quantity of the colored formazan product is proportional to the number of viable cells in culture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we chose this methodology as a nonradioactive alternative to the tritiated thymidine incorporation into DNA for measuring cell proliferation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such, MTT assays have been widely adopted and remain popular in academic labs as evidenced by thousands of published articles. While the quantity of formazan is measured by recording the absorbance at 570 nm using a plate-reading spectrophotometer, a reference wavelength of 630 nm is sometimes used but not necessary for most assay conditions.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consideration of the critical step described here, we found that the culture conditions used to grow cells can affect the results of MTT assays. We found that the viable cell number, the cell metabolic activity, the age of cultures, and the number of passages and details of the growth medium can all be important factors. Thus, they must be taken into consideration when repeating the assay and analyzing data. Furthermore, cell culture conditions differ for each cell lines. It is, thus, complicated to provide any clear indications about the cell seeding density. As a rule of thumb, an average number of cells between 2,000 - 10,000 cells per well is recommended to achieve an optimum cell density within 72 h. Importantly, MTT reduction reflects viable cell metabolism and not, specifically, cell proliferation or cell death. Therefore, MTT assays should neither be described as measuring cell proliferation nor cell cytotoxicity</w:t>
      </w:r>
      <w:r>
        <w:rPr>
          <w:rFonts w:ascii="Calibri" w:hAnsi="Calibri" w:cs="Calibri" w:eastAsia="Calibri"/>
          <w:color w:val="auto"/>
          <w:spacing w:val="0"/>
          <w:position w:val="0"/>
          <w:sz w:val="24"/>
          <w:shd w:fill="auto" w:val="clear"/>
          <w:vertAlign w:val="superscript"/>
        </w:rPr>
        <w:t xml:space="preserve">20,11</w:t>
      </w:r>
      <w:r>
        <w:rPr>
          <w:rFonts w:ascii="Calibri" w:hAnsi="Calibri" w:cs="Calibri" w:eastAsia="Calibri"/>
          <w:color w:val="auto"/>
          <w:spacing w:val="0"/>
          <w:position w:val="0"/>
          <w:sz w:val="24"/>
          <w:shd w:fill="auto" w:val="clear"/>
        </w:rPr>
        <w:t xml:space="preserve">. The detection of cell death relies on specific cell-based assays. For example, in previous studies, we used western blot analysis to detect caspase 3 activation and/or flow cytometry analysis to detect phosphatidylserine in the outer plasma membrane leaflet, to evidence the proapoptotic activity of mAb 8B6</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combination testing drugs, they can be delivered together or successively in time. Given the variety of the mechanism of action, it is difficult to provide precise guidelines for the relevant experimental setting. Yet, most investigators utilize direct testing of drug combinations. In addition, concentrations that produce a defined single-agent effect of 50% cell growth inhibition are commonly used. Drug concentrations reflecting plasma concentrations achievable in patients are commonly considered as relevant clinically. As such, the combination dose-effect analysis is performed for several doses, keeping the combination ratio constant with a serial dilution of the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mAb</w:t>
      </w:r>
      <w:r>
        <w:rPr>
          <w:rFonts w:ascii="Calibri" w:hAnsi="Calibri" w:cs="Calibri" w:eastAsia="Calibri"/>
          <w:color w:val="auto"/>
          <w:spacing w:val="0"/>
          <w:position w:val="0"/>
          <w:sz w:val="24"/>
          <w:shd w:fill="auto" w:val="clear"/>
        </w:rPr>
        <w:t xml:space="preserve">/(ED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drug</w:t>
      </w:r>
      <w:r>
        <w:rPr>
          <w:rFonts w:ascii="Calibri" w:hAnsi="Calibri" w:cs="Calibri" w:eastAsia="Calibri"/>
          <w:color w:val="auto"/>
          <w:spacing w:val="0"/>
          <w:position w:val="0"/>
          <w:sz w:val="24"/>
          <w:shd w:fill="auto" w:val="clear"/>
        </w:rPr>
        <w:t xml:space="preserve"> ratio, although it is not an absolute requirement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note, the CI values should be also calculated at various ED tested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ED</w:t>
      </w:r>
      <w:r>
        <w:rPr>
          <w:rFonts w:ascii="Calibri" w:hAnsi="Calibri" w:cs="Calibri" w:eastAsia="Calibri"/>
          <w:color w:val="auto"/>
          <w:spacing w:val="0"/>
          <w:position w:val="0"/>
          <w:sz w:val="24"/>
          <w:shd w:fill="auto" w:val="clear"/>
          <w:vertAlign w:val="subscript"/>
        </w:rPr>
        <w:t xml:space="preserve">75</w:t>
      </w:r>
      <w:r>
        <w:rPr>
          <w:rFonts w:ascii="Calibri" w:hAnsi="Calibri" w:cs="Calibri" w:eastAsia="Calibri"/>
          <w:color w:val="auto"/>
          <w:spacing w:val="0"/>
          <w:position w:val="0"/>
          <w:sz w:val="24"/>
          <w:shd w:fill="auto" w:val="clear"/>
        </w:rPr>
        <w:t xml:space="preserve">, and ED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because they may change with the Fa in a nonlinear manner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performing the automated analysis of the CI values, the linear correlation coefficient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-value estimated by the algorithms should be &amp;gt;0.9, to reflect the goodness of the fit of the experimental data. CI values of &amp;lt;1 indicate synergy, CI values of =1 indicates additivity, and CI values of &amp;gt;1 denote antagonism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 variability in both the experimental methods and the biological system, the calculated CI should be further subjected to statistical consideration. As such, a simple method is to repeat the drug combination experiment several times followed by the calculation of the resulting CI values before determining the statistics of the mean &amp;plusmn; SD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also advised to test the combination in the largest possible panel of cell lines, to take into account the variability that exists between them.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several parameters in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are not taken into consideration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extrapolation. For instance,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viability assays neither take into consideration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half-life of the drug, nor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drug metabolism that may result in drug inactivation. Thus, the extrapolation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remains a separate question, and the beneficial drug interaction evidenced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should be further confirmed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such, a clear demonstration of synergy in mice bearing tumor xenografts, using the combination index method, has been published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Yet,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require a large number of animals to accurately define synergy and are more expensive and more time-consuming. The alternative effective model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still requires substantial resources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a different approach to limit the use of a large number of animals consists in demonstrating the drug synergy in cell culture models followed by the evidence of an increased antitumor response of the combination in a limited xenograft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used the human neuroblastoma IMR5 cells as the tumor target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We retained IMR5 cells because they are tumorigenic in immunocompromised mice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human tumor xenograft models provide valuable models for testing drug combinations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can be difficult to establish such models from a variety of cell lines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increase the incidence of tumor formation in mice, cells can be injected into mice with a membrane basement matrix as a vehicle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Importantly, since membrane basement matrix polymerizes and solidifies at temperatures above 5 &amp;#176;C, all cultureware or media coming in contact with the membrane basement matrix should be prechilled/ice-cold, and the membrane basement solutions should be kept on ice during the entire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With the use of the membrane basement matrix, we observed a 100% take rate with IMR5 cells, while, in the absence of membrane basement matrix, this cell line demonstrated a &amp;lt;80% take rate (data not shown). In addition, to increase the incidence of tumor graft, membrane basement matrix can also increase the tumor growth rate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observed that all xenografts had appeared by day 11. However, during the first seven days following the tumor cell challenge, the presence of lumps could be observed, which may be caused by the presence of the initial inoculum (data not shown). Thus, we did not consider measurements of tumor size meaningful before this time. Using the membrane basement matrix made it possible to reduce the number of mice in the experimental setting and to </w:t>
      </w:r>
      <w:r>
        <w:rPr>
          <w:rFonts w:ascii="Calibri" w:hAnsi="Calibri" w:cs="Calibri" w:eastAsia="Calibri"/>
          <w:color w:val="auto"/>
          <w:spacing w:val="0"/>
          <w:position w:val="0"/>
          <w:sz w:val="24"/>
          <w:shd w:fill="FFFFFF" w:val="clear"/>
        </w:rPr>
        <w:t xml:space="preserve">perform the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experiment within three months.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Drug/antibody dosages may vary depending on the cell line and mouse strain. Due to the limitation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viability assay for extrapolating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drug/antibody dosage described above, clinically relevant dosages were retained for both topotecan and mAb 8B6 in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experimental setting, based on the data published by others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To extrapolate the human dosage setting to mice, previously published guidelines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were followed. Per se, we injected 150 &amp;#181;g of antibody 8B6 i.v. at day 7, followed by a second injection five days later (total dose/mouse = 300 &amp;#181;g). Topotecan treatment started the same day as the first mAb 8B6 injection by injecting 0.36 mg/kg topotecan or PBS control i.p. for five consecutive days. In consideration of the critical step described here, we recommend starting antibody infusions when the </w:t>
      </w:r>
      <w:r>
        <w:rPr>
          <w:rFonts w:ascii="Calibri" w:hAnsi="Calibri" w:cs="Calibri" w:eastAsia="Calibri"/>
          <w:color w:val="auto"/>
          <w:spacing w:val="0"/>
          <w:position w:val="0"/>
          <w:sz w:val="24"/>
          <w:shd w:fill="FFFFFF" w:val="clear"/>
        </w:rPr>
        <w:t xml:space="preserve">tumor xenografts reach ~50 mm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Higher tumor xenograft volumes will result in a lower response rate because tumor burdens clearly correlate inversely with antibody concentration, antibody exposure, and antibody efficacy</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We also retained weight loss as an indicator of systemic tolerability of each tested regimen</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However, the interpretation of collected weights may not be helpful with a large tumor mass. In this case, body condition scoring, as described elsewhere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FFFFFF" w:val="clear"/>
        </w:rPr>
        <w:t xml:space="preserve">, is </w:t>
      </w:r>
      <w:r>
        <w:rPr>
          <w:rFonts w:ascii="Calibri" w:hAnsi="Calibri" w:cs="Calibri" w:eastAsia="Calibri"/>
          <w:color w:val="auto"/>
          <w:spacing w:val="0"/>
          <w:position w:val="0"/>
          <w:sz w:val="24"/>
          <w:shd w:fill="auto" w:val="clear"/>
        </w:rPr>
        <w:t xml:space="preserve">advised.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Tumors can be collected at different time points for immunochemistry analysis, to provide further information about the mechanism of action triggered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 previous work, the tumor apoptotic index was assessed after mAb 8B6 infusion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this end, tumor apoptotic cells were detected using a TUNEL assay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the percentage of tumor cell nuclei was scored with Ki67 antigen-positive staining to analyze the tumor proliferation index</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immunodeficient mice lack both innate and adaptive immunity with the loss of T cells, B cells, and natural (NK) cells with reduced macrophage and antigen-presenting cell functions and the absence of circulating complement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Thus, this protocol does not allow researchers to draw any conclusions regarding putative effects of chemotherapy in potentiating mAb therapy by altering the tumor microenvironment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both putative immunomodulatory effects of the chemotherapeutic agent and the role of the fragment-crystallizable (Fc) region of the mAb in enhancing the drug antitumor potency merit consideration, but these questions require the availability of a syngeneic model with an intact immune system and a physiological tumor microenvironment.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S.Fa., J.F., and S.B. are designated as inventors of pending patents covering the clinical application of anti-O-acetyl-GD2 therapeutic antibodies.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support: Fondation de Projet de L’Universit&amp;#233; de Nantes, les Bagouz’ à Manon, La Ligue contre le Cancer comit&amp;#233; de Loire-Atlantique, comit&amp;#233; du Morbihan, and comit&amp;#233; de Vend&amp;#233;e, une rose pour S.A.R.A.H, L’Etoile de Martin and la Soci&amp;#233;t&amp;#233; Fran&amp;#231;aise de Lutte contre les Cancers et les leuc&amp;#233;mies de L’Enfant et de L’adolescent (SFCE).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M.B. and J.F. are supported by La Ligue Contre Le Cancer. The authors thank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UTE-facility of the Structure F&amp;#233;d&amp;#233;rative de Recherche Fran&amp;#231;ois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Bonamy. The authors also thank Dr. S. Suzin (Inserm, Paris) for providing the IMR5 cells and Ms. H. Est&amp;#233;phan for her technical assistance.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Chou, T. C. Theoretical basis, experimental design, and computerized simulation of synergism and antagonism in drug combination studies. </w:t>
      </w:r>
      <w:r>
        <w:rPr>
          <w:rFonts w:ascii="Calibri" w:hAnsi="Calibri" w:cs="Calibri" w:eastAsia="Calibri"/>
          <w:i/>
          <w:color w:val="auto"/>
          <w:spacing w:val="0"/>
          <w:position w:val="0"/>
          <w:sz w:val="24"/>
          <w:shd w:fill="auto" w:val="clear"/>
        </w:rPr>
        <w:t xml:space="preserve">Pharmacological Reviews.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621-681, doi:10.1124/pr.58.3.10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Bayat Mokhtari,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Combination therapy in combating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(23), 38022-38043, doi:10.18632/oncotarget.16723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Zahreddine, H., Borden, K. L. Mechanisms and insights into drug resistance in cancer.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28, doi:10.3389/fphar.2013.00028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Martin, T. P., Baguley, D. Re: "Postoperative validation of bone-anchored implants in the single-sided deafness population." Snapp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Otol Neurotol 2012: 33;291-6. </w:t>
      </w:r>
      <w:r>
        <w:rPr>
          <w:rFonts w:ascii="Calibri" w:hAnsi="Calibri" w:cs="Calibri" w:eastAsia="Calibri"/>
          <w:i/>
          <w:color w:val="auto"/>
          <w:spacing w:val="0"/>
          <w:position w:val="0"/>
          <w:sz w:val="24"/>
          <w:shd w:fill="auto" w:val="clear"/>
        </w:rPr>
        <w:t xml:space="preserve">Otology &amp;amp; Neurotology.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777, doi:10.1097/MAO.0b013e318268cce9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Choi,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Sensitization of lung cancer cells by altered dimerization of HSP27. </w:t>
      </w:r>
      <w:r>
        <w:rPr>
          <w:rFonts w:ascii="Calibri" w:hAnsi="Calibri" w:cs="Calibri" w:eastAsia="Calibri"/>
          <w:i/>
          <w:color w:val="auto"/>
          <w:spacing w:val="0"/>
          <w:position w:val="0"/>
          <w:sz w:val="24"/>
          <w:shd w:fill="auto" w:val="clear"/>
        </w:rPr>
        <w:t xml:space="preserve">Oncotarget.</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(62), 105372-105382, doi:10.18632/oncotarget.22192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Weiner, L. M., Surana, R., Wang, S. Monoclonal antibodies: versatile platforms for cancer immunotherapy. </w:t>
      </w:r>
      <w:r>
        <w:rPr>
          <w:rFonts w:ascii="Calibri" w:hAnsi="Calibri" w:cs="Calibri" w:eastAsia="Calibri"/>
          <w:i/>
          <w:color w:val="auto"/>
          <w:spacing w:val="0"/>
          <w:position w:val="0"/>
          <w:sz w:val="24"/>
          <w:shd w:fill="auto" w:val="clear"/>
        </w:rPr>
        <w:t xml:space="preserve">Nature Reviews Immunology.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317-327, doi:10.1038/nri2744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Mellor, J. D., Brown, M. P., Irving, H. R., Zalcberg, J. R., Dobrovic, A. A critical review of the role of Fc gamma receptor polymorphisms in the response to monoclonal antibodies in cancer.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1, doi:10.1186/1756-8722-6-1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Kowalczyk,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GD2-specific 14G2a monoclonal antibody induces apoptosis and enhances cytotoxicity of chemotherapeutic drugs in IMR-32 human neuroblastoma cells. </w:t>
      </w:r>
      <w:r>
        <w:rPr>
          <w:rFonts w:ascii="Calibri" w:hAnsi="Calibri" w:cs="Calibri" w:eastAsia="Calibri"/>
          <w:i/>
          <w:color w:val="auto"/>
          <w:spacing w:val="0"/>
          <w:position w:val="0"/>
          <w:sz w:val="24"/>
          <w:shd w:fill="auto" w:val="clear"/>
        </w:rPr>
        <w:t xml:space="preserve">Cancer Letters.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(2), 171-182, doi:10.1016/j.canlet.2009.02.040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Retter, M.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 proapoptotic antiganglioside GM2 monoclonal antibody and evaluation of its therapeutic effect on melanoma and small cell lung carcinoma xenografts. </w:t>
      </w:r>
      <w:r>
        <w:rPr>
          <w:rFonts w:ascii="Calibri" w:hAnsi="Calibri" w:cs="Calibri" w:eastAsia="Calibri"/>
          <w:i/>
          <w:color w:val="auto"/>
          <w:spacing w:val="0"/>
          <w:position w:val="0"/>
          <w:sz w:val="24"/>
          <w:shd w:fill="auto" w:val="clear"/>
        </w:rPr>
        <w:t xml:space="preserve">Cancer Research.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(14), 6425-6434, doi:10.1158/0008-5472.CAN-05-0300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Nakamura,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Apoptosis induction of human lung cancer cell line in multicellular heterospheroids with humanized antiganglioside GM2 monoclonal antibody. </w:t>
      </w:r>
      <w:r>
        <w:rPr>
          <w:rFonts w:ascii="Calibri" w:hAnsi="Calibri" w:cs="Calibri" w:eastAsia="Calibri"/>
          <w:i/>
          <w:color w:val="auto"/>
          <w:spacing w:val="0"/>
          <w:position w:val="0"/>
          <w:sz w:val="24"/>
          <w:shd w:fill="auto" w:val="clear"/>
        </w:rPr>
        <w:t xml:space="preserve">Cancer Research.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(20), 5323-5330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Cochonneau,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 cycle arrest and apoptosis induced by O-acetyl-GD2-specific monoclonal antibody 8B6 inhibits tumor growth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Letters.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(2), 194-204, doi:10.1016/j.canlet.2013.01.032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Chou, T. C., Martin, N. </w:t>
      </w:r>
      <w:r>
        <w:rPr>
          <w:rFonts w:ascii="Calibri" w:hAnsi="Calibri" w:cs="Calibri" w:eastAsia="Calibri"/>
          <w:i/>
          <w:color w:val="auto"/>
          <w:spacing w:val="0"/>
          <w:position w:val="0"/>
          <w:sz w:val="24"/>
          <w:shd w:fill="auto" w:val="clear"/>
        </w:rPr>
        <w:t xml:space="preserve">CompuSyn for drug combinations: PC software and user’s guide: a computer program for quantitation of synergism and antagonism in drug combinations, and the determination of IC</w:t>
      </w:r>
      <w:r>
        <w:rPr>
          <w:rFonts w:ascii="Calibri" w:hAnsi="Calibri" w:cs="Calibri" w:eastAsia="Calibri"/>
          <w:i/>
          <w:color w:val="auto"/>
          <w:spacing w:val="0"/>
          <w:position w:val="0"/>
          <w:sz w:val="24"/>
          <w:shd w:fill="auto" w:val="clear"/>
          <w:vertAlign w:val="subscript"/>
        </w:rPr>
        <w:t xml:space="preserve">50</w:t>
      </w:r>
      <w:r>
        <w:rPr>
          <w:rFonts w:ascii="Calibri" w:hAnsi="Calibri" w:cs="Calibri" w:eastAsia="Calibri"/>
          <w:i/>
          <w:color w:val="auto"/>
          <w:spacing w:val="0"/>
          <w:position w:val="0"/>
          <w:sz w:val="24"/>
          <w:shd w:fill="auto" w:val="clear"/>
        </w:rPr>
        <w:t xml:space="preserve"> and ED</w:t>
      </w:r>
      <w:r>
        <w:rPr>
          <w:rFonts w:ascii="Calibri" w:hAnsi="Calibri" w:cs="Calibri" w:eastAsia="Calibri"/>
          <w:i/>
          <w:color w:val="auto"/>
          <w:spacing w:val="0"/>
          <w:position w:val="0"/>
          <w:sz w:val="24"/>
          <w:shd w:fill="auto" w:val="clear"/>
          <w:vertAlign w:val="subscript"/>
        </w:rPr>
        <w:t xml:space="preserve">50</w:t>
      </w:r>
      <w:r>
        <w:rPr>
          <w:rFonts w:ascii="Calibri" w:hAnsi="Calibri" w:cs="Calibri" w:eastAsia="Calibri"/>
          <w:i/>
          <w:color w:val="auto"/>
          <w:spacing w:val="0"/>
          <w:position w:val="0"/>
          <w:sz w:val="24"/>
          <w:shd w:fill="auto" w:val="clear"/>
        </w:rPr>
        <w:t xml:space="preserve"> and LD</w:t>
      </w:r>
      <w:r>
        <w:rPr>
          <w:rFonts w:ascii="Calibri" w:hAnsi="Calibri" w:cs="Calibri" w:eastAsia="Calibri"/>
          <w:i/>
          <w:color w:val="auto"/>
          <w:spacing w:val="0"/>
          <w:position w:val="0"/>
          <w:sz w:val="24"/>
          <w:shd w:fill="auto" w:val="clear"/>
          <w:vertAlign w:val="subscript"/>
        </w:rPr>
        <w:t xml:space="preserve">50</w:t>
      </w:r>
      <w:r>
        <w:rPr>
          <w:rFonts w:ascii="Calibri" w:hAnsi="Calibri" w:cs="Calibri" w:eastAsia="Calibri"/>
          <w:i/>
          <w:color w:val="auto"/>
          <w:spacing w:val="0"/>
          <w:position w:val="0"/>
          <w:sz w:val="24"/>
          <w:shd w:fill="auto" w:val="clear"/>
        </w:rPr>
        <w:t xml:space="preserve"> values</w:t>
      </w:r>
      <w:r>
        <w:rPr>
          <w:rFonts w:ascii="Calibri" w:hAnsi="Calibri" w:cs="Calibri" w:eastAsia="Calibri"/>
          <w:color w:val="auto"/>
          <w:spacing w:val="0"/>
          <w:position w:val="0"/>
          <w:sz w:val="24"/>
          <w:shd w:fill="auto" w:val="clear"/>
        </w:rPr>
        <w:t xml:space="preserve">. ComboSyn Inc. Paramus, NJ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Alvarez-Rueda,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monoclonal antibody to O-acetyl-GD2 ganglioside and not to GD2 shows potent anti-tumor activity without peripheral nervous system cross-reactivity. </w:t>
      </w:r>
      <w:r>
        <w:rPr>
          <w:rFonts w:ascii="Calibri" w:hAnsi="Calibri" w:cs="Calibri" w:eastAsia="Calibri"/>
          <w:i/>
          <w:color w:val="auto"/>
          <w:spacing w:val="0"/>
          <w:position w:val="0"/>
          <w:sz w:val="24"/>
          <w:shd w:fill="auto" w:val="clear"/>
        </w:rPr>
        <w:t xml:space="preserve">PLoS One.</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(9), e25220, doi:10.1371/journal.pone.0025220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Faraj,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Neuroblastoma chemotherapy can be augmented by immunotargeting O-acetyl-GD2 tumor-associated ganglioside. </w:t>
      </w:r>
      <w:r>
        <w:rPr>
          <w:rFonts w:ascii="Calibri" w:hAnsi="Calibri" w:cs="Calibri" w:eastAsia="Calibri"/>
          <w:i/>
          <w:color w:val="auto"/>
          <w:spacing w:val="0"/>
          <w:position w:val="0"/>
          <w:sz w:val="24"/>
          <w:shd w:fill="auto" w:val="clear"/>
        </w:rPr>
        <w:t xml:space="preserve">Oncoimmunology.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e1373232, doi:10.1080/2162402X.2017.1373232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Ishikawa,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functional human blood and immune systems in NOD/SCID/IL2 receptor {gamma} chain(null) mice.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1565-1573, doi:10.1182/blood-2005-02-0516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Ullman-Cullere, M. H., Foltz, C. J. Body condition scoring: a rapid and accurate method for assessing health status in mice. </w:t>
      </w:r>
      <w:r>
        <w:rPr>
          <w:rFonts w:ascii="Calibri" w:hAnsi="Calibri" w:cs="Calibri" w:eastAsia="Calibri"/>
          <w:i/>
          <w:color w:val="auto"/>
          <w:spacing w:val="0"/>
          <w:position w:val="0"/>
          <w:sz w:val="24"/>
          <w:shd w:fill="auto" w:val="clear"/>
        </w:rPr>
        <w:t xml:space="preserve">Laboratory Animal Science.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319-323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Teicher, B. A. Assays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synergy.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b/>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 297-321, doi:10.1385/1-59259-380-1:297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White, D. B., Slocum, H. K., Brun, Y., Wrzosek, C., Greco, W. R. A new nonlinear mixture response surface paradigm for the study of synergism: a three drug example. </w:t>
      </w:r>
      <w:r>
        <w:rPr>
          <w:rFonts w:ascii="Calibri" w:hAnsi="Calibri" w:cs="Calibri" w:eastAsia="Calibri"/>
          <w:i/>
          <w:color w:val="auto"/>
          <w:spacing w:val="0"/>
          <w:position w:val="0"/>
          <w:sz w:val="24"/>
          <w:shd w:fill="auto" w:val="clear"/>
        </w:rPr>
        <w:t xml:space="preserve">Current Drug Metabolism.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399-409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Mosmann, T. Rapid colorimetric assay for cellular growth and survival: application to proliferation and cytotoxicity assays. </w:t>
      </w:r>
      <w:r>
        <w:rPr>
          <w:rFonts w:ascii="Calibri" w:hAnsi="Calibri" w:cs="Calibri" w:eastAsia="Calibri"/>
          <w:i/>
          <w:color w:val="auto"/>
          <w:spacing w:val="0"/>
          <w:position w:val="0"/>
          <w:sz w:val="24"/>
          <w:shd w:fill="auto" w:val="clear"/>
        </w:rPr>
        <w:t xml:space="preserve">Journal of Immunological Methods.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(1-2), 55-63 (1983).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Huyck, L., Ampe, C., Van Troys, M. The XTT cell proliferation assay applied to cell layers embedded in three-dimensional matrix. </w:t>
      </w:r>
      <w:r>
        <w:rPr>
          <w:rFonts w:ascii="Calibri" w:hAnsi="Calibri" w:cs="Calibri" w:eastAsia="Calibri"/>
          <w:i/>
          <w:color w:val="auto"/>
          <w:spacing w:val="0"/>
          <w:position w:val="0"/>
          <w:sz w:val="24"/>
          <w:shd w:fill="auto" w:val="clear"/>
        </w:rPr>
        <w:t xml:space="preserve">Assay and Drug Development Technologies.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382-392, doi:10.1089/adt.2011.391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Thompson,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Synergy of topotecan in combination with vincristine for treatment of pediatric solid tumor xenografts.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(11), 3617-3631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Tan, M., Fang, H. B., Tian, G. L., Houghton, P. J. Experimental design and sample size determination for testing synergism in drug combination studies based on uniform measures. </w:t>
      </w:r>
      <w:r>
        <w:rPr>
          <w:rFonts w:ascii="Calibri" w:hAnsi="Calibri" w:cs="Calibri" w:eastAsia="Calibri"/>
          <w:i/>
          <w:color w:val="auto"/>
          <w:spacing w:val="0"/>
          <w:position w:val="0"/>
          <w:sz w:val="24"/>
          <w:shd w:fill="auto" w:val="clear"/>
        </w:rPr>
        <w:t xml:space="preserve">Statistic in Medicine.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(13), 2091-2100, doi:10.1002/sim.1467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Tang, X.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Implications of EPHB6, EFNB2, and EFNB3 expressions in human neuroblastoma. </w:t>
      </w:r>
      <w:r>
        <w:rPr>
          <w:rFonts w:ascii="Calibri" w:hAnsi="Calibri" w:cs="Calibri" w:eastAsia="Calibri"/>
          <w:i/>
          <w:color w:val="auto"/>
          <w:spacing w:val="0"/>
          <w:position w:val="0"/>
          <w:sz w:val="24"/>
          <w:shd w:fill="auto" w:val="clear"/>
        </w:rPr>
        <w:t xml:space="preserve">Proceding of the National Academy of Sciences of the United States of America.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(20), 10936-10941, doi:10.1073/pnas.190123297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Mehta, R. R., Graves, J. M., Hart, G. D., Shilkaitis, A., Das Gupta, T. K. Growth and metastasis of human breast carcinomas with Matrigel in athymic mice. </w:t>
      </w:r>
      <w:r>
        <w:rPr>
          <w:rFonts w:ascii="Calibri" w:hAnsi="Calibri" w:cs="Calibri" w:eastAsia="Calibri"/>
          <w:i/>
          <w:color w:val="auto"/>
          <w:spacing w:val="0"/>
          <w:position w:val="0"/>
          <w:sz w:val="24"/>
          <w:shd w:fill="auto" w:val="clear"/>
        </w:rPr>
        <w:t xml:space="preserve">Breast Cancer Research and Treatment.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65-71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Mullen, P., Ritchie, A., Langdon, S. P., Miller, W. R. Effect of Matrigel on the tumorigenicity of human breast and ovarian carcinoma cell lines. </w:t>
      </w:r>
      <w:r>
        <w:rPr>
          <w:rFonts w:ascii="Calibri" w:hAnsi="Calibri" w:cs="Calibri" w:eastAsia="Calibri"/>
          <w:i/>
          <w:color w:val="auto"/>
          <w:spacing w:val="0"/>
          <w:position w:val="0"/>
          <w:sz w:val="24"/>
          <w:shd w:fill="auto" w:val="clear"/>
        </w:rPr>
        <w:t xml:space="preserve">International Journal of Cancer.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816-820, doi:10.1002/(SICI)1097-0215(19960917)67:6&amp;lt;816::AID-IJC10&amp;gt;3.0.CO;2-#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Feng, C., Tang, S., Wang, J., Liu, Y., Yang, G. Topotecan plus cyclophosphamide as maintenance chemotherapy for children with high-risk neuroblastoma in complete remission: short-term curative effects and toxicity. </w:t>
      </w:r>
      <w:r>
        <w:rPr>
          <w:rFonts w:ascii="Calibri" w:hAnsi="Calibri" w:cs="Calibri" w:eastAsia="Calibri"/>
          <w:i/>
          <w:color w:val="auto"/>
          <w:spacing w:val="0"/>
          <w:position w:val="0"/>
          <w:sz w:val="24"/>
          <w:shd w:fill="auto" w:val="clear"/>
        </w:rPr>
        <w:t xml:space="preserve">Nan Fang Yi Ke Da Xue Xue Bao.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(8), 1107-1110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Cheung, 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Ganglioside GD2 specific monoclonal antibody 3F8: a phase I study in patients with neuroblastoma and malignant melanoma. </w:t>
      </w:r>
      <w:r>
        <w:rPr>
          <w:rFonts w:ascii="Calibri" w:hAnsi="Calibri" w:cs="Calibri" w:eastAsia="Calibri"/>
          <w:i/>
          <w:color w:val="auto"/>
          <w:spacing w:val="0"/>
          <w:position w:val="0"/>
          <w:sz w:val="24"/>
          <w:shd w:fill="auto" w:val="clear"/>
        </w:rPr>
        <w:t xml:space="preserve">Journal of Clininical Oncology.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1430-1440, doi:10.1200/JCO.1987.5.9.1430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Nair, A. B., Jacob, S. A simple practice guide for dose conversion between animals and human. </w:t>
      </w:r>
      <w:r>
        <w:rPr>
          <w:rFonts w:ascii="Calibri" w:hAnsi="Calibri" w:cs="Calibri" w:eastAsia="Calibri"/>
          <w:i/>
          <w:color w:val="auto"/>
          <w:spacing w:val="0"/>
          <w:position w:val="0"/>
          <w:sz w:val="24"/>
          <w:shd w:fill="auto" w:val="clear"/>
        </w:rPr>
        <w:t xml:space="preserve">Journal of Basic Clinical Pharmacy.</w:t>
      </w:r>
      <w:r>
        <w:rPr>
          <w:rFonts w:ascii="Calibri" w:hAnsi="Calibri" w:cs="Calibri" w:eastAsia="Calibri"/>
          <w:b/>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 (2), 27-31, doi:10.4103/0976-0105.177703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Dayde,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 burden influences exposure and response to rituximab: pharmacokinetic-pharmacodynamic modeling using a syngeneic bioluminescent murine model expressing human CD20.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(16), 3765-3772, doi:10.1182/blood-2008-08-175125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Racki, W.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NOD-scid IL2rgamma(null) mouse model of human skin transplantation and allograft rejection. </w:t>
      </w:r>
      <w:r>
        <w:rPr>
          <w:rFonts w:ascii="Calibri" w:hAnsi="Calibri" w:cs="Calibri" w:eastAsia="Calibri"/>
          <w:i/>
          <w:color w:val="auto"/>
          <w:spacing w:val="0"/>
          <w:position w:val="0"/>
          <w:sz w:val="24"/>
          <w:shd w:fill="auto" w:val="clear"/>
        </w:rPr>
        <w:t xml:space="preserve">Transplantation.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527-536, doi:10.1097/TP.0b013e3181c90242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Sherif, A., Winerdal, M., Winqvist, O. Immune Responses to Neoadjuvant Chemotherapy in Muscle Invasive Bladder Cancer. </w:t>
      </w:r>
      <w:r>
        <w:rPr>
          <w:rFonts w:ascii="Calibri" w:hAnsi="Calibri" w:cs="Calibri" w:eastAsia="Calibri"/>
          <w:i/>
          <w:color w:val="auto"/>
          <w:spacing w:val="0"/>
          <w:position w:val="0"/>
          <w:sz w:val="24"/>
          <w:shd w:fill="auto" w:val="clear"/>
        </w:rPr>
        <w:t xml:space="preserve">Bladder Cancer.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1-7, doi:10.3233/BLC-170123 (2018).</w:t>
      </w: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