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428" w:rsidRPr="00B65444" w:rsidRDefault="00A44428" w:rsidP="00DD1E89">
      <w:pPr>
        <w:jc w:val="both"/>
      </w:pPr>
      <w:r w:rsidRPr="00B65444">
        <w:t>Editorial Comments:</w:t>
      </w:r>
    </w:p>
    <w:p w:rsidR="00A44428" w:rsidRPr="00B65444" w:rsidRDefault="00A44428" w:rsidP="00DD1E89">
      <w:pPr>
        <w:jc w:val="both"/>
      </w:pPr>
    </w:p>
    <w:p w:rsidR="00A44428" w:rsidRPr="00B65444" w:rsidRDefault="00A44428" w:rsidP="00DD1E89">
      <w:pPr>
        <w:jc w:val="both"/>
      </w:pPr>
      <w:r w:rsidRPr="00B65444">
        <w:rPr>
          <w:rFonts w:hint="eastAsia"/>
        </w:rPr>
        <w:t>•</w:t>
      </w:r>
      <w:r w:rsidRPr="00B65444">
        <w:t xml:space="preserve"> Please take this opportunity to thoroughly proofread the manuscript to ensure that there are no spelling or grammatical errors.</w:t>
      </w:r>
    </w:p>
    <w:p w:rsidR="005A3F47" w:rsidRPr="00B65444" w:rsidRDefault="005A3F47" w:rsidP="00DD1E89">
      <w:pPr>
        <w:jc w:val="both"/>
        <w:rPr>
          <w:i/>
        </w:rPr>
      </w:pPr>
      <w:r w:rsidRPr="00B65444">
        <w:rPr>
          <w:i/>
        </w:rPr>
        <w:t xml:space="preserve">Thanks editor for giving me this opportunity to improve this manuscript. </w:t>
      </w:r>
      <w:proofErr w:type="gramStart"/>
      <w:r w:rsidRPr="00B65444">
        <w:rPr>
          <w:i/>
        </w:rPr>
        <w:t xml:space="preserve">We have </w:t>
      </w:r>
      <w:r w:rsidR="00C62F16" w:rsidRPr="00B65444">
        <w:rPr>
          <w:i/>
        </w:rPr>
        <w:t>gone through the whole manuscript and found no spelling or grammatical errors.</w:t>
      </w:r>
      <w:proofErr w:type="gramEnd"/>
      <w:r w:rsidR="00C62F16" w:rsidRPr="00B65444">
        <w:rPr>
          <w:i/>
        </w:rPr>
        <w:t xml:space="preserve"> </w:t>
      </w:r>
    </w:p>
    <w:p w:rsidR="002861C2" w:rsidRPr="00B65444" w:rsidRDefault="002861C2" w:rsidP="00DD1E89">
      <w:pPr>
        <w:jc w:val="both"/>
        <w:rPr>
          <w:i/>
        </w:rPr>
      </w:pPr>
    </w:p>
    <w:p w:rsidR="002861C2" w:rsidRPr="00B65444" w:rsidRDefault="00A44428" w:rsidP="00DD1E89">
      <w:pPr>
        <w:jc w:val="both"/>
      </w:pPr>
      <w:r w:rsidRPr="00B65444">
        <w:rPr>
          <w:rFonts w:hint="eastAsia"/>
        </w:rPr>
        <w:t>•</w:t>
      </w:r>
      <w:r w:rsidRPr="00B65444">
        <w:t xml:space="preserve"> Please use title Case of the manuscript title in the video and manuscript: Shootward Movement of CFDA Tracer Loaded in the Root and Hypocotyl of Arabidopsis</w:t>
      </w:r>
    </w:p>
    <w:p w:rsidR="00A44428" w:rsidRPr="00B65444" w:rsidRDefault="00C62F16" w:rsidP="00DD1E89">
      <w:pPr>
        <w:jc w:val="both"/>
        <w:rPr>
          <w:i/>
        </w:rPr>
      </w:pPr>
      <w:r w:rsidRPr="00B65444">
        <w:rPr>
          <w:i/>
        </w:rPr>
        <w:t>Yes. A correction has been made</w:t>
      </w:r>
      <w:r w:rsidR="00E32359" w:rsidRPr="00B65444">
        <w:rPr>
          <w:i/>
        </w:rPr>
        <w:t xml:space="preserve"> in both</w:t>
      </w:r>
      <w:r w:rsidR="00542995" w:rsidRPr="00B65444">
        <w:rPr>
          <w:i/>
        </w:rPr>
        <w:t xml:space="preserve"> video and manuscript.</w:t>
      </w:r>
      <w:r w:rsidRPr="00B65444">
        <w:rPr>
          <w:i/>
        </w:rPr>
        <w:t xml:space="preserve"> </w:t>
      </w:r>
    </w:p>
    <w:p w:rsidR="002861C2" w:rsidRPr="00B65444" w:rsidRDefault="002861C2" w:rsidP="00DD1E89">
      <w:pPr>
        <w:jc w:val="both"/>
        <w:rPr>
          <w:i/>
        </w:rPr>
      </w:pPr>
    </w:p>
    <w:p w:rsidR="00A44428" w:rsidRPr="00B65444" w:rsidRDefault="00A44428" w:rsidP="00DD1E89">
      <w:pPr>
        <w:jc w:val="both"/>
      </w:pPr>
      <w:r w:rsidRPr="00B65444">
        <w:rPr>
          <w:rFonts w:hint="eastAsia"/>
        </w:rPr>
        <w:t>•</w:t>
      </w:r>
      <w:r w:rsidRPr="00B65444">
        <w:t xml:space="preserve"> Abstracts: Please remove citations from the abstract.</w:t>
      </w:r>
    </w:p>
    <w:p w:rsidR="00A446A4" w:rsidRPr="00B65444" w:rsidRDefault="00A446A4" w:rsidP="00DD1E89">
      <w:pPr>
        <w:jc w:val="both"/>
        <w:rPr>
          <w:i/>
        </w:rPr>
      </w:pPr>
      <w:r w:rsidRPr="00B65444">
        <w:rPr>
          <w:i/>
        </w:rPr>
        <w:t>Yes, they are deleted.</w:t>
      </w:r>
    </w:p>
    <w:p w:rsidR="00A446A4" w:rsidRPr="00B65444" w:rsidRDefault="00A446A4" w:rsidP="00DD1E89">
      <w:pPr>
        <w:jc w:val="both"/>
        <w:rPr>
          <w:lang w:val="en-US"/>
        </w:rPr>
      </w:pPr>
    </w:p>
    <w:p w:rsidR="00A44428" w:rsidRPr="00B65444" w:rsidRDefault="00A44428" w:rsidP="00DD1E89">
      <w:pPr>
        <w:jc w:val="both"/>
      </w:pPr>
      <w:r w:rsidRPr="00B65444">
        <w:rPr>
          <w:rFonts w:hint="eastAsia"/>
        </w:rPr>
        <w:t>•</w:t>
      </w:r>
      <w:r w:rsidRPr="00B65444">
        <w:t xml:space="preserve"> Introduction: Please expand your Introduction</w:t>
      </w:r>
      <w:r w:rsidRPr="00B65444">
        <w:rPr>
          <w:b/>
        </w:rPr>
        <w:t xml:space="preserve"> </w:t>
      </w:r>
      <w:r w:rsidRPr="00B65444">
        <w:t>to include the following: The advantages over alternative techniques with applicable references to previous studies; Description of the context of the technique in the wider body of literature;</w:t>
      </w:r>
      <w:r w:rsidR="00DB63B0" w:rsidRPr="00B65444">
        <w:t xml:space="preserve"> </w:t>
      </w:r>
      <w:r w:rsidRPr="00B65444">
        <w:t>Information that can help readers to determine if the method is appropriate for their application.</w:t>
      </w:r>
    </w:p>
    <w:p w:rsidR="00A44428" w:rsidRPr="00B65444" w:rsidRDefault="00DB63B0" w:rsidP="00DD1E89">
      <w:pPr>
        <w:jc w:val="both"/>
        <w:rPr>
          <w:i/>
        </w:rPr>
      </w:pPr>
      <w:r w:rsidRPr="00B65444">
        <w:rPr>
          <w:i/>
        </w:rPr>
        <w:t xml:space="preserve">Yes, I have expanded the introduction as you suggested. Please see the highlighted in the text. </w:t>
      </w:r>
    </w:p>
    <w:p w:rsidR="00DB63B0" w:rsidRPr="00B65444" w:rsidRDefault="00DB63B0" w:rsidP="00DD1E89">
      <w:pPr>
        <w:jc w:val="both"/>
      </w:pPr>
    </w:p>
    <w:p w:rsidR="00A44428" w:rsidRPr="00B65444" w:rsidRDefault="00A44428" w:rsidP="00DD1E89">
      <w:pPr>
        <w:jc w:val="both"/>
      </w:pPr>
      <w:r w:rsidRPr="00B65444">
        <w:rPr>
          <w:rFonts w:hint="eastAsia"/>
        </w:rPr>
        <w:t>•</w:t>
      </w:r>
      <w:r w:rsidRPr="00B65444">
        <w:t xml:space="preserve"> Protocol Detail:</w:t>
      </w:r>
    </w:p>
    <w:p w:rsidR="00A44428" w:rsidRPr="00B65444" w:rsidRDefault="00A44428" w:rsidP="00DD1E89">
      <w:pPr>
        <w:jc w:val="both"/>
      </w:pPr>
      <w:r w:rsidRPr="00B65444">
        <w:t>1) 2.6: Under light</w:t>
      </w:r>
      <w:bookmarkStart w:id="0" w:name="_GoBack"/>
      <w:r w:rsidRPr="00B65444">
        <w:t>?</w:t>
      </w:r>
      <w:bookmarkEnd w:id="0"/>
    </w:p>
    <w:p w:rsidR="00B168F1" w:rsidRPr="00B65444" w:rsidRDefault="00B168F1" w:rsidP="00DD1E89">
      <w:pPr>
        <w:jc w:val="both"/>
        <w:rPr>
          <w:i/>
        </w:rPr>
      </w:pPr>
      <w:r w:rsidRPr="00B65444">
        <w:rPr>
          <w:i/>
        </w:rPr>
        <w:t>Yes.</w:t>
      </w:r>
    </w:p>
    <w:p w:rsidR="00A44428" w:rsidRPr="00B65444" w:rsidRDefault="00A44428" w:rsidP="00DD1E89">
      <w:pPr>
        <w:jc w:val="both"/>
      </w:pPr>
      <w:r w:rsidRPr="00B65444">
        <w:t>2) 2.7: Mention magnification</w:t>
      </w:r>
    </w:p>
    <w:p w:rsidR="00B168F1" w:rsidRPr="00B65444" w:rsidRDefault="00D94534" w:rsidP="00DD1E89">
      <w:pPr>
        <w:jc w:val="both"/>
        <w:rPr>
          <w:i/>
        </w:rPr>
      </w:pPr>
      <w:r w:rsidRPr="00B65444">
        <w:rPr>
          <w:i/>
        </w:rPr>
        <w:t>Yes, included</w:t>
      </w:r>
    </w:p>
    <w:p w:rsidR="00A44428" w:rsidRPr="00B65444" w:rsidRDefault="00A44428" w:rsidP="00DD1E89">
      <w:pPr>
        <w:jc w:val="both"/>
      </w:pPr>
      <w:r w:rsidRPr="00B65444">
        <w:t>3) Please ensure that all details present in the video are also mentioned in the manuscript (e.g., moisture removal at 3:03 is not present in the manuscript)</w:t>
      </w:r>
    </w:p>
    <w:p w:rsidR="00D94534" w:rsidRPr="00B65444" w:rsidRDefault="005E17FF" w:rsidP="00DD1E89">
      <w:pPr>
        <w:jc w:val="both"/>
        <w:rPr>
          <w:i/>
        </w:rPr>
      </w:pPr>
      <w:r w:rsidRPr="00B65444">
        <w:rPr>
          <w:i/>
        </w:rPr>
        <w:t xml:space="preserve">Yes. These details have been now included. </w:t>
      </w:r>
    </w:p>
    <w:p w:rsidR="00A44428" w:rsidRPr="00B65444" w:rsidRDefault="00A44428" w:rsidP="00DD1E89">
      <w:pPr>
        <w:jc w:val="both"/>
      </w:pPr>
      <w:r w:rsidRPr="00B65444">
        <w:t>4) Please ensure homogeneity between the video and the manuscript.</w:t>
      </w:r>
    </w:p>
    <w:p w:rsidR="00A44428" w:rsidRPr="00B65444" w:rsidRDefault="00F63D23" w:rsidP="00DD1E89">
      <w:pPr>
        <w:jc w:val="both"/>
        <w:rPr>
          <w:i/>
        </w:rPr>
      </w:pPr>
      <w:r w:rsidRPr="00B65444">
        <w:rPr>
          <w:i/>
        </w:rPr>
        <w:t xml:space="preserve">The text has been rearranged to match the video. </w:t>
      </w:r>
    </w:p>
    <w:p w:rsidR="00A44428" w:rsidRPr="00B65444" w:rsidRDefault="00A44428" w:rsidP="00DD1E89">
      <w:pPr>
        <w:jc w:val="both"/>
      </w:pPr>
      <w:r w:rsidRPr="00B65444">
        <w:rPr>
          <w:rFonts w:hint="eastAsia"/>
        </w:rPr>
        <w:lastRenderedPageBreak/>
        <w:t>•</w:t>
      </w:r>
      <w:r w:rsidRPr="00B65444">
        <w:t xml:space="preserve"> Discussion: </w:t>
      </w:r>
      <w:proofErr w:type="spellStart"/>
      <w:r w:rsidRPr="00B65444">
        <w:t>JoVE</w:t>
      </w:r>
      <w:proofErr w:type="spellEnd"/>
      <w:r w:rsidRPr="00B65444">
        <w:t xml:space="preserve"> articles are focused on the methods and the protocol, thus the discussion should be similarly focused. Please expand the discussion to cover the following in detail (3-6 paragraphs): 1) modifications and troubleshooting, 2) limitations of the technique, 3)</w:t>
      </w:r>
      <w:r w:rsidR="00A06751" w:rsidRPr="00B65444">
        <w:t xml:space="preserve"> </w:t>
      </w:r>
      <w:r w:rsidRPr="00B65444">
        <w:t>significance with respect to existing methods, 4) future applications and 5) critical steps within the protocol.</w:t>
      </w:r>
    </w:p>
    <w:p w:rsidR="009B70CC" w:rsidRPr="00B65444" w:rsidRDefault="002861C2" w:rsidP="00DD1E89">
      <w:pPr>
        <w:jc w:val="both"/>
        <w:rPr>
          <w:i/>
        </w:rPr>
      </w:pPr>
      <w:r w:rsidRPr="00B65444">
        <w:rPr>
          <w:i/>
        </w:rPr>
        <w:t>Yes, all the contents related to above 5</w:t>
      </w:r>
      <w:r w:rsidR="00BD40CC" w:rsidRPr="00B65444">
        <w:rPr>
          <w:i/>
        </w:rPr>
        <w:t xml:space="preserve"> problems</w:t>
      </w:r>
      <w:r w:rsidRPr="00B65444">
        <w:rPr>
          <w:i/>
        </w:rPr>
        <w:t xml:space="preserve"> have been added in the discussion. Please see the text. </w:t>
      </w:r>
    </w:p>
    <w:p w:rsidR="002861C2" w:rsidRPr="00B65444" w:rsidRDefault="002861C2" w:rsidP="00DD1E89">
      <w:pPr>
        <w:jc w:val="both"/>
      </w:pPr>
    </w:p>
    <w:p w:rsidR="00A44428" w:rsidRPr="00B65444" w:rsidRDefault="00A44428" w:rsidP="00DD1E89">
      <w:pPr>
        <w:jc w:val="both"/>
      </w:pPr>
      <w:r w:rsidRPr="00B65444">
        <w:rPr>
          <w:rFonts w:hint="eastAsia"/>
        </w:rPr>
        <w:t>•</w:t>
      </w:r>
      <w:r w:rsidRPr="00B65444">
        <w:t xml:space="preserve"> Figures:</w:t>
      </w:r>
    </w:p>
    <w:p w:rsidR="00A44428" w:rsidRPr="00B65444" w:rsidRDefault="00A44428" w:rsidP="00DD1E89">
      <w:pPr>
        <w:pStyle w:val="ListParagraph"/>
        <w:numPr>
          <w:ilvl w:val="0"/>
          <w:numId w:val="1"/>
        </w:numPr>
        <w:jc w:val="both"/>
      </w:pPr>
      <w:r w:rsidRPr="00B65444">
        <w:t xml:space="preserve">Please remove the embedded figures from the manuscript. </w:t>
      </w:r>
      <w:bookmarkStart w:id="1" w:name="_Hlk4482818"/>
      <w:r w:rsidRPr="00B65444">
        <w:t>Figure legends</w:t>
      </w:r>
      <w:bookmarkEnd w:id="1"/>
      <w:r w:rsidRPr="00B65444">
        <w:t>, however, should remain within the manuscript text, directly below the Representative Results text.</w:t>
      </w:r>
    </w:p>
    <w:p w:rsidR="00A47EA4" w:rsidRPr="00B65444" w:rsidRDefault="00A47EA4" w:rsidP="00DD1E89">
      <w:pPr>
        <w:pStyle w:val="ListParagraph"/>
        <w:ind w:left="360"/>
        <w:jc w:val="both"/>
      </w:pPr>
      <w:r w:rsidRPr="00B65444">
        <w:t xml:space="preserve">Yes. </w:t>
      </w:r>
      <w:proofErr w:type="gramStart"/>
      <w:r w:rsidRPr="00B65444">
        <w:t>Done.</w:t>
      </w:r>
      <w:proofErr w:type="gramEnd"/>
    </w:p>
    <w:p w:rsidR="00A44428" w:rsidRPr="00B65444" w:rsidRDefault="00A44428" w:rsidP="00DD1E89">
      <w:pPr>
        <w:pStyle w:val="ListParagraph"/>
        <w:numPr>
          <w:ilvl w:val="0"/>
          <w:numId w:val="1"/>
        </w:numPr>
        <w:jc w:val="both"/>
      </w:pPr>
      <w:r w:rsidRPr="00B65444">
        <w:t>Fig 2: Add scale bars</w:t>
      </w:r>
    </w:p>
    <w:p w:rsidR="00A47EA4" w:rsidRPr="00B65444" w:rsidRDefault="00877593" w:rsidP="00DD1E89">
      <w:pPr>
        <w:pStyle w:val="ListParagraph"/>
        <w:ind w:left="360"/>
        <w:jc w:val="both"/>
      </w:pPr>
      <w:r w:rsidRPr="00B65444">
        <w:t xml:space="preserve">Yes.  </w:t>
      </w:r>
      <w:proofErr w:type="gramStart"/>
      <w:r w:rsidRPr="00B65444">
        <w:t>Added.</w:t>
      </w:r>
      <w:proofErr w:type="gramEnd"/>
    </w:p>
    <w:p w:rsidR="00A44428" w:rsidRPr="00B65444" w:rsidRDefault="00A44428" w:rsidP="00DD1E89">
      <w:pPr>
        <w:pStyle w:val="ListParagraph"/>
        <w:numPr>
          <w:ilvl w:val="0"/>
          <w:numId w:val="1"/>
        </w:numPr>
        <w:jc w:val="both"/>
      </w:pPr>
      <w:r w:rsidRPr="00B65444">
        <w:t>Fig 3: define the error bars, and ***.</w:t>
      </w:r>
    </w:p>
    <w:p w:rsidR="00877593" w:rsidRPr="00B65444" w:rsidRDefault="00BD40CC" w:rsidP="00DD1E89">
      <w:pPr>
        <w:pStyle w:val="ListParagraph"/>
        <w:ind w:left="360"/>
        <w:jc w:val="both"/>
        <w:rPr>
          <w:i/>
        </w:rPr>
      </w:pPr>
      <w:r w:rsidRPr="00B65444">
        <w:rPr>
          <w:i/>
        </w:rPr>
        <w:t>Yes, included “</w:t>
      </w:r>
      <w:r w:rsidR="00877593" w:rsidRPr="00B65444">
        <w:rPr>
          <w:i/>
        </w:rPr>
        <w:t>Error bar indicates standard error. *** indicates p&lt;0.001.</w:t>
      </w:r>
      <w:r w:rsidRPr="00B65444">
        <w:rPr>
          <w:i/>
        </w:rPr>
        <w:t>”</w:t>
      </w:r>
    </w:p>
    <w:p w:rsidR="00A44428" w:rsidRPr="00B65444" w:rsidRDefault="00A44428" w:rsidP="00DD1E89">
      <w:pPr>
        <w:pStyle w:val="ListParagraph"/>
        <w:numPr>
          <w:ilvl w:val="0"/>
          <w:numId w:val="1"/>
        </w:numPr>
        <w:jc w:val="both"/>
      </w:pPr>
      <w:r w:rsidRPr="00B65444">
        <w:t>Please remove the figure/table legends from the figure files and place them directly below the Representative Results text.</w:t>
      </w:r>
    </w:p>
    <w:p w:rsidR="00A47EA4" w:rsidRPr="00B65444" w:rsidRDefault="00B35807" w:rsidP="00DD1E89">
      <w:pPr>
        <w:pStyle w:val="ListParagraph"/>
        <w:ind w:left="360"/>
        <w:jc w:val="both"/>
        <w:rPr>
          <w:i/>
        </w:rPr>
      </w:pPr>
      <w:r w:rsidRPr="00B65444">
        <w:rPr>
          <w:i/>
        </w:rPr>
        <w:t>Done</w:t>
      </w:r>
    </w:p>
    <w:p w:rsidR="00A44428" w:rsidRPr="00B65444" w:rsidRDefault="00A44428" w:rsidP="00DD1E89">
      <w:pPr>
        <w:jc w:val="both"/>
      </w:pPr>
    </w:p>
    <w:p w:rsidR="00A44428" w:rsidRPr="00B65444" w:rsidRDefault="00A44428" w:rsidP="00DD1E89">
      <w:pPr>
        <w:jc w:val="both"/>
      </w:pPr>
      <w:r w:rsidRPr="00B65444">
        <w:rPr>
          <w:rFonts w:hint="eastAsia"/>
        </w:rPr>
        <w:t>•</w:t>
      </w:r>
      <w:r w:rsidRPr="00B65444">
        <w:t xml:space="preserve"> </w:t>
      </w:r>
      <w:proofErr w:type="spellStart"/>
      <w:r w:rsidRPr="00B65444">
        <w:t>References:Please</w:t>
      </w:r>
      <w:proofErr w:type="spellEnd"/>
      <w:r w:rsidRPr="00B65444">
        <w:t xml:space="preserve"> make sure that your references comply with </w:t>
      </w:r>
      <w:proofErr w:type="spellStart"/>
      <w:r w:rsidRPr="00B65444">
        <w:t>JoVE</w:t>
      </w:r>
      <w:proofErr w:type="spellEnd"/>
      <w:r w:rsidRPr="00B65444">
        <w:t xml:space="preserve"> instructions for authors. Citation formatting should appear as follows: (For 6 authors or less list all authors. For more than 6 authors, list only the first author then et al.): [</w:t>
      </w:r>
      <w:proofErr w:type="spellStart"/>
      <w:r w:rsidRPr="00B65444">
        <w:t>Lastname</w:t>
      </w:r>
      <w:proofErr w:type="spellEnd"/>
      <w:r w:rsidRPr="00B65444">
        <w:t xml:space="preserve">, F.I., </w:t>
      </w:r>
      <w:proofErr w:type="spellStart"/>
      <w:r w:rsidRPr="00B65444">
        <w:t>LastName</w:t>
      </w:r>
      <w:proofErr w:type="spellEnd"/>
      <w:r w:rsidRPr="00B65444">
        <w:t xml:space="preserve">, F.I., </w:t>
      </w:r>
      <w:proofErr w:type="spellStart"/>
      <w:r w:rsidRPr="00B65444">
        <w:t>LastName</w:t>
      </w:r>
      <w:proofErr w:type="spellEnd"/>
      <w:r w:rsidRPr="00B65444">
        <w:t xml:space="preserve">, F.I. Article Title. </w:t>
      </w:r>
      <w:proofErr w:type="gramStart"/>
      <w:r w:rsidRPr="00B65444">
        <w:t>Source.</w:t>
      </w:r>
      <w:proofErr w:type="gramEnd"/>
      <w:r w:rsidRPr="00B65444">
        <w:t xml:space="preserve"> Volume (Issue), </w:t>
      </w:r>
      <w:proofErr w:type="spellStart"/>
      <w:r w:rsidRPr="00B65444">
        <w:t>FirstPage</w:t>
      </w:r>
      <w:proofErr w:type="spellEnd"/>
      <w:r w:rsidRPr="00B65444">
        <w:t xml:space="preserve"> – </w:t>
      </w:r>
      <w:proofErr w:type="spellStart"/>
      <w:r w:rsidRPr="00B65444">
        <w:t>LastPage</w:t>
      </w:r>
      <w:proofErr w:type="spellEnd"/>
      <w:r w:rsidRPr="00B65444">
        <w:t xml:space="preserve">, </w:t>
      </w:r>
      <w:proofErr w:type="spellStart"/>
      <w:r w:rsidRPr="00B65444">
        <w:t>doi</w:t>
      </w:r>
      <w:proofErr w:type="gramStart"/>
      <w:r w:rsidRPr="00B65444">
        <w:t>:DOI</w:t>
      </w:r>
      <w:proofErr w:type="spellEnd"/>
      <w:proofErr w:type="gramEnd"/>
      <w:r w:rsidRPr="00B65444">
        <w:t xml:space="preserve"> (YEAR).]</w:t>
      </w:r>
    </w:p>
    <w:p w:rsidR="00A44428" w:rsidRPr="00B65444" w:rsidRDefault="00982EB0" w:rsidP="00DD1E89">
      <w:pPr>
        <w:jc w:val="both"/>
        <w:rPr>
          <w:i/>
        </w:rPr>
      </w:pPr>
      <w:r w:rsidRPr="00B65444">
        <w:rPr>
          <w:i/>
        </w:rPr>
        <w:t xml:space="preserve">Yes. I now changed the reference style to comply with </w:t>
      </w:r>
      <w:proofErr w:type="spellStart"/>
      <w:r w:rsidRPr="00B65444">
        <w:rPr>
          <w:i/>
        </w:rPr>
        <w:t>JoVE</w:t>
      </w:r>
      <w:proofErr w:type="spellEnd"/>
      <w:r w:rsidRPr="00B65444">
        <w:rPr>
          <w:i/>
        </w:rPr>
        <w:t xml:space="preserve">. </w:t>
      </w:r>
    </w:p>
    <w:p w:rsidR="00A44428" w:rsidRPr="00B65444" w:rsidRDefault="00A44428" w:rsidP="00DD1E89">
      <w:pPr>
        <w:jc w:val="both"/>
      </w:pPr>
      <w:r w:rsidRPr="00B65444">
        <w:rPr>
          <w:rFonts w:hint="eastAsia"/>
        </w:rPr>
        <w:t>•</w:t>
      </w:r>
      <w:r w:rsidRPr="00B65444">
        <w:t xml:space="preserve"> Commercial Language: </w:t>
      </w:r>
      <w:proofErr w:type="spellStart"/>
      <w:r w:rsidRPr="00B65444">
        <w:t>JoVE</w:t>
      </w:r>
      <w:proofErr w:type="spellEnd"/>
      <w:r w:rsidRPr="00B65444">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B65444">
        <w:t>Parafilm</w:t>
      </w:r>
      <w:proofErr w:type="spellEnd"/>
      <w:r w:rsidRPr="00B65444">
        <w:t xml:space="preserve">, </w:t>
      </w:r>
      <w:proofErr w:type="spellStart"/>
      <w:r w:rsidRPr="00B65444">
        <w:t>Milli</w:t>
      </w:r>
      <w:proofErr w:type="spellEnd"/>
      <w:r w:rsidRPr="00B65444">
        <w:t xml:space="preserve">-Q, </w:t>
      </w:r>
      <w:proofErr w:type="gramStart"/>
      <w:r w:rsidRPr="00B65444">
        <w:t>ZEISS</w:t>
      </w:r>
      <w:proofErr w:type="gramEnd"/>
      <w:r w:rsidRPr="00B65444">
        <w:t xml:space="preserve"> </w:t>
      </w:r>
      <w:proofErr w:type="spellStart"/>
      <w:r w:rsidRPr="00B65444">
        <w:t>Axio</w:t>
      </w:r>
      <w:proofErr w:type="spellEnd"/>
      <w:r w:rsidRPr="00B65444">
        <w:t xml:space="preserve"> Zoom V16</w:t>
      </w:r>
      <w:r w:rsidR="008D2711" w:rsidRPr="00B65444">
        <w:t xml:space="preserve">. </w:t>
      </w:r>
      <w:r w:rsidRPr="00B65444">
        <w:t>1) Please use MS Word’s find function (</w:t>
      </w:r>
      <w:proofErr w:type="spellStart"/>
      <w:r w:rsidRPr="00B65444">
        <w:t>Ctrl+F</w:t>
      </w:r>
      <w:proofErr w:type="spellEnd"/>
      <w:r w:rsidRPr="00B65444">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5E17FF" w:rsidRPr="00B65444" w:rsidRDefault="00FE289D" w:rsidP="00DD1E89">
      <w:pPr>
        <w:jc w:val="both"/>
        <w:rPr>
          <w:i/>
        </w:rPr>
      </w:pPr>
      <w:r w:rsidRPr="00B65444">
        <w:rPr>
          <w:i/>
        </w:rPr>
        <w:t>Yes. The parafilm has been changed to “micro-porous membrane film”</w:t>
      </w:r>
      <w:r w:rsidR="005E17FF" w:rsidRPr="00B65444">
        <w:rPr>
          <w:i/>
        </w:rPr>
        <w:t xml:space="preserve">.  Milli-Q water has been replaced with ultrapure water. ZEISS </w:t>
      </w:r>
      <w:proofErr w:type="spellStart"/>
      <w:r w:rsidR="005E17FF" w:rsidRPr="00B65444">
        <w:rPr>
          <w:i/>
        </w:rPr>
        <w:t>Axio</w:t>
      </w:r>
      <w:proofErr w:type="spellEnd"/>
      <w:r w:rsidR="005E17FF" w:rsidRPr="00B65444">
        <w:rPr>
          <w:i/>
        </w:rPr>
        <w:t xml:space="preserve"> Zoom V16 has been replaced with stereo fluorescent microscope. </w:t>
      </w:r>
    </w:p>
    <w:p w:rsidR="00A44428" w:rsidRPr="00B65444" w:rsidRDefault="00A44428" w:rsidP="00DD1E89">
      <w:pPr>
        <w:jc w:val="both"/>
      </w:pPr>
    </w:p>
    <w:p w:rsidR="00A44428" w:rsidRPr="00B65444" w:rsidRDefault="00A44428" w:rsidP="00DD1E89">
      <w:pPr>
        <w:jc w:val="both"/>
      </w:pPr>
      <w:r w:rsidRPr="00B65444">
        <w:rPr>
          <w:rFonts w:hint="eastAsia"/>
        </w:rPr>
        <w:lastRenderedPageBreak/>
        <w:t>•</w:t>
      </w:r>
      <w:r w:rsidRPr="00B65444">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B65444">
        <w:t>JoVE</w:t>
      </w:r>
      <w:proofErr w:type="spellEnd"/>
      <w:r w:rsidRPr="00B65444">
        <w:t>)" section. Please also cite the figure appropriately in the figure legend, i.e. "This figure has been modified from [citation]."</w:t>
      </w:r>
    </w:p>
    <w:p w:rsidR="00B53AF7" w:rsidRPr="00B65444" w:rsidRDefault="00B53AF7" w:rsidP="00DD1E89">
      <w:pPr>
        <w:jc w:val="both"/>
        <w:rPr>
          <w:i/>
        </w:rPr>
      </w:pPr>
      <w:r w:rsidRPr="00B65444">
        <w:rPr>
          <w:i/>
        </w:rPr>
        <w:t xml:space="preserve">Figure 1 was generated in this </w:t>
      </w:r>
      <w:r w:rsidR="0092074E" w:rsidRPr="00B65444">
        <w:rPr>
          <w:i/>
        </w:rPr>
        <w:t>manuscript</w:t>
      </w:r>
      <w:r w:rsidRPr="00B65444">
        <w:rPr>
          <w:i/>
        </w:rPr>
        <w:t xml:space="preserve">. We </w:t>
      </w:r>
      <w:r w:rsidR="0092074E" w:rsidRPr="00B65444">
        <w:rPr>
          <w:i/>
        </w:rPr>
        <w:t>explicitly</w:t>
      </w:r>
      <w:r w:rsidRPr="00B65444">
        <w:rPr>
          <w:i/>
        </w:rPr>
        <w:t xml:space="preserve"> converted the </w:t>
      </w:r>
      <w:r w:rsidR="00E50DD7" w:rsidRPr="00B65444">
        <w:rPr>
          <w:i/>
        </w:rPr>
        <w:t>rationale</w:t>
      </w:r>
      <w:r w:rsidRPr="00B65444">
        <w:rPr>
          <w:i/>
        </w:rPr>
        <w:t xml:space="preserve"> (according to the description by </w:t>
      </w:r>
      <w:r w:rsidR="00E50DD7" w:rsidRPr="00B65444">
        <w:rPr>
          <w:i/>
        </w:rPr>
        <w:t>Wright et al. (1996)</w:t>
      </w:r>
      <w:r w:rsidRPr="00B65444">
        <w:rPr>
          <w:i/>
        </w:rPr>
        <w:t xml:space="preserve"> </w:t>
      </w:r>
      <w:r w:rsidR="000739C9" w:rsidRPr="00B65444">
        <w:rPr>
          <w:i/>
        </w:rPr>
        <w:fldChar w:fldCharType="begin"/>
      </w:r>
      <w:r w:rsidR="000739C9" w:rsidRPr="00B65444">
        <w:rPr>
          <w:i/>
        </w:rPr>
        <w:instrText xml:space="preserve"> ADDIN EN.CITE &lt;EndNote&gt;&lt;Cite&gt;&lt;Author&gt;Wright&lt;/Author&gt;&lt;Year&gt;1996&lt;/Year&gt;&lt;RecNum&gt;82&lt;/RecNum&gt;&lt;DisplayText&gt;&lt;style face="superscript"&gt;1&lt;/style&gt;&lt;/DisplayText&gt;&lt;record&gt;&lt;rec-number&gt;82&lt;/rec-number&gt;&lt;foreign-keys&gt;&lt;key app="EN" db-id="p0ep5zzwteeaeve00pu5spxgaf5da9axdszp" timestamp="1553605514"&gt;82&lt;/key&gt;&lt;/foreign-keys&gt;&lt;ref-type name="Journal Article"&gt;17&lt;/ref-type&gt;&lt;contributors&gt;&lt;authors&gt;&lt;author&gt;Wright, Kathryn M.&lt;/author&gt;&lt;author&gt;Oparka, Karl J.&lt;/author&gt;&lt;/authors&gt;&lt;/contributors&gt;&lt;titles&gt;&lt;title&gt;The fluorescent probe HPTS as a phloem-mobile, symplastic tracer: an evaluation using confocal laser scanning microscopy&lt;/title&gt;&lt;secondary-title&gt;Journal of Experimental Botany&lt;/secondary-title&gt;&lt;/titles&gt;&lt;periodical&gt;&lt;full-title&gt;Journal of Experimental Botany&lt;/full-title&gt;&lt;/periodical&gt;&lt;pages&gt;439-445&lt;/pages&gt;&lt;volume&gt;47&lt;/volume&gt;&lt;number&gt;296&lt;/number&gt;&lt;dates&gt;&lt;year&gt;1996&lt;/year&gt;&lt;/dates&gt;&lt;publisher&gt;Oxford University Press&lt;/publisher&gt;&lt;isbn&gt;00220957, 14602431&lt;/isbn&gt;&lt;urls&gt;&lt;related-urls&gt;&lt;url&gt;http://www.jstor.org/stable/23695292&lt;/url&gt;&lt;/related-urls&gt;&lt;/urls&gt;&lt;custom1&gt;Full publication date: MARCH 1996&lt;/custom1&gt;&lt;remote-database-name&gt;JSTOR&lt;/remote-database-name&gt;&lt;/record&gt;&lt;/Cite&gt;&lt;/EndNote&gt;</w:instrText>
      </w:r>
      <w:r w:rsidR="000739C9" w:rsidRPr="00B65444">
        <w:rPr>
          <w:i/>
        </w:rPr>
        <w:fldChar w:fldCharType="separate"/>
      </w:r>
      <w:r w:rsidR="000739C9" w:rsidRPr="00B65444">
        <w:rPr>
          <w:i/>
          <w:noProof/>
          <w:vertAlign w:val="superscript"/>
        </w:rPr>
        <w:t>1</w:t>
      </w:r>
      <w:r w:rsidR="000739C9" w:rsidRPr="00B65444">
        <w:rPr>
          <w:i/>
        </w:rPr>
        <w:fldChar w:fldCharType="end"/>
      </w:r>
      <w:r w:rsidR="008F16BB" w:rsidRPr="00B65444">
        <w:rPr>
          <w:i/>
        </w:rPr>
        <w:t xml:space="preserve"> </w:t>
      </w:r>
      <w:r w:rsidRPr="00B65444">
        <w:rPr>
          <w:i/>
        </w:rPr>
        <w:t xml:space="preserve">into the Figure to facilitate understanding of this protocol. </w:t>
      </w:r>
    </w:p>
    <w:p w:rsidR="00A44428" w:rsidRPr="00B65444" w:rsidRDefault="00A44428" w:rsidP="00DD1E89">
      <w:pPr>
        <w:jc w:val="both"/>
      </w:pPr>
    </w:p>
    <w:p w:rsidR="00A44428" w:rsidRPr="00B65444" w:rsidRDefault="00A44428" w:rsidP="00DD1E89">
      <w:pPr>
        <w:jc w:val="both"/>
      </w:pPr>
      <w:r w:rsidRPr="00B65444">
        <w:rPr>
          <w:rFonts w:hint="eastAsia"/>
        </w:rPr>
        <w:t>•</w:t>
      </w:r>
      <w:r w:rsidRPr="00B65444">
        <w:t xml:space="preserve"> Video Comments:</w:t>
      </w:r>
    </w:p>
    <w:p w:rsidR="00A44428" w:rsidRPr="00B65444" w:rsidRDefault="00A44428" w:rsidP="00DD1E89">
      <w:pPr>
        <w:jc w:val="both"/>
      </w:pPr>
      <w:r w:rsidRPr="00B65444">
        <w:rPr>
          <w:rFonts w:hint="eastAsia"/>
        </w:rPr>
        <w:t>•</w:t>
      </w:r>
      <w:r w:rsidRPr="00B65444">
        <w:t xml:space="preserve"> 0:05-0:08 - The narration audio is weighted heavily to the left stereo channel during this time, before shifting to a balanced mix. This should be corrected.</w:t>
      </w:r>
    </w:p>
    <w:p w:rsidR="00B25EB8" w:rsidRPr="00B65444" w:rsidRDefault="00B25EB8" w:rsidP="00DD1E89">
      <w:pPr>
        <w:jc w:val="both"/>
        <w:rPr>
          <w:i/>
        </w:rPr>
      </w:pPr>
      <w:proofErr w:type="gramStart"/>
      <w:r w:rsidRPr="00B65444">
        <w:rPr>
          <w:i/>
        </w:rPr>
        <w:t>Corrected.</w:t>
      </w:r>
      <w:proofErr w:type="gramEnd"/>
    </w:p>
    <w:p w:rsidR="00A44428" w:rsidRPr="00B65444" w:rsidRDefault="00A44428" w:rsidP="00DD1E89">
      <w:pPr>
        <w:jc w:val="both"/>
      </w:pPr>
      <w:r w:rsidRPr="00B65444">
        <w:rPr>
          <w:rFonts w:hint="eastAsia"/>
        </w:rPr>
        <w:t>•</w:t>
      </w:r>
      <w:r w:rsidRPr="00B65444">
        <w:t xml:space="preserve"> All audio should be peaking between -6 and -12 </w:t>
      </w:r>
      <w:proofErr w:type="spellStart"/>
      <w:r w:rsidRPr="00B65444">
        <w:t>dB.</w:t>
      </w:r>
      <w:proofErr w:type="spellEnd"/>
      <w:r w:rsidRPr="00B65444">
        <w:t xml:space="preserve"> The audio in this video seems low. The audio volume should be raised.</w:t>
      </w:r>
    </w:p>
    <w:p w:rsidR="00B25EB8" w:rsidRPr="00B65444" w:rsidRDefault="00AD0DAD" w:rsidP="00DD1E89">
      <w:pPr>
        <w:jc w:val="both"/>
        <w:rPr>
          <w:i/>
        </w:rPr>
      </w:pPr>
      <w:r w:rsidRPr="00B65444">
        <w:rPr>
          <w:i/>
        </w:rPr>
        <w:t>Yes, the volume was r</w:t>
      </w:r>
      <w:r w:rsidR="00B25EB8" w:rsidRPr="00B65444">
        <w:rPr>
          <w:i/>
        </w:rPr>
        <w:t xml:space="preserve">aised to </w:t>
      </w:r>
      <w:r w:rsidRPr="00B65444">
        <w:rPr>
          <w:i/>
        </w:rPr>
        <w:t>~7</w:t>
      </w:r>
      <w:r w:rsidR="00B25EB8" w:rsidRPr="00B65444">
        <w:rPr>
          <w:i/>
        </w:rPr>
        <w:t xml:space="preserve"> </w:t>
      </w:r>
      <w:proofErr w:type="spellStart"/>
      <w:r w:rsidR="00B25EB8" w:rsidRPr="00B65444">
        <w:rPr>
          <w:i/>
        </w:rPr>
        <w:t>dB</w:t>
      </w:r>
      <w:r w:rsidRPr="00B65444">
        <w:rPr>
          <w:i/>
        </w:rPr>
        <w:t>.</w:t>
      </w:r>
      <w:proofErr w:type="spellEnd"/>
    </w:p>
    <w:p w:rsidR="00A44428" w:rsidRPr="00B65444" w:rsidRDefault="00A44428" w:rsidP="00DD1E89">
      <w:pPr>
        <w:jc w:val="both"/>
      </w:pPr>
      <w:r w:rsidRPr="00B65444">
        <w:rPr>
          <w:rFonts w:hint="eastAsia"/>
        </w:rPr>
        <w:t>•</w:t>
      </w:r>
      <w:r w:rsidRPr="00B65444">
        <w:t xml:space="preserve"> 1:21 - It seems like there is a hard edit in the middle of this fade. This should be corrected.</w:t>
      </w:r>
    </w:p>
    <w:p w:rsidR="00B25EB8" w:rsidRPr="00B65444" w:rsidRDefault="00B25EB8" w:rsidP="00DD1E89">
      <w:pPr>
        <w:jc w:val="both"/>
        <w:rPr>
          <w:i/>
        </w:rPr>
      </w:pPr>
      <w:proofErr w:type="gramStart"/>
      <w:r w:rsidRPr="00B65444">
        <w:rPr>
          <w:i/>
        </w:rPr>
        <w:t>Corrected.</w:t>
      </w:r>
      <w:proofErr w:type="gramEnd"/>
    </w:p>
    <w:p w:rsidR="00A44428" w:rsidRPr="00B65444" w:rsidRDefault="00A44428" w:rsidP="00DD1E89">
      <w:pPr>
        <w:jc w:val="both"/>
      </w:pPr>
      <w:r w:rsidRPr="00B65444">
        <w:rPr>
          <w:rFonts w:hint="eastAsia"/>
        </w:rPr>
        <w:t>•</w:t>
      </w:r>
      <w:r w:rsidRPr="00B65444">
        <w:t xml:space="preserve"> 1:31, 2:50, 3:22, 4:25 - The edits here are jump cuts, which tend to have a jarring effect on the viewer. They should be smoothed out with crossfades instead.</w:t>
      </w:r>
    </w:p>
    <w:p w:rsidR="00B25EB8" w:rsidRPr="00B65444" w:rsidRDefault="00AD0DAD" w:rsidP="00DD1E89">
      <w:pPr>
        <w:jc w:val="both"/>
        <w:rPr>
          <w:i/>
        </w:rPr>
      </w:pPr>
      <w:proofErr w:type="gramStart"/>
      <w:r w:rsidRPr="00B65444">
        <w:rPr>
          <w:i/>
        </w:rPr>
        <w:t>Corrected.</w:t>
      </w:r>
      <w:proofErr w:type="gramEnd"/>
    </w:p>
    <w:p w:rsidR="00A44428" w:rsidRPr="00B65444" w:rsidRDefault="00A44428" w:rsidP="00DD1E89">
      <w:pPr>
        <w:jc w:val="both"/>
      </w:pPr>
      <w:r w:rsidRPr="00B65444">
        <w:rPr>
          <w:rFonts w:hint="eastAsia"/>
        </w:rPr>
        <w:t>•</w:t>
      </w:r>
      <w:r w:rsidRPr="00B65444">
        <w:t xml:space="preserve"> 2:48 - The shot of the parafilm packets either needs to be extended or removed. It is currently not on screen long enough, and quickness of the edits is disorienting.</w:t>
      </w:r>
    </w:p>
    <w:p w:rsidR="00AD0DAD" w:rsidRPr="00B65444" w:rsidRDefault="00AD0DAD" w:rsidP="00DD1E89">
      <w:pPr>
        <w:jc w:val="both"/>
        <w:rPr>
          <w:i/>
        </w:rPr>
      </w:pPr>
      <w:r w:rsidRPr="00B65444">
        <w:rPr>
          <w:i/>
        </w:rPr>
        <w:t>Yes, corrected.</w:t>
      </w:r>
    </w:p>
    <w:p w:rsidR="00B25EB8" w:rsidRPr="00B65444" w:rsidRDefault="00B25EB8" w:rsidP="00DD1E89">
      <w:pPr>
        <w:jc w:val="both"/>
      </w:pPr>
    </w:p>
    <w:p w:rsidR="00A44428" w:rsidRPr="00B65444" w:rsidRDefault="00A44428" w:rsidP="00DD1E89">
      <w:pPr>
        <w:jc w:val="both"/>
      </w:pPr>
      <w:r w:rsidRPr="00B65444">
        <w:rPr>
          <w:rFonts w:hint="eastAsia"/>
        </w:rPr>
        <w:t>•</w:t>
      </w:r>
      <w:r w:rsidRPr="00B65444">
        <w:t xml:space="preserve"> 5:39 - A title card should be inserted here that reads, "Conclusion".</w:t>
      </w:r>
    </w:p>
    <w:p w:rsidR="00AD0DAD" w:rsidRPr="00B65444" w:rsidRDefault="00AD0DAD" w:rsidP="00DD1E89">
      <w:pPr>
        <w:jc w:val="both"/>
        <w:rPr>
          <w:i/>
        </w:rPr>
      </w:pPr>
      <w:proofErr w:type="gramStart"/>
      <w:r w:rsidRPr="00B65444">
        <w:rPr>
          <w:i/>
        </w:rPr>
        <w:t>Done.</w:t>
      </w:r>
      <w:proofErr w:type="gramEnd"/>
    </w:p>
    <w:p w:rsidR="00AD0DAD" w:rsidRPr="00B65444" w:rsidRDefault="00AD0DAD" w:rsidP="00DD1E89">
      <w:pPr>
        <w:jc w:val="both"/>
      </w:pPr>
    </w:p>
    <w:p w:rsidR="00A44428" w:rsidRPr="00B65444" w:rsidRDefault="00A44428" w:rsidP="00DD1E89">
      <w:pPr>
        <w:jc w:val="both"/>
      </w:pPr>
      <w:r w:rsidRPr="00B65444">
        <w:t>Comments from Peer-Reviewers:</w:t>
      </w:r>
    </w:p>
    <w:p w:rsidR="00A44428" w:rsidRPr="00B65444" w:rsidRDefault="00A44428" w:rsidP="00DD1E89">
      <w:pPr>
        <w:jc w:val="both"/>
      </w:pPr>
      <w:r w:rsidRPr="00B65444">
        <w:lastRenderedPageBreak/>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rsidR="00A44428" w:rsidRPr="00B65444" w:rsidRDefault="00A47EA4" w:rsidP="00DD1E89">
      <w:pPr>
        <w:jc w:val="both"/>
        <w:rPr>
          <w:i/>
        </w:rPr>
      </w:pPr>
      <w:r w:rsidRPr="00B65444">
        <w:rPr>
          <w:i/>
        </w:rPr>
        <w:t xml:space="preserve">Yes. We have addressed all the issues raised by the reviewers. Please check the following explanations. </w:t>
      </w:r>
    </w:p>
    <w:p w:rsidR="00A44428" w:rsidRPr="00B65444" w:rsidRDefault="00A44428" w:rsidP="00DD1E89">
      <w:pPr>
        <w:jc w:val="both"/>
      </w:pPr>
    </w:p>
    <w:p w:rsidR="00A44428" w:rsidRPr="00B65444" w:rsidRDefault="00A44428" w:rsidP="00DD1E89">
      <w:pPr>
        <w:jc w:val="both"/>
      </w:pPr>
      <w:r w:rsidRPr="00B65444">
        <w:t>Reviewer #1:</w:t>
      </w:r>
    </w:p>
    <w:p w:rsidR="00A44428" w:rsidRPr="00B65444" w:rsidRDefault="00A44428" w:rsidP="00DD1E89">
      <w:pPr>
        <w:jc w:val="both"/>
      </w:pPr>
      <w:r w:rsidRPr="00B65444">
        <w:t>Manuscript Summary:</w:t>
      </w:r>
    </w:p>
    <w:p w:rsidR="00A44428" w:rsidRPr="00B65444" w:rsidRDefault="00A44428" w:rsidP="00DD1E89">
      <w:pPr>
        <w:jc w:val="both"/>
      </w:pPr>
      <w:r w:rsidRPr="00B65444">
        <w:t>Review: "Shootward movement of CFDA tracer loaded in the root and hypocotyl of Arabidopsis"</w:t>
      </w:r>
    </w:p>
    <w:p w:rsidR="00A44428" w:rsidRPr="00B65444" w:rsidRDefault="00A44428" w:rsidP="00DD1E89">
      <w:pPr>
        <w:jc w:val="both"/>
      </w:pPr>
      <w:r w:rsidRPr="00B65444">
        <w:t xml:space="preserve">This manuscript addresses the delivery of a phloem-specific fluorescent tracer, </w:t>
      </w:r>
      <w:proofErr w:type="spellStart"/>
      <w:r w:rsidRPr="00B65444">
        <w:t>carboxyfluorescein</w:t>
      </w:r>
      <w:proofErr w:type="spellEnd"/>
      <w:r w:rsidRPr="00B65444">
        <w:t xml:space="preserve">, for </w:t>
      </w:r>
      <w:proofErr w:type="spellStart"/>
      <w:r w:rsidRPr="00B65444">
        <w:t>acropetal</w:t>
      </w:r>
      <w:proofErr w:type="spellEnd"/>
      <w:r w:rsidRPr="00B65444">
        <w:t xml:space="preserve"> translocation. To enhance delivery of the membrane-</w:t>
      </w:r>
      <w:proofErr w:type="spellStart"/>
      <w:r w:rsidRPr="00B65444">
        <w:t>permeant</w:t>
      </w:r>
      <w:proofErr w:type="spellEnd"/>
      <w:r w:rsidRPr="00B65444">
        <w:t xml:space="preserve"> formulation </w:t>
      </w:r>
      <w:proofErr w:type="spellStart"/>
      <w:r w:rsidRPr="00B65444">
        <w:t>carboxyfluorescein</w:t>
      </w:r>
      <w:proofErr w:type="spellEnd"/>
      <w:r w:rsidRPr="00B65444">
        <w:t xml:space="preserve"> </w:t>
      </w:r>
      <w:proofErr w:type="spellStart"/>
      <w:r w:rsidRPr="00B65444">
        <w:t>diacetate</w:t>
      </w:r>
      <w:proofErr w:type="spellEnd"/>
      <w:r w:rsidRPr="00B65444">
        <w:t xml:space="preserve"> (CFDA), the authors examine the movement of the fluorescent tracer into the shoot following application to cut roots or pinched hypocotyls.</w:t>
      </w:r>
    </w:p>
    <w:p w:rsidR="00A44428" w:rsidRPr="00B65444" w:rsidRDefault="00A44428" w:rsidP="00DD1E89">
      <w:pPr>
        <w:jc w:val="both"/>
      </w:pPr>
      <w:r w:rsidRPr="00B65444">
        <w:t>The video submitted with this manuscript is very clear, easy to understand, and demonstrates the root cutting and hypocotyl pinching methods meticulously.</w:t>
      </w:r>
    </w:p>
    <w:p w:rsidR="00A44428" w:rsidRPr="00B65444" w:rsidRDefault="00A44428" w:rsidP="00DD1E89">
      <w:pPr>
        <w:jc w:val="both"/>
      </w:pPr>
    </w:p>
    <w:p w:rsidR="00A44428" w:rsidRPr="00B65444" w:rsidRDefault="00A44428" w:rsidP="00DD1E89">
      <w:pPr>
        <w:jc w:val="both"/>
      </w:pPr>
      <w:r w:rsidRPr="00B65444">
        <w:t>Major Concerns:</w:t>
      </w:r>
    </w:p>
    <w:p w:rsidR="00A44428" w:rsidRPr="00B65444" w:rsidRDefault="00A44428" w:rsidP="00DD1E89">
      <w:pPr>
        <w:jc w:val="both"/>
      </w:pPr>
      <w:r w:rsidRPr="00B65444">
        <w:t>The manuscript is very brief, lacks depth, and contains problems which lead me to question the value of these approaches.</w:t>
      </w:r>
    </w:p>
    <w:p w:rsidR="00A44428" w:rsidRPr="00B65444" w:rsidRDefault="00A44428" w:rsidP="00DD1E89">
      <w:pPr>
        <w:pStyle w:val="ListParagraph"/>
        <w:numPr>
          <w:ilvl w:val="0"/>
          <w:numId w:val="2"/>
        </w:numPr>
        <w:jc w:val="both"/>
      </w:pPr>
      <w:r w:rsidRPr="00B65444">
        <w:t xml:space="preserve">I would expect transported CF to be detected in sink tissues. But the newly emerged true leaves have no signal at 9 DAS and indeed CF staining is weakest in the youngest sink leaves at later developmental stages. Why is </w:t>
      </w:r>
      <w:proofErr w:type="gramStart"/>
      <w:r w:rsidRPr="00B65444">
        <w:t>this the</w:t>
      </w:r>
      <w:proofErr w:type="gramEnd"/>
      <w:r w:rsidRPr="00B65444">
        <w:t xml:space="preserve"> case? Is this consistent with phloem unloading, or do these observations more likely reflect xylem transport? My concerns continue with the suggested "half-zone pattern": the "partially staining pattern of the cotyledon" is nonsensical as it is not vascular and thus is not translocated CF. It is misleading to describe this result as similar to gene silencing as there is no gene being silenced, rather a chemical is delivered, and it dismisses the problem.</w:t>
      </w:r>
    </w:p>
    <w:p w:rsidR="00595436" w:rsidRPr="00B65444" w:rsidRDefault="00595436" w:rsidP="00DD1E89">
      <w:pPr>
        <w:pStyle w:val="ListParagraph"/>
        <w:ind w:left="360"/>
        <w:jc w:val="both"/>
      </w:pPr>
    </w:p>
    <w:p w:rsidR="000B19A6" w:rsidRPr="00B65444" w:rsidRDefault="000B19A6" w:rsidP="00DD1E89">
      <w:pPr>
        <w:pStyle w:val="ListParagraph"/>
        <w:ind w:left="360"/>
        <w:jc w:val="both"/>
        <w:rPr>
          <w:i/>
        </w:rPr>
      </w:pPr>
      <w:r w:rsidRPr="00B65444">
        <w:rPr>
          <w:i/>
        </w:rPr>
        <w:t xml:space="preserve">Thanks for pointing out this issue. </w:t>
      </w:r>
      <w:r w:rsidR="001D5E59" w:rsidRPr="00B65444">
        <w:rPr>
          <w:i/>
        </w:rPr>
        <w:t xml:space="preserve">Indeed, the signal in the newly formed leaf is quite weak. We have provided the explanation in the </w:t>
      </w:r>
      <w:r w:rsidR="006D2FA9" w:rsidRPr="00B65444">
        <w:rPr>
          <w:i/>
        </w:rPr>
        <w:t xml:space="preserve">discussion (please see the text). Basically, our explanation is </w:t>
      </w:r>
      <w:r w:rsidR="00B81EC6" w:rsidRPr="00B65444">
        <w:rPr>
          <w:i/>
        </w:rPr>
        <w:t xml:space="preserve">that </w:t>
      </w:r>
      <w:r w:rsidR="006D2FA9" w:rsidRPr="00B65444">
        <w:rPr>
          <w:i/>
        </w:rPr>
        <w:t xml:space="preserve">it is a mixed translocation of </w:t>
      </w:r>
      <w:r w:rsidR="00765825" w:rsidRPr="00B65444">
        <w:rPr>
          <w:i/>
        </w:rPr>
        <w:t xml:space="preserve">both </w:t>
      </w:r>
      <w:r w:rsidR="006D2FA9" w:rsidRPr="00B65444">
        <w:rPr>
          <w:i/>
        </w:rPr>
        <w:t xml:space="preserve">xylem </w:t>
      </w:r>
      <w:r w:rsidR="00765825" w:rsidRPr="00B65444">
        <w:rPr>
          <w:i/>
        </w:rPr>
        <w:t xml:space="preserve">and </w:t>
      </w:r>
      <w:r w:rsidR="00B03093" w:rsidRPr="00B65444">
        <w:rPr>
          <w:rFonts w:cs="Calibri"/>
          <w:sz w:val="24"/>
          <w:szCs w:val="24"/>
        </w:rPr>
        <w:t>parenchyma cells</w:t>
      </w:r>
      <w:r w:rsidR="00B03093" w:rsidRPr="00B65444">
        <w:rPr>
          <w:i/>
        </w:rPr>
        <w:t xml:space="preserve">-facilitated </w:t>
      </w:r>
      <w:proofErr w:type="spellStart"/>
      <w:r w:rsidR="00B03093" w:rsidRPr="00B65444">
        <w:rPr>
          <w:i/>
        </w:rPr>
        <w:t>symplastic</w:t>
      </w:r>
      <w:proofErr w:type="spellEnd"/>
      <w:r w:rsidR="00765825" w:rsidRPr="00B65444">
        <w:rPr>
          <w:i/>
        </w:rPr>
        <w:t xml:space="preserve"> </w:t>
      </w:r>
      <w:r w:rsidR="006D2FA9" w:rsidRPr="00B65444">
        <w:rPr>
          <w:i/>
        </w:rPr>
        <w:t>transport</w:t>
      </w:r>
      <w:r w:rsidR="00765825" w:rsidRPr="00B65444">
        <w:rPr>
          <w:i/>
        </w:rPr>
        <w:t xml:space="preserve">, which </w:t>
      </w:r>
      <w:r w:rsidR="00B03093" w:rsidRPr="00B65444">
        <w:rPr>
          <w:i/>
        </w:rPr>
        <w:t xml:space="preserve">was </w:t>
      </w:r>
      <w:r w:rsidR="00765825" w:rsidRPr="00B65444">
        <w:rPr>
          <w:i/>
        </w:rPr>
        <w:t>shown by Botha et a</w:t>
      </w:r>
      <w:r w:rsidR="00B0200B" w:rsidRPr="00B65444">
        <w:rPr>
          <w:i/>
        </w:rPr>
        <w:t>l</w:t>
      </w:r>
      <w:r w:rsidR="00765825" w:rsidRPr="00B65444">
        <w:rPr>
          <w:i/>
        </w:rPr>
        <w:t>. (</w:t>
      </w:r>
      <w:r w:rsidR="00B03093" w:rsidRPr="00B65444">
        <w:rPr>
          <w:i/>
        </w:rPr>
        <w:t>2008</w:t>
      </w:r>
      <w:r w:rsidR="00765825" w:rsidRPr="00B65444">
        <w:rPr>
          <w:i/>
        </w:rPr>
        <w:t>)</w:t>
      </w:r>
      <w:r w:rsidR="009B3CED" w:rsidRPr="00B65444">
        <w:rPr>
          <w:i/>
        </w:rPr>
        <w:fldChar w:fldCharType="begin"/>
      </w:r>
      <w:r w:rsidR="009B3CED" w:rsidRPr="00B65444">
        <w:rPr>
          <w:i/>
        </w:rPr>
        <w:instrText xml:space="preserve"> ADDIN EN.CITE &lt;EndNote&gt;&lt;Cite&gt;&lt;Author&gt;Botha&lt;/Author&gt;&lt;Year&gt;2008&lt;/Year&gt;&lt;RecNum&gt;76&lt;/RecNum&gt;&lt;DisplayText&gt;&lt;style face="superscript"&gt;2&lt;/style&gt;&lt;/DisplayText&gt;&lt;record&gt;&lt;rec-number&gt;76&lt;/rec-number&gt;&lt;foreign-keys&gt;&lt;key app="EN" db-id="p0ep5zzwteeaeve00pu5spxgaf5da9axdszp" timestamp="1543497979"&gt;76&lt;/key&gt;&lt;/foreign-keys&gt;&lt;ref-type name="Journal Article"&gt;17&lt;/ref-type&gt;&lt;contributors&gt;&lt;authors&gt;&lt;author&gt;Botha, C. E. J.&lt;/author&gt;&lt;author&gt;Aoki, N.&lt;/author&gt;&lt;author&gt;Scofield, G. N.&lt;/author&gt;&lt;author&gt;Liu, L.&lt;/author&gt;&lt;author&gt;Furbank, R. T.&lt;/author&gt;&lt;author&gt;White, R. G.&lt;/author&gt;&lt;/authors&gt;&lt;/contributors&gt;&lt;titles&gt;&lt;title&gt;A xylem sap retrieval pathway in rice leaf blades: evidence of a role for endocytosis?&lt;/title&gt;&lt;secondary-title&gt;Journal of Experimental Botany&lt;/secondary-title&gt;&lt;/titles&gt;&lt;periodical&gt;&lt;full-title&gt;Journal of Experimental Botany&lt;/full-title&gt;&lt;/periodical&gt;&lt;pages&gt;2945-2954&lt;/pages&gt;&lt;volume&gt;59&lt;/volume&gt;&lt;number&gt;11&lt;/number&gt;&lt;dates&gt;&lt;year&gt;2008&lt;/year&gt;&lt;/dates&gt;&lt;isbn&gt;0022-0957&lt;/isbn&gt;&lt;urls&gt;&lt;related-urls&gt;&lt;url&gt;http://dx.doi.org/10.1093/jxb/ern150&lt;/url&gt;&lt;/related-urls&gt;&lt;/urls&gt;&lt;electronic-resource-num&gt;10.1093/jxb/ern150&lt;/electronic-resource-num&gt;&lt;/record&gt;&lt;/Cite&gt;&lt;/EndNote&gt;</w:instrText>
      </w:r>
      <w:r w:rsidR="009B3CED" w:rsidRPr="00B65444">
        <w:rPr>
          <w:i/>
        </w:rPr>
        <w:fldChar w:fldCharType="separate"/>
      </w:r>
      <w:r w:rsidR="009B3CED" w:rsidRPr="00B65444">
        <w:rPr>
          <w:i/>
          <w:noProof/>
          <w:vertAlign w:val="superscript"/>
        </w:rPr>
        <w:t>2</w:t>
      </w:r>
      <w:r w:rsidR="009B3CED" w:rsidRPr="00B65444">
        <w:rPr>
          <w:i/>
        </w:rPr>
        <w:fldChar w:fldCharType="end"/>
      </w:r>
      <w:r w:rsidR="00765825" w:rsidRPr="00B65444">
        <w:rPr>
          <w:i/>
        </w:rPr>
        <w:t xml:space="preserve">. We suggest that the CFDA was first transported through xylem. Then, it is unloaded from xylem into mature leaf that needs water most to support </w:t>
      </w:r>
      <w:proofErr w:type="spellStart"/>
      <w:r w:rsidR="00765825" w:rsidRPr="00B65444">
        <w:rPr>
          <w:i/>
        </w:rPr>
        <w:t>photoassimilate</w:t>
      </w:r>
      <w:proofErr w:type="spellEnd"/>
      <w:r w:rsidR="00765825" w:rsidRPr="00B65444">
        <w:rPr>
          <w:i/>
        </w:rPr>
        <w:t xml:space="preserve"> synthesis. Because we can </w:t>
      </w:r>
      <w:r w:rsidR="00765825" w:rsidRPr="00B65444">
        <w:rPr>
          <w:i/>
        </w:rPr>
        <w:lastRenderedPageBreak/>
        <w:t>observe the fluorescence signal, meaning it must</w:t>
      </w:r>
      <w:r w:rsidR="009B3CED" w:rsidRPr="00B65444">
        <w:rPr>
          <w:i/>
        </w:rPr>
        <w:t xml:space="preserve"> </w:t>
      </w:r>
      <w:r w:rsidR="00765825" w:rsidRPr="00B65444">
        <w:rPr>
          <w:i/>
        </w:rPr>
        <w:t xml:space="preserve">move through the live cells, most probably through </w:t>
      </w:r>
      <w:r w:rsidR="009B3CED" w:rsidRPr="00B65444">
        <w:rPr>
          <w:rFonts w:cs="Calibri"/>
          <w:sz w:val="24"/>
          <w:szCs w:val="24"/>
        </w:rPr>
        <w:t>parenchyma</w:t>
      </w:r>
      <w:r w:rsidR="00765825" w:rsidRPr="00B65444">
        <w:t xml:space="preserve"> cells</w:t>
      </w:r>
      <w:r w:rsidR="00765825" w:rsidRPr="00B65444">
        <w:rPr>
          <w:i/>
        </w:rPr>
        <w:t xml:space="preserve">. </w:t>
      </w:r>
      <w:r w:rsidR="00E32E06" w:rsidRPr="00B65444">
        <w:rPr>
          <w:i/>
        </w:rPr>
        <w:t xml:space="preserve">As for the half-leaf mobile pattern, it is possibly a very tightly-regulated movement. We rephrased the sentence to avoid misunderstanding. </w:t>
      </w:r>
    </w:p>
    <w:p w:rsidR="00595436" w:rsidRPr="00B65444" w:rsidRDefault="00595436" w:rsidP="00DD1E89">
      <w:pPr>
        <w:pStyle w:val="ListParagraph"/>
        <w:ind w:left="360"/>
        <w:jc w:val="both"/>
      </w:pPr>
    </w:p>
    <w:p w:rsidR="00A44428" w:rsidRPr="00B65444" w:rsidRDefault="00A44428" w:rsidP="00DD1E89">
      <w:pPr>
        <w:pStyle w:val="ListParagraph"/>
        <w:numPr>
          <w:ilvl w:val="0"/>
          <w:numId w:val="2"/>
        </w:numPr>
        <w:jc w:val="both"/>
      </w:pPr>
      <w:r w:rsidRPr="00B65444">
        <w:t xml:space="preserve">As emphasized in Fig. 1 and found in the Introduction (line 48), the membrane </w:t>
      </w:r>
      <w:proofErr w:type="spellStart"/>
      <w:r w:rsidRPr="00B65444">
        <w:t>permeant</w:t>
      </w:r>
      <w:proofErr w:type="spellEnd"/>
      <w:r w:rsidRPr="00B65444">
        <w:t xml:space="preserve"> </w:t>
      </w:r>
      <w:proofErr w:type="spellStart"/>
      <w:r w:rsidRPr="00B65444">
        <w:t>carboxyfluorescein</w:t>
      </w:r>
      <w:proofErr w:type="spellEnd"/>
      <w:r w:rsidRPr="00B65444">
        <w:t xml:space="preserve"> </w:t>
      </w:r>
      <w:proofErr w:type="spellStart"/>
      <w:r w:rsidRPr="00B65444">
        <w:t>diacetate</w:t>
      </w:r>
      <w:proofErr w:type="spellEnd"/>
      <w:r w:rsidRPr="00B65444">
        <w:t xml:space="preserve"> (CFDA) is cleaved by endogenous </w:t>
      </w:r>
      <w:proofErr w:type="spellStart"/>
      <w:r w:rsidRPr="00B65444">
        <w:t>esterases</w:t>
      </w:r>
      <w:proofErr w:type="spellEnd"/>
      <w:r w:rsidRPr="00B65444">
        <w:t xml:space="preserve">, yielding membrane </w:t>
      </w:r>
      <w:proofErr w:type="spellStart"/>
      <w:r w:rsidRPr="00B65444">
        <w:t>impermeant</w:t>
      </w:r>
      <w:proofErr w:type="spellEnd"/>
      <w:r w:rsidRPr="00B65444">
        <w:t xml:space="preserve"> </w:t>
      </w:r>
      <w:proofErr w:type="spellStart"/>
      <w:r w:rsidRPr="00B65444">
        <w:t>carboxyfluorescein</w:t>
      </w:r>
      <w:proofErr w:type="spellEnd"/>
      <w:r w:rsidRPr="00B65444">
        <w:t xml:space="preserve"> (CF). This is not new </w:t>
      </w:r>
      <w:proofErr w:type="gramStart"/>
      <w:r w:rsidRPr="00B65444">
        <w:t>information,</w:t>
      </w:r>
      <w:proofErr w:type="gramEnd"/>
      <w:r w:rsidRPr="00B65444">
        <w:t xml:space="preserve"> indeed it is fundamental to the use of this fluorescent tracer. Thus, references are appropriate, and I think its inclusion in Fig.1 is misleading as it is not a result from this work.</w:t>
      </w:r>
    </w:p>
    <w:p w:rsidR="00A60DB9" w:rsidRPr="00B65444" w:rsidRDefault="00A60DB9" w:rsidP="00DD1E89">
      <w:pPr>
        <w:pStyle w:val="ListParagraph"/>
        <w:ind w:left="360"/>
        <w:jc w:val="both"/>
      </w:pPr>
    </w:p>
    <w:p w:rsidR="00A60DB9" w:rsidRPr="00B65444" w:rsidRDefault="00D27DDB" w:rsidP="00DD1E89">
      <w:pPr>
        <w:pStyle w:val="ListParagraph"/>
        <w:ind w:left="360"/>
        <w:jc w:val="both"/>
        <w:rPr>
          <w:i/>
        </w:rPr>
      </w:pPr>
      <w:r w:rsidRPr="00B65444">
        <w:rPr>
          <w:rFonts w:hint="eastAsia"/>
          <w:i/>
        </w:rPr>
        <w:t>F</w:t>
      </w:r>
      <w:r w:rsidRPr="00B65444">
        <w:rPr>
          <w:i/>
        </w:rPr>
        <w:t xml:space="preserve">ig. 1 was regenerated from the description by </w:t>
      </w:r>
      <w:r w:rsidR="005170B0" w:rsidRPr="00B65444">
        <w:rPr>
          <w:i/>
        </w:rPr>
        <w:t>Wright et al. (1996)</w:t>
      </w:r>
      <w:r w:rsidR="00E274DA" w:rsidRPr="00B65444">
        <w:rPr>
          <w:i/>
        </w:rPr>
        <w:fldChar w:fldCharType="begin"/>
      </w:r>
      <w:r w:rsidR="00E274DA" w:rsidRPr="00B65444">
        <w:rPr>
          <w:i/>
        </w:rPr>
        <w:instrText xml:space="preserve"> ADDIN EN.CITE &lt;EndNote&gt;&lt;Cite&gt;&lt;Author&gt;Wright&lt;/Author&gt;&lt;Year&gt;1996&lt;/Year&gt;&lt;RecNum&gt;82&lt;/RecNum&gt;&lt;DisplayText&gt;&lt;style face="superscript"&gt;1&lt;/style&gt;&lt;/DisplayText&gt;&lt;record&gt;&lt;rec-number&gt;82&lt;/rec-number&gt;&lt;foreign-keys&gt;&lt;key app="EN" db-id="p0ep5zzwteeaeve00pu5spxgaf5da9axdszp" timestamp="1553605514"&gt;82&lt;/key&gt;&lt;/foreign-keys&gt;&lt;ref-type name="Journal Article"&gt;17&lt;/ref-type&gt;&lt;contributors&gt;&lt;authors&gt;&lt;author&gt;Wright, Kathryn M.&lt;/author&gt;&lt;author&gt;Oparka, Karl J.&lt;/author&gt;&lt;/authors&gt;&lt;/contributors&gt;&lt;titles&gt;&lt;title&gt;The fluorescent probe HPTS as a phloem-mobile, symplastic tracer: an evaluation using confocal laser scanning microscopy&lt;/title&gt;&lt;secondary-title&gt;Journal of Experimental Botany&lt;/secondary-title&gt;&lt;/titles&gt;&lt;periodical&gt;&lt;full-title&gt;Journal of Experimental Botany&lt;/full-title&gt;&lt;/periodical&gt;&lt;pages&gt;439-445&lt;/pages&gt;&lt;volume&gt;47&lt;/volume&gt;&lt;number&gt;296&lt;/number&gt;&lt;dates&gt;&lt;year&gt;1996&lt;/year&gt;&lt;/dates&gt;&lt;publisher&gt;Oxford University Press&lt;/publisher&gt;&lt;isbn&gt;00220957, 14602431&lt;/isbn&gt;&lt;urls&gt;&lt;related-urls&gt;&lt;url&gt;http://www.jstor.org/stable/23695292&lt;/url&gt;&lt;/related-urls&gt;&lt;/urls&gt;&lt;custom1&gt;Full publication date: MARCH 1996&lt;/custom1&gt;&lt;remote-database-name&gt;JSTOR&lt;/remote-database-name&gt;&lt;/record&gt;&lt;/Cite&gt;&lt;/EndNote&gt;</w:instrText>
      </w:r>
      <w:r w:rsidR="00E274DA" w:rsidRPr="00B65444">
        <w:rPr>
          <w:i/>
        </w:rPr>
        <w:fldChar w:fldCharType="separate"/>
      </w:r>
      <w:r w:rsidR="00E274DA" w:rsidRPr="00B65444">
        <w:rPr>
          <w:i/>
          <w:noProof/>
          <w:vertAlign w:val="superscript"/>
        </w:rPr>
        <w:t>1</w:t>
      </w:r>
      <w:r w:rsidR="00E274DA" w:rsidRPr="00B65444">
        <w:rPr>
          <w:i/>
        </w:rPr>
        <w:fldChar w:fldCharType="end"/>
      </w:r>
      <w:r w:rsidRPr="00B65444">
        <w:rPr>
          <w:i/>
        </w:rPr>
        <w:t>. Indeed, it’s not</w:t>
      </w:r>
      <w:r w:rsidR="00C35001" w:rsidRPr="00B65444">
        <w:rPr>
          <w:i/>
        </w:rPr>
        <w:t xml:space="preserve"> </w:t>
      </w:r>
      <w:proofErr w:type="gramStart"/>
      <w:r w:rsidR="00C35001" w:rsidRPr="00B65444">
        <w:rPr>
          <w:i/>
        </w:rPr>
        <w:t>new</w:t>
      </w:r>
      <w:r w:rsidR="000739C9" w:rsidRPr="00B65444">
        <w:rPr>
          <w:i/>
        </w:rPr>
        <w:t>,</w:t>
      </w:r>
      <w:proofErr w:type="gramEnd"/>
      <w:r w:rsidR="000739C9" w:rsidRPr="00B65444">
        <w:rPr>
          <w:i/>
        </w:rPr>
        <w:t xml:space="preserve"> nevertheless it may, as you pointed out, help reader to easily take the whole message.</w:t>
      </w:r>
    </w:p>
    <w:p w:rsidR="00021C70" w:rsidRPr="00B65444" w:rsidRDefault="00021C70" w:rsidP="00DD1E89">
      <w:pPr>
        <w:pStyle w:val="ListParagraph"/>
        <w:ind w:left="360"/>
        <w:jc w:val="both"/>
        <w:rPr>
          <w:i/>
        </w:rPr>
      </w:pPr>
    </w:p>
    <w:p w:rsidR="00A44428" w:rsidRPr="00B65444" w:rsidRDefault="00A44428" w:rsidP="00DD1E89">
      <w:pPr>
        <w:pStyle w:val="ListParagraph"/>
        <w:numPr>
          <w:ilvl w:val="0"/>
          <w:numId w:val="2"/>
        </w:numPr>
        <w:jc w:val="both"/>
      </w:pPr>
      <w:r w:rsidRPr="00B65444">
        <w:t>The methods report pipetting 0.1 µL (line 74) in the hypocotyl pinching procedure. How does one pipet this volume accurately? I think suggesting a larger volume to pipet of a diluted stock would yield more reproducible results.</w:t>
      </w:r>
    </w:p>
    <w:p w:rsidR="005F37CB" w:rsidRPr="00B65444" w:rsidRDefault="005F37CB" w:rsidP="00813EC5">
      <w:pPr>
        <w:pStyle w:val="ListParagraph"/>
        <w:ind w:left="357"/>
        <w:jc w:val="both"/>
      </w:pPr>
    </w:p>
    <w:p w:rsidR="00444664" w:rsidRPr="00B65444" w:rsidRDefault="00716B72" w:rsidP="00813EC5">
      <w:pPr>
        <w:ind w:left="357"/>
        <w:jc w:val="both"/>
        <w:rPr>
          <w:i/>
        </w:rPr>
      </w:pPr>
      <w:r w:rsidRPr="00B65444">
        <w:rPr>
          <w:rFonts w:hint="eastAsia"/>
          <w:i/>
        </w:rPr>
        <w:t>T</w:t>
      </w:r>
      <w:r w:rsidRPr="00B65444">
        <w:rPr>
          <w:i/>
        </w:rPr>
        <w:t>hanks for pointing this out. Actually,</w:t>
      </w:r>
      <w:r w:rsidR="00324BDD" w:rsidRPr="00B65444">
        <w:rPr>
          <w:i/>
        </w:rPr>
        <w:t xml:space="preserve"> we should keep the volume as low as possible. The Eppendorf </w:t>
      </w:r>
      <w:hyperlink r:id="rId8" w:history="1">
        <w:r w:rsidR="005F2A18" w:rsidRPr="00B65444">
          <w:rPr>
            <w:rStyle w:val="Emphasis"/>
          </w:rPr>
          <w:t>pipette</w:t>
        </w:r>
      </w:hyperlink>
      <w:r w:rsidR="00324BDD" w:rsidRPr="00B65444">
        <w:rPr>
          <w:i/>
        </w:rPr>
        <w:t xml:space="preserve"> is used at its limit to pick this volume. It might not so accurate, but it works as too much </w:t>
      </w:r>
      <w:r w:rsidR="00444664" w:rsidRPr="00B65444">
        <w:rPr>
          <w:i/>
        </w:rPr>
        <w:t xml:space="preserve">CFDA solution can diffuse up to the shoot through capillary action, thus tinting the young sink leaves. However, keeping the low volume will greatly reduce such capillary effect. </w:t>
      </w:r>
    </w:p>
    <w:p w:rsidR="00716B72" w:rsidRPr="00B65444" w:rsidRDefault="00716B72" w:rsidP="00DD1E89">
      <w:pPr>
        <w:pStyle w:val="ListParagraph"/>
        <w:ind w:left="360"/>
        <w:jc w:val="both"/>
        <w:rPr>
          <w:i/>
        </w:rPr>
      </w:pPr>
    </w:p>
    <w:p w:rsidR="00A44428" w:rsidRPr="00B65444" w:rsidRDefault="00A44428" w:rsidP="00DD1E89">
      <w:pPr>
        <w:jc w:val="both"/>
      </w:pPr>
      <w:r w:rsidRPr="00B65444">
        <w:t xml:space="preserve">4) </w:t>
      </w:r>
      <w:proofErr w:type="gramStart"/>
      <w:r w:rsidRPr="00B65444">
        <w:t>n10X</w:t>
      </w:r>
      <w:proofErr w:type="gramEnd"/>
      <w:r w:rsidRPr="00B65444">
        <w:t xml:space="preserve"> different volumes of 5 µM CFDA are delivered to applied to cut roots and pinched hypocotyls. I question how these two approaches can be compared side-by-side when the amount of the tracer applied is so different.</w:t>
      </w:r>
    </w:p>
    <w:p w:rsidR="00A44428" w:rsidRPr="00B65444" w:rsidRDefault="007678EF" w:rsidP="0060562D">
      <w:pPr>
        <w:ind w:left="357"/>
        <w:jc w:val="both"/>
        <w:rPr>
          <w:i/>
        </w:rPr>
      </w:pPr>
      <w:r w:rsidRPr="00B65444">
        <w:rPr>
          <w:i/>
        </w:rPr>
        <w:t xml:space="preserve">Thanks for </w:t>
      </w:r>
      <w:r w:rsidR="0045548A" w:rsidRPr="00B65444">
        <w:rPr>
          <w:i/>
        </w:rPr>
        <w:t xml:space="preserve">raising this </w:t>
      </w:r>
      <w:r w:rsidRPr="00B65444">
        <w:rPr>
          <w:i/>
        </w:rPr>
        <w:t xml:space="preserve">critical </w:t>
      </w:r>
      <w:r w:rsidR="0045548A" w:rsidRPr="00B65444">
        <w:rPr>
          <w:i/>
        </w:rPr>
        <w:t xml:space="preserve">concerns. </w:t>
      </w:r>
      <w:r w:rsidR="00A52D58" w:rsidRPr="00B65444">
        <w:rPr>
          <w:i/>
        </w:rPr>
        <w:t xml:space="preserve">As I explained in the last question, we need to keep the loading volume as small as possible. </w:t>
      </w:r>
      <w:r w:rsidR="00915374" w:rsidRPr="00B65444">
        <w:rPr>
          <w:i/>
        </w:rPr>
        <w:t xml:space="preserve">Since roots are </w:t>
      </w:r>
      <w:r w:rsidR="00A52D58" w:rsidRPr="00B65444">
        <w:rPr>
          <w:i/>
        </w:rPr>
        <w:t>far away from the shoot,</w:t>
      </w:r>
      <w:r w:rsidR="00915374" w:rsidRPr="00B65444">
        <w:rPr>
          <w:i/>
        </w:rPr>
        <w:t xml:space="preserve"> </w:t>
      </w:r>
      <w:r w:rsidR="00A52D58" w:rsidRPr="00B65444">
        <w:rPr>
          <w:i/>
        </w:rPr>
        <w:t>the quantity of CF is higher needed for its upward movement. Thus, the higher volume loading in the roots is to avoid the observed difference that might come from the lack of sufficient CFDA loaded in the roots. Indeed, if we lower the volume loading, this difference can be more obvious seen in Figure 3. Therefore, we need to provide sufficient CFDA to</w:t>
      </w:r>
      <w:r w:rsidR="00D9508A" w:rsidRPr="00B65444">
        <w:rPr>
          <w:i/>
        </w:rPr>
        <w:t xml:space="preserve"> reveal the real effects that comes from the </w:t>
      </w:r>
      <w:proofErr w:type="spellStart"/>
      <w:r w:rsidR="00D9508A" w:rsidRPr="00B65444">
        <w:rPr>
          <w:i/>
        </w:rPr>
        <w:t>symplastic</w:t>
      </w:r>
      <w:proofErr w:type="spellEnd"/>
      <w:r w:rsidR="00D9508A" w:rsidRPr="00B65444">
        <w:rPr>
          <w:i/>
        </w:rPr>
        <w:t xml:space="preserve"> domain. </w:t>
      </w:r>
      <w:r w:rsidR="00A52D58" w:rsidRPr="00B65444">
        <w:rPr>
          <w:i/>
        </w:rPr>
        <w:t>Nevertheless, w</w:t>
      </w:r>
      <w:r w:rsidR="0017773F" w:rsidRPr="00B65444">
        <w:rPr>
          <w:i/>
        </w:rPr>
        <w:t xml:space="preserve">e reduced the amount to </w:t>
      </w:r>
      <w:r w:rsidR="00A52D58" w:rsidRPr="00B65444">
        <w:rPr>
          <w:i/>
        </w:rPr>
        <w:t>0.25 ul</w:t>
      </w:r>
      <w:r w:rsidR="00D9508A" w:rsidRPr="00B65444">
        <w:rPr>
          <w:i/>
        </w:rPr>
        <w:t xml:space="preserve"> still generate similar effects see in the Figure 3. </w:t>
      </w:r>
    </w:p>
    <w:p w:rsidR="005873FA" w:rsidRPr="00B65444" w:rsidRDefault="005873FA" w:rsidP="0060562D">
      <w:pPr>
        <w:ind w:left="357"/>
        <w:jc w:val="both"/>
      </w:pPr>
    </w:p>
    <w:p w:rsidR="00A44428" w:rsidRPr="00B65444" w:rsidRDefault="00A44428" w:rsidP="00DD1E89">
      <w:pPr>
        <w:jc w:val="both"/>
      </w:pPr>
      <w:r w:rsidRPr="00B65444">
        <w:t>Reviewer #2:</w:t>
      </w:r>
    </w:p>
    <w:p w:rsidR="00A44428" w:rsidRPr="00B65444" w:rsidRDefault="00A44428" w:rsidP="00DD1E89">
      <w:pPr>
        <w:jc w:val="both"/>
      </w:pPr>
      <w:r w:rsidRPr="00B65444">
        <w:t xml:space="preserve">The manuscript "Shootward movement of CFDA tracer loaded in the root and hypocotyl of Arabidopsis" (JoVE59606) submitted by </w:t>
      </w:r>
      <w:proofErr w:type="spellStart"/>
      <w:r w:rsidRPr="00B65444">
        <w:t>Mengting</w:t>
      </w:r>
      <w:proofErr w:type="spellEnd"/>
      <w:r w:rsidRPr="00B65444">
        <w:t xml:space="preserve"> Jiang, </w:t>
      </w:r>
      <w:proofErr w:type="spellStart"/>
      <w:r w:rsidRPr="00B65444">
        <w:t>Zhuying</w:t>
      </w:r>
      <w:proofErr w:type="spellEnd"/>
      <w:r w:rsidRPr="00B65444">
        <w:t xml:space="preserve"> Deng, Rosemary G. White, </w:t>
      </w:r>
      <w:proofErr w:type="spellStart"/>
      <w:r w:rsidRPr="00B65444">
        <w:t>Tianlin</w:t>
      </w:r>
      <w:proofErr w:type="spellEnd"/>
      <w:r w:rsidRPr="00B65444">
        <w:t xml:space="preserve"> Jin and </w:t>
      </w:r>
      <w:proofErr w:type="spellStart"/>
      <w:r w:rsidRPr="00B65444">
        <w:t>Dacheng</w:t>
      </w:r>
      <w:proofErr w:type="spellEnd"/>
      <w:r w:rsidRPr="00B65444">
        <w:t xml:space="preserve"> Liang describes a protocol to demonstrate the bottom-to-top movement of a fluorescent tracer in Arabidopsis by using two approaches, root-cutting and </w:t>
      </w:r>
      <w:r w:rsidRPr="00B65444">
        <w:lastRenderedPageBreak/>
        <w:t xml:space="preserve">hypocotyl-pinching. This protocol is useful to plant scientists studying </w:t>
      </w:r>
      <w:proofErr w:type="spellStart"/>
      <w:r w:rsidRPr="00B65444">
        <w:t>symplastic</w:t>
      </w:r>
      <w:proofErr w:type="spellEnd"/>
      <w:r w:rsidRPr="00B65444">
        <w:t xml:space="preserve"> transport. However, the text is missing some critical details and needs significant editing.</w:t>
      </w:r>
    </w:p>
    <w:p w:rsidR="00A44428" w:rsidRPr="00B65444" w:rsidRDefault="00A44428" w:rsidP="00DD1E89">
      <w:pPr>
        <w:jc w:val="both"/>
      </w:pPr>
    </w:p>
    <w:p w:rsidR="00A44428" w:rsidRPr="00B65444" w:rsidRDefault="00A44428" w:rsidP="00DD1E89">
      <w:pPr>
        <w:jc w:val="both"/>
      </w:pPr>
      <w:r w:rsidRPr="00B65444">
        <w:t>Title</w:t>
      </w:r>
    </w:p>
    <w:p w:rsidR="00A44428" w:rsidRPr="00B65444" w:rsidRDefault="00A44428" w:rsidP="00DD1E89">
      <w:pPr>
        <w:jc w:val="both"/>
      </w:pPr>
      <w:r w:rsidRPr="00B65444">
        <w:t>The title describes the assay, but I think that for this protocol a more general title would be appropriate (i.e. there is no need to include the different loading sites for the tracer in the title).</w:t>
      </w:r>
    </w:p>
    <w:p w:rsidR="00B078F5" w:rsidRPr="00B65444" w:rsidRDefault="005D3749" w:rsidP="007745B5">
      <w:pPr>
        <w:ind w:left="369"/>
        <w:jc w:val="both"/>
        <w:rPr>
          <w:i/>
        </w:rPr>
      </w:pPr>
      <w:r w:rsidRPr="00B65444">
        <w:rPr>
          <w:i/>
        </w:rPr>
        <w:t>Thanks for your suggestion</w:t>
      </w:r>
      <w:r w:rsidR="0075790A" w:rsidRPr="00B65444">
        <w:rPr>
          <w:i/>
        </w:rPr>
        <w:t xml:space="preserve">. The title has been changed as </w:t>
      </w:r>
      <w:proofErr w:type="gramStart"/>
      <w:r w:rsidR="0075790A" w:rsidRPr="00B65444">
        <w:rPr>
          <w:i/>
        </w:rPr>
        <w:t>“ Shootward</w:t>
      </w:r>
      <w:proofErr w:type="gramEnd"/>
      <w:r w:rsidR="0075790A" w:rsidRPr="00B65444">
        <w:rPr>
          <w:i/>
        </w:rPr>
        <w:t xml:space="preserve"> Movement of CFDA Tracer Loaded in the Bottom Sink Tissues of Arabidopsis”</w:t>
      </w:r>
    </w:p>
    <w:p w:rsidR="00B078F5" w:rsidRPr="00B65444" w:rsidRDefault="00B078F5" w:rsidP="00DD1E89">
      <w:pPr>
        <w:jc w:val="both"/>
      </w:pPr>
    </w:p>
    <w:p w:rsidR="00A44428" w:rsidRPr="00B65444" w:rsidRDefault="00A44428" w:rsidP="00DD1E89">
      <w:pPr>
        <w:jc w:val="both"/>
      </w:pPr>
      <w:r w:rsidRPr="00B65444">
        <w:t>Introduction:</w:t>
      </w:r>
    </w:p>
    <w:p w:rsidR="00A44428" w:rsidRPr="00B65444" w:rsidRDefault="00A44428" w:rsidP="00DD1E89">
      <w:pPr>
        <w:jc w:val="both"/>
      </w:pPr>
      <w:r w:rsidRPr="00B65444">
        <w:t>The authors should consider expanding the introduction to include more background about types of intercellular transport and approaches used to study those, including advantages and limitations.</w:t>
      </w:r>
    </w:p>
    <w:p w:rsidR="00021C70" w:rsidRPr="00B65444" w:rsidRDefault="00021C70" w:rsidP="00C30B73">
      <w:pPr>
        <w:ind w:left="369"/>
        <w:jc w:val="both"/>
        <w:rPr>
          <w:i/>
        </w:rPr>
      </w:pPr>
      <w:r w:rsidRPr="00B65444">
        <w:rPr>
          <w:i/>
        </w:rPr>
        <w:t xml:space="preserve">Thanks for raising this issues. I have expanded the introduction as you suggested. Please see it in the introduction. The limitations have been addressed in the discussion. </w:t>
      </w:r>
    </w:p>
    <w:p w:rsidR="00A44428" w:rsidRPr="00B65444" w:rsidRDefault="00A44428" w:rsidP="00DD1E89">
      <w:pPr>
        <w:jc w:val="both"/>
      </w:pPr>
      <w:proofErr w:type="gramStart"/>
      <w:r w:rsidRPr="00B65444">
        <w:t>Line 43.</w:t>
      </w:r>
      <w:proofErr w:type="gramEnd"/>
      <w:r w:rsidRPr="00B65444">
        <w:t xml:space="preserve"> The statement "the CF movement inside live cells has been adequately appreciated" is unclear, please rephrase.</w:t>
      </w:r>
    </w:p>
    <w:p w:rsidR="00021C70" w:rsidRPr="00B65444" w:rsidRDefault="0049707B" w:rsidP="00414104">
      <w:pPr>
        <w:ind w:left="369"/>
        <w:jc w:val="both"/>
        <w:rPr>
          <w:i/>
        </w:rPr>
      </w:pPr>
      <w:r w:rsidRPr="00B65444">
        <w:rPr>
          <w:i/>
        </w:rPr>
        <w:t xml:space="preserve">Yes. It has been </w:t>
      </w:r>
      <w:r w:rsidR="008F6806" w:rsidRPr="00B65444">
        <w:rPr>
          <w:i/>
        </w:rPr>
        <w:t>rephrased</w:t>
      </w:r>
      <w:r w:rsidRPr="00B65444">
        <w:rPr>
          <w:i/>
        </w:rPr>
        <w:t xml:space="preserve"> as “the principle underlying CF movement inside live cells has been widely acknowledged.”</w:t>
      </w:r>
    </w:p>
    <w:p w:rsidR="00021C70" w:rsidRPr="00B65444" w:rsidRDefault="00021C70" w:rsidP="00DD1E89">
      <w:pPr>
        <w:jc w:val="both"/>
      </w:pPr>
    </w:p>
    <w:p w:rsidR="00721D01" w:rsidRPr="00B65444" w:rsidRDefault="00A44428" w:rsidP="00DD1E89">
      <w:pPr>
        <w:jc w:val="both"/>
      </w:pPr>
      <w:proofErr w:type="gramStart"/>
      <w:r w:rsidRPr="00B65444">
        <w:t>Line 50.</w:t>
      </w:r>
      <w:proofErr w:type="gramEnd"/>
      <w:r w:rsidRPr="00B65444">
        <w:t xml:space="preserve"> To which previous experiment are the authors referring to? Please, provide a citation.</w:t>
      </w:r>
    </w:p>
    <w:p w:rsidR="00673BA0" w:rsidRPr="00B65444" w:rsidRDefault="00721D01" w:rsidP="00414104">
      <w:pPr>
        <w:ind w:left="369"/>
        <w:jc w:val="both"/>
        <w:rPr>
          <w:i/>
        </w:rPr>
      </w:pPr>
      <w:r w:rsidRPr="00B65444">
        <w:rPr>
          <w:i/>
        </w:rPr>
        <w:t xml:space="preserve">Yes. It was now cited. </w:t>
      </w:r>
    </w:p>
    <w:p w:rsidR="00721D01" w:rsidRPr="00B65444" w:rsidRDefault="00721D01" w:rsidP="00DD1E89">
      <w:pPr>
        <w:jc w:val="both"/>
      </w:pPr>
    </w:p>
    <w:p w:rsidR="00A44428" w:rsidRPr="00B65444" w:rsidRDefault="00A44428" w:rsidP="00DD1E89">
      <w:pPr>
        <w:jc w:val="both"/>
      </w:pPr>
      <w:proofErr w:type="gramStart"/>
      <w:r w:rsidRPr="00B65444">
        <w:t>Line 51.</w:t>
      </w:r>
      <w:proofErr w:type="gramEnd"/>
      <w:r w:rsidRPr="00B65444">
        <w:t xml:space="preserve"> What is a "gating barrier4"? Please, revise the text so that necessary definitions are included and it is easy for scientists who have not conducted this experiment before to follow.</w:t>
      </w:r>
    </w:p>
    <w:p w:rsidR="001E75BE" w:rsidRPr="00B65444" w:rsidRDefault="001A160D" w:rsidP="00414104">
      <w:pPr>
        <w:ind w:left="369"/>
        <w:jc w:val="both"/>
        <w:rPr>
          <w:i/>
        </w:rPr>
      </w:pPr>
      <w:r w:rsidRPr="00B65444">
        <w:rPr>
          <w:i/>
        </w:rPr>
        <w:t xml:space="preserve">The whole sentence has been rephrased. To make it clear, we added more details in. </w:t>
      </w:r>
    </w:p>
    <w:p w:rsidR="00414104" w:rsidRPr="00B65444" w:rsidRDefault="00414104" w:rsidP="00DD1E89">
      <w:pPr>
        <w:jc w:val="both"/>
      </w:pPr>
    </w:p>
    <w:p w:rsidR="00A44428" w:rsidRPr="00B65444" w:rsidRDefault="00A44428" w:rsidP="00DD1E89">
      <w:pPr>
        <w:jc w:val="both"/>
      </w:pPr>
      <w:r w:rsidRPr="00B65444">
        <w:t>Protocol:</w:t>
      </w:r>
    </w:p>
    <w:p w:rsidR="00A44428" w:rsidRPr="00B65444" w:rsidRDefault="00A44428" w:rsidP="00DD1E89">
      <w:pPr>
        <w:jc w:val="both"/>
      </w:pPr>
      <w:r w:rsidRPr="00B65444">
        <w:t>The protocol is missing cautionary notes where appropriate (i.e., what steps should take place in a laminar flow hood).</w:t>
      </w:r>
    </w:p>
    <w:p w:rsidR="005169D2" w:rsidRPr="00B65444" w:rsidRDefault="005169D2" w:rsidP="00E71F1F">
      <w:pPr>
        <w:ind w:left="369"/>
        <w:jc w:val="both"/>
        <w:rPr>
          <w:i/>
        </w:rPr>
      </w:pPr>
      <w:r w:rsidRPr="00B65444">
        <w:rPr>
          <w:i/>
        </w:rPr>
        <w:lastRenderedPageBreak/>
        <w:t>Yes. A note has been added. (Note: The interior of laminar flow cabinet needs to be treated with 30 min UV light and 15 min airflow before usage. Make sure to close the glass door when UV light is on. Spray all tools and plates with 70% ethanol before placing them in the cabinet.)</w:t>
      </w:r>
    </w:p>
    <w:p w:rsidR="005169D2" w:rsidRPr="00B65444" w:rsidRDefault="005169D2" w:rsidP="00DD1E89">
      <w:pPr>
        <w:jc w:val="both"/>
      </w:pPr>
    </w:p>
    <w:p w:rsidR="00A44428" w:rsidRPr="00B65444" w:rsidRDefault="00A44428" w:rsidP="00DD1E89">
      <w:pPr>
        <w:jc w:val="both"/>
      </w:pPr>
      <w:r w:rsidRPr="00B65444">
        <w:t>It is also missing details. For example, a dissecting microscope is listed in the materials table but it use is not mentioned in the protocol.</w:t>
      </w:r>
    </w:p>
    <w:p w:rsidR="001838D3" w:rsidRPr="00B65444" w:rsidRDefault="001838D3" w:rsidP="00E71F1F">
      <w:pPr>
        <w:ind w:left="369"/>
        <w:jc w:val="both"/>
        <w:rPr>
          <w:i/>
        </w:rPr>
      </w:pPr>
      <w:r w:rsidRPr="00B65444">
        <w:rPr>
          <w:i/>
        </w:rPr>
        <w:t xml:space="preserve">It’s now referred to </w:t>
      </w:r>
      <w:r w:rsidR="00233AD1" w:rsidRPr="00B65444">
        <w:rPr>
          <w:i/>
        </w:rPr>
        <w:t>t</w:t>
      </w:r>
      <w:r w:rsidRPr="00B65444">
        <w:rPr>
          <w:i/>
        </w:rPr>
        <w:t>he protocol.</w:t>
      </w:r>
      <w:r w:rsidR="004B52DD" w:rsidRPr="00B65444">
        <w:rPr>
          <w:i/>
        </w:rPr>
        <w:t xml:space="preserve"> Please see </w:t>
      </w:r>
      <w:r w:rsidR="00562B50" w:rsidRPr="00B65444">
        <w:rPr>
          <w:i/>
        </w:rPr>
        <w:t xml:space="preserve">step </w:t>
      </w:r>
      <w:r w:rsidR="004B52DD" w:rsidRPr="00B65444">
        <w:rPr>
          <w:i/>
        </w:rPr>
        <w:t>2.5, 3.5 and 3.6.</w:t>
      </w:r>
    </w:p>
    <w:p w:rsidR="001838D3" w:rsidRPr="00B65444" w:rsidRDefault="001838D3" w:rsidP="00DD1E89">
      <w:pPr>
        <w:jc w:val="both"/>
        <w:rPr>
          <w:i/>
        </w:rPr>
      </w:pPr>
    </w:p>
    <w:p w:rsidR="00A44428" w:rsidRPr="00B65444" w:rsidRDefault="00A44428" w:rsidP="00DD1E89">
      <w:pPr>
        <w:jc w:val="both"/>
      </w:pPr>
      <w:proofErr w:type="gramStart"/>
      <w:r w:rsidRPr="00B65444">
        <w:t>Step 1.1.</w:t>
      </w:r>
      <w:proofErr w:type="gramEnd"/>
      <w:r w:rsidRPr="00B65444">
        <w:t xml:space="preserve"> From the materials list it is clear that a non-commercial MS mixture is used, and the recipe to prepare the MS medium should be included in the protocol. Also, include the agar concentration utilized.</w:t>
      </w:r>
    </w:p>
    <w:p w:rsidR="00AA67CB" w:rsidRPr="00B65444" w:rsidRDefault="00AA67CB" w:rsidP="001235DC">
      <w:pPr>
        <w:ind w:left="369"/>
        <w:jc w:val="both"/>
        <w:rPr>
          <w:i/>
        </w:rPr>
      </w:pPr>
      <w:r w:rsidRPr="00B65444">
        <w:rPr>
          <w:i/>
        </w:rPr>
        <w:t xml:space="preserve">MS recipe and agar concentration has been </w:t>
      </w:r>
      <w:proofErr w:type="spellStart"/>
      <w:r w:rsidRPr="00B65444">
        <w:rPr>
          <w:i/>
        </w:rPr>
        <w:t>uncluded</w:t>
      </w:r>
      <w:proofErr w:type="spellEnd"/>
      <w:r w:rsidR="00F724AF">
        <w:rPr>
          <w:i/>
        </w:rPr>
        <w:t xml:space="preserve"> in step 1.1</w:t>
      </w:r>
    </w:p>
    <w:p w:rsidR="00AA67CB" w:rsidRPr="00B65444" w:rsidRDefault="00AA67CB" w:rsidP="00DD1E89">
      <w:pPr>
        <w:jc w:val="both"/>
      </w:pPr>
    </w:p>
    <w:p w:rsidR="00A44428" w:rsidRPr="00B65444" w:rsidRDefault="00A44428" w:rsidP="00DD1E89">
      <w:pPr>
        <w:jc w:val="both"/>
      </w:pPr>
      <w:r w:rsidRPr="00B65444">
        <w:t>Step 2.6: Should the plates be placed vertically also after this step?</w:t>
      </w:r>
    </w:p>
    <w:p w:rsidR="000C5DB5" w:rsidRPr="00B65444" w:rsidRDefault="00BB1E4A" w:rsidP="001235DC">
      <w:pPr>
        <w:ind w:left="369"/>
        <w:jc w:val="both"/>
        <w:rPr>
          <w:i/>
        </w:rPr>
      </w:pPr>
      <w:r w:rsidRPr="00B65444">
        <w:rPr>
          <w:i/>
        </w:rPr>
        <w:t xml:space="preserve">Thanks for making this suggestion. We have indeed done this and it does not make a difference. Thus, to keep it simple and avoid plants </w:t>
      </w:r>
      <w:proofErr w:type="spellStart"/>
      <w:r w:rsidRPr="00B65444">
        <w:rPr>
          <w:i/>
        </w:rPr>
        <w:t>tipover</w:t>
      </w:r>
      <w:proofErr w:type="spellEnd"/>
      <w:r w:rsidRPr="00B65444">
        <w:rPr>
          <w:i/>
        </w:rPr>
        <w:t>, we keep plates horizontal.</w:t>
      </w:r>
    </w:p>
    <w:p w:rsidR="006E264E" w:rsidRPr="00B65444" w:rsidRDefault="006E264E" w:rsidP="00DD1E89">
      <w:pPr>
        <w:jc w:val="both"/>
        <w:rPr>
          <w:i/>
        </w:rPr>
      </w:pPr>
    </w:p>
    <w:p w:rsidR="00A44428" w:rsidRPr="00B65444" w:rsidRDefault="00A44428" w:rsidP="00DD1E89">
      <w:pPr>
        <w:jc w:val="both"/>
      </w:pPr>
      <w:proofErr w:type="gramStart"/>
      <w:r w:rsidRPr="00B65444">
        <w:t>Step 2.7.</w:t>
      </w:r>
      <w:proofErr w:type="gramEnd"/>
      <w:r w:rsidRPr="00B65444">
        <w:t xml:space="preserve"> How are the samples prepared for microscopy?</w:t>
      </w:r>
    </w:p>
    <w:p w:rsidR="000300C5" w:rsidRPr="00B65444" w:rsidRDefault="000300C5" w:rsidP="00AF3AA2">
      <w:pPr>
        <w:ind w:left="369"/>
        <w:jc w:val="both"/>
        <w:rPr>
          <w:i/>
        </w:rPr>
      </w:pPr>
      <w:r w:rsidRPr="00B65444">
        <w:rPr>
          <w:i/>
        </w:rPr>
        <w:t xml:space="preserve">Once the excess dye was washed off, the plants can be directly observed in the stereo microscope. No </w:t>
      </w:r>
      <w:r w:rsidR="00BE0D1C" w:rsidRPr="00B65444">
        <w:rPr>
          <w:i/>
        </w:rPr>
        <w:t xml:space="preserve">additional </w:t>
      </w:r>
      <w:r w:rsidRPr="00B65444">
        <w:rPr>
          <w:i/>
        </w:rPr>
        <w:t xml:space="preserve">preparation was needed.  </w:t>
      </w:r>
    </w:p>
    <w:p w:rsidR="00A44428" w:rsidRPr="00B65444" w:rsidRDefault="00A44428" w:rsidP="00AF3AA2">
      <w:pPr>
        <w:jc w:val="both"/>
      </w:pPr>
      <w:proofErr w:type="gramStart"/>
      <w:r w:rsidRPr="00B65444">
        <w:t>Step 2.7.</w:t>
      </w:r>
      <w:proofErr w:type="gramEnd"/>
      <w:r w:rsidRPr="00B65444">
        <w:t xml:space="preserve"> Provide all the microscope settings used to observe the plants and acquire the images (i.e., light source, filters, etc.). Same comment applies to step 3.6.</w:t>
      </w:r>
    </w:p>
    <w:p w:rsidR="00A44428" w:rsidRPr="00B65444" w:rsidRDefault="0046702A" w:rsidP="00AF3AA2">
      <w:pPr>
        <w:ind w:left="369"/>
        <w:jc w:val="both"/>
        <w:rPr>
          <w:i/>
        </w:rPr>
      </w:pPr>
      <w:r w:rsidRPr="00B65444">
        <w:rPr>
          <w:i/>
        </w:rPr>
        <w:t xml:space="preserve">This information has been added. </w:t>
      </w:r>
    </w:p>
    <w:p w:rsidR="0046702A" w:rsidRPr="00B65444" w:rsidRDefault="0046702A" w:rsidP="00DD1E89">
      <w:pPr>
        <w:jc w:val="both"/>
      </w:pPr>
    </w:p>
    <w:p w:rsidR="00A44428" w:rsidRPr="00B65444" w:rsidRDefault="00A44428" w:rsidP="00DD1E89">
      <w:pPr>
        <w:jc w:val="both"/>
      </w:pPr>
      <w:r w:rsidRPr="00B65444">
        <w:t>Results</w:t>
      </w:r>
    </w:p>
    <w:p w:rsidR="00A44428" w:rsidRPr="00B65444" w:rsidRDefault="00A44428" w:rsidP="00DD1E89">
      <w:pPr>
        <w:jc w:val="both"/>
      </w:pPr>
      <w:proofErr w:type="gramStart"/>
      <w:r w:rsidRPr="00B65444">
        <w:t>Line 98.</w:t>
      </w:r>
      <w:proofErr w:type="gramEnd"/>
      <w:r w:rsidRPr="00B65444">
        <w:t xml:space="preserve"> Change "constantly kept" to "tightly </w:t>
      </w:r>
      <w:proofErr w:type="gramStart"/>
      <w:r w:rsidRPr="00B65444">
        <w:t>controlled</w:t>
      </w:r>
      <w:proofErr w:type="gramEnd"/>
      <w:r w:rsidRPr="00B65444">
        <w:t>".</w:t>
      </w:r>
    </w:p>
    <w:p w:rsidR="00237447" w:rsidRPr="00B65444" w:rsidRDefault="00237447" w:rsidP="00AF5111">
      <w:pPr>
        <w:ind w:left="369"/>
        <w:jc w:val="both"/>
        <w:rPr>
          <w:i/>
        </w:rPr>
      </w:pPr>
      <w:r w:rsidRPr="00B65444">
        <w:rPr>
          <w:i/>
        </w:rPr>
        <w:t xml:space="preserve">Yes. </w:t>
      </w:r>
      <w:proofErr w:type="gramStart"/>
      <w:r w:rsidRPr="00B65444">
        <w:rPr>
          <w:i/>
        </w:rPr>
        <w:t>changed</w:t>
      </w:r>
      <w:proofErr w:type="gramEnd"/>
    </w:p>
    <w:p w:rsidR="00EA064E" w:rsidRPr="00B65444" w:rsidRDefault="00EA064E" w:rsidP="00DD1E89">
      <w:pPr>
        <w:jc w:val="both"/>
        <w:rPr>
          <w:i/>
        </w:rPr>
      </w:pPr>
    </w:p>
    <w:p w:rsidR="00A44428" w:rsidRPr="00B65444" w:rsidRDefault="00A44428" w:rsidP="00DD1E89">
      <w:pPr>
        <w:jc w:val="both"/>
      </w:pPr>
      <w:proofErr w:type="gramStart"/>
      <w:r w:rsidRPr="00B65444">
        <w:t>Line 99.</w:t>
      </w:r>
      <w:proofErr w:type="gramEnd"/>
      <w:r w:rsidRPr="00B65444">
        <w:t xml:space="preserve"> Cautions should be included within the protocol, not as part of the results.</w:t>
      </w:r>
    </w:p>
    <w:p w:rsidR="00A44428" w:rsidRPr="00B65444" w:rsidRDefault="00DB35B6" w:rsidP="00407A22">
      <w:pPr>
        <w:ind w:left="369"/>
        <w:jc w:val="both"/>
        <w:rPr>
          <w:i/>
        </w:rPr>
      </w:pPr>
      <w:r w:rsidRPr="00B65444">
        <w:rPr>
          <w:i/>
        </w:rPr>
        <w:t xml:space="preserve">Yes. </w:t>
      </w:r>
      <w:proofErr w:type="gramStart"/>
      <w:r w:rsidRPr="00B65444">
        <w:rPr>
          <w:i/>
        </w:rPr>
        <w:t>these</w:t>
      </w:r>
      <w:proofErr w:type="gramEnd"/>
      <w:r w:rsidRPr="00B65444">
        <w:rPr>
          <w:i/>
        </w:rPr>
        <w:t xml:space="preserve"> cautions were added into protocol. </w:t>
      </w:r>
    </w:p>
    <w:p w:rsidR="00A44428" w:rsidRPr="00B65444" w:rsidRDefault="00A44428" w:rsidP="00DD1E89">
      <w:pPr>
        <w:jc w:val="both"/>
      </w:pPr>
      <w:r w:rsidRPr="00B65444">
        <w:lastRenderedPageBreak/>
        <w:t>Discussion</w:t>
      </w:r>
    </w:p>
    <w:p w:rsidR="00A44428" w:rsidRPr="00B65444" w:rsidRDefault="00A44428" w:rsidP="00DD1E89">
      <w:pPr>
        <w:jc w:val="both"/>
      </w:pPr>
      <w:proofErr w:type="gramStart"/>
      <w:r w:rsidRPr="00B65444">
        <w:t>Lines 136/137.</w:t>
      </w:r>
      <w:proofErr w:type="gramEnd"/>
      <w:r w:rsidRPr="00B65444">
        <w:t xml:space="preserve"> The statement "the bottom to top translocation of CF can be practically achieved if not via phloem" is unclear. Please, rephrase.</w:t>
      </w:r>
    </w:p>
    <w:p w:rsidR="00A44428" w:rsidRPr="00B65444" w:rsidRDefault="00504050" w:rsidP="00DD1E89">
      <w:pPr>
        <w:jc w:val="both"/>
        <w:rPr>
          <w:i/>
        </w:rPr>
      </w:pPr>
      <w:r w:rsidRPr="00B65444">
        <w:rPr>
          <w:i/>
        </w:rPr>
        <w:t xml:space="preserve"> </w:t>
      </w:r>
      <w:r w:rsidR="00407A22" w:rsidRPr="00B65444">
        <w:rPr>
          <w:i/>
        </w:rPr>
        <w:t>To make it clear, we have</w:t>
      </w:r>
      <w:r w:rsidRPr="00B65444">
        <w:rPr>
          <w:i/>
        </w:rPr>
        <w:t xml:space="preserve"> rephrased</w:t>
      </w:r>
      <w:r w:rsidR="00407A22" w:rsidRPr="00B65444">
        <w:rPr>
          <w:i/>
        </w:rPr>
        <w:t xml:space="preserve"> the whole paragraph. Please see the discussion. </w:t>
      </w:r>
    </w:p>
    <w:p w:rsidR="00407A22" w:rsidRPr="00B65444" w:rsidRDefault="00407A22" w:rsidP="00DD1E89">
      <w:pPr>
        <w:jc w:val="both"/>
      </w:pPr>
    </w:p>
    <w:p w:rsidR="00A44428" w:rsidRPr="00B65444" w:rsidRDefault="00A44428" w:rsidP="00DD1E89">
      <w:pPr>
        <w:jc w:val="both"/>
      </w:pPr>
      <w:r w:rsidRPr="00B65444">
        <w:t>Reviewer #3:</w:t>
      </w:r>
    </w:p>
    <w:p w:rsidR="00A44428" w:rsidRPr="00B65444" w:rsidRDefault="00A44428" w:rsidP="00DD1E89">
      <w:pPr>
        <w:jc w:val="both"/>
      </w:pPr>
      <w:r w:rsidRPr="00B65444">
        <w:t>In the submitted manuscript/protocol addresses the loading of CFDA into A. thaliana seedlings at hypocotyls and cut roots. The authors present and describe nicely the method. In general the protocol is very useful but lacks some key information.</w:t>
      </w:r>
    </w:p>
    <w:p w:rsidR="00A44428" w:rsidRPr="00B65444" w:rsidRDefault="00A44428" w:rsidP="00DD1E89">
      <w:pPr>
        <w:jc w:val="both"/>
      </w:pPr>
    </w:p>
    <w:p w:rsidR="00A44428" w:rsidRPr="00B65444" w:rsidRDefault="00A44428" w:rsidP="00DD1E89">
      <w:pPr>
        <w:jc w:val="both"/>
      </w:pPr>
      <w:r w:rsidRPr="00B65444">
        <w:t>Major concern:</w:t>
      </w:r>
    </w:p>
    <w:p w:rsidR="00A44428" w:rsidRPr="00B65444" w:rsidRDefault="00A44428" w:rsidP="00DD1E89">
      <w:pPr>
        <w:jc w:val="both"/>
      </w:pPr>
      <w:r w:rsidRPr="00B65444">
        <w:t xml:space="preserve">It is not mentioned whether seedlings were grown under dark/nigh cycles and at which time point of the day (end of day, midday?) the loading and imaging was performed. It is also not mentioned what MS medium (with sugar/w/o sugar, concentration of MS, </w:t>
      </w:r>
      <w:proofErr w:type="gramStart"/>
      <w:r w:rsidRPr="00B65444">
        <w:t>agar ..etc</w:t>
      </w:r>
      <w:proofErr w:type="gramEnd"/>
      <w:r w:rsidRPr="00B65444">
        <w:t xml:space="preserve">.) </w:t>
      </w:r>
      <w:proofErr w:type="gramStart"/>
      <w:r w:rsidRPr="00B65444">
        <w:t>was</w:t>
      </w:r>
      <w:proofErr w:type="gramEnd"/>
      <w:r w:rsidRPr="00B65444">
        <w:t xml:space="preserve"> used in the experiments. Water uptake, xylem and phloem streaming, and, thus, of CFDA might I be very different at various day times and also depends on sugar concentrations used in the growth medium. This has to be mentioned and/or might be considered to be addressed experimentally. Another aspect that should be mentioned is that CF accumulates in vacuoles of cells sometime after loading.</w:t>
      </w:r>
    </w:p>
    <w:p w:rsidR="000D226D" w:rsidRPr="00B65444" w:rsidRDefault="000D226D" w:rsidP="00C22D2A">
      <w:pPr>
        <w:ind w:left="369"/>
        <w:jc w:val="both"/>
      </w:pPr>
      <w:r w:rsidRPr="00B65444">
        <w:rPr>
          <w:rFonts w:hint="eastAsia"/>
        </w:rPr>
        <w:t>T</w:t>
      </w:r>
      <w:r w:rsidRPr="00B65444">
        <w:t xml:space="preserve">hanks for your concerns raised here. We did not know whether day/light cycle will affect the dye movement. But any way, we have achieved consistent results. We here provided this </w:t>
      </w:r>
      <w:r w:rsidR="005E7921" w:rsidRPr="00B65444">
        <w:t xml:space="preserve">piece of information in step 1.3 and 1.4. </w:t>
      </w:r>
      <w:r w:rsidRPr="00B65444">
        <w:t>Step 1.3, (</w:t>
      </w:r>
      <w:r w:rsidR="005E7921" w:rsidRPr="00B65444">
        <w:rPr>
          <w:rFonts w:cs="Calibri"/>
          <w:b/>
          <w:sz w:val="24"/>
          <w:szCs w:val="24"/>
          <w:lang w:eastAsia="en-US"/>
        </w:rPr>
        <w:t>lighting from 6am to 10 pm.</w:t>
      </w:r>
      <w:r w:rsidRPr="00B65444">
        <w:rPr>
          <w:rFonts w:cs="Calibri"/>
          <w:b/>
          <w:sz w:val="24"/>
          <w:szCs w:val="24"/>
          <w:lang w:eastAsia="en-US"/>
        </w:rPr>
        <w:t xml:space="preserve">). </w:t>
      </w:r>
      <w:proofErr w:type="gramStart"/>
      <w:r w:rsidR="005E7921" w:rsidRPr="00B65444">
        <w:rPr>
          <w:rFonts w:hint="eastAsia"/>
        </w:rPr>
        <w:t>s</w:t>
      </w:r>
      <w:r w:rsidR="005E7921" w:rsidRPr="00B65444">
        <w:t>tep</w:t>
      </w:r>
      <w:proofErr w:type="gramEnd"/>
      <w:r w:rsidR="005E7921" w:rsidRPr="00B65444">
        <w:t xml:space="preserve"> 1.4</w:t>
      </w:r>
      <w:r w:rsidRPr="00B65444">
        <w:t>,</w:t>
      </w:r>
      <w:r w:rsidR="005E7921" w:rsidRPr="00B65444">
        <w:t xml:space="preserve"> </w:t>
      </w:r>
      <w:r w:rsidRPr="00B65444">
        <w:t>“</w:t>
      </w:r>
      <w:r w:rsidR="005E7921" w:rsidRPr="00B65444">
        <w:rPr>
          <w:rFonts w:cs="Calibri"/>
          <w:b/>
          <w:sz w:val="24"/>
          <w:szCs w:val="24"/>
          <w:lang w:eastAsia="en-US"/>
        </w:rPr>
        <w:t xml:space="preserve">Note: the following procedure is performed on the afternoon from 2pm to </w:t>
      </w:r>
      <w:r w:rsidR="00E220A1" w:rsidRPr="00B65444">
        <w:rPr>
          <w:rFonts w:cs="Calibri"/>
          <w:b/>
          <w:sz w:val="24"/>
          <w:szCs w:val="24"/>
          <w:lang w:eastAsia="en-US"/>
        </w:rPr>
        <w:t xml:space="preserve">6 </w:t>
      </w:r>
      <w:r w:rsidR="005E7921" w:rsidRPr="00B65444">
        <w:rPr>
          <w:rFonts w:cs="Calibri"/>
          <w:b/>
          <w:sz w:val="24"/>
          <w:szCs w:val="24"/>
          <w:lang w:eastAsia="en-US"/>
        </w:rPr>
        <w:t>pm.</w:t>
      </w:r>
      <w:r w:rsidRPr="00B65444">
        <w:rPr>
          <w:rFonts w:cs="Calibri"/>
          <w:b/>
          <w:sz w:val="24"/>
          <w:szCs w:val="24"/>
          <w:lang w:eastAsia="en-US"/>
        </w:rPr>
        <w:t>”</w:t>
      </w:r>
      <w:r w:rsidR="005E7921" w:rsidRPr="00B65444">
        <w:rPr>
          <w:rFonts w:cs="Calibri"/>
          <w:b/>
          <w:sz w:val="24"/>
          <w:szCs w:val="24"/>
          <w:lang w:eastAsia="en-US"/>
        </w:rPr>
        <w:t xml:space="preserve"> </w:t>
      </w:r>
    </w:p>
    <w:p w:rsidR="00A8465E" w:rsidRPr="00B65444" w:rsidRDefault="000D226D" w:rsidP="00C22D2A">
      <w:pPr>
        <w:ind w:left="369"/>
        <w:jc w:val="both"/>
      </w:pPr>
      <w:r w:rsidRPr="00B65444">
        <w:t xml:space="preserve">Sugar content is also provided in step </w:t>
      </w:r>
      <w:r w:rsidR="00F724AF">
        <w:t xml:space="preserve">1.1. </w:t>
      </w:r>
      <w:r w:rsidR="00C22D2A" w:rsidRPr="00B65444">
        <w:t>Yes, we included t</w:t>
      </w:r>
      <w:r w:rsidR="005D69F0" w:rsidRPr="00B65444">
        <w:t>he CF accumulation</w:t>
      </w:r>
      <w:r w:rsidR="00C22D2A" w:rsidRPr="00B65444">
        <w:t xml:space="preserve"> in the discussion</w:t>
      </w:r>
      <w:r w:rsidR="005D69F0" w:rsidRPr="00B65444">
        <w:t xml:space="preserve">. Please see the text “When plants grow older, say over 24 days, the Arabidopsis plants seem to lose the ability to transmit CF to the shoot, for which we have yet found an exact explanation. But, one possible clue is coming from its intracellular accumulation. According to the </w:t>
      </w:r>
      <w:r w:rsidR="00C22D2A" w:rsidRPr="00B65444">
        <w:t>reports by Wright et al. (1996)</w:t>
      </w:r>
      <w:r w:rsidR="005D69F0" w:rsidRPr="00B65444">
        <w:t>, CF is liable to be sequestrated by vacuoles, therefore, the intracellular free CF over the course of translocation is becoming less and less due to sequestration in the larger vacuoles of aging plants.”</w:t>
      </w:r>
    </w:p>
    <w:p w:rsidR="000B1D4E" w:rsidRPr="00B65444" w:rsidRDefault="000B1D4E" w:rsidP="00DD1E89">
      <w:pPr>
        <w:jc w:val="both"/>
      </w:pPr>
    </w:p>
    <w:p w:rsidR="000B1D4E" w:rsidRPr="00B65444" w:rsidRDefault="000B1D4E" w:rsidP="00DD1E89">
      <w:pPr>
        <w:jc w:val="both"/>
      </w:pPr>
    </w:p>
    <w:p w:rsidR="00A44428" w:rsidRPr="00B65444" w:rsidRDefault="00A44428" w:rsidP="00DD1E89">
      <w:pPr>
        <w:jc w:val="both"/>
      </w:pPr>
      <w:r w:rsidRPr="00B65444">
        <w:t>Minor concerns:</w:t>
      </w:r>
    </w:p>
    <w:p w:rsidR="00A44428" w:rsidRPr="00B65444" w:rsidRDefault="00A44428" w:rsidP="00DD1E89">
      <w:pPr>
        <w:jc w:val="both"/>
      </w:pPr>
      <w:r w:rsidRPr="00B65444">
        <w:lastRenderedPageBreak/>
        <w:t xml:space="preserve">Line 139 correct </w:t>
      </w:r>
      <w:proofErr w:type="gramStart"/>
      <w:r w:rsidRPr="00B65444">
        <w:t>" CF</w:t>
      </w:r>
      <w:proofErr w:type="gramEnd"/>
      <w:r w:rsidRPr="00B65444">
        <w:t xml:space="preserve"> was showed to move from root to shoot …" to "CF was shown to move …"</w:t>
      </w:r>
    </w:p>
    <w:p w:rsidR="00A62582" w:rsidRPr="00B65444" w:rsidRDefault="00A62582" w:rsidP="00D002FD">
      <w:pPr>
        <w:ind w:left="369"/>
        <w:jc w:val="both"/>
        <w:rPr>
          <w:i/>
        </w:rPr>
      </w:pPr>
      <w:r w:rsidRPr="00B65444">
        <w:rPr>
          <w:i/>
        </w:rPr>
        <w:t xml:space="preserve">Thanks for pointing this out. It was corrected. </w:t>
      </w:r>
    </w:p>
    <w:p w:rsidR="00E274DA" w:rsidRPr="00B65444" w:rsidRDefault="00A44428" w:rsidP="00DD1E89">
      <w:pPr>
        <w:jc w:val="both"/>
      </w:pPr>
      <w:r w:rsidRPr="00B65444">
        <w:t>Line 51 the reference number "4" should be superscripted.</w:t>
      </w:r>
    </w:p>
    <w:p w:rsidR="00E274DA" w:rsidRPr="00B65444" w:rsidRDefault="00A62582" w:rsidP="00D002FD">
      <w:pPr>
        <w:ind w:left="369"/>
        <w:jc w:val="both"/>
        <w:rPr>
          <w:i/>
        </w:rPr>
      </w:pPr>
      <w:r w:rsidRPr="00B65444">
        <w:rPr>
          <w:i/>
        </w:rPr>
        <w:t xml:space="preserve">Yes, corrected. </w:t>
      </w:r>
    </w:p>
    <w:p w:rsidR="00A62582" w:rsidRPr="00B65444" w:rsidRDefault="00A62582" w:rsidP="00DD1E89">
      <w:pPr>
        <w:jc w:val="both"/>
      </w:pPr>
    </w:p>
    <w:p w:rsidR="009B3CED" w:rsidRPr="00B65444" w:rsidRDefault="00E274DA" w:rsidP="009B3CED">
      <w:pPr>
        <w:pStyle w:val="EndNoteBibliography"/>
        <w:spacing w:after="0"/>
        <w:ind w:left="720" w:hanging="720"/>
      </w:pPr>
      <w:r w:rsidRPr="00B65444">
        <w:fldChar w:fldCharType="begin"/>
      </w:r>
      <w:r w:rsidRPr="00B65444">
        <w:instrText xml:space="preserve"> ADDIN EN.REFLIST </w:instrText>
      </w:r>
      <w:r w:rsidRPr="00B65444">
        <w:fldChar w:fldCharType="separate"/>
      </w:r>
      <w:r w:rsidR="009B3CED" w:rsidRPr="00B65444">
        <w:t>1</w:t>
      </w:r>
      <w:r w:rsidR="009B3CED" w:rsidRPr="00B65444">
        <w:tab/>
        <w:t xml:space="preserve">Wright, K. M. &amp; Oparka, K. J. The fluorescent probe HPTS as a phloem-mobile, symplastic tracer: an evaluation using confocal laser scanning microscopy. </w:t>
      </w:r>
      <w:r w:rsidR="009B3CED" w:rsidRPr="00B65444">
        <w:rPr>
          <w:i/>
        </w:rPr>
        <w:t>Journal of Experimental Botany.</w:t>
      </w:r>
      <w:r w:rsidR="009B3CED" w:rsidRPr="00B65444">
        <w:t xml:space="preserve"> </w:t>
      </w:r>
      <w:r w:rsidR="009B3CED" w:rsidRPr="00B65444">
        <w:rPr>
          <w:b/>
        </w:rPr>
        <w:t>47</w:t>
      </w:r>
      <w:r w:rsidR="009B3CED" w:rsidRPr="00B65444">
        <w:t xml:space="preserve"> (296), 439-445, (1996).</w:t>
      </w:r>
    </w:p>
    <w:p w:rsidR="009B3CED" w:rsidRPr="00B65444" w:rsidRDefault="009B3CED" w:rsidP="009B3CED">
      <w:pPr>
        <w:pStyle w:val="EndNoteBibliography"/>
        <w:ind w:left="720" w:hanging="720"/>
      </w:pPr>
      <w:r w:rsidRPr="00B65444">
        <w:t>2</w:t>
      </w:r>
      <w:r w:rsidRPr="00B65444">
        <w:tab/>
        <w:t>Botha, C. E. J.</w:t>
      </w:r>
      <w:r w:rsidRPr="00B65444">
        <w:rPr>
          <w:i/>
        </w:rPr>
        <w:t xml:space="preserve"> et al.</w:t>
      </w:r>
      <w:r w:rsidRPr="00B65444">
        <w:t xml:space="preserve"> A xylem sap retrieval pathway in rice leaf blades: evidence of a role for endocytosis? </w:t>
      </w:r>
      <w:r w:rsidRPr="00B65444">
        <w:rPr>
          <w:i/>
        </w:rPr>
        <w:t>Journal of Experimental Botany.</w:t>
      </w:r>
      <w:r w:rsidRPr="00B65444">
        <w:t xml:space="preserve"> </w:t>
      </w:r>
      <w:r w:rsidRPr="00B65444">
        <w:rPr>
          <w:b/>
        </w:rPr>
        <w:t>59</w:t>
      </w:r>
      <w:r w:rsidRPr="00B65444">
        <w:t xml:space="preserve"> (11), 2945-2954, (2008).</w:t>
      </w:r>
    </w:p>
    <w:p w:rsidR="009978E8" w:rsidRPr="00B65444" w:rsidRDefault="00E274DA" w:rsidP="00DD1E89">
      <w:pPr>
        <w:jc w:val="both"/>
      </w:pPr>
      <w:r w:rsidRPr="00B65444">
        <w:fldChar w:fldCharType="end"/>
      </w:r>
    </w:p>
    <w:sectPr w:rsidR="009978E8" w:rsidRPr="00B654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78" w:rsidRDefault="002D6478" w:rsidP="00A44428">
      <w:pPr>
        <w:spacing w:after="0" w:line="240" w:lineRule="auto"/>
      </w:pPr>
      <w:r>
        <w:separator/>
      </w:r>
    </w:p>
  </w:endnote>
  <w:endnote w:type="continuationSeparator" w:id="0">
    <w:p w:rsidR="002D6478" w:rsidRDefault="002D6478" w:rsidP="00A4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78" w:rsidRDefault="002D6478" w:rsidP="00A44428">
      <w:pPr>
        <w:spacing w:after="0" w:line="240" w:lineRule="auto"/>
      </w:pPr>
      <w:r>
        <w:separator/>
      </w:r>
    </w:p>
  </w:footnote>
  <w:footnote w:type="continuationSeparator" w:id="0">
    <w:p w:rsidR="002D6478" w:rsidRDefault="002D6478" w:rsidP="00A44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132A"/>
    <w:multiLevelType w:val="hybridMultilevel"/>
    <w:tmpl w:val="4426B1C0"/>
    <w:lvl w:ilvl="0" w:tplc="D736BF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EF4761"/>
    <w:multiLevelType w:val="hybridMultilevel"/>
    <w:tmpl w:val="A5426226"/>
    <w:lvl w:ilvl="0" w:tplc="A1FE1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ep5zzwteeaeve00pu5spxgaf5da9axdszp&quot;&gt;plant singaling and behaviour Copy&lt;record-ids&gt;&lt;item&gt;76&lt;/item&gt;&lt;item&gt;82&lt;/item&gt;&lt;/record-ids&gt;&lt;/item&gt;&lt;/Libraries&gt;"/>
  </w:docVars>
  <w:rsids>
    <w:rsidRoot w:val="00136B29"/>
    <w:rsid w:val="00021C70"/>
    <w:rsid w:val="00024C7C"/>
    <w:rsid w:val="000300C5"/>
    <w:rsid w:val="000739C9"/>
    <w:rsid w:val="000B19A6"/>
    <w:rsid w:val="000B1D4E"/>
    <w:rsid w:val="000C5017"/>
    <w:rsid w:val="000C5DB5"/>
    <w:rsid w:val="000D226D"/>
    <w:rsid w:val="001235DC"/>
    <w:rsid w:val="00134BB3"/>
    <w:rsid w:val="00136B29"/>
    <w:rsid w:val="0017773F"/>
    <w:rsid w:val="001838D3"/>
    <w:rsid w:val="001A160D"/>
    <w:rsid w:val="001C5F4F"/>
    <w:rsid w:val="001D5E59"/>
    <w:rsid w:val="001E75BE"/>
    <w:rsid w:val="00230A8C"/>
    <w:rsid w:val="00233AD1"/>
    <w:rsid w:val="00233DF0"/>
    <w:rsid w:val="00237447"/>
    <w:rsid w:val="00261367"/>
    <w:rsid w:val="002861C2"/>
    <w:rsid w:val="002D6478"/>
    <w:rsid w:val="00304E17"/>
    <w:rsid w:val="00324BDD"/>
    <w:rsid w:val="0033523C"/>
    <w:rsid w:val="00355411"/>
    <w:rsid w:val="003D3945"/>
    <w:rsid w:val="003F3E4F"/>
    <w:rsid w:val="00402ADE"/>
    <w:rsid w:val="00407A22"/>
    <w:rsid w:val="00414104"/>
    <w:rsid w:val="004174E9"/>
    <w:rsid w:val="00444664"/>
    <w:rsid w:val="0045548A"/>
    <w:rsid w:val="004615B9"/>
    <w:rsid w:val="0046702A"/>
    <w:rsid w:val="00483D8C"/>
    <w:rsid w:val="00496226"/>
    <w:rsid w:val="0049707B"/>
    <w:rsid w:val="004B52DD"/>
    <w:rsid w:val="004C2F2A"/>
    <w:rsid w:val="004D2C2A"/>
    <w:rsid w:val="00504050"/>
    <w:rsid w:val="005169D2"/>
    <w:rsid w:val="005170B0"/>
    <w:rsid w:val="00536DD3"/>
    <w:rsid w:val="00542995"/>
    <w:rsid w:val="005562E2"/>
    <w:rsid w:val="00562B50"/>
    <w:rsid w:val="005873FA"/>
    <w:rsid w:val="00590FE4"/>
    <w:rsid w:val="00595436"/>
    <w:rsid w:val="005A3F47"/>
    <w:rsid w:val="005A42C5"/>
    <w:rsid w:val="005D3749"/>
    <w:rsid w:val="005D69F0"/>
    <w:rsid w:val="005E17FF"/>
    <w:rsid w:val="005E7921"/>
    <w:rsid w:val="005F2A18"/>
    <w:rsid w:val="005F37CB"/>
    <w:rsid w:val="0060562D"/>
    <w:rsid w:val="00605AC1"/>
    <w:rsid w:val="006167AA"/>
    <w:rsid w:val="00642A7F"/>
    <w:rsid w:val="00643774"/>
    <w:rsid w:val="00673BA0"/>
    <w:rsid w:val="006B0A82"/>
    <w:rsid w:val="006B76FB"/>
    <w:rsid w:val="006D2FA9"/>
    <w:rsid w:val="006D5BED"/>
    <w:rsid w:val="006E264E"/>
    <w:rsid w:val="00711CFD"/>
    <w:rsid w:val="00714AC5"/>
    <w:rsid w:val="00716B72"/>
    <w:rsid w:val="00721D01"/>
    <w:rsid w:val="0075790A"/>
    <w:rsid w:val="007646AA"/>
    <w:rsid w:val="00765825"/>
    <w:rsid w:val="007678EF"/>
    <w:rsid w:val="007745B5"/>
    <w:rsid w:val="007F0F9C"/>
    <w:rsid w:val="007F2EB3"/>
    <w:rsid w:val="00813EC5"/>
    <w:rsid w:val="00821DF2"/>
    <w:rsid w:val="008276E1"/>
    <w:rsid w:val="00841756"/>
    <w:rsid w:val="00841DC6"/>
    <w:rsid w:val="0085753D"/>
    <w:rsid w:val="00877593"/>
    <w:rsid w:val="008977BB"/>
    <w:rsid w:val="008C78E6"/>
    <w:rsid w:val="008D2711"/>
    <w:rsid w:val="008F16BB"/>
    <w:rsid w:val="008F6806"/>
    <w:rsid w:val="00901615"/>
    <w:rsid w:val="00902E3D"/>
    <w:rsid w:val="00915374"/>
    <w:rsid w:val="0092074E"/>
    <w:rsid w:val="00923241"/>
    <w:rsid w:val="00935FB5"/>
    <w:rsid w:val="00955099"/>
    <w:rsid w:val="0095768F"/>
    <w:rsid w:val="00970844"/>
    <w:rsid w:val="00981A04"/>
    <w:rsid w:val="00982EB0"/>
    <w:rsid w:val="009869AF"/>
    <w:rsid w:val="009978E8"/>
    <w:rsid w:val="009A53F7"/>
    <w:rsid w:val="009B3CED"/>
    <w:rsid w:val="009B70CC"/>
    <w:rsid w:val="009D04DE"/>
    <w:rsid w:val="009D5087"/>
    <w:rsid w:val="009F4FD1"/>
    <w:rsid w:val="00A04463"/>
    <w:rsid w:val="00A06751"/>
    <w:rsid w:val="00A35502"/>
    <w:rsid w:val="00A37427"/>
    <w:rsid w:val="00A41BAA"/>
    <w:rsid w:val="00A44428"/>
    <w:rsid w:val="00A446A4"/>
    <w:rsid w:val="00A47EA4"/>
    <w:rsid w:val="00A52986"/>
    <w:rsid w:val="00A52D58"/>
    <w:rsid w:val="00A5527A"/>
    <w:rsid w:val="00A60DB9"/>
    <w:rsid w:val="00A62582"/>
    <w:rsid w:val="00A70736"/>
    <w:rsid w:val="00A8465E"/>
    <w:rsid w:val="00AA67CB"/>
    <w:rsid w:val="00AB6DA1"/>
    <w:rsid w:val="00AD0DAD"/>
    <w:rsid w:val="00AE2BDF"/>
    <w:rsid w:val="00AF3AA2"/>
    <w:rsid w:val="00AF5111"/>
    <w:rsid w:val="00B0200B"/>
    <w:rsid w:val="00B03093"/>
    <w:rsid w:val="00B078F5"/>
    <w:rsid w:val="00B168F1"/>
    <w:rsid w:val="00B170F1"/>
    <w:rsid w:val="00B25EB8"/>
    <w:rsid w:val="00B35807"/>
    <w:rsid w:val="00B53AF7"/>
    <w:rsid w:val="00B61AC4"/>
    <w:rsid w:val="00B65444"/>
    <w:rsid w:val="00B81EC6"/>
    <w:rsid w:val="00B847B9"/>
    <w:rsid w:val="00BB1E4A"/>
    <w:rsid w:val="00BB3512"/>
    <w:rsid w:val="00BD40CC"/>
    <w:rsid w:val="00BE0D1C"/>
    <w:rsid w:val="00C22D2A"/>
    <w:rsid w:val="00C26AA3"/>
    <w:rsid w:val="00C30B73"/>
    <w:rsid w:val="00C35001"/>
    <w:rsid w:val="00C62F16"/>
    <w:rsid w:val="00C9147A"/>
    <w:rsid w:val="00CA0996"/>
    <w:rsid w:val="00CA192A"/>
    <w:rsid w:val="00D002FD"/>
    <w:rsid w:val="00D063CF"/>
    <w:rsid w:val="00D27DDB"/>
    <w:rsid w:val="00D43053"/>
    <w:rsid w:val="00D916F1"/>
    <w:rsid w:val="00D94534"/>
    <w:rsid w:val="00D9508A"/>
    <w:rsid w:val="00DB35B6"/>
    <w:rsid w:val="00DB63B0"/>
    <w:rsid w:val="00DD1E89"/>
    <w:rsid w:val="00DF38D4"/>
    <w:rsid w:val="00E220A1"/>
    <w:rsid w:val="00E274DA"/>
    <w:rsid w:val="00E32359"/>
    <w:rsid w:val="00E32E06"/>
    <w:rsid w:val="00E34786"/>
    <w:rsid w:val="00E4623A"/>
    <w:rsid w:val="00E50DD7"/>
    <w:rsid w:val="00E7103D"/>
    <w:rsid w:val="00E71F1F"/>
    <w:rsid w:val="00EA064E"/>
    <w:rsid w:val="00EA18D5"/>
    <w:rsid w:val="00EA7A18"/>
    <w:rsid w:val="00EC18E3"/>
    <w:rsid w:val="00ED3550"/>
    <w:rsid w:val="00EE1FB1"/>
    <w:rsid w:val="00EF7005"/>
    <w:rsid w:val="00F10B47"/>
    <w:rsid w:val="00F524A7"/>
    <w:rsid w:val="00F52948"/>
    <w:rsid w:val="00F63D23"/>
    <w:rsid w:val="00F724AF"/>
    <w:rsid w:val="00F87A97"/>
    <w:rsid w:val="00FA4A32"/>
    <w:rsid w:val="00FC19A5"/>
    <w:rsid w:val="00FE28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4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4428"/>
  </w:style>
  <w:style w:type="paragraph" w:styleId="Footer">
    <w:name w:val="footer"/>
    <w:basedOn w:val="Normal"/>
    <w:link w:val="FooterChar"/>
    <w:uiPriority w:val="99"/>
    <w:unhideWhenUsed/>
    <w:rsid w:val="00A444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4428"/>
  </w:style>
  <w:style w:type="paragraph" w:styleId="ListParagraph">
    <w:name w:val="List Paragraph"/>
    <w:basedOn w:val="Normal"/>
    <w:link w:val="ListParagraphChar"/>
    <w:uiPriority w:val="34"/>
    <w:qFormat/>
    <w:rsid w:val="00FE289D"/>
    <w:pPr>
      <w:ind w:left="720"/>
      <w:contextualSpacing/>
    </w:pPr>
  </w:style>
  <w:style w:type="paragraph" w:customStyle="1" w:styleId="EndNoteBibliographyTitle">
    <w:name w:val="EndNote Bibliography Title"/>
    <w:basedOn w:val="Normal"/>
    <w:link w:val="EndNoteBibliographyTitleChar"/>
    <w:rsid w:val="00E274DA"/>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E274DA"/>
  </w:style>
  <w:style w:type="character" w:customStyle="1" w:styleId="EndNoteBibliographyTitleChar">
    <w:name w:val="EndNote Bibliography Title Char"/>
    <w:basedOn w:val="ListParagraphChar"/>
    <w:link w:val="EndNoteBibliographyTitle"/>
    <w:rsid w:val="00E274DA"/>
    <w:rPr>
      <w:rFonts w:ascii="Calibri" w:hAnsi="Calibri" w:cs="Calibri"/>
      <w:noProof/>
    </w:rPr>
  </w:style>
  <w:style w:type="paragraph" w:customStyle="1" w:styleId="EndNoteBibliography">
    <w:name w:val="EndNote Bibliography"/>
    <w:basedOn w:val="Normal"/>
    <w:link w:val="EndNoteBibliographyChar"/>
    <w:rsid w:val="00E274DA"/>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E274DA"/>
    <w:rPr>
      <w:rFonts w:ascii="Calibri" w:hAnsi="Calibri" w:cs="Calibri"/>
      <w:noProof/>
    </w:rPr>
  </w:style>
  <w:style w:type="character" w:styleId="Emphasis">
    <w:name w:val="Emphasis"/>
    <w:basedOn w:val="DefaultParagraphFont"/>
    <w:uiPriority w:val="20"/>
    <w:qFormat/>
    <w:rsid w:val="005F2A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4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4428"/>
  </w:style>
  <w:style w:type="paragraph" w:styleId="Footer">
    <w:name w:val="footer"/>
    <w:basedOn w:val="Normal"/>
    <w:link w:val="FooterChar"/>
    <w:uiPriority w:val="99"/>
    <w:unhideWhenUsed/>
    <w:rsid w:val="00A444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4428"/>
  </w:style>
  <w:style w:type="paragraph" w:styleId="ListParagraph">
    <w:name w:val="List Paragraph"/>
    <w:basedOn w:val="Normal"/>
    <w:link w:val="ListParagraphChar"/>
    <w:uiPriority w:val="34"/>
    <w:qFormat/>
    <w:rsid w:val="00FE289D"/>
    <w:pPr>
      <w:ind w:left="720"/>
      <w:contextualSpacing/>
    </w:pPr>
  </w:style>
  <w:style w:type="paragraph" w:customStyle="1" w:styleId="EndNoteBibliographyTitle">
    <w:name w:val="EndNote Bibliography Title"/>
    <w:basedOn w:val="Normal"/>
    <w:link w:val="EndNoteBibliographyTitleChar"/>
    <w:rsid w:val="00E274DA"/>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E274DA"/>
  </w:style>
  <w:style w:type="character" w:customStyle="1" w:styleId="EndNoteBibliographyTitleChar">
    <w:name w:val="EndNote Bibliography Title Char"/>
    <w:basedOn w:val="ListParagraphChar"/>
    <w:link w:val="EndNoteBibliographyTitle"/>
    <w:rsid w:val="00E274DA"/>
    <w:rPr>
      <w:rFonts w:ascii="Calibri" w:hAnsi="Calibri" w:cs="Calibri"/>
      <w:noProof/>
    </w:rPr>
  </w:style>
  <w:style w:type="paragraph" w:customStyle="1" w:styleId="EndNoteBibliography">
    <w:name w:val="EndNote Bibliography"/>
    <w:basedOn w:val="Normal"/>
    <w:link w:val="EndNoteBibliographyChar"/>
    <w:rsid w:val="00E274DA"/>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E274DA"/>
    <w:rPr>
      <w:rFonts w:ascii="Calibri" w:hAnsi="Calibri" w:cs="Calibri"/>
      <w:noProof/>
    </w:rPr>
  </w:style>
  <w:style w:type="character" w:styleId="Emphasis">
    <w:name w:val="Emphasis"/>
    <w:basedOn w:val="DefaultParagraphFont"/>
    <w:uiPriority w:val="20"/>
    <w:qFormat/>
    <w:rsid w:val="005F2A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hk/search?safe=strict&amp;biw=1280&amp;bih=584&amp;q=Eppendorf+pipette&amp;spell=1&amp;sa=X&amp;ved=0ahUKEwjEyvSh7KThAhXl4XMBHf9PCJIQBQgpKA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173</cp:revision>
  <dcterms:created xsi:type="dcterms:W3CDTF">2019-03-22T08:25:00Z</dcterms:created>
  <dcterms:modified xsi:type="dcterms:W3CDTF">2019-03-30T08:24:00Z</dcterms:modified>
</cp:coreProperties>
</file>