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ECB" w:rsidRPr="00463ECB" w:rsidRDefault="00463ECB" w:rsidP="00463ECB">
      <w:pPr>
        <w:rPr>
          <w:b/>
        </w:rPr>
      </w:pPr>
      <w:r w:rsidRPr="00463ECB">
        <w:rPr>
          <w:b/>
        </w:rPr>
        <w:t>Reviewer #1:</w:t>
      </w:r>
    </w:p>
    <w:p w:rsidR="00463ECB" w:rsidRDefault="00463ECB" w:rsidP="00463ECB"/>
    <w:p w:rsidR="00463ECB" w:rsidRDefault="00463ECB" w:rsidP="00463ECB">
      <w:r>
        <w:t>Minor Concerns:</w:t>
      </w:r>
    </w:p>
    <w:p w:rsidR="00463ECB" w:rsidRDefault="00463ECB" w:rsidP="00463ECB"/>
    <w:p w:rsidR="00463ECB" w:rsidRDefault="00463ECB" w:rsidP="00463ECB">
      <w:r>
        <w:t>(I comment by typing the original lines and then the suggestion for change)</w:t>
      </w:r>
    </w:p>
    <w:p w:rsidR="00463ECB" w:rsidRDefault="00463ECB" w:rsidP="00463ECB"/>
    <w:p w:rsidR="00463ECB" w:rsidRDefault="00463ECB" w:rsidP="00463ECB">
      <w:r>
        <w:t>Very, very nice piece of work.</w:t>
      </w:r>
    </w:p>
    <w:p w:rsidR="00463ECB" w:rsidRDefault="00463ECB" w:rsidP="00463ECB"/>
    <w:p w:rsidR="00463ECB" w:rsidRDefault="00463ECB" w:rsidP="00463ECB">
      <w:r>
        <w:t>In conclusion, our optimised method for the production of stable alginate microbeads</w:t>
      </w:r>
    </w:p>
    <w:p w:rsidR="00463ECB" w:rsidRDefault="00463ECB" w:rsidP="00463ECB">
      <w:r>
        <w:t>containing amyloid-producing 7PA2 cells enables the modelling of important aspects of</w:t>
      </w:r>
    </w:p>
    <w:p w:rsidR="00463ECB" w:rsidRDefault="00463ECB" w:rsidP="00463ECB">
      <w:r>
        <w:t>AD both in vitro and in vivo.</w:t>
      </w:r>
    </w:p>
    <w:p w:rsidR="00463ECB" w:rsidRDefault="00463ECB" w:rsidP="00463ECB">
      <w:r>
        <w:t>In conclusion, our optimised method for the production of stable alginate microbeads</w:t>
      </w:r>
    </w:p>
    <w:p w:rsidR="00463ECB" w:rsidRDefault="00463ECB" w:rsidP="00463ECB">
      <w:r>
        <w:t>containing amyloid-producing 7PA2 cells might enable the modelling of important aspects of</w:t>
      </w:r>
    </w:p>
    <w:p w:rsidR="00463ECB" w:rsidRDefault="00463ECB" w:rsidP="00463ECB">
      <w:r>
        <w:t>AD both in vitro and in vivo.</w:t>
      </w:r>
    </w:p>
    <w:p w:rsidR="00463ECB" w:rsidRDefault="00463ECB" w:rsidP="00463ECB">
      <w:r>
        <w:t>Explanation: You have not tested in vivo so you do not know if it works (I do believe it will)</w:t>
      </w:r>
    </w:p>
    <w:p w:rsidR="00EE2173" w:rsidRPr="00645991" w:rsidRDefault="00EE2173" w:rsidP="00EE2173">
      <w:pPr>
        <w:rPr>
          <w:color w:val="FF0000"/>
        </w:rPr>
      </w:pPr>
      <w:r w:rsidRPr="00645991">
        <w:rPr>
          <w:color w:val="FF0000"/>
        </w:rPr>
        <w:t xml:space="preserve">Amended. Thanks for </w:t>
      </w:r>
      <w:r>
        <w:rPr>
          <w:color w:val="FF0000"/>
        </w:rPr>
        <w:t>noting this</w:t>
      </w:r>
      <w:r w:rsidRPr="00645991">
        <w:rPr>
          <w:color w:val="FF0000"/>
        </w:rPr>
        <w:t>.</w:t>
      </w:r>
    </w:p>
    <w:p w:rsidR="00463ECB" w:rsidRDefault="00463ECB" w:rsidP="00463ECB"/>
    <w:p w:rsidR="00463ECB" w:rsidRDefault="00463ECB" w:rsidP="00463ECB">
      <w:r>
        <w:t>74 Aβ peptides in high concentrations deposited all in one go. This is inconsistent with the chronic,</w:t>
      </w:r>
    </w:p>
    <w:p w:rsidR="00463ECB" w:rsidRDefault="00463ECB" w:rsidP="00463ECB">
      <w:r>
        <w:t>75 sustainable nature of the release of Aβ in disease5.</w:t>
      </w:r>
    </w:p>
    <w:p w:rsidR="00463ECB" w:rsidRDefault="00463ECB" w:rsidP="00463ECB">
      <w:r>
        <w:t>74 Aβ peptides in high concentrations deposited all in one go. This is inconsistent with the chronic,</w:t>
      </w:r>
    </w:p>
    <w:p w:rsidR="00463ECB" w:rsidRDefault="00463ECB" w:rsidP="00463ECB">
      <w:r>
        <w:t>75 sustained nature of the release of Aβ in disease5.</w:t>
      </w:r>
    </w:p>
    <w:p w:rsidR="00EE2173" w:rsidRPr="00645991" w:rsidRDefault="00EE2173" w:rsidP="00EE2173">
      <w:pPr>
        <w:rPr>
          <w:color w:val="FF0000"/>
        </w:rPr>
      </w:pPr>
      <w:r>
        <w:rPr>
          <w:color w:val="FF0000"/>
        </w:rPr>
        <w:t>We agree with the reviewer</w:t>
      </w:r>
      <w:r w:rsidRPr="00645991">
        <w:rPr>
          <w:color w:val="FF0000"/>
        </w:rPr>
        <w:t xml:space="preserve">. </w:t>
      </w:r>
      <w:r>
        <w:rPr>
          <w:color w:val="FF0000"/>
        </w:rPr>
        <w:t>Thanks for noti</w:t>
      </w:r>
      <w:r w:rsidR="00C24B8F">
        <w:rPr>
          <w:color w:val="FF0000"/>
        </w:rPr>
        <w:t>ng this.</w:t>
      </w:r>
    </w:p>
    <w:p w:rsidR="00463ECB" w:rsidRDefault="00463ECB" w:rsidP="00463ECB"/>
    <w:p w:rsidR="00463ECB" w:rsidRDefault="00463ECB" w:rsidP="00463ECB">
      <w:r>
        <w:t>91 earlier changes exhibited in response to the chronic and sustainable exposure to the Aβ</w:t>
      </w:r>
    </w:p>
    <w:p w:rsidR="00463ECB" w:rsidRDefault="00463ECB" w:rsidP="00463ECB">
      <w:r>
        <w:t>91 earlier changes exhibited in response to the chronic and sustained exposure to the Aβ</w:t>
      </w:r>
    </w:p>
    <w:p w:rsidR="00EE2173" w:rsidRPr="00645991" w:rsidRDefault="00EE2173" w:rsidP="00EE2173">
      <w:pPr>
        <w:rPr>
          <w:color w:val="FF0000"/>
        </w:rPr>
      </w:pPr>
      <w:r w:rsidRPr="00645991">
        <w:rPr>
          <w:color w:val="FF0000"/>
        </w:rPr>
        <w:t xml:space="preserve">Amended. </w:t>
      </w:r>
    </w:p>
    <w:p w:rsidR="00463ECB" w:rsidRDefault="00463ECB" w:rsidP="00463ECB"/>
    <w:p w:rsidR="00463ECB" w:rsidRDefault="00463ECB" w:rsidP="00463ECB">
      <w:r>
        <w:t>97 To this end, we have developed a system which allows the constant, sustainable secretion of Aβ IDEM!</w:t>
      </w:r>
    </w:p>
    <w:p w:rsidR="00463ECB" w:rsidRPr="00200ADA" w:rsidRDefault="00200ADA" w:rsidP="00463ECB">
      <w:pPr>
        <w:rPr>
          <w:color w:val="FF0000"/>
        </w:rPr>
      </w:pPr>
      <w:r w:rsidRPr="00200ADA">
        <w:rPr>
          <w:color w:val="FF0000"/>
        </w:rPr>
        <w:t>Idem as above.</w:t>
      </w:r>
    </w:p>
    <w:p w:rsidR="00200ADA" w:rsidRDefault="00200ADA" w:rsidP="00463ECB"/>
    <w:p w:rsidR="00463ECB" w:rsidRDefault="00463ECB" w:rsidP="00463ECB">
      <w:r>
        <w:t>103 Alginate was the selected biomaterial as it is biocompatible, non-degradable and does not</w:t>
      </w:r>
    </w:p>
    <w:p w:rsidR="00463ECB" w:rsidRDefault="00463ECB" w:rsidP="00463ECB">
      <w:proofErr w:type="gramStart"/>
      <w:r>
        <w:t>Non degradable</w:t>
      </w:r>
      <w:proofErr w:type="gramEnd"/>
      <w:r>
        <w:t>? May be in your scenario but it is degradable, at least in the human large intestines.</w:t>
      </w:r>
    </w:p>
    <w:p w:rsidR="00200ADA" w:rsidRPr="00645991" w:rsidRDefault="00200ADA" w:rsidP="00200ADA">
      <w:pPr>
        <w:rPr>
          <w:color w:val="FF0000"/>
        </w:rPr>
      </w:pPr>
      <w:r>
        <w:rPr>
          <w:color w:val="FF0000"/>
        </w:rPr>
        <w:t>We agree with the reviewer</w:t>
      </w:r>
      <w:r w:rsidRPr="00645991">
        <w:rPr>
          <w:color w:val="FF0000"/>
        </w:rPr>
        <w:t xml:space="preserve">. </w:t>
      </w:r>
      <w:r>
        <w:rPr>
          <w:color w:val="FF0000"/>
        </w:rPr>
        <w:t>Thanks for noting this. We amended the manuscript accordingly.</w:t>
      </w:r>
    </w:p>
    <w:p w:rsidR="00463ECB" w:rsidRDefault="00463ECB" w:rsidP="00463ECB"/>
    <w:p w:rsidR="00463ECB" w:rsidRDefault="00463ECB" w:rsidP="00463ECB">
      <w:r>
        <w:t>124 Val717Phe mutated gene23. These cells continually produce catalytic products of APP, including</w:t>
      </w:r>
    </w:p>
    <w:p w:rsidR="00463ECB" w:rsidRDefault="00463ECB" w:rsidP="00463ECB">
      <w:r>
        <w:t>I am in doubt, is it Val717Phe or v717f? Why not use (or mention) both notations to make sure the article is found anyway?</w:t>
      </w:r>
    </w:p>
    <w:p w:rsidR="00200ADA" w:rsidRPr="00645991" w:rsidRDefault="00CA521E" w:rsidP="00200ADA">
      <w:pPr>
        <w:rPr>
          <w:color w:val="FF0000"/>
        </w:rPr>
      </w:pPr>
      <w:r>
        <w:rPr>
          <w:color w:val="FF0000"/>
        </w:rPr>
        <w:t>Both notations are acceptable. We are happy to change to V717F.</w:t>
      </w:r>
    </w:p>
    <w:p w:rsidR="00463ECB" w:rsidRDefault="00463ECB" w:rsidP="00463ECB"/>
    <w:p w:rsidR="00463ECB" w:rsidRDefault="00463ECB" w:rsidP="00463ECB">
      <w:r>
        <w:lastRenderedPageBreak/>
        <w:t>1. Prepare 100 mL alginate 4% (w/v) stock solution</w:t>
      </w:r>
    </w:p>
    <w:p w:rsidR="00463ECB" w:rsidRDefault="00463ECB" w:rsidP="00463ECB">
      <w:r>
        <w:t>182 1.1. Weigh 4.4 g alginate sodium salt, and add the dry powder in 100 mL of HEPES buffered</w:t>
      </w:r>
    </w:p>
    <w:p w:rsidR="00463ECB" w:rsidRDefault="00463ECB" w:rsidP="00463ECB">
      <w:r>
        <w:t xml:space="preserve">183 saline (HBS, 20 mM HEPES and 150 </w:t>
      </w:r>
      <w:proofErr w:type="spellStart"/>
      <w:r>
        <w:t>mM</w:t>
      </w:r>
      <w:proofErr w:type="spellEnd"/>
      <w:r>
        <w:t xml:space="preserve"> </w:t>
      </w:r>
      <w:proofErr w:type="spellStart"/>
      <w:r>
        <w:t>NaCl</w:t>
      </w:r>
      <w:proofErr w:type="spellEnd"/>
      <w:r>
        <w:t xml:space="preserve"> in </w:t>
      </w:r>
      <w:proofErr w:type="spellStart"/>
      <w:r>
        <w:t>MilliQ</w:t>
      </w:r>
      <w:proofErr w:type="spellEnd"/>
      <w:r>
        <w:t xml:space="preserve"> water) allowing dissolution.</w:t>
      </w:r>
    </w:p>
    <w:p w:rsidR="00463ECB" w:rsidRDefault="00463ECB" w:rsidP="00463ECB">
      <w:r>
        <w:t xml:space="preserve">184 1.2. Use a magnetic stirrer at ~500 rpm and heat to up to 50 </w:t>
      </w:r>
      <w:proofErr w:type="spellStart"/>
      <w:r>
        <w:t>oC</w:t>
      </w:r>
      <w:proofErr w:type="spellEnd"/>
      <w:r>
        <w:t xml:space="preserve"> to allow complete alginate</w:t>
      </w:r>
    </w:p>
    <w:p w:rsidR="00463ECB" w:rsidRDefault="00463ECB" w:rsidP="00463ECB">
      <w:r>
        <w:t>185 dissolution. Note: the alginate may need one or two hours to dissolve completely. To save</w:t>
      </w:r>
    </w:p>
    <w:p w:rsidR="00463ECB" w:rsidRDefault="00463ECB" w:rsidP="00463ECB">
      <w:r>
        <w:t>186 on time, alginate solution can be made up a day in advance of the encapsulation protocol</w:t>
      </w:r>
    </w:p>
    <w:p w:rsidR="00463ECB" w:rsidRDefault="00463ECB" w:rsidP="00463ECB">
      <w:r>
        <w:t xml:space="preserve">187 and stored at 4 </w:t>
      </w:r>
      <w:proofErr w:type="spellStart"/>
      <w:r>
        <w:t>oC</w:t>
      </w:r>
      <w:proofErr w:type="spellEnd"/>
      <w:r>
        <w:t xml:space="preserve"> until the next day. When alginate has been refrigerated, heat gently to</w:t>
      </w:r>
    </w:p>
    <w:p w:rsidR="00463ECB" w:rsidRDefault="00463ECB" w:rsidP="00463ECB">
      <w:r>
        <w:t xml:space="preserve">188 37 </w:t>
      </w:r>
      <w:proofErr w:type="spellStart"/>
      <w:r>
        <w:t>oC</w:t>
      </w:r>
      <w:proofErr w:type="spellEnd"/>
      <w:r>
        <w:t xml:space="preserve"> using a water bath or a hot plate and agitate with a magnetic stirrer immediately</w:t>
      </w:r>
    </w:p>
    <w:p w:rsidR="00463ECB" w:rsidRDefault="00463ECB" w:rsidP="00463ECB">
      <w:r>
        <w:t>189 before use.</w:t>
      </w:r>
    </w:p>
    <w:p w:rsidR="00463ECB" w:rsidRDefault="00463ECB" w:rsidP="00463ECB"/>
    <w:p w:rsidR="00463ECB" w:rsidRDefault="00463ECB" w:rsidP="00463ECB">
      <w:r>
        <w:t>A few comments: you cannot write that it is 4% w/v unless you have actually measured the FINAL volume to be 104.4 (which I doubt you did). I suggest you say "approximately 4%" (it is not very important because you describe the precise procedure but, it is scientific paper…)</w:t>
      </w:r>
    </w:p>
    <w:p w:rsidR="00200ADA" w:rsidRPr="00645991" w:rsidRDefault="00200ADA" w:rsidP="00200ADA">
      <w:pPr>
        <w:rPr>
          <w:color w:val="FF0000"/>
        </w:rPr>
      </w:pPr>
      <w:r>
        <w:rPr>
          <w:color w:val="FF0000"/>
        </w:rPr>
        <w:t>We agree with the reviewer</w:t>
      </w:r>
      <w:r w:rsidRPr="00645991">
        <w:rPr>
          <w:color w:val="FF0000"/>
        </w:rPr>
        <w:t xml:space="preserve">. </w:t>
      </w:r>
      <w:r>
        <w:rPr>
          <w:color w:val="FF0000"/>
        </w:rPr>
        <w:t>Thanks for noting this. We amended the manuscript accordingly.</w:t>
      </w:r>
    </w:p>
    <w:p w:rsidR="00463ECB" w:rsidRDefault="00463ECB" w:rsidP="00463ECB">
      <w:r>
        <w:t>Then, I object to the monikers "solution", "dissolve completely" and "complete alginate</w:t>
      </w:r>
    </w:p>
    <w:p w:rsidR="00463ECB" w:rsidRDefault="00463ECB" w:rsidP="00463ECB">
      <w:r>
        <w:t>Dissolution". What you have is a SOL, the polymer is HYDRATED, hopefully to COMPLETE HYDRATION. When Calcium is added you achieve a SOL-GEL TRANSITION.</w:t>
      </w:r>
    </w:p>
    <w:p w:rsidR="00463ECB" w:rsidRDefault="00463ECB" w:rsidP="00463ECB">
      <w:r>
        <w:t>I know, many use the wrong terms but it would be refreshing to see the correct nomenclature.</w:t>
      </w:r>
    </w:p>
    <w:p w:rsidR="00200ADA" w:rsidRPr="00645991" w:rsidRDefault="00200ADA" w:rsidP="00200ADA">
      <w:pPr>
        <w:rPr>
          <w:color w:val="FF0000"/>
        </w:rPr>
      </w:pPr>
      <w:r>
        <w:rPr>
          <w:color w:val="FF0000"/>
        </w:rPr>
        <w:t>In line with all the recent literature, we would like to keep the used terms. We agree to change ‘dissolution’ to ‘hydrated’. ‘Physical gelation’ is commonly accepted, and easier to understand than ‘sol-gel transition’ to a broader audience.</w:t>
      </w:r>
    </w:p>
    <w:p w:rsidR="00463ECB" w:rsidRDefault="00463ECB" w:rsidP="00463ECB"/>
    <w:p w:rsidR="00463ECB" w:rsidRDefault="00463ECB" w:rsidP="00463ECB">
      <w:r>
        <w:t>208 4.3. Attach 300 μm nozzle and repeat 4.2.</w:t>
      </w:r>
    </w:p>
    <w:p w:rsidR="00463ECB" w:rsidRDefault="00463ECB" w:rsidP="00463ECB">
      <w:r>
        <w:t>208 4.3. Attach a (or the) 300 μm nozzle and repeat 4.2.</w:t>
      </w:r>
    </w:p>
    <w:p w:rsidR="00286197" w:rsidRPr="00645991" w:rsidRDefault="00286197" w:rsidP="00286197">
      <w:pPr>
        <w:rPr>
          <w:color w:val="FF0000"/>
        </w:rPr>
      </w:pPr>
      <w:r w:rsidRPr="00645991">
        <w:rPr>
          <w:color w:val="FF0000"/>
        </w:rPr>
        <w:t xml:space="preserve">Amended. </w:t>
      </w:r>
    </w:p>
    <w:p w:rsidR="00463ECB" w:rsidRDefault="00463ECB" w:rsidP="00463ECB"/>
    <w:p w:rsidR="00463ECB" w:rsidRDefault="00463ECB" w:rsidP="00463ECB">
      <w:r>
        <w:t>209 4.4. Spray the bottle containing the filtered alginate solution, bottle containing filtered calcium</w:t>
      </w:r>
    </w:p>
    <w:p w:rsidR="00463ECB" w:rsidRDefault="00463ECB" w:rsidP="00463ECB">
      <w:r>
        <w:t>209 4.4. Spray the bottle containing the filtered alginate sol, the bottle containing filtered calcium</w:t>
      </w:r>
    </w:p>
    <w:p w:rsidR="00286197" w:rsidRPr="00645991" w:rsidRDefault="00286197" w:rsidP="00286197">
      <w:pPr>
        <w:rPr>
          <w:color w:val="FF0000"/>
        </w:rPr>
      </w:pPr>
      <w:r w:rsidRPr="00645991">
        <w:rPr>
          <w:color w:val="FF0000"/>
        </w:rPr>
        <w:t xml:space="preserve">Amended. </w:t>
      </w:r>
    </w:p>
    <w:p w:rsidR="00463ECB" w:rsidRDefault="00463ECB" w:rsidP="00463ECB"/>
    <w:p w:rsidR="00463ECB" w:rsidRDefault="00463ECB" w:rsidP="00463ECB">
      <w:r>
        <w:t>243 7.5. Upon contact with the gelation bath, the alginate droplets will instantly cross-link with the</w:t>
      </w:r>
    </w:p>
    <w:p w:rsidR="00463ECB" w:rsidRDefault="00463ECB" w:rsidP="00463ECB">
      <w:r>
        <w:t>244 calcium ions in the gelation bath and form spherical microbeads.</w:t>
      </w:r>
    </w:p>
    <w:p w:rsidR="00463ECB" w:rsidRDefault="00463ECB" w:rsidP="00463ECB">
      <w:r>
        <w:t>243 7.5. Upon contact with the gelation bath, the alginate in the droplets will instantly cross-link 244 with the calcium ions in the gelation bath and form spherical microbeads.</w:t>
      </w:r>
    </w:p>
    <w:p w:rsidR="00463ECB" w:rsidRDefault="00463ECB" w:rsidP="00463ECB">
      <w:r>
        <w:t>(the polymer cross-links, not the droplets)</w:t>
      </w:r>
    </w:p>
    <w:p w:rsidR="00286197" w:rsidRPr="00645991" w:rsidRDefault="00286197" w:rsidP="00286197">
      <w:pPr>
        <w:rPr>
          <w:color w:val="FF0000"/>
        </w:rPr>
      </w:pPr>
      <w:r w:rsidRPr="00645991">
        <w:rPr>
          <w:color w:val="FF0000"/>
        </w:rPr>
        <w:t xml:space="preserve">Amended. </w:t>
      </w:r>
    </w:p>
    <w:p w:rsidR="00463ECB" w:rsidRDefault="00463ECB" w:rsidP="00463ECB"/>
    <w:p w:rsidR="00463ECB" w:rsidRDefault="00463ECB" w:rsidP="00463ECB">
      <w:r>
        <w:lastRenderedPageBreak/>
        <w:t>261 cells. Note: this only needs to be performed on a sample from each microbead population.</w:t>
      </w:r>
    </w:p>
    <w:p w:rsidR="00463ECB" w:rsidRDefault="00463ECB" w:rsidP="00463ECB">
      <w:r>
        <w:t>261 cells. Note: this only needs to be performed on a single sample from each microbead population.</w:t>
      </w:r>
    </w:p>
    <w:p w:rsidR="00286197" w:rsidRPr="00645991" w:rsidRDefault="00286197" w:rsidP="00286197">
      <w:pPr>
        <w:rPr>
          <w:color w:val="FF0000"/>
        </w:rPr>
      </w:pPr>
      <w:r w:rsidRPr="00645991">
        <w:rPr>
          <w:color w:val="FF0000"/>
        </w:rPr>
        <w:t xml:space="preserve">Amended. </w:t>
      </w:r>
    </w:p>
    <w:p w:rsidR="00463ECB" w:rsidRDefault="00463ECB" w:rsidP="00463ECB"/>
    <w:p w:rsidR="00463ECB" w:rsidRDefault="00463ECB" w:rsidP="00463ECB">
      <w:r>
        <w:t>269 imaging software. Dramatic subsequent variations in diameter can be indicative of alginate</w:t>
      </w:r>
    </w:p>
    <w:p w:rsidR="00463ECB" w:rsidRDefault="00463ECB" w:rsidP="00463ECB">
      <w:r>
        <w:t>270 degradation.</w:t>
      </w:r>
    </w:p>
    <w:p w:rsidR="00463ECB" w:rsidRDefault="00463ECB" w:rsidP="00463ECB">
      <w:r>
        <w:t>269 imaging software. Dramatic subsequent variations in diameter can be indicative of alginate</w:t>
      </w:r>
    </w:p>
    <w:p w:rsidR="00463ECB" w:rsidRDefault="00463ECB" w:rsidP="00463ECB">
      <w:r>
        <w:t xml:space="preserve">270 degradation. (You see? You wrote that alginate is non-degradable </w:t>
      </w:r>
      <w:proofErr w:type="gramStart"/>
      <w:r>
        <w:t>:-) )</w:t>
      </w:r>
      <w:proofErr w:type="gramEnd"/>
    </w:p>
    <w:p w:rsidR="00286197" w:rsidRPr="00645991" w:rsidRDefault="00504AB8" w:rsidP="00286197">
      <w:pPr>
        <w:rPr>
          <w:color w:val="FF0000"/>
        </w:rPr>
      </w:pPr>
      <w:r>
        <w:rPr>
          <w:color w:val="FF0000"/>
        </w:rPr>
        <w:t>Above statement has been a</w:t>
      </w:r>
      <w:r w:rsidR="00286197" w:rsidRPr="00645991">
        <w:rPr>
          <w:color w:val="FF0000"/>
        </w:rPr>
        <w:t xml:space="preserve">mended. </w:t>
      </w:r>
    </w:p>
    <w:p w:rsidR="00463ECB" w:rsidRDefault="00463ECB" w:rsidP="00463ECB"/>
    <w:p w:rsidR="00463ECB" w:rsidRDefault="00463ECB" w:rsidP="00463ECB">
      <w:r>
        <w:t>435 compared with 2D cultures. In addition, for the protocol to work optimally, a low-viscosity</w:t>
      </w:r>
    </w:p>
    <w:p w:rsidR="00463ECB" w:rsidRDefault="00463ECB" w:rsidP="00463ECB">
      <w:r>
        <w:t>436 alginate solution guarantees better results compared with a high viscosity alginate solution.</w:t>
      </w:r>
    </w:p>
    <w:p w:rsidR="00286197" w:rsidRPr="00645991" w:rsidRDefault="00286197" w:rsidP="00286197">
      <w:pPr>
        <w:rPr>
          <w:color w:val="FF0000"/>
        </w:rPr>
      </w:pPr>
      <w:r>
        <w:rPr>
          <w:color w:val="FF0000"/>
        </w:rPr>
        <w:t>We miss the reviewer’s point here</w:t>
      </w:r>
      <w:r w:rsidRPr="00645991">
        <w:rPr>
          <w:color w:val="FF0000"/>
        </w:rPr>
        <w:t xml:space="preserve">. </w:t>
      </w:r>
    </w:p>
    <w:p w:rsidR="00463ECB" w:rsidRDefault="00463ECB" w:rsidP="00463ECB"/>
    <w:p w:rsidR="00463ECB" w:rsidRDefault="00463ECB" w:rsidP="00463ECB">
      <w:r>
        <w:t>AND FINALLY:</w:t>
      </w:r>
    </w:p>
    <w:p w:rsidR="00463ECB" w:rsidRDefault="00463ECB" w:rsidP="00463ECB"/>
    <w:p w:rsidR="00463ECB" w:rsidRDefault="00463ECB" w:rsidP="00463ECB">
      <w:r>
        <w:t>409 In conclusion, encapsulating 7PA2 cells gives control over the size of microbeads, number of</w:t>
      </w:r>
    </w:p>
    <w:p w:rsidR="00463ECB" w:rsidRDefault="00463ECB" w:rsidP="00463ECB">
      <w:r>
        <w:t>410 encapsulated cells and the prediction of Aβ secreted from the microbeads (e.g. concentration,</w:t>
      </w:r>
    </w:p>
    <w:p w:rsidR="00463ECB" w:rsidRDefault="00463ECB" w:rsidP="00463ECB">
      <w:r>
        <w:t>411 release profile). Controlling the size of the microbeads is essential for two reasons: 1) to fine</w:t>
      </w:r>
    </w:p>
    <w:p w:rsidR="00463ECB" w:rsidRDefault="00463ECB" w:rsidP="00463ECB">
      <w:r>
        <w:t>412 control the concentration of released Aβ, and 2) to allow implantation in a controlled region of</w:t>
      </w:r>
    </w:p>
    <w:p w:rsidR="00463ECB" w:rsidRDefault="00463ECB" w:rsidP="00463ECB">
      <w:r>
        <w:t>413 the rat brain. The results obtained here describe the facile tuning of alginate microbeads and</w:t>
      </w:r>
    </w:p>
    <w:p w:rsidR="00463ECB" w:rsidRDefault="00463ECB" w:rsidP="00463ECB">
      <w:r>
        <w:t>414 highlight potential applications for further studies.</w:t>
      </w:r>
    </w:p>
    <w:p w:rsidR="00463ECB" w:rsidRDefault="00463ECB" w:rsidP="00463ECB"/>
    <w:p w:rsidR="00463ECB" w:rsidRDefault="00463ECB" w:rsidP="00463ECB">
      <w:r>
        <w:t>This paragraph is the conclusion. The dictionary says:</w:t>
      </w:r>
    </w:p>
    <w:p w:rsidR="00463ECB" w:rsidRDefault="00463ECB" w:rsidP="00463ECB"/>
    <w:p w:rsidR="00463ECB" w:rsidRDefault="00463ECB" w:rsidP="00463ECB">
      <w:r>
        <w:t>Conclusion:</w:t>
      </w:r>
    </w:p>
    <w:p w:rsidR="00463ECB" w:rsidRDefault="00463ECB" w:rsidP="00463ECB">
      <w:r>
        <w:t>the end or finish of an event, process, or text.</w:t>
      </w:r>
    </w:p>
    <w:p w:rsidR="00463ECB" w:rsidRDefault="00463ECB" w:rsidP="00463ECB">
      <w:r>
        <w:t>"the conclusion of World War Two"</w:t>
      </w:r>
    </w:p>
    <w:p w:rsidR="00463ECB" w:rsidRDefault="00463ECB" w:rsidP="00463ECB">
      <w:r>
        <w:t>synonyms: end, ending, finish, close, closure, termination, wind-up, cessation; More</w:t>
      </w:r>
    </w:p>
    <w:p w:rsidR="00463ECB" w:rsidRDefault="00463ECB" w:rsidP="00463ECB"/>
    <w:p w:rsidR="00463ECB" w:rsidRDefault="00463ECB" w:rsidP="00463ECB">
      <w:r>
        <w:t>So, it should be AFTER the discussion!</w:t>
      </w:r>
    </w:p>
    <w:p w:rsidR="00286197" w:rsidRPr="00645991" w:rsidRDefault="00504AB8" w:rsidP="00286197">
      <w:pPr>
        <w:rPr>
          <w:color w:val="FF0000"/>
        </w:rPr>
      </w:pPr>
      <w:r>
        <w:rPr>
          <w:color w:val="FF0000"/>
        </w:rPr>
        <w:t>The word ‘conclusion’ has been changed to ‘summary’.</w:t>
      </w:r>
    </w:p>
    <w:p w:rsidR="00463ECB" w:rsidRDefault="00463ECB" w:rsidP="00463ECB"/>
    <w:p w:rsidR="00463ECB" w:rsidRDefault="00463ECB" w:rsidP="00463ECB"/>
    <w:p w:rsidR="00463ECB" w:rsidRDefault="00463ECB" w:rsidP="00463ECB"/>
    <w:p w:rsidR="00463ECB" w:rsidRPr="00463ECB" w:rsidRDefault="00463ECB" w:rsidP="00463ECB">
      <w:pPr>
        <w:rPr>
          <w:b/>
        </w:rPr>
      </w:pPr>
      <w:r w:rsidRPr="00463ECB">
        <w:rPr>
          <w:b/>
        </w:rPr>
        <w:t>Reviewer #2:</w:t>
      </w:r>
    </w:p>
    <w:p w:rsidR="00463ECB" w:rsidRDefault="00463ECB" w:rsidP="00463ECB"/>
    <w:p w:rsidR="00463ECB" w:rsidRDefault="00463ECB" w:rsidP="00463ECB">
      <w:r>
        <w:t xml:space="preserve">Line </w:t>
      </w:r>
      <w:proofErr w:type="gramStart"/>
      <w:r>
        <w:t>174 :</w:t>
      </w:r>
      <w:proofErr w:type="gramEnd"/>
      <w:r>
        <w:t xml:space="preserve"> You have to review the principle of the process. The size is mainly function of nozzle size. All other parameters must have very limited impact as you have to select optimum value which is linked to the nozzle size.</w:t>
      </w:r>
    </w:p>
    <w:p w:rsidR="00463ECB" w:rsidRPr="00463ECB" w:rsidRDefault="00463ECB" w:rsidP="00463ECB">
      <w:pPr>
        <w:rPr>
          <w:color w:val="FF0000"/>
        </w:rPr>
      </w:pPr>
      <w:r>
        <w:rPr>
          <w:color w:val="FF0000"/>
        </w:rPr>
        <w:t>We agree with the reviewer that the nozzle diameter has a big impact on beads size. However, the other parameters are also important to achieve a good size distribution (low polydispersity index) and shape.</w:t>
      </w:r>
      <w:r w:rsidR="00D33800">
        <w:rPr>
          <w:color w:val="FF0000"/>
        </w:rPr>
        <w:t xml:space="preserve"> We have clarified the statement to reflect this.</w:t>
      </w:r>
    </w:p>
    <w:p w:rsidR="00463ECB" w:rsidRDefault="00463ECB" w:rsidP="00463ECB">
      <w:r>
        <w:t xml:space="preserve">Line </w:t>
      </w:r>
      <w:proofErr w:type="gramStart"/>
      <w:r>
        <w:t>182 :</w:t>
      </w:r>
      <w:proofErr w:type="gramEnd"/>
      <w:r>
        <w:t xml:space="preserve"> you have to </w:t>
      </w:r>
      <w:proofErr w:type="spellStart"/>
      <w:r>
        <w:t>specifiy</w:t>
      </w:r>
      <w:proofErr w:type="spellEnd"/>
      <w:r>
        <w:t xml:space="preserve"> which alginate you used, at minimum the viscosity and guluronic content</w:t>
      </w:r>
    </w:p>
    <w:p w:rsidR="00463ECB" w:rsidRPr="00463ECB" w:rsidRDefault="00463ECB" w:rsidP="00463ECB">
      <w:pPr>
        <w:rPr>
          <w:color w:val="FF0000"/>
        </w:rPr>
      </w:pPr>
      <w:r>
        <w:rPr>
          <w:color w:val="FF0000"/>
        </w:rPr>
        <w:t>These characteristics are now included in the text. Nevertheless, they are available online in the manufacturer’s datasheet.</w:t>
      </w:r>
    </w:p>
    <w:p w:rsidR="00463ECB" w:rsidRDefault="00463ECB" w:rsidP="00463ECB">
      <w:r>
        <w:t xml:space="preserve">Line </w:t>
      </w:r>
      <w:proofErr w:type="gramStart"/>
      <w:r>
        <w:t>184 :</w:t>
      </w:r>
      <w:proofErr w:type="gramEnd"/>
      <w:r>
        <w:t xml:space="preserve"> No interest to warm up alginate. It dissolves at room temperature</w:t>
      </w:r>
    </w:p>
    <w:p w:rsidR="00463ECB" w:rsidRPr="00463ECB" w:rsidRDefault="00463ECB" w:rsidP="00463ECB">
      <w:pPr>
        <w:rPr>
          <w:color w:val="FF0000"/>
        </w:rPr>
      </w:pPr>
      <w:r>
        <w:rPr>
          <w:color w:val="FF0000"/>
        </w:rPr>
        <w:t>Our point here is to speed-up the hydration process. Warming up the alginate solution is also important to better control the homogeneity of cell suspension and reduce the viscosity of the suspension for further extrusion and beads formation.</w:t>
      </w:r>
    </w:p>
    <w:p w:rsidR="00463ECB" w:rsidRDefault="00463ECB" w:rsidP="00463ECB">
      <w:r>
        <w:t xml:space="preserve">Line </w:t>
      </w:r>
      <w:proofErr w:type="gramStart"/>
      <w:r>
        <w:t>230 :</w:t>
      </w:r>
      <w:proofErr w:type="gramEnd"/>
      <w:r>
        <w:t xml:space="preserve"> Looking at Figure 2, you are probably not at fully optimum conditions (droplets are not uniformly distributed along the droplet stream)</w:t>
      </w:r>
    </w:p>
    <w:p w:rsidR="001021D7" w:rsidRPr="001021D7" w:rsidRDefault="001021D7" w:rsidP="00463ECB">
      <w:pPr>
        <w:rPr>
          <w:color w:val="FF0000"/>
        </w:rPr>
      </w:pPr>
      <w:r>
        <w:rPr>
          <w:color w:val="FF0000"/>
        </w:rPr>
        <w:t xml:space="preserve">We believe that we achieved optimum conditions. Images are used </w:t>
      </w:r>
      <w:r w:rsidR="00C337DE">
        <w:rPr>
          <w:color w:val="FF0000"/>
        </w:rPr>
        <w:t xml:space="preserve">here </w:t>
      </w:r>
      <w:r>
        <w:rPr>
          <w:color w:val="FF0000"/>
        </w:rPr>
        <w:t>to illustrate the formation of the droplets with this system.</w:t>
      </w:r>
    </w:p>
    <w:p w:rsidR="00463ECB" w:rsidRDefault="00463ECB" w:rsidP="00463ECB">
      <w:r>
        <w:t xml:space="preserve">Line </w:t>
      </w:r>
      <w:proofErr w:type="gramStart"/>
      <w:r>
        <w:t>246 :</w:t>
      </w:r>
      <w:proofErr w:type="gramEnd"/>
      <w:r>
        <w:t xml:space="preserve"> 4 minutes is quite limited. Generally people let stand for 15 minutes</w:t>
      </w:r>
    </w:p>
    <w:p w:rsidR="001021D7" w:rsidRPr="001021D7" w:rsidRDefault="001021D7" w:rsidP="00463ECB">
      <w:pPr>
        <w:rPr>
          <w:color w:val="FF0000"/>
        </w:rPr>
      </w:pPr>
      <w:r>
        <w:rPr>
          <w:color w:val="FF0000"/>
        </w:rPr>
        <w:t xml:space="preserve">We believe that </w:t>
      </w:r>
      <w:r w:rsidR="00053F71">
        <w:rPr>
          <w:color w:val="FF0000"/>
        </w:rPr>
        <w:t>exposing</w:t>
      </w:r>
      <w:r>
        <w:rPr>
          <w:color w:val="FF0000"/>
        </w:rPr>
        <w:t xml:space="preserve"> cells </w:t>
      </w:r>
      <w:r w:rsidR="00053F71">
        <w:rPr>
          <w:color w:val="FF0000"/>
        </w:rPr>
        <w:t xml:space="preserve">to calcium </w:t>
      </w:r>
      <w:r>
        <w:rPr>
          <w:color w:val="FF0000"/>
        </w:rPr>
        <w:t xml:space="preserve">for longer than </w:t>
      </w:r>
      <w:r w:rsidR="00C337DE">
        <w:rPr>
          <w:color w:val="FF0000"/>
        </w:rPr>
        <w:t xml:space="preserve">4 or </w:t>
      </w:r>
      <w:r>
        <w:rPr>
          <w:color w:val="FF0000"/>
        </w:rPr>
        <w:t xml:space="preserve">5 min would impact on </w:t>
      </w:r>
      <w:r w:rsidR="00053F71">
        <w:rPr>
          <w:color w:val="FF0000"/>
        </w:rPr>
        <w:t>their</w:t>
      </w:r>
      <w:r>
        <w:rPr>
          <w:color w:val="FF0000"/>
        </w:rPr>
        <w:t xml:space="preserve"> behaviour due to calcium exposure. Stability of alginate gels prepared with this procedure and the resultant mechanical properties are not affected (results not reported).</w:t>
      </w:r>
      <w:r w:rsidR="00053F71">
        <w:rPr>
          <w:color w:val="FF0000"/>
        </w:rPr>
        <w:t xml:space="preserve"> We believe that this gelling time is sufficient to form stable gels for the purpose of the proposed study. Optimisation in this respect can always be performed for different applications. </w:t>
      </w:r>
    </w:p>
    <w:p w:rsidR="00463ECB" w:rsidRDefault="00463ECB" w:rsidP="00463ECB">
      <w:r>
        <w:t xml:space="preserve">Line </w:t>
      </w:r>
      <w:proofErr w:type="gramStart"/>
      <w:r>
        <w:t>308 :</w:t>
      </w:r>
      <w:proofErr w:type="gramEnd"/>
      <w:r>
        <w:t xml:space="preserve"> see comment on line 174.</w:t>
      </w:r>
    </w:p>
    <w:p w:rsidR="00AD6D74" w:rsidRPr="00AD6D74" w:rsidRDefault="00AD6D74" w:rsidP="00463ECB">
      <w:pPr>
        <w:rPr>
          <w:color w:val="FF0000"/>
        </w:rPr>
      </w:pPr>
      <w:r w:rsidRPr="00AD6D74">
        <w:rPr>
          <w:color w:val="FF0000"/>
        </w:rPr>
        <w:t>See our reply to that comment.</w:t>
      </w:r>
    </w:p>
    <w:p w:rsidR="00463ECB" w:rsidRDefault="00463ECB" w:rsidP="00463ECB">
      <w:r>
        <w:t xml:space="preserve">Line </w:t>
      </w:r>
      <w:proofErr w:type="gramStart"/>
      <w:r>
        <w:t>318 :</w:t>
      </w:r>
      <w:proofErr w:type="gramEnd"/>
      <w:r>
        <w:t xml:space="preserve"> generally is expected that the internal diameter of the needle must be 3 times the bead diameter but if it work for you ...</w:t>
      </w:r>
    </w:p>
    <w:p w:rsidR="00A57788" w:rsidRPr="00A57788" w:rsidRDefault="00A57788" w:rsidP="00463ECB">
      <w:pPr>
        <w:rPr>
          <w:color w:val="FF0000"/>
        </w:rPr>
      </w:pPr>
      <w:r>
        <w:rPr>
          <w:color w:val="FF0000"/>
        </w:rPr>
        <w:t>Thanks for the comment. From our experience we have not noticed any significant bead disruption while extruding through a 20G needle.</w:t>
      </w:r>
    </w:p>
    <w:p w:rsidR="00463ECB" w:rsidRDefault="00463ECB" w:rsidP="00463ECB">
      <w:r>
        <w:t xml:space="preserve">Line </w:t>
      </w:r>
      <w:proofErr w:type="gramStart"/>
      <w:r>
        <w:t>359 :</w:t>
      </w:r>
      <w:proofErr w:type="gramEnd"/>
      <w:r>
        <w:t xml:space="preserve"> The difference between theoretical and experimental values are in the range of error. Then you may expect that they are not really different. But did you take in account the contraction of the beads during gelation. I get myself 131 based on concentration in alginate solution but the contraction may be up to 50 % leading to 262 cells per beads</w:t>
      </w:r>
    </w:p>
    <w:p w:rsidR="008F54CB" w:rsidRDefault="008F54CB" w:rsidP="00463ECB">
      <w:pPr>
        <w:rPr>
          <w:color w:val="FF0000"/>
        </w:rPr>
      </w:pPr>
      <w:r>
        <w:rPr>
          <w:color w:val="FF0000"/>
        </w:rPr>
        <w:t xml:space="preserve">This is a good point. By using 4-5 min to allow physical gelation of cell-alginate suspension, we do not observe a large shrinkage of the hydrogel. </w:t>
      </w:r>
    </w:p>
    <w:p w:rsidR="008F54CB" w:rsidRPr="008F54CB" w:rsidRDefault="008F54CB" w:rsidP="00463ECB">
      <w:pPr>
        <w:rPr>
          <w:color w:val="FF0000"/>
        </w:rPr>
      </w:pPr>
      <w:r>
        <w:rPr>
          <w:color w:val="FF0000"/>
        </w:rPr>
        <w:t xml:space="preserve">Here we used this theoretical estimation of cell number to check the quality of the encapsulation process. This could be useful in future study, in which cell concentration is trivial to control </w:t>
      </w:r>
      <w:r w:rsidRPr="008F54CB">
        <w:rPr>
          <w:color w:val="FF0000"/>
        </w:rPr>
        <w:t>Aβ</w:t>
      </w:r>
      <w:r w:rsidR="00364945">
        <w:rPr>
          <w:color w:val="FF0000"/>
        </w:rPr>
        <w:t xml:space="preserve"> release. We thank the reviewer for the comment, and we will consider this aspect in the future, if we will change the gelation conditions.</w:t>
      </w:r>
    </w:p>
    <w:p w:rsidR="00463ECB" w:rsidRDefault="00463ECB" w:rsidP="00463ECB">
      <w:r>
        <w:t xml:space="preserve">Line </w:t>
      </w:r>
      <w:proofErr w:type="gramStart"/>
      <w:r>
        <w:t>378 :</w:t>
      </w:r>
      <w:proofErr w:type="gramEnd"/>
      <w:r>
        <w:t xml:space="preserve"> Unit of release rate ? For me the value is a little bit higher in 3D system ... which quite positive</w:t>
      </w:r>
    </w:p>
    <w:p w:rsidR="00463ECB" w:rsidRDefault="008E20BD" w:rsidP="00463ECB">
      <w:pPr>
        <w:rPr>
          <w:color w:val="FF0000"/>
        </w:rPr>
      </w:pPr>
      <w:r>
        <w:rPr>
          <w:color w:val="FF0000"/>
        </w:rPr>
        <w:t xml:space="preserve">This is a normalised concentration of </w:t>
      </w:r>
      <w:r w:rsidRPr="008E20BD">
        <w:rPr>
          <w:color w:val="FF0000"/>
        </w:rPr>
        <w:t>Aβ</w:t>
      </w:r>
      <w:r>
        <w:rPr>
          <w:color w:val="FF0000"/>
        </w:rPr>
        <w:t xml:space="preserve"> per cell no. </w:t>
      </w:r>
    </w:p>
    <w:p w:rsidR="008E20BD" w:rsidRPr="008E20BD" w:rsidRDefault="008E20BD" w:rsidP="00463ECB">
      <w:pPr>
        <w:rPr>
          <w:color w:val="FF0000"/>
        </w:rPr>
      </w:pPr>
      <w:r>
        <w:rPr>
          <w:color w:val="FF0000"/>
        </w:rPr>
        <w:t xml:space="preserve">We agree with the reviewer that a 3D environment </w:t>
      </w:r>
      <w:r w:rsidR="009E1FF6">
        <w:rPr>
          <w:color w:val="FF0000"/>
        </w:rPr>
        <w:t xml:space="preserve">has an impact </w:t>
      </w:r>
      <w:r>
        <w:rPr>
          <w:color w:val="FF0000"/>
        </w:rPr>
        <w:t xml:space="preserve">on </w:t>
      </w:r>
      <w:r w:rsidR="009E1FF6">
        <w:rPr>
          <w:color w:val="FF0000"/>
        </w:rPr>
        <w:t xml:space="preserve">the </w:t>
      </w:r>
      <w:r>
        <w:rPr>
          <w:color w:val="FF0000"/>
        </w:rPr>
        <w:t xml:space="preserve">release of proteins. However, this could be a positive, negative or neutral effect; in our study we did </w:t>
      </w:r>
      <w:r>
        <w:rPr>
          <w:color w:val="FF0000"/>
        </w:rPr>
        <w:lastRenderedPageBreak/>
        <w:t xml:space="preserve">not observe </w:t>
      </w:r>
      <w:r w:rsidR="00974523">
        <w:rPr>
          <w:color w:val="FF0000"/>
        </w:rPr>
        <w:t xml:space="preserve">an overall </w:t>
      </w:r>
      <w:r>
        <w:rPr>
          <w:color w:val="FF0000"/>
        </w:rPr>
        <w:t>significant difference between 2D and 3D in the time scale reported (4 days).</w:t>
      </w:r>
    </w:p>
    <w:p w:rsidR="00463ECB" w:rsidRDefault="00463ECB" w:rsidP="00463ECB">
      <w:r>
        <w:t xml:space="preserve">Figure 2 </w:t>
      </w:r>
      <w:proofErr w:type="gramStart"/>
      <w:r>
        <w:t>A :</w:t>
      </w:r>
      <w:proofErr w:type="gramEnd"/>
      <w:r>
        <w:t xml:space="preserve"> The effect of the voltage is to disperse the beads to avoid collision and coalescence. It </w:t>
      </w:r>
      <w:proofErr w:type="gramStart"/>
      <w:r>
        <w:t>do</w:t>
      </w:r>
      <w:proofErr w:type="gramEnd"/>
      <w:r>
        <w:t xml:space="preserve"> not modify the flow.</w:t>
      </w:r>
    </w:p>
    <w:p w:rsidR="00974523" w:rsidRPr="00974523" w:rsidRDefault="00974523" w:rsidP="00463ECB">
      <w:pPr>
        <w:rPr>
          <w:color w:val="FF0000"/>
        </w:rPr>
      </w:pPr>
      <w:r>
        <w:rPr>
          <w:color w:val="FF0000"/>
        </w:rPr>
        <w:t xml:space="preserve">We agree in principle, and </w:t>
      </w:r>
      <w:r w:rsidR="009E1FF6">
        <w:rPr>
          <w:color w:val="FF0000"/>
        </w:rPr>
        <w:t xml:space="preserve">we do in fact report </w:t>
      </w:r>
      <w:r>
        <w:rPr>
          <w:color w:val="FF0000"/>
        </w:rPr>
        <w:t xml:space="preserve">that the size does not change significantly once the voltage is varied. However, we do think that voltage </w:t>
      </w:r>
      <w:r w:rsidR="009E1FF6">
        <w:rPr>
          <w:color w:val="FF0000"/>
        </w:rPr>
        <w:t xml:space="preserve">affects </w:t>
      </w:r>
      <w:r>
        <w:rPr>
          <w:color w:val="FF0000"/>
        </w:rPr>
        <w:t xml:space="preserve">the final </w:t>
      </w:r>
      <w:r w:rsidR="009E1FF6">
        <w:rPr>
          <w:color w:val="FF0000"/>
        </w:rPr>
        <w:t>micro</w:t>
      </w:r>
      <w:r>
        <w:rPr>
          <w:color w:val="FF0000"/>
        </w:rPr>
        <w:t>bead size and size distribution. We also believe that the homogeneously dispersed flow plays a significant role in preserving the shape of formed beads.</w:t>
      </w:r>
    </w:p>
    <w:p w:rsidR="00463ECB" w:rsidRDefault="00463ECB" w:rsidP="00463ECB">
      <w:r>
        <w:t>Figure 2</w:t>
      </w:r>
      <w:proofErr w:type="gramStart"/>
      <w:r>
        <w:t>C :</w:t>
      </w:r>
      <w:proofErr w:type="gramEnd"/>
      <w:r>
        <w:t xml:space="preserve"> start your Y-axis at zero to avoid insignificant apparent effect. Voltage and frequency has no effect. But theoretically, size must be proportional to (flow </w:t>
      </w:r>
      <w:proofErr w:type="gramStart"/>
      <w:r>
        <w:t>rate)^</w:t>
      </w:r>
      <w:proofErr w:type="gramEnd"/>
      <w:r>
        <w:t>1/3 and (1/frequency)^1/3. However, if you do not work at optimum conditions (nozzle size --&gt; flow rate/frequency) you will not get monodisperse beads</w:t>
      </w:r>
    </w:p>
    <w:p w:rsidR="009905EA" w:rsidRPr="009905EA" w:rsidRDefault="009905EA" w:rsidP="00463ECB">
      <w:pPr>
        <w:rPr>
          <w:color w:val="FF0000"/>
        </w:rPr>
      </w:pPr>
      <w:r w:rsidRPr="009905EA">
        <w:rPr>
          <w:color w:val="FF0000"/>
        </w:rPr>
        <w:t xml:space="preserve">We miss this point. What is your comment about? </w:t>
      </w:r>
    </w:p>
    <w:p w:rsidR="00463ECB" w:rsidRDefault="00463ECB" w:rsidP="00463ECB">
      <w:r>
        <w:t xml:space="preserve">Figure </w:t>
      </w:r>
      <w:proofErr w:type="gramStart"/>
      <w:r>
        <w:t>6 :</w:t>
      </w:r>
      <w:proofErr w:type="gramEnd"/>
      <w:r>
        <w:t xml:space="preserve"> Is it just a tendency graph or an experimental one ?</w:t>
      </w:r>
    </w:p>
    <w:p w:rsidR="00463ECB" w:rsidRDefault="001D60B1" w:rsidP="00463ECB">
      <w:r w:rsidRPr="001D60B1">
        <w:rPr>
          <w:color w:val="FF0000"/>
        </w:rPr>
        <w:t>This graph is included to show the trend of Aβ concentration between two different administration</w:t>
      </w:r>
      <w:r w:rsidR="009E1FF6">
        <w:rPr>
          <w:color w:val="FF0000"/>
        </w:rPr>
        <w:t xml:space="preserve"> approac</w:t>
      </w:r>
      <w:r w:rsidR="00A74BC1">
        <w:rPr>
          <w:color w:val="FF0000"/>
        </w:rPr>
        <w:t>h</w:t>
      </w:r>
      <w:r w:rsidR="009E1FF6">
        <w:rPr>
          <w:color w:val="FF0000"/>
        </w:rPr>
        <w:t>es</w:t>
      </w:r>
      <w:r w:rsidRPr="001D60B1">
        <w:rPr>
          <w:color w:val="FF0000"/>
        </w:rPr>
        <w:t>. It is a tendency graph, we clarified this</w:t>
      </w:r>
      <w:r w:rsidR="00C5458F">
        <w:rPr>
          <w:color w:val="FF0000"/>
        </w:rPr>
        <w:t xml:space="preserve"> both</w:t>
      </w:r>
      <w:bookmarkStart w:id="0" w:name="_GoBack"/>
      <w:bookmarkEnd w:id="0"/>
      <w:r w:rsidRPr="001D60B1">
        <w:rPr>
          <w:color w:val="FF0000"/>
        </w:rPr>
        <w:t xml:space="preserve"> in the manuscript and in the figure caption.</w:t>
      </w:r>
    </w:p>
    <w:p w:rsidR="00463ECB" w:rsidRDefault="00463ECB" w:rsidP="00463ECB"/>
    <w:p w:rsidR="00463ECB" w:rsidRDefault="00463ECB" w:rsidP="00463ECB"/>
    <w:p w:rsidR="00463ECB" w:rsidRDefault="00463ECB" w:rsidP="00463ECB">
      <w:r>
        <w:t>Reviewer #3:</w:t>
      </w:r>
    </w:p>
    <w:p w:rsidR="00463ECB" w:rsidRDefault="00463ECB" w:rsidP="00463ECB"/>
    <w:p w:rsidR="00463ECB" w:rsidRDefault="00463ECB" w:rsidP="00463ECB">
      <w:r>
        <w:t>Manuscript Summary:</w:t>
      </w:r>
    </w:p>
    <w:p w:rsidR="00463ECB" w:rsidRDefault="00463ECB" w:rsidP="00463ECB">
      <w:r>
        <w:t>In this manuscript the authors describe a method for the encapsulation of amyloid-β secreting 7PA2 cells in alginate microbeads. The encapsulation of these Aβ secreting cells has many potential benefits in both in vivo and ex vivo Alzheimer's disease research which are addressed in the introduction. Using a cell encapsulation device the authors demonstrate a simple method for the uniform encapsulation of the 7PA2 cells in alginate microbeads ~500-600 μm in size. The authors then present representative results that confirm that these encapsulating cells enable the continuous production of Aβ and are a form factor more amicable to implantation into the rat brain. Overall this is a well written manuscript that describes a cell encapsulation method that could be of interest to a wide audience. However, I do believe that more detail should be given in the protocol before accepting.</w:t>
      </w:r>
    </w:p>
    <w:p w:rsidR="00463ECB" w:rsidRDefault="00463ECB" w:rsidP="00463ECB"/>
    <w:p w:rsidR="00463ECB" w:rsidRDefault="00463ECB" w:rsidP="00463ECB">
      <w:r>
        <w:t>Major Concerns:</w:t>
      </w:r>
    </w:p>
    <w:p w:rsidR="00463ECB" w:rsidRDefault="00463ECB" w:rsidP="00463ECB">
      <w:r>
        <w:t>A major concern with manuscript is that the protocol is too specific. There are two ways in which this protocol could be broadened to attract a wider audience.</w:t>
      </w:r>
    </w:p>
    <w:p w:rsidR="00463ECB" w:rsidRDefault="00463ECB" w:rsidP="00463ECB"/>
    <w:p w:rsidR="00463ECB" w:rsidRDefault="00463ECB" w:rsidP="00F27F80">
      <w:pPr>
        <w:pStyle w:val="ListParagraph"/>
        <w:numPr>
          <w:ilvl w:val="0"/>
          <w:numId w:val="1"/>
        </w:numPr>
      </w:pPr>
      <w:r>
        <w:t>As it is now this protocol covers only the encapsulation of the cells in a specific microbead size, and not a wide range of sizes. This protocol would be much more interesting to a wide audience if there was a table of values that can be used with this protocol to create a wide range of microbead sizes. Although this is presented for some parameters in Figure 2, it would be better to have this presented in the protocol itself as a table of values to be used for different size ranges.</w:t>
      </w:r>
    </w:p>
    <w:p w:rsidR="00463ECB" w:rsidRDefault="00463ECB" w:rsidP="00463ECB"/>
    <w:p w:rsidR="00463ECB" w:rsidRDefault="00463ECB" w:rsidP="00463ECB">
      <w:r>
        <w:lastRenderedPageBreak/>
        <w:t>2) If the authors want to focus the protocol more on this specific size of microbead and its use in Alzheimer's disease models then animal methods (implantation/analysis etc) should be added to the protocol in addition to the fabrication process that is there now.</w:t>
      </w:r>
    </w:p>
    <w:p w:rsidR="00463ECB" w:rsidRDefault="00463ECB" w:rsidP="00463ECB"/>
    <w:p w:rsidR="00F27F80" w:rsidRPr="00F27F80" w:rsidRDefault="00F27F80" w:rsidP="00463ECB">
      <w:pPr>
        <w:rPr>
          <w:color w:val="FF0000"/>
        </w:rPr>
      </w:pPr>
      <w:r w:rsidRPr="00F27F80">
        <w:rPr>
          <w:color w:val="FF0000"/>
        </w:rPr>
        <w:t>We agree with this comment. In fact, there are several application</w:t>
      </w:r>
      <w:r>
        <w:rPr>
          <w:color w:val="FF0000"/>
        </w:rPr>
        <w:t xml:space="preserve">s of hydrogel beads encapsulating different </w:t>
      </w:r>
      <w:r w:rsidR="00A74BC1">
        <w:rPr>
          <w:color w:val="FF0000"/>
        </w:rPr>
        <w:t>cell types</w:t>
      </w:r>
      <w:r>
        <w:rPr>
          <w:color w:val="FF0000"/>
        </w:rPr>
        <w:t>. For this specific encapsulating system, we report two different cell types</w:t>
      </w:r>
      <w:r w:rsidR="00A74BC1">
        <w:rPr>
          <w:color w:val="FF0000"/>
        </w:rPr>
        <w:t>, one reported here and another</w:t>
      </w:r>
      <w:r>
        <w:rPr>
          <w:color w:val="FF0000"/>
        </w:rPr>
        <w:t xml:space="preserve"> already published and reference</w:t>
      </w:r>
      <w:r w:rsidR="00A74BC1">
        <w:rPr>
          <w:color w:val="FF0000"/>
        </w:rPr>
        <w:t>d</w:t>
      </w:r>
      <w:r>
        <w:rPr>
          <w:color w:val="FF0000"/>
        </w:rPr>
        <w:t xml:space="preserve"> in the manuscript. We </w:t>
      </w:r>
      <w:r w:rsidR="00A74BC1">
        <w:rPr>
          <w:color w:val="FF0000"/>
        </w:rPr>
        <w:t xml:space="preserve">have now </w:t>
      </w:r>
      <w:r>
        <w:rPr>
          <w:color w:val="FF0000"/>
        </w:rPr>
        <w:t xml:space="preserve">included in the first part of the manuscript how different paraments can be varied to achieve different </w:t>
      </w:r>
      <w:r w:rsidR="00A74BC1">
        <w:rPr>
          <w:color w:val="FF0000"/>
        </w:rPr>
        <w:t>sized microbeads</w:t>
      </w:r>
      <w:r>
        <w:rPr>
          <w:color w:val="FF0000"/>
        </w:rPr>
        <w:t xml:space="preserve">. </w:t>
      </w:r>
      <w:r w:rsidRPr="003B2AB0">
        <w:rPr>
          <w:color w:val="FF0000"/>
        </w:rPr>
        <w:t>(</w:t>
      </w:r>
      <w:r w:rsidR="003B2AB0">
        <w:rPr>
          <w:color w:val="FF0000"/>
        </w:rPr>
        <w:t>P</w:t>
      </w:r>
      <w:r w:rsidRPr="003B2AB0">
        <w:rPr>
          <w:color w:val="FF0000"/>
        </w:rPr>
        <w:t>age</w:t>
      </w:r>
      <w:r w:rsidR="003B2AB0" w:rsidRPr="003B2AB0">
        <w:rPr>
          <w:color w:val="FF0000"/>
        </w:rPr>
        <w:t xml:space="preserve"> 5,</w:t>
      </w:r>
      <w:r w:rsidRPr="003B2AB0">
        <w:rPr>
          <w:color w:val="FF0000"/>
        </w:rPr>
        <w:t xml:space="preserve"> line</w:t>
      </w:r>
      <w:r w:rsidR="003B2AB0" w:rsidRPr="003B2AB0">
        <w:rPr>
          <w:color w:val="FF0000"/>
        </w:rPr>
        <w:t xml:space="preserve"> 182</w:t>
      </w:r>
      <w:r w:rsidRPr="003B2AB0">
        <w:rPr>
          <w:color w:val="FF0000"/>
        </w:rPr>
        <w:t>)</w:t>
      </w:r>
    </w:p>
    <w:p w:rsidR="00645991" w:rsidRDefault="00645991" w:rsidP="00463ECB"/>
    <w:tbl>
      <w:tblPr>
        <w:tblStyle w:val="TableGrid"/>
        <w:tblW w:w="0" w:type="auto"/>
        <w:jc w:val="center"/>
        <w:tblLook w:val="04A0" w:firstRow="1" w:lastRow="0" w:firstColumn="1" w:lastColumn="0" w:noHBand="0" w:noVBand="1"/>
      </w:tblPr>
      <w:tblGrid>
        <w:gridCol w:w="1046"/>
        <w:gridCol w:w="1879"/>
        <w:gridCol w:w="1879"/>
        <w:gridCol w:w="1879"/>
        <w:gridCol w:w="1879"/>
      </w:tblGrid>
      <w:tr w:rsidR="00531695" w:rsidRPr="00531695" w:rsidTr="00531695">
        <w:trPr>
          <w:trHeight w:val="500"/>
          <w:jc w:val="center"/>
        </w:trPr>
        <w:tc>
          <w:tcPr>
            <w:tcW w:w="1046" w:type="dxa"/>
            <w:vAlign w:val="center"/>
          </w:tcPr>
          <w:p w:rsidR="00531695" w:rsidRPr="00531695" w:rsidRDefault="00531695" w:rsidP="00531695">
            <w:pPr>
              <w:jc w:val="center"/>
              <w:rPr>
                <w:rFonts w:asciiTheme="minorHAnsi" w:hAnsiTheme="minorHAnsi"/>
                <w:b/>
              </w:rPr>
            </w:pPr>
          </w:p>
        </w:tc>
        <w:tc>
          <w:tcPr>
            <w:tcW w:w="1879" w:type="dxa"/>
            <w:vAlign w:val="center"/>
          </w:tcPr>
          <w:p w:rsidR="00531695" w:rsidRDefault="00531695" w:rsidP="00531695">
            <w:pPr>
              <w:jc w:val="center"/>
              <w:rPr>
                <w:rFonts w:asciiTheme="minorHAnsi" w:hAnsiTheme="minorHAnsi"/>
                <w:b/>
              </w:rPr>
            </w:pPr>
            <w:r w:rsidRPr="00531695">
              <w:rPr>
                <w:rFonts w:asciiTheme="minorHAnsi" w:hAnsiTheme="minorHAnsi"/>
                <w:b/>
              </w:rPr>
              <w:t>Nozzle size</w:t>
            </w:r>
          </w:p>
          <w:p w:rsidR="00531695" w:rsidRPr="00531695" w:rsidRDefault="00531695" w:rsidP="00531695">
            <w:pPr>
              <w:jc w:val="center"/>
              <w:rPr>
                <w:rFonts w:asciiTheme="minorHAnsi" w:hAnsiTheme="minorHAnsi"/>
                <w:b/>
              </w:rPr>
            </w:pPr>
            <w:r>
              <w:rPr>
                <w:rFonts w:asciiTheme="minorHAnsi" w:hAnsiTheme="minorHAnsi"/>
                <w:b/>
              </w:rPr>
              <w:sym w:font="Wingdings" w:char="F0E9"/>
            </w:r>
          </w:p>
        </w:tc>
        <w:tc>
          <w:tcPr>
            <w:tcW w:w="1879" w:type="dxa"/>
            <w:vAlign w:val="center"/>
          </w:tcPr>
          <w:p w:rsidR="00531695" w:rsidRDefault="00531695" w:rsidP="00531695">
            <w:pPr>
              <w:jc w:val="center"/>
              <w:rPr>
                <w:rFonts w:asciiTheme="minorHAnsi" w:hAnsiTheme="minorHAnsi"/>
                <w:b/>
              </w:rPr>
            </w:pPr>
            <w:r w:rsidRPr="00531695">
              <w:rPr>
                <w:rFonts w:asciiTheme="minorHAnsi" w:hAnsiTheme="minorHAnsi"/>
                <w:b/>
              </w:rPr>
              <w:t>Vibration frequency</w:t>
            </w:r>
          </w:p>
          <w:p w:rsidR="00531695" w:rsidRPr="00531695" w:rsidRDefault="00531695" w:rsidP="00531695">
            <w:pPr>
              <w:jc w:val="center"/>
              <w:rPr>
                <w:rFonts w:asciiTheme="minorHAnsi" w:hAnsiTheme="minorHAnsi"/>
                <w:b/>
              </w:rPr>
            </w:pPr>
            <w:r>
              <w:rPr>
                <w:rFonts w:asciiTheme="minorHAnsi" w:hAnsiTheme="minorHAnsi"/>
                <w:b/>
              </w:rPr>
              <w:sym w:font="Wingdings" w:char="F0E9"/>
            </w:r>
          </w:p>
        </w:tc>
        <w:tc>
          <w:tcPr>
            <w:tcW w:w="1879" w:type="dxa"/>
            <w:vAlign w:val="center"/>
          </w:tcPr>
          <w:p w:rsidR="00531695" w:rsidRDefault="00531695" w:rsidP="00531695">
            <w:pPr>
              <w:jc w:val="center"/>
              <w:rPr>
                <w:rFonts w:asciiTheme="minorHAnsi" w:hAnsiTheme="minorHAnsi"/>
                <w:b/>
              </w:rPr>
            </w:pPr>
            <w:r w:rsidRPr="00531695">
              <w:rPr>
                <w:rFonts w:asciiTheme="minorHAnsi" w:hAnsiTheme="minorHAnsi"/>
                <w:b/>
              </w:rPr>
              <w:t>Flow rate</w:t>
            </w:r>
          </w:p>
          <w:p w:rsidR="00531695" w:rsidRPr="00531695" w:rsidRDefault="00531695" w:rsidP="00531695">
            <w:pPr>
              <w:jc w:val="center"/>
              <w:rPr>
                <w:rFonts w:asciiTheme="minorHAnsi" w:hAnsiTheme="minorHAnsi"/>
                <w:b/>
              </w:rPr>
            </w:pPr>
            <w:r>
              <w:rPr>
                <w:rFonts w:asciiTheme="minorHAnsi" w:hAnsiTheme="minorHAnsi"/>
                <w:b/>
              </w:rPr>
              <w:sym w:font="Wingdings" w:char="F0E9"/>
            </w:r>
          </w:p>
        </w:tc>
        <w:tc>
          <w:tcPr>
            <w:tcW w:w="1879" w:type="dxa"/>
            <w:vAlign w:val="center"/>
          </w:tcPr>
          <w:p w:rsidR="00531695" w:rsidRDefault="00531695" w:rsidP="00531695">
            <w:pPr>
              <w:jc w:val="center"/>
              <w:rPr>
                <w:rFonts w:asciiTheme="minorHAnsi" w:hAnsiTheme="minorHAnsi"/>
                <w:b/>
              </w:rPr>
            </w:pPr>
            <w:r w:rsidRPr="00531695">
              <w:rPr>
                <w:rFonts w:asciiTheme="minorHAnsi" w:hAnsiTheme="minorHAnsi"/>
                <w:b/>
              </w:rPr>
              <w:t>Electrode voltage</w:t>
            </w:r>
          </w:p>
          <w:p w:rsidR="00531695" w:rsidRPr="00531695" w:rsidRDefault="00531695" w:rsidP="00531695">
            <w:pPr>
              <w:jc w:val="center"/>
              <w:rPr>
                <w:rFonts w:asciiTheme="minorHAnsi" w:hAnsiTheme="minorHAnsi"/>
                <w:b/>
              </w:rPr>
            </w:pPr>
            <w:r>
              <w:rPr>
                <w:rFonts w:asciiTheme="minorHAnsi" w:hAnsiTheme="minorHAnsi"/>
                <w:b/>
              </w:rPr>
              <w:sym w:font="Wingdings" w:char="F0E9"/>
            </w:r>
          </w:p>
        </w:tc>
      </w:tr>
      <w:tr w:rsidR="00531695" w:rsidRPr="00531695" w:rsidTr="00531695">
        <w:trPr>
          <w:trHeight w:val="500"/>
          <w:jc w:val="center"/>
        </w:trPr>
        <w:tc>
          <w:tcPr>
            <w:tcW w:w="1046" w:type="dxa"/>
            <w:vAlign w:val="center"/>
          </w:tcPr>
          <w:p w:rsidR="00531695" w:rsidRPr="00531695" w:rsidRDefault="00531695" w:rsidP="00531695">
            <w:pPr>
              <w:jc w:val="center"/>
              <w:rPr>
                <w:rFonts w:asciiTheme="minorHAnsi" w:hAnsiTheme="minorHAnsi"/>
                <w:b/>
              </w:rPr>
            </w:pPr>
            <w:r w:rsidRPr="00531695">
              <w:rPr>
                <w:rFonts w:asciiTheme="minorHAnsi" w:hAnsiTheme="minorHAnsi"/>
                <w:b/>
              </w:rPr>
              <w:t>Bead size</w:t>
            </w:r>
          </w:p>
        </w:tc>
        <w:tc>
          <w:tcPr>
            <w:tcW w:w="1879" w:type="dxa"/>
            <w:vAlign w:val="center"/>
          </w:tcPr>
          <w:p w:rsidR="00531695" w:rsidRPr="00531695" w:rsidRDefault="00531695" w:rsidP="00531695">
            <w:pPr>
              <w:jc w:val="center"/>
              <w:rPr>
                <w:rFonts w:asciiTheme="minorHAnsi" w:hAnsiTheme="minorHAnsi"/>
                <w:b/>
              </w:rPr>
            </w:pPr>
            <w:r>
              <w:rPr>
                <w:rFonts w:asciiTheme="minorHAnsi" w:hAnsiTheme="minorHAnsi"/>
                <w:b/>
              </w:rPr>
              <w:sym w:font="Wingdings" w:char="F0E9"/>
            </w:r>
            <w:r>
              <w:rPr>
                <w:rFonts w:asciiTheme="minorHAnsi" w:hAnsiTheme="minorHAnsi"/>
                <w:b/>
              </w:rPr>
              <w:sym w:font="Wingdings" w:char="F0E9"/>
            </w:r>
          </w:p>
        </w:tc>
        <w:tc>
          <w:tcPr>
            <w:tcW w:w="1879" w:type="dxa"/>
            <w:vAlign w:val="center"/>
          </w:tcPr>
          <w:p w:rsidR="00531695" w:rsidRPr="00531695" w:rsidRDefault="00531695" w:rsidP="00531695">
            <w:pPr>
              <w:jc w:val="center"/>
              <w:rPr>
                <w:rFonts w:asciiTheme="minorHAnsi" w:hAnsiTheme="minorHAnsi"/>
                <w:b/>
              </w:rPr>
            </w:pPr>
            <w:r>
              <w:rPr>
                <w:rFonts w:asciiTheme="minorHAnsi" w:hAnsiTheme="minorHAnsi"/>
                <w:b/>
              </w:rPr>
              <w:sym w:font="Wingdings" w:char="F0EA"/>
            </w:r>
          </w:p>
        </w:tc>
        <w:tc>
          <w:tcPr>
            <w:tcW w:w="1879" w:type="dxa"/>
            <w:vAlign w:val="center"/>
          </w:tcPr>
          <w:p w:rsidR="00531695" w:rsidRPr="00531695" w:rsidRDefault="00531695" w:rsidP="00531695">
            <w:pPr>
              <w:jc w:val="center"/>
              <w:rPr>
                <w:rFonts w:asciiTheme="minorHAnsi" w:hAnsiTheme="minorHAnsi"/>
                <w:b/>
              </w:rPr>
            </w:pPr>
            <w:r>
              <w:rPr>
                <w:rFonts w:asciiTheme="minorHAnsi" w:hAnsiTheme="minorHAnsi"/>
                <w:b/>
              </w:rPr>
              <w:sym w:font="Wingdings" w:char="F0E9"/>
            </w:r>
          </w:p>
        </w:tc>
        <w:tc>
          <w:tcPr>
            <w:tcW w:w="1879" w:type="dxa"/>
            <w:vAlign w:val="center"/>
          </w:tcPr>
          <w:p w:rsidR="00531695" w:rsidRPr="00531695" w:rsidRDefault="00531695" w:rsidP="00531695">
            <w:pPr>
              <w:jc w:val="center"/>
              <w:rPr>
                <w:rFonts w:asciiTheme="minorHAnsi" w:hAnsiTheme="minorHAnsi"/>
                <w:b/>
              </w:rPr>
            </w:pPr>
            <w:r>
              <w:rPr>
                <w:rFonts w:asciiTheme="minorHAnsi" w:hAnsiTheme="minorHAnsi"/>
                <w:b/>
              </w:rPr>
              <w:t>–</w:t>
            </w:r>
          </w:p>
        </w:tc>
      </w:tr>
    </w:tbl>
    <w:p w:rsidR="00531695" w:rsidRDefault="00531695" w:rsidP="00463ECB"/>
    <w:p w:rsidR="00531695" w:rsidRDefault="00531695" w:rsidP="00463ECB"/>
    <w:p w:rsidR="00463ECB" w:rsidRDefault="00463ECB" w:rsidP="00463ECB">
      <w:r>
        <w:t>Minor Concerns:</w:t>
      </w:r>
    </w:p>
    <w:p w:rsidR="00463ECB" w:rsidRDefault="00463ECB" w:rsidP="00463ECB"/>
    <w:p w:rsidR="00463ECB" w:rsidRDefault="00463ECB" w:rsidP="00463ECB">
      <w:r>
        <w:t>Page 5 - Line 198 - 199: As you have given the gram amounts for the other molar solutions made in this protocol thus far it would be good to include those here.</w:t>
      </w:r>
    </w:p>
    <w:p w:rsidR="00463ECB" w:rsidRDefault="00645991" w:rsidP="00463ECB">
      <w:pPr>
        <w:rPr>
          <w:color w:val="FF0000"/>
        </w:rPr>
      </w:pPr>
      <w:r w:rsidRPr="00645991">
        <w:rPr>
          <w:color w:val="FF0000"/>
        </w:rPr>
        <w:t xml:space="preserve">We </w:t>
      </w:r>
      <w:r w:rsidR="003B2AB0">
        <w:rPr>
          <w:color w:val="FF0000"/>
        </w:rPr>
        <w:t xml:space="preserve">have </w:t>
      </w:r>
      <w:r w:rsidRPr="00645991">
        <w:rPr>
          <w:color w:val="FF0000"/>
        </w:rPr>
        <w:t>include</w:t>
      </w:r>
      <w:r w:rsidR="003B2AB0">
        <w:rPr>
          <w:color w:val="FF0000"/>
        </w:rPr>
        <w:t>d</w:t>
      </w:r>
      <w:r w:rsidRPr="00645991">
        <w:rPr>
          <w:color w:val="FF0000"/>
        </w:rPr>
        <w:t xml:space="preserve"> these values</w:t>
      </w:r>
      <w:r>
        <w:rPr>
          <w:color w:val="FF0000"/>
        </w:rPr>
        <w:t xml:space="preserve"> in the revised manuscript</w:t>
      </w:r>
      <w:r w:rsidRPr="00645991">
        <w:rPr>
          <w:color w:val="FF0000"/>
        </w:rPr>
        <w:t>.</w:t>
      </w:r>
    </w:p>
    <w:p w:rsidR="00645991" w:rsidRPr="00645991" w:rsidRDefault="00645991" w:rsidP="00463ECB">
      <w:pPr>
        <w:rPr>
          <w:color w:val="FF0000"/>
        </w:rPr>
      </w:pPr>
    </w:p>
    <w:p w:rsidR="00463ECB" w:rsidRDefault="00463ECB" w:rsidP="00463ECB">
      <w:r>
        <w:t>Page 6 - Line 231 - 232: As mentioned in the major concerns a table in this section illustrating different parameters to obtain different microbead sizes would be very beneficial for this protocol to appeal to a wider audience.</w:t>
      </w:r>
    </w:p>
    <w:p w:rsidR="00463ECB" w:rsidRPr="00645991" w:rsidRDefault="00645991" w:rsidP="00463ECB">
      <w:pPr>
        <w:rPr>
          <w:color w:val="FF0000"/>
        </w:rPr>
      </w:pPr>
      <w:r w:rsidRPr="00645991">
        <w:rPr>
          <w:color w:val="FF0000"/>
        </w:rPr>
        <w:t xml:space="preserve">See reply to the major concerns comment. </w:t>
      </w:r>
      <w:r w:rsidR="003B2AB0" w:rsidRPr="003B2AB0">
        <w:rPr>
          <w:color w:val="FF0000"/>
        </w:rPr>
        <w:t>(</w:t>
      </w:r>
      <w:r w:rsidR="003B2AB0">
        <w:rPr>
          <w:color w:val="FF0000"/>
        </w:rPr>
        <w:t>P</w:t>
      </w:r>
      <w:r w:rsidR="003B2AB0" w:rsidRPr="003B2AB0">
        <w:rPr>
          <w:color w:val="FF0000"/>
        </w:rPr>
        <w:t>age 5, line 182)</w:t>
      </w:r>
    </w:p>
    <w:p w:rsidR="00645991" w:rsidRDefault="00645991" w:rsidP="00463ECB"/>
    <w:p w:rsidR="00463ECB" w:rsidRDefault="00463ECB" w:rsidP="00463ECB">
      <w:r>
        <w:t>Page 7 - Lines 254 and 261: "Note:" should be consistently bolded in the manuscript.</w:t>
      </w:r>
    </w:p>
    <w:p w:rsidR="00463ECB" w:rsidRPr="00645991" w:rsidRDefault="00645991" w:rsidP="00463ECB">
      <w:pPr>
        <w:rPr>
          <w:color w:val="FF0000"/>
        </w:rPr>
      </w:pPr>
      <w:r w:rsidRPr="00645991">
        <w:rPr>
          <w:color w:val="FF0000"/>
        </w:rPr>
        <w:t>Amended. Thanks for reporting.</w:t>
      </w:r>
    </w:p>
    <w:p w:rsidR="00645991" w:rsidRDefault="00645991" w:rsidP="00463ECB"/>
    <w:p w:rsidR="00463ECB" w:rsidRDefault="00463ECB" w:rsidP="00463ECB">
      <w:r>
        <w:t>Page 9 - Line 388: "Note:" should be bolded in figure caption.</w:t>
      </w:r>
    </w:p>
    <w:p w:rsidR="00645991" w:rsidRPr="00645991" w:rsidRDefault="00645991" w:rsidP="00645991">
      <w:pPr>
        <w:rPr>
          <w:color w:val="FF0000"/>
        </w:rPr>
      </w:pPr>
      <w:r w:rsidRPr="00645991">
        <w:rPr>
          <w:color w:val="FF0000"/>
        </w:rPr>
        <w:t>Amended. Thanks for reporting.</w:t>
      </w:r>
    </w:p>
    <w:p w:rsidR="00463ECB" w:rsidRDefault="00463ECB" w:rsidP="00463ECB"/>
    <w:p w:rsidR="00463ECB" w:rsidRDefault="00463ECB" w:rsidP="00463ECB">
      <w:r>
        <w:t>Page 9 - Line 342 - 343: The part of the sentence "...microscope analysis was performed on microscope images" sounds redundant as it is written now.</w:t>
      </w:r>
    </w:p>
    <w:p w:rsidR="00645991" w:rsidRPr="00645991" w:rsidRDefault="00645991" w:rsidP="00645991">
      <w:pPr>
        <w:rPr>
          <w:color w:val="FF0000"/>
        </w:rPr>
      </w:pPr>
      <w:r w:rsidRPr="00645991">
        <w:rPr>
          <w:color w:val="FF0000"/>
        </w:rPr>
        <w:t>Amended. Thanks for reporting.</w:t>
      </w:r>
    </w:p>
    <w:p w:rsidR="00463ECB" w:rsidRDefault="00463ECB" w:rsidP="00463ECB"/>
    <w:p w:rsidR="0080094E" w:rsidRDefault="00463ECB" w:rsidP="00463ECB">
      <w:r>
        <w:t>It appears that the manuscript is currently written in British English. This should be changed to American English as per JoVE standard.</w:t>
      </w:r>
    </w:p>
    <w:p w:rsidR="00645991" w:rsidRPr="00645991" w:rsidRDefault="00645991" w:rsidP="00645991">
      <w:pPr>
        <w:rPr>
          <w:color w:val="FF0000"/>
        </w:rPr>
      </w:pPr>
      <w:r w:rsidRPr="00645991">
        <w:rPr>
          <w:color w:val="FF0000"/>
        </w:rPr>
        <w:t>Amended. Thanks for reporting.</w:t>
      </w:r>
    </w:p>
    <w:p w:rsidR="00645991" w:rsidRDefault="00645991" w:rsidP="00463ECB"/>
    <w:sectPr w:rsidR="00645991" w:rsidSect="00A76E4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9187A"/>
    <w:multiLevelType w:val="hybridMultilevel"/>
    <w:tmpl w:val="DC72C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ECB"/>
    <w:rsid w:val="00053F71"/>
    <w:rsid w:val="001021D7"/>
    <w:rsid w:val="001822C5"/>
    <w:rsid w:val="001D60B1"/>
    <w:rsid w:val="00200ADA"/>
    <w:rsid w:val="002069B3"/>
    <w:rsid w:val="00286197"/>
    <w:rsid w:val="00364945"/>
    <w:rsid w:val="003B2AB0"/>
    <w:rsid w:val="00463ECB"/>
    <w:rsid w:val="00504AB8"/>
    <w:rsid w:val="00531695"/>
    <w:rsid w:val="006355D6"/>
    <w:rsid w:val="00645991"/>
    <w:rsid w:val="006731EF"/>
    <w:rsid w:val="0080094E"/>
    <w:rsid w:val="008A2E50"/>
    <w:rsid w:val="008E20BD"/>
    <w:rsid w:val="008F54CB"/>
    <w:rsid w:val="00974523"/>
    <w:rsid w:val="009905EA"/>
    <w:rsid w:val="009E1FF6"/>
    <w:rsid w:val="00A57788"/>
    <w:rsid w:val="00A74BC1"/>
    <w:rsid w:val="00A76E4A"/>
    <w:rsid w:val="00A92160"/>
    <w:rsid w:val="00AB7AC9"/>
    <w:rsid w:val="00AD6D74"/>
    <w:rsid w:val="00BC2A19"/>
    <w:rsid w:val="00C24B8F"/>
    <w:rsid w:val="00C337DE"/>
    <w:rsid w:val="00C5458F"/>
    <w:rsid w:val="00C824E1"/>
    <w:rsid w:val="00CA521E"/>
    <w:rsid w:val="00D33800"/>
    <w:rsid w:val="00D93F4A"/>
    <w:rsid w:val="00E73C89"/>
    <w:rsid w:val="00EE2173"/>
    <w:rsid w:val="00F27F80"/>
    <w:rsid w:val="00F32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1E69"/>
  <w14:defaultImageDpi w14:val="32767"/>
  <w15:docId w15:val="{C92E4255-5332-254F-B0CF-3E4DC113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F80"/>
    <w:pPr>
      <w:ind w:left="720"/>
      <w:contextualSpacing/>
    </w:pPr>
  </w:style>
  <w:style w:type="table" w:styleId="TableGrid">
    <w:name w:val="Table Grid"/>
    <w:basedOn w:val="TableNormal"/>
    <w:uiPriority w:val="59"/>
    <w:unhideWhenUsed/>
    <w:rsid w:val="00531695"/>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5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AT</cp:lastModifiedBy>
  <cp:revision>3</cp:revision>
  <dcterms:created xsi:type="dcterms:W3CDTF">2019-03-22T18:32:00Z</dcterms:created>
  <dcterms:modified xsi:type="dcterms:W3CDTF">2019-03-31T13:25:00Z</dcterms:modified>
</cp:coreProperties>
</file>