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B70" w:rsidRDefault="00265B70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:rsidR="00265B70" w:rsidRDefault="004D64B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Submission ID #: 59562 </w:t>
      </w:r>
    </w:p>
    <w:p w:rsidR="00265B70" w:rsidRDefault="004D64B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Scriptwriter Name: Melissa </w:t>
      </w:r>
      <w:proofErr w:type="spellStart"/>
      <w:r>
        <w:rPr>
          <w:rFonts w:ascii="Helvetica" w:hAnsi="Helvetica"/>
          <w:b/>
          <w:bCs/>
          <w:i w:val="0"/>
          <w:iCs w:val="0"/>
          <w:sz w:val="22"/>
          <w:szCs w:val="22"/>
        </w:rPr>
        <w:t>Ceo</w:t>
      </w:r>
      <w:proofErr w:type="spellEnd"/>
    </w:p>
    <w:p w:rsidR="00265B70" w:rsidRDefault="004D64B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: </w:t>
      </w:r>
      <w:hyperlink r:id="rId7" w:history="1">
        <w:r>
          <w:rPr>
            <w:rStyle w:val="Hyperlink0"/>
          </w:rPr>
          <w:t>http://www.jove.com/files_upload.php?src=18166458</w:t>
        </w:r>
      </w:hyperlink>
    </w:p>
    <w:p w:rsidR="00265B70" w:rsidRDefault="00265B70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:rsidR="00265B70" w:rsidRDefault="004D64BD"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line="20" w:lineRule="atLeast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Title: Measurement of the Potential Rates of Dissimilatory Nitrate Reduction to Ammonium Based on 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14</w:t>
      </w:r>
      <w:r>
        <w:rPr>
          <w:rFonts w:ascii="Helvetica" w:hAnsi="Helvetica"/>
          <w:b/>
          <w:bCs/>
          <w:sz w:val="28"/>
          <w:szCs w:val="28"/>
        </w:rPr>
        <w:t>NH</w:t>
      </w:r>
      <w:r>
        <w:rPr>
          <w:rFonts w:ascii="Helvetica" w:hAnsi="Helvetica"/>
          <w:b/>
          <w:bCs/>
          <w:sz w:val="28"/>
          <w:szCs w:val="28"/>
          <w:vertAlign w:val="subscript"/>
        </w:rPr>
        <w:t>4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+</w:t>
      </w:r>
      <w:r>
        <w:rPr>
          <w:rFonts w:ascii="Helvetica" w:hAnsi="Helvetica"/>
          <w:b/>
          <w:bCs/>
          <w:sz w:val="28"/>
          <w:szCs w:val="28"/>
        </w:rPr>
        <w:t>/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15</w:t>
      </w:r>
      <w:r>
        <w:rPr>
          <w:rFonts w:ascii="Helvetica" w:hAnsi="Helvetica"/>
          <w:b/>
          <w:bCs/>
          <w:sz w:val="28"/>
          <w:szCs w:val="28"/>
        </w:rPr>
        <w:t>NH</w:t>
      </w:r>
      <w:r>
        <w:rPr>
          <w:rFonts w:ascii="Helvetica" w:hAnsi="Helvetica"/>
          <w:b/>
          <w:bCs/>
          <w:sz w:val="28"/>
          <w:szCs w:val="28"/>
          <w:vertAlign w:val="subscript"/>
        </w:rPr>
        <w:t>4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+</w:t>
      </w:r>
      <w:r>
        <w:rPr>
          <w:rFonts w:ascii="Helvetica" w:hAnsi="Helvetica"/>
          <w:b/>
          <w:bCs/>
          <w:sz w:val="28"/>
          <w:szCs w:val="28"/>
        </w:rPr>
        <w:t xml:space="preserve"> Analyses via Sequential Conversion to N</w:t>
      </w:r>
      <w:r>
        <w:rPr>
          <w:rFonts w:ascii="Helvetica" w:hAnsi="Helvetica"/>
          <w:b/>
          <w:bCs/>
          <w:sz w:val="28"/>
          <w:szCs w:val="28"/>
          <w:vertAlign w:val="subscript"/>
        </w:rPr>
        <w:t>2</w:t>
      </w:r>
      <w:r>
        <w:rPr>
          <w:rFonts w:ascii="Helvetica" w:hAnsi="Helvetica"/>
          <w:b/>
          <w:bCs/>
          <w:sz w:val="28"/>
          <w:szCs w:val="28"/>
          <w:lang w:val="pt-PT"/>
        </w:rPr>
        <w:t xml:space="preserve">O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</w:t>
      </w:r>
    </w:p>
    <w:p w:rsidR="00265B70" w:rsidRDefault="004D64BD"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line="20" w:lineRule="atLeast"/>
        <w:jc w:val="both"/>
        <w:rPr>
          <w:rFonts w:ascii="Calibri" w:eastAsia="Calibri" w:hAnsi="Calibri" w:cs="Calibri"/>
        </w:rPr>
      </w:pPr>
      <w:r>
        <w:rPr>
          <w:rFonts w:ascii="Helvetica" w:hAnsi="Helvetica"/>
          <w:b/>
          <w:bCs/>
          <w:sz w:val="28"/>
          <w:szCs w:val="28"/>
        </w:rPr>
        <w:t>Authors and Affiliations: Megumi Kuroiwa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lang w:val="pt-PT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lang w:val="pt-PT"/>
        </w:rPr>
        <w:t>Keitaro</w:t>
      </w:r>
      <w:proofErr w:type="spellEnd"/>
      <w:r>
        <w:rPr>
          <w:rFonts w:ascii="Helvetica" w:hAnsi="Helvetica"/>
          <w:b/>
          <w:bCs/>
          <w:sz w:val="28"/>
          <w:szCs w:val="28"/>
          <w:lang w:val="pt-PT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  <w:lang w:val="pt-PT"/>
        </w:rPr>
        <w:t>Fukushima</w:t>
      </w:r>
      <w:proofErr w:type="spellEnd"/>
      <w:r>
        <w:rPr>
          <w:rFonts w:ascii="Helvetica" w:hAnsi="Helvetica"/>
          <w:b/>
          <w:bCs/>
          <w:sz w:val="28"/>
          <w:szCs w:val="28"/>
          <w:vertAlign w:val="superscript"/>
        </w:rPr>
        <w:t>2,3</w:t>
      </w:r>
      <w:r>
        <w:rPr>
          <w:rFonts w:ascii="Helvetica" w:hAnsi="Helvetica"/>
          <w:b/>
          <w:bCs/>
          <w:sz w:val="28"/>
          <w:szCs w:val="28"/>
        </w:rPr>
        <w:t>, Kazuma Hashimoto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>
        <w:rPr>
          <w:rFonts w:ascii="Helvetica" w:hAnsi="Helvetica"/>
          <w:b/>
          <w:bCs/>
          <w:sz w:val="28"/>
          <w:szCs w:val="28"/>
        </w:rPr>
        <w:t xml:space="preserve">, Yukiko </w:t>
      </w:r>
      <w:r>
        <w:rPr>
          <w:rFonts w:ascii="Helvetica" w:hAnsi="Helvetica"/>
          <w:b/>
          <w:bCs/>
          <w:sz w:val="28"/>
          <w:szCs w:val="28"/>
        </w:rPr>
        <w:t>Senga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>
        <w:rPr>
          <w:rFonts w:ascii="Helvetica" w:hAnsi="Helvetica"/>
          <w:b/>
          <w:bCs/>
          <w:sz w:val="28"/>
          <w:szCs w:val="28"/>
          <w:lang w:val="it-IT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lang w:val="it-IT"/>
        </w:rPr>
        <w:t>Tsubasa</w:t>
      </w:r>
      <w:proofErr w:type="spellEnd"/>
      <w:r>
        <w:rPr>
          <w:rFonts w:ascii="Helvetica" w:hAnsi="Helvetica"/>
          <w:b/>
          <w:bCs/>
          <w:sz w:val="28"/>
          <w:szCs w:val="28"/>
          <w:lang w:val="it-IT"/>
        </w:rPr>
        <w:t xml:space="preserve"> Sato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>
        <w:rPr>
          <w:rFonts w:ascii="Helvetica" w:hAnsi="Helvetica"/>
          <w:b/>
          <w:bCs/>
          <w:sz w:val="28"/>
          <w:szCs w:val="28"/>
          <w:lang w:val="es-ES_tradnl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lang w:val="es-ES_tradnl"/>
        </w:rPr>
        <w:t>Chie</w:t>
      </w:r>
      <w:proofErr w:type="spellEnd"/>
      <w:r>
        <w:rPr>
          <w:rFonts w:ascii="Helvetica" w:hAnsi="Helvetica"/>
          <w:b/>
          <w:bCs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  <w:lang w:val="es-ES_tradnl"/>
        </w:rPr>
        <w:t>Katsuyama</w:t>
      </w:r>
      <w:proofErr w:type="spellEnd"/>
      <w:r>
        <w:rPr>
          <w:rFonts w:ascii="Helvetica" w:hAnsi="Helvetica"/>
          <w:b/>
          <w:bCs/>
          <w:sz w:val="28"/>
          <w:szCs w:val="28"/>
          <w:vertAlign w:val="superscript"/>
        </w:rPr>
        <w:t>5</w:t>
      </w:r>
      <w:r>
        <w:rPr>
          <w:rFonts w:ascii="Helvetica" w:hAnsi="Helvetica"/>
          <w:b/>
          <w:bCs/>
          <w:sz w:val="28"/>
          <w:szCs w:val="28"/>
          <w:lang w:val="it-IT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lang w:val="it-IT"/>
        </w:rPr>
        <w:t>Yuichi</w:t>
      </w:r>
      <w:proofErr w:type="spellEnd"/>
      <w:r>
        <w:rPr>
          <w:rFonts w:ascii="Helvetica" w:hAnsi="Helvetica"/>
          <w:b/>
          <w:bCs/>
          <w:sz w:val="28"/>
          <w:szCs w:val="28"/>
          <w:lang w:val="it-IT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  <w:lang w:val="it-IT"/>
        </w:rPr>
        <w:t>Suwa</w:t>
      </w:r>
      <w:proofErr w:type="spellEnd"/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:rsidR="00265B70" w:rsidRDefault="00265B70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265B70" w:rsidRDefault="004D64BD">
      <w:pPr>
        <w:pStyle w:val="CM10"/>
        <w:outlineLvl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1</w:t>
      </w:r>
      <w:r>
        <w:rPr>
          <w:rFonts w:ascii="Helvetica" w:hAnsi="Helvetica"/>
          <w:sz w:val="28"/>
          <w:szCs w:val="28"/>
        </w:rPr>
        <w:t>Department of Biological Sciences, Faculty of Science and Engineering, Chuo University</w:t>
      </w:r>
    </w:p>
    <w:p w:rsidR="00265B70" w:rsidRDefault="004D64BD">
      <w:pPr>
        <w:pStyle w:val="CM10"/>
        <w:outlineLvl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>
        <w:rPr>
          <w:rFonts w:ascii="Helvetica" w:hAnsi="Helvetica"/>
          <w:sz w:val="28"/>
          <w:szCs w:val="28"/>
        </w:rPr>
        <w:t>Faculty &amp; Graduate School of Urban Environmental Sciences, Tokyo Metropolitan University</w:t>
      </w:r>
    </w:p>
    <w:p w:rsidR="00265B70" w:rsidRDefault="004D64BD">
      <w:pPr>
        <w:pStyle w:val="CM10"/>
        <w:outlineLvl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3</w:t>
      </w:r>
      <w:r>
        <w:rPr>
          <w:rFonts w:ascii="Helvetica" w:hAnsi="Helvetica"/>
          <w:sz w:val="28"/>
          <w:szCs w:val="28"/>
        </w:rPr>
        <w:t>Center for Ecological R</w:t>
      </w:r>
      <w:r>
        <w:rPr>
          <w:rFonts w:ascii="Helvetica" w:hAnsi="Helvetica"/>
          <w:sz w:val="28"/>
          <w:szCs w:val="28"/>
        </w:rPr>
        <w:t>esearch, Kyoto University</w:t>
      </w:r>
    </w:p>
    <w:p w:rsidR="00265B70" w:rsidRDefault="004D64BD">
      <w:pPr>
        <w:pStyle w:val="CM10"/>
        <w:outlineLvl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4</w:t>
      </w:r>
      <w:r>
        <w:rPr>
          <w:rFonts w:ascii="Helvetica" w:hAnsi="Helvetica"/>
          <w:sz w:val="28"/>
          <w:szCs w:val="28"/>
        </w:rPr>
        <w:t>Department of Chemistry, Faculty of Science, Toho University</w:t>
      </w:r>
    </w:p>
    <w:p w:rsidR="00265B70" w:rsidRDefault="004D64BD">
      <w:pPr>
        <w:pStyle w:val="CM10"/>
        <w:outlineLvl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5</w:t>
      </w:r>
      <w:r>
        <w:rPr>
          <w:rFonts w:ascii="Helvetica" w:hAnsi="Helvetica"/>
          <w:sz w:val="28"/>
          <w:szCs w:val="28"/>
        </w:rPr>
        <w:t>Graduate School of Integrated Arts and Sciences, Hiroshima University</w:t>
      </w:r>
    </w:p>
    <w:p w:rsidR="00265B70" w:rsidRDefault="00265B70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Corresponding Author: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Megumi </w:t>
      </w:r>
      <w:proofErr w:type="spellStart"/>
      <w:r>
        <w:rPr>
          <w:rFonts w:ascii="Helvetica" w:hAnsi="Helvetica"/>
          <w:sz w:val="22"/>
          <w:szCs w:val="22"/>
        </w:rPr>
        <w:t>Kuroiwa</w:t>
      </w:r>
      <w:proofErr w:type="spellEnd"/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8" w:history="1">
        <w:r>
          <w:rPr>
            <w:rStyle w:val="Hyperlink1"/>
          </w:rPr>
          <w:t>mkuro.25w@g.chuo-u.ac.jp</w:t>
        </w:r>
      </w:hyperlink>
    </w:p>
    <w:p w:rsidR="00265B70" w:rsidRDefault="00265B70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9" w:history="1">
        <w:r>
          <w:rPr>
            <w:rStyle w:val="Hyperlink1"/>
            <w:lang w:val="de-DE"/>
          </w:rPr>
          <w:t>Keitarktaro.f@gmail.com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10" w:history="1">
        <w:r>
          <w:rPr>
            <w:rStyle w:val="Hyperlink1"/>
            <w:lang w:val="pt-PT"/>
          </w:rPr>
          <w:t>tgs.bloom@gmail.com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11" w:history="1">
        <w:r>
          <w:rPr>
            <w:rStyle w:val="Hyperlink1"/>
          </w:rPr>
          <w:t>yukiko.senga@sci.toho-u.ac.jp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12" w:history="1">
        <w:r>
          <w:rPr>
            <w:rStyle w:val="Hyperlink1"/>
            <w:lang w:val="it-IT"/>
          </w:rPr>
          <w:t>t.casiare@gmail.com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13" w:history="1">
        <w:r>
          <w:rPr>
            <w:rStyle w:val="Hyperlink1"/>
          </w:rPr>
          <w:t>ckatsu@hiroshima-u.ac.jp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hyperlink r:id="rId14" w:history="1">
        <w:r>
          <w:rPr>
            <w:rStyle w:val="Hyperlink1"/>
          </w:rPr>
          <w:t>y-suwa@bio.chuo-u.ac.jp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265B70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:rsidR="00265B70" w:rsidRDefault="004D64BD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Helvetica" w:hAnsi="Helvetica"/>
          <w:b/>
          <w:bCs/>
          <w:sz w:val="22"/>
          <w:szCs w:val="22"/>
          <w:lang w:val="fr-FR"/>
        </w:rPr>
        <w:t>Questionnaire:</w:t>
      </w:r>
      <w:proofErr w:type="gramEnd"/>
    </w:p>
    <w:p w:rsidR="00265B70" w:rsidRDefault="004D64BD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 xml:space="preserve">Microscopy: Does your protocol involve video microscopy? </w:t>
      </w:r>
      <w:r>
        <w:rPr>
          <w:rFonts w:ascii="Helvetica" w:hAnsi="Helvetica"/>
          <w:b/>
          <w:bCs/>
          <w:sz w:val="22"/>
          <w:szCs w:val="22"/>
        </w:rPr>
        <w:t xml:space="preserve">N  </w:t>
      </w:r>
    </w:p>
    <w:p w:rsidR="00265B70" w:rsidRDefault="004D64BD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 xml:space="preserve">Does your protocol include software usage? </w:t>
      </w:r>
      <w:r>
        <w:rPr>
          <w:rFonts w:ascii="Helvetica" w:hAnsi="Helvetica"/>
          <w:b/>
          <w:bCs/>
          <w:sz w:val="22"/>
          <w:szCs w:val="22"/>
        </w:rPr>
        <w:t>N</w:t>
      </w:r>
    </w:p>
    <w:p w:rsidR="00265B70" w:rsidRDefault="004D64BD">
      <w:pPr>
        <w:pStyle w:val="Body"/>
        <w:spacing w:before="120"/>
        <w:rPr>
          <w:rFonts w:ascii="Helvetica" w:eastAsia="Helvetica" w:hAnsi="Helvetica" w:cs="Helvetica"/>
          <w:i/>
          <w:i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</w:t>
      </w:r>
      <w:r>
        <w:rPr>
          <w:rFonts w:ascii="Helvetica" w:hAnsi="Helvetica"/>
          <w:b/>
          <w:bCs/>
          <w:sz w:val="22"/>
          <w:szCs w:val="22"/>
        </w:rPr>
        <w:t>2.4, 2.5, 3.8, 4.7</w:t>
      </w:r>
    </w:p>
    <w:p w:rsidR="00265B70" w:rsidRDefault="004D64BD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  <w:r>
        <w:rPr>
          <w:rFonts w:ascii="Helvetica" w:hAnsi="Helvetica"/>
          <w:b/>
          <w:bCs/>
          <w:sz w:val="22"/>
          <w:szCs w:val="22"/>
        </w:rPr>
        <w:t>Th</w:t>
      </w:r>
      <w:r>
        <w:rPr>
          <w:rFonts w:ascii="Helvetica" w:hAnsi="Helvetica"/>
          <w:b/>
          <w:bCs/>
          <w:sz w:val="22"/>
          <w:szCs w:val="22"/>
        </w:rPr>
        <w:t>e most difficult steps are 2.4 and 2.5 (actually, entire part of the section 2).</w:t>
      </w:r>
      <w:r>
        <w:rPr>
          <w:rFonts w:ascii="Helvetica" w:eastAsia="Helvetica" w:hAnsi="Helvetica" w:cs="Helvetica"/>
          <w:b/>
          <w:bCs/>
          <w:sz w:val="22"/>
          <w:szCs w:val="22"/>
        </w:rPr>
        <w:br/>
      </w:r>
      <w:r>
        <w:rPr>
          <w:rFonts w:ascii="Helvetica" w:hAnsi="Helvetica"/>
          <w:b/>
          <w:bCs/>
          <w:sz w:val="22"/>
          <w:szCs w:val="22"/>
        </w:rPr>
        <w:t xml:space="preserve">The steps to make </w:t>
      </w:r>
      <w:r>
        <w:rPr>
          <w:rFonts w:ascii="Helvetica" w:hAnsi="Helvetica"/>
          <w:b/>
          <w:bCs/>
          <w:sz w:val="22"/>
          <w:szCs w:val="22"/>
        </w:rPr>
        <w:t>“</w:t>
      </w: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t>Teflon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t>envelops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” </w:t>
      </w:r>
      <w:r>
        <w:rPr>
          <w:rFonts w:ascii="Helvetica" w:hAnsi="Helvetica"/>
          <w:b/>
          <w:bCs/>
          <w:sz w:val="22"/>
          <w:szCs w:val="22"/>
        </w:rPr>
        <w:t>require practice for beginners.</w:t>
      </w:r>
    </w:p>
    <w:p w:rsidR="00265B70" w:rsidRDefault="004D64BD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locations? </w:t>
      </w:r>
      <w:r>
        <w:rPr>
          <w:rFonts w:ascii="Helvetica" w:hAnsi="Helvetica"/>
          <w:b/>
          <w:bCs/>
          <w:sz w:val="22"/>
          <w:szCs w:val="22"/>
        </w:rPr>
        <w:t>N</w:t>
      </w:r>
    </w:p>
    <w:p w:rsidR="00265B70" w:rsidRDefault="004D64BD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:rsidR="00265B70" w:rsidRDefault="004D64BD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:rsidR="00265B70" w:rsidRDefault="004D64BD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. Take a headshot for each interviewee.</w:t>
      </w:r>
    </w:p>
    <w:p w:rsidR="00265B70" w:rsidRDefault="00265B70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4D64BD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REQUIRED Interview Statements: (Said by you on camera) </w:t>
      </w:r>
      <w:r>
        <w:rPr>
          <w:rFonts w:ascii="Helvetica" w:hAnsi="Helvetica"/>
          <w:b/>
          <w:bCs/>
          <w:sz w:val="22"/>
          <w:szCs w:val="22"/>
        </w:rPr>
        <w:t xml:space="preserve">– </w:t>
      </w:r>
      <w:r>
        <w:rPr>
          <w:rFonts w:ascii="Helvetica" w:hAnsi="Helvetica"/>
          <w:b/>
          <w:bCs/>
          <w:sz w:val="22"/>
          <w:szCs w:val="22"/>
        </w:rPr>
        <w:t>All interview statements may be edited for length and clarity.</w:t>
      </w:r>
    </w:p>
    <w:p w:rsidR="00265B70" w:rsidRDefault="00265B70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:rsidR="00265B70" w:rsidRDefault="004D64BD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Megumi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Kuroiwa</w:t>
      </w:r>
      <w:proofErr w:type="spellEnd"/>
      <w:r>
        <w:rPr>
          <w:rFonts w:ascii="Helvetica" w:hAnsi="Helvetica"/>
          <w:sz w:val="22"/>
          <w:szCs w:val="22"/>
        </w:rPr>
        <w:t>: Coastal or marine ecosystems are important as reservoirs for removing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nitrate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from terrestrial ecosystems.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Nitrate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in aquatic environments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can be consumed by several processes simultaneously, such as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denitrification, anammox, and DNRA. While previous studies have shown that DNRA is potentially comparable to denitrification for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nitrate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removal, studies measuring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DNRA activity are still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very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limited compared to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those measuring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denitrification. In our protocol,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 xml:space="preserve">we provide a detailed procedure for the measurement of the potential DNRA rate in environmental samples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:rsidR="00265B70" w:rsidRDefault="00265B70">
      <w:pPr>
        <w:pStyle w:val="ListParagraph"/>
        <w:ind w:left="1350"/>
        <w:outlineLvl w:val="0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</w:p>
    <w:p w:rsidR="00265B70" w:rsidRDefault="004D64BD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Megumi </w:t>
      </w:r>
      <w:proofErr w:type="spellStart"/>
      <w:r>
        <w:rPr>
          <w:rFonts w:ascii="Helvetica" w:hAnsi="Helvetica"/>
          <w:sz w:val="22"/>
          <w:szCs w:val="22"/>
        </w:rPr>
        <w:t>Kuroiwa</w:t>
      </w:r>
      <w:proofErr w:type="spellEnd"/>
      <w:r>
        <w:rPr>
          <w:rFonts w:ascii="Helvetica" w:hAnsi="Helvetica"/>
          <w:sz w:val="22"/>
          <w:szCs w:val="22"/>
        </w:rPr>
        <w:t xml:space="preserve"> says the stateme</w:t>
      </w:r>
      <w:r>
        <w:rPr>
          <w:rFonts w:ascii="Helvetica" w:hAnsi="Helvetica"/>
          <w:sz w:val="22"/>
          <w:szCs w:val="22"/>
        </w:rPr>
        <w:t>nt above in an interview-style shot, looking slightly off-camera.</w:t>
      </w:r>
    </w:p>
    <w:p w:rsidR="00265B70" w:rsidRDefault="00265B70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:rsidR="00265B70" w:rsidRDefault="004D64BD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Megumi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Kuroiwa</w:t>
      </w:r>
      <w:proofErr w:type="spellEnd"/>
      <w:r>
        <w:rPr>
          <w:rFonts w:ascii="Helvetica" w:hAnsi="Helvetica"/>
          <w:sz w:val="22"/>
          <w:szCs w:val="22"/>
        </w:rPr>
        <w:t>: Briefly, the potential DNRA rate can be calculated from the</w:t>
      </w:r>
      <w:r>
        <w:rPr>
          <w:rFonts w:ascii="Helvetica" w:hAnsi="Helvetica"/>
          <w:sz w:val="22"/>
          <w:szCs w:val="22"/>
        </w:rPr>
        <w:t> </w:t>
      </w:r>
      <w:proofErr w:type="gramStart"/>
      <w:r>
        <w:rPr>
          <w:rFonts w:ascii="Helvetica" w:hAnsi="Helvetica"/>
          <w:sz w:val="22"/>
          <w:szCs w:val="22"/>
        </w:rPr>
        <w:t>fifteen nitrogen</w:t>
      </w:r>
      <w:proofErr w:type="gramEnd"/>
      <w:r>
        <w:rPr>
          <w:rFonts w:ascii="Helvetica" w:hAnsi="Helvetica"/>
          <w:sz w:val="22"/>
          <w:szCs w:val="22"/>
        </w:rPr>
        <w:t xml:space="preserve"> labeled ammonium accumulation with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 xml:space="preserve">fifteen nitrogen labeled nitrate addition. The </w:t>
      </w:r>
      <w:r>
        <w:rPr>
          <w:rFonts w:ascii="Helvetica" w:hAnsi="Helvetica"/>
          <w:sz w:val="22"/>
          <w:szCs w:val="22"/>
        </w:rPr>
        <w:t>advantage of our method compared to other methods is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that ammonium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is ultimately converted to nitrous oxide, which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has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low atmospheric background. Also, it is noteworthy that we measured nitrous oxide by a quadrupole gas chromatography</w:t>
      </w:r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>mass spectrometer,</w:t>
      </w:r>
      <w:r>
        <w:rPr>
          <w:rFonts w:ascii="Helvetica" w:hAnsi="Helvetica"/>
          <w:sz w:val="22"/>
          <w:szCs w:val="22"/>
        </w:rPr>
        <w:t xml:space="preserve"> which is less expensive and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easier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to manage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than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 xml:space="preserve">an isotope ratio mass spectrometer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:rsidR="00265B70" w:rsidRDefault="00265B70">
      <w:pPr>
        <w:pStyle w:val="ListParagraph"/>
        <w:ind w:left="1350"/>
        <w:outlineLvl w:val="0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</w:p>
    <w:p w:rsidR="00265B70" w:rsidRDefault="004D64BD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Megumi </w:t>
      </w:r>
      <w:proofErr w:type="spellStart"/>
      <w:r>
        <w:rPr>
          <w:rFonts w:ascii="Helvetica" w:hAnsi="Helvetica"/>
          <w:sz w:val="22"/>
          <w:szCs w:val="22"/>
        </w:rPr>
        <w:t>Kuroiwa</w:t>
      </w:r>
      <w:proofErr w:type="spellEnd"/>
      <w:r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:rsidR="00265B70" w:rsidRDefault="00265B70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:rsidR="00265B70" w:rsidRDefault="004D64BD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Protocol</w:t>
      </w:r>
    </w:p>
    <w:p w:rsidR="00265B70" w:rsidRDefault="004D64BD">
      <w:pPr>
        <w:pStyle w:val="Body"/>
        <w:numPr>
          <w:ilvl w:val="0"/>
          <w:numId w:val="7"/>
        </w:numPr>
        <w:spacing w:before="24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Preparation of a PTFE </w:t>
      </w:r>
      <w:r>
        <w:rPr>
          <w:rFonts w:ascii="Helvetica" w:hAnsi="Helvetica"/>
          <w:b/>
          <w:bCs/>
          <w:sz w:val="22"/>
          <w:szCs w:val="22"/>
        </w:rPr>
        <w:t>Envelope for Quantitatively Capturing Gaseous 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3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First, place a </w:t>
      </w:r>
      <w:proofErr w:type="gramStart"/>
      <w:r>
        <w:rPr>
          <w:rFonts w:ascii="Helvetica" w:hAnsi="Helvetica"/>
          <w:sz w:val="22"/>
          <w:szCs w:val="22"/>
        </w:rPr>
        <w:t>60 millimeter</w:t>
      </w:r>
      <w:proofErr w:type="gramEnd"/>
      <w:r>
        <w:rPr>
          <w:rFonts w:ascii="Helvetica" w:hAnsi="Helvetica"/>
          <w:sz w:val="22"/>
          <w:szCs w:val="22"/>
        </w:rPr>
        <w:t xml:space="preserve"> piece of PTFE tape on a small sheet of aluminum foil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i/>
          <w:iCs/>
          <w:color w:val="2F5496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places a piece of PTFE tape on the aluminum foil. </w:t>
      </w:r>
      <w:r>
        <w:rPr>
          <w:rFonts w:ascii="Helvetica" w:hAnsi="Helvetica"/>
          <w:b/>
          <w:bCs/>
          <w:sz w:val="22"/>
          <w:szCs w:val="22"/>
        </w:rPr>
        <w:t>TEXT: 300 x 450 mm, wiped with EtOH.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Video Editor: Overlay should appear at mention of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“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a small sheet of aluminum foil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”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Ash a glass fiber filter at 450 degrees Celsius for 4 hours in a muffle furnace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. Then, place the glass fiber filter a little above the midpoint of the longer axis of the tape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places a glass fiber filter in the muffle furnace.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TEXT: 10 mm </w:t>
      </w:r>
      <w:proofErr w:type="spellStart"/>
      <w:r>
        <w:rPr>
          <w:rFonts w:ascii="Helvetica" w:hAnsi="Helvetica"/>
          <w:b/>
          <w:bCs/>
          <w:sz w:val="22"/>
          <w:szCs w:val="22"/>
          <w:lang w:val="pt-PT"/>
        </w:rPr>
        <w:t>diameter</w:t>
      </w:r>
      <w:proofErr w:type="spellEnd"/>
      <w:r>
        <w:rPr>
          <w:rFonts w:ascii="Helvetica" w:hAnsi="Helvetica"/>
          <w:b/>
          <w:bCs/>
          <w:sz w:val="22"/>
          <w:szCs w:val="22"/>
          <w:lang w:val="pt-PT"/>
        </w:rPr>
        <w:t xml:space="preserve">, 2.7 </w:t>
      </w:r>
      <w:r>
        <w:rPr>
          <w:rFonts w:ascii="Symbol" w:hAnsi="Symbol"/>
          <w:sz w:val="22"/>
          <w:szCs w:val="22"/>
        </w:rPr>
        <w:t>m</w:t>
      </w:r>
      <w:r>
        <w:rPr>
          <w:rFonts w:ascii="Helvetica" w:hAnsi="Helvetica"/>
          <w:b/>
          <w:bCs/>
          <w:sz w:val="22"/>
          <w:szCs w:val="22"/>
        </w:rPr>
        <w:t>m pore size.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Video Editor: Overlay should appear at mention of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“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a glass fiber filter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”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Close-up shot of the PTFE tape as talent places the glass fiber </w:t>
      </w:r>
      <w:r>
        <w:rPr>
          <w:rFonts w:ascii="Helvetica" w:hAnsi="Helvetica"/>
          <w:sz w:val="22"/>
          <w:szCs w:val="22"/>
        </w:rPr>
        <w:t>filter on it.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spot 20 microliters of 0.9 moles per liter of sulfuric acid on the center of the glass fiber filter, and immediately fold the PTFE tape using flat-ended stamp and straight-ended tweezers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spots the sulfuric acid solution</w:t>
      </w:r>
      <w:r>
        <w:rPr>
          <w:rFonts w:ascii="Helvetica" w:hAnsi="Helvetica"/>
          <w:sz w:val="22"/>
          <w:szCs w:val="22"/>
        </w:rPr>
        <w:t xml:space="preserve"> on the glass fiber and folds the PTFE tape using the tweezers.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Videographer: Show sulfuric acid container label in frame if possible.</w:t>
      </w:r>
      <w:r>
        <w:rPr>
          <w:rFonts w:ascii="Helvetica" w:hAnsi="Helvetica"/>
          <w:sz w:val="22"/>
          <w:szCs w:val="22"/>
        </w:rPr>
        <w:t xml:space="preserve"> 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Flip the PTFE tape over the glass fiber filter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Then, seal both sides of the PTFE tape by folding and then tightly p</w:t>
      </w:r>
      <w:r>
        <w:rPr>
          <w:rFonts w:ascii="Helvetica" w:hAnsi="Helvetica"/>
          <w:sz w:val="22"/>
          <w:szCs w:val="22"/>
        </w:rPr>
        <w:t xml:space="preserve">ressing the edge with the tweezers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Video Editor: The authors have indicated that this step is important (questionnaire question 4).</w:t>
      </w:r>
      <w:r>
        <w:rPr>
          <w:rFonts w:ascii="Helvetica" w:hAnsi="Helvetica"/>
          <w:sz w:val="22"/>
          <w:szCs w:val="22"/>
        </w:rPr>
        <w:t xml:space="preserve"> 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flips the PTFE tape over the glass fiber filter.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[Shots 2.4.1 and 2.4.2 combined]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folds both side</w:t>
      </w:r>
      <w:r>
        <w:rPr>
          <w:rFonts w:ascii="Helvetica" w:hAnsi="Helvetica"/>
          <w:sz w:val="22"/>
          <w:szCs w:val="22"/>
        </w:rPr>
        <w:t xml:space="preserve">s of the PTFE tape and presses with edges with the tweezers. </w:t>
      </w:r>
      <w:r>
        <w:rPr>
          <w:rFonts w:ascii="Helvetica" w:hAnsi="Helvetica"/>
          <w:b/>
          <w:bCs/>
          <w:sz w:val="22"/>
          <w:szCs w:val="22"/>
        </w:rPr>
        <w:t>TEXT: Do not press hard and scratch tape.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Using the tweezers, fold the open end of the PTFE tape and press the edge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Video Editor: The authors have indicated that this step is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important (questionnaire question 4).</w:t>
      </w:r>
      <w:r>
        <w:rPr>
          <w:rFonts w:ascii="Helvetica" w:hAnsi="Helvetica"/>
          <w:sz w:val="22"/>
          <w:szCs w:val="22"/>
        </w:rPr>
        <w:t xml:space="preserve"> 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folds the open end of the PTFE tape and presses the edge.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Seal the open end of the PTFE tape by tightly pressing the edge with the tweezers, taking care not to press the glass fiber filter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</w:t>
      </w:r>
      <w:r>
        <w:rPr>
          <w:rFonts w:ascii="Helvetica" w:hAnsi="Helvetica"/>
          <w:sz w:val="22"/>
          <w:szCs w:val="22"/>
        </w:rPr>
        <w:t>t presses the edge of the PTFE tape with the tweezers.</w:t>
      </w:r>
    </w:p>
    <w:p w:rsidR="00265B70" w:rsidRDefault="004D64BD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Capturing Diffused 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+</w:t>
      </w:r>
      <w:r>
        <w:rPr>
          <w:rFonts w:ascii="Helvetica" w:hAnsi="Helvetica"/>
          <w:b/>
          <w:bCs/>
          <w:sz w:val="22"/>
          <w:szCs w:val="22"/>
        </w:rPr>
        <w:t xml:space="preserve"> in 2M 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2</w:t>
      </w:r>
      <w:r>
        <w:rPr>
          <w:rFonts w:ascii="Helvetica" w:hAnsi="Helvetica"/>
          <w:b/>
          <w:bCs/>
          <w:sz w:val="22"/>
          <w:szCs w:val="22"/>
        </w:rPr>
        <w:t>SO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</w:rPr>
        <w:t xml:space="preserve"> absorbed to the GF/D Filter in the PTFE Envelope and the Persulfate Oxidation of 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+</w:t>
      </w:r>
      <w:r>
        <w:rPr>
          <w:rFonts w:ascii="Helvetica" w:hAnsi="Helvetica"/>
          <w:b/>
          <w:bCs/>
          <w:sz w:val="22"/>
          <w:szCs w:val="22"/>
        </w:rPr>
        <w:t xml:space="preserve"> to NO</w:t>
      </w:r>
      <w:r>
        <w:rPr>
          <w:rFonts w:ascii="Helvetica" w:hAnsi="Helvetica"/>
          <w:b/>
          <w:bCs/>
          <w:sz w:val="22"/>
          <w:szCs w:val="22"/>
          <w:vertAlign w:val="subscript"/>
        </w:rPr>
        <w:t>3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−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Transfer 30 milligrams of </w:t>
      </w:r>
      <w:proofErr w:type="spellStart"/>
      <w:r>
        <w:rPr>
          <w:rFonts w:ascii="Helvetica" w:hAnsi="Helvetica"/>
          <w:sz w:val="22"/>
          <w:szCs w:val="22"/>
        </w:rPr>
        <w:t>ashed</w:t>
      </w:r>
      <w:proofErr w:type="spellEnd"/>
      <w:r>
        <w:rPr>
          <w:rFonts w:ascii="Helvetica" w:hAnsi="Helvetica"/>
          <w:sz w:val="22"/>
          <w:szCs w:val="22"/>
        </w:rPr>
        <w:t xml:space="preserve"> magnesium oxide to a 20-milliliter glas</w:t>
      </w:r>
      <w:r>
        <w:rPr>
          <w:rFonts w:ascii="Helvetica" w:hAnsi="Helvetica"/>
          <w:sz w:val="22"/>
          <w:szCs w:val="22"/>
        </w:rPr>
        <w:t xml:space="preserve">s </w:t>
      </w:r>
      <w:proofErr w:type="gramStart"/>
      <w:r>
        <w:rPr>
          <w:rFonts w:ascii="Helvetica" w:hAnsi="Helvetica"/>
          <w:sz w:val="22"/>
          <w:szCs w:val="22"/>
        </w:rPr>
        <w:t>vial, and</w:t>
      </w:r>
      <w:proofErr w:type="gramEnd"/>
      <w:r>
        <w:rPr>
          <w:rFonts w:ascii="Helvetica" w:hAnsi="Helvetica"/>
          <w:sz w:val="22"/>
          <w:szCs w:val="22"/>
        </w:rPr>
        <w:t xml:space="preserve"> place the PTFE envelope in the vial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adds the </w:t>
      </w:r>
      <w:proofErr w:type="spellStart"/>
      <w:r>
        <w:rPr>
          <w:rFonts w:ascii="Helvetica" w:hAnsi="Helvetica"/>
          <w:sz w:val="22"/>
          <w:szCs w:val="22"/>
        </w:rPr>
        <w:t>ashed</w:t>
      </w:r>
      <w:proofErr w:type="spellEnd"/>
      <w:r>
        <w:rPr>
          <w:rFonts w:ascii="Helvetica" w:hAnsi="Helvetica"/>
          <w:sz w:val="22"/>
          <w:szCs w:val="22"/>
        </w:rPr>
        <w:t xml:space="preserve"> magnesium oxide and PTFE envelope in the glass vial.</w:t>
      </w:r>
      <w:r>
        <w:rPr>
          <w:rFonts w:ascii="Helvetica" w:hAnsi="Helvetica"/>
          <w:sz w:val="22"/>
          <w:szCs w:val="22"/>
        </w:rPr>
        <w:t xml:space="preserve">  </w:t>
      </w:r>
      <w:r w:rsidR="00EF1388" w:rsidRPr="00EF1388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EF1388">
        <w:rPr>
          <w:rFonts w:ascii="Helvetica" w:hAnsi="Helvetica"/>
          <w:sz w:val="22"/>
          <w:szCs w:val="22"/>
          <w:highlight w:val="green"/>
        </w:rPr>
        <w:t>3 Takes</w:t>
      </w:r>
      <w:r w:rsidR="00EF1388" w:rsidRPr="00EF1388">
        <w:rPr>
          <w:rFonts w:ascii="Helvetica" w:hAnsi="Helvetica"/>
          <w:sz w:val="22"/>
          <w:szCs w:val="22"/>
          <w:highlight w:val="green"/>
        </w:rPr>
        <w:t>)</w:t>
      </w:r>
    </w:p>
    <w:p w:rsidR="00265B70" w:rsidRPr="00EF1388" w:rsidRDefault="004D64BD" w:rsidP="00EF1388">
      <w:pPr>
        <w:pStyle w:val="Body"/>
        <w:tabs>
          <w:tab w:val="left" w:pos="1368"/>
        </w:tabs>
        <w:spacing w:before="240"/>
        <w:ind w:left="1530" w:hanging="810"/>
        <w:outlineLvl w:val="0"/>
        <w:rPr>
          <w:rFonts w:ascii="Helvetica" w:eastAsia="Helvetica" w:hAnsi="Helvetica" w:cs="Helvetica"/>
          <w:color w:val="auto"/>
          <w:sz w:val="22"/>
          <w:szCs w:val="22"/>
        </w:rPr>
      </w:pPr>
      <w:r w:rsidRPr="00EF1388">
        <w:rPr>
          <w:rFonts w:ascii="Helvetica" w:hAnsi="Helvetica"/>
          <w:color w:val="auto"/>
          <w:sz w:val="22"/>
          <w:szCs w:val="22"/>
        </w:rPr>
        <w:t xml:space="preserve">3.1.1 A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[Added Shot]</w:t>
      </w:r>
      <w:r w:rsidR="00EF1388" w:rsidRPr="00EF1388">
        <w:rPr>
          <w:rFonts w:ascii="Helvetica" w:hAnsi="Helvetica"/>
          <w:color w:val="auto"/>
          <w:sz w:val="22"/>
          <w:szCs w:val="22"/>
        </w:rPr>
        <w:t xml:space="preserve">: </w:t>
      </w:r>
      <w:r w:rsidRPr="00EF1388">
        <w:rPr>
          <w:rFonts w:ascii="Helvetica" w:hAnsi="Helvetica"/>
          <w:color w:val="auto"/>
          <w:sz w:val="22"/>
          <w:szCs w:val="22"/>
        </w:rPr>
        <w:t xml:space="preserve">Continuation of 3.1.1 at different location. 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 xml:space="preserve">(Videographer Comment: </w:t>
      </w:r>
      <w:r w:rsidRPr="00EF1388">
        <w:rPr>
          <w:rFonts w:ascii="Helvetica" w:hAnsi="Helvetica"/>
          <w:color w:val="auto"/>
          <w:sz w:val="22"/>
          <w:szCs w:val="22"/>
          <w:highlight w:val="green"/>
        </w:rPr>
        <w:t>2 takes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)</w:t>
      </w:r>
      <w:r w:rsidR="00EF1388">
        <w:rPr>
          <w:rFonts w:ascii="Helvetica" w:hAnsi="Helvetica"/>
          <w:color w:val="auto"/>
          <w:sz w:val="22"/>
          <w:szCs w:val="22"/>
        </w:rPr>
        <w:t xml:space="preserve">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Transfer 5 milliliters of a previously prepared sample or standard into the vial containing the magnesium oxide and the PTFE envelope, and immediately close the vial with a gray butyl rubber stopper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. Then, seal the vial with an aluminum cap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 xml:space="preserve">. 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adds one of the samples or standards into the glass vial and seals the vial with a rubber stopper.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Videographer: Show samples and standards in frame if possible.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See text for sample and standard preps.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seals the vial with </w:t>
      </w:r>
      <w:r>
        <w:rPr>
          <w:rFonts w:ascii="Helvetica" w:hAnsi="Helvetica"/>
          <w:sz w:val="22"/>
          <w:szCs w:val="22"/>
        </w:rPr>
        <w:t xml:space="preserve">an aluminum cap. </w:t>
      </w:r>
      <w:r>
        <w:rPr>
          <w:rFonts w:ascii="Helvetica" w:hAnsi="Helvetica"/>
          <w:b/>
          <w:bCs/>
          <w:sz w:val="22"/>
          <w:szCs w:val="22"/>
        </w:rPr>
        <w:t>TEXT: Dilute if 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+</w:t>
      </w:r>
      <w:r>
        <w:rPr>
          <w:rFonts w:ascii="Helvetica" w:hAnsi="Helvetica"/>
          <w:b/>
          <w:bCs/>
          <w:sz w:val="22"/>
          <w:szCs w:val="22"/>
        </w:rPr>
        <w:t xml:space="preserve"> exceeds 500 </w:t>
      </w:r>
      <w:r>
        <w:rPr>
          <w:rFonts w:ascii="Symbol" w:hAnsi="Symbol"/>
          <w:sz w:val="22"/>
          <w:szCs w:val="22"/>
        </w:rPr>
        <w:t>m</w:t>
      </w:r>
      <w:r>
        <w:rPr>
          <w:rFonts w:ascii="Helvetica" w:hAnsi="Helvetica"/>
          <w:b/>
          <w:bCs/>
          <w:sz w:val="22"/>
          <w:szCs w:val="22"/>
        </w:rPr>
        <w:t>mol/L.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Shake the vials at 150 rpm for 3 hours at 4 degrees Celsius under dark conditions </w:t>
      </w:r>
      <w:r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places the vials on a reciprocating shaker and turns the shaker on.</w:t>
      </w:r>
    </w:p>
    <w:p w:rsidR="00265B70" w:rsidRPr="00EF1388" w:rsidRDefault="004D64BD" w:rsidP="00EF1388">
      <w:pPr>
        <w:pStyle w:val="Body"/>
        <w:tabs>
          <w:tab w:val="left" w:pos="1368"/>
        </w:tabs>
        <w:spacing w:before="240"/>
        <w:ind w:left="1530" w:hanging="810"/>
        <w:outlineLvl w:val="0"/>
        <w:rPr>
          <w:rFonts w:ascii="Helvetica" w:eastAsia="Helvetica" w:hAnsi="Helvetica" w:cs="Helvetica"/>
          <w:color w:val="auto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3.3.1-0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Extra shot prepping vials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Pr="00EF1388" w:rsidRDefault="004D64BD" w:rsidP="00EF1388">
      <w:pPr>
        <w:pStyle w:val="Body"/>
        <w:tabs>
          <w:tab w:val="left" w:pos="1368"/>
        </w:tabs>
        <w:spacing w:before="240"/>
        <w:ind w:left="1530" w:hanging="810"/>
        <w:outlineLvl w:val="0"/>
        <w:rPr>
          <w:rFonts w:ascii="Helvetica" w:eastAsia="Helvetica" w:hAnsi="Helvetica" w:cs="Helvetica"/>
          <w:color w:val="auto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3.3.1 A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Entering </w:t>
      </w:r>
      <w:proofErr w:type="gramStart"/>
      <w:r>
        <w:rPr>
          <w:rFonts w:ascii="Helvetica" w:hAnsi="Helvetica"/>
          <w:sz w:val="22"/>
          <w:szCs w:val="22"/>
        </w:rPr>
        <w:t>climate controlled</w:t>
      </w:r>
      <w:proofErr w:type="gramEnd"/>
      <w:r>
        <w:rPr>
          <w:rFonts w:ascii="Helvetica" w:hAnsi="Helvetica"/>
          <w:sz w:val="22"/>
          <w:szCs w:val="22"/>
        </w:rPr>
        <w:t xml:space="preserve"> room</w:t>
      </w:r>
      <w:r w:rsidR="00EF1388">
        <w:rPr>
          <w:rFonts w:ascii="Helvetica" w:hAnsi="Helvetica"/>
          <w:sz w:val="22"/>
          <w:szCs w:val="22"/>
        </w:rPr>
        <w:t xml:space="preserve">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Following this, remove the aluminum cap and the butyl rubber stopper from each vial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Remove the PTFE envelope from each vial using point-ended tweezers and thoroughly rinse the envelope and the tweezers with ion-exchanged water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Then, wipe the envelope and the tweezers with wiping paper and place the envelope on fresh wiping paper </w:t>
      </w:r>
      <w:r>
        <w:rPr>
          <w:rFonts w:ascii="Helvetica" w:hAnsi="Helvetica"/>
          <w:b/>
          <w:bCs/>
          <w:sz w:val="22"/>
          <w:szCs w:val="22"/>
        </w:rPr>
        <w:t>[3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removes the aluminum cap and the rubber stopper from one of the vials.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removes the PTFE envelope from one of the vials with tweezers and rinses the envelope and the tweezers with ion-exchanged water.</w:t>
      </w:r>
      <w:r>
        <w:rPr>
          <w:rFonts w:ascii="Helvetica" w:hAnsi="Helvetica"/>
          <w:sz w:val="22"/>
          <w:szCs w:val="22"/>
        </w:rPr>
        <w:t xml:space="preserve"> </w:t>
      </w:r>
      <w:r w:rsidR="00EF1388" w:rsidRPr="00EF1388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EF1388">
        <w:rPr>
          <w:rFonts w:ascii="Helvetica" w:hAnsi="Helvetica"/>
          <w:sz w:val="22"/>
          <w:szCs w:val="22"/>
          <w:highlight w:val="green"/>
        </w:rPr>
        <w:t xml:space="preserve">Slated as shooting </w:t>
      </w:r>
      <w:r w:rsidRPr="00EF1388">
        <w:rPr>
          <w:rFonts w:ascii="Helvetica" w:hAnsi="Helvetica"/>
          <w:sz w:val="22"/>
          <w:szCs w:val="22"/>
          <w:highlight w:val="green"/>
        </w:rPr>
        <w:t>together with 3.4.3 but also shot 3.4.3 after</w:t>
      </w:r>
      <w:r w:rsidR="00EF1388" w:rsidRPr="00EF1388">
        <w:rPr>
          <w:rFonts w:ascii="Helvetica" w:hAnsi="Helvetica"/>
          <w:sz w:val="22"/>
          <w:szCs w:val="22"/>
          <w:highlight w:val="green"/>
        </w:rPr>
        <w:t>)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wipes the envelope and the tweezers with wiping paper and then places the envelope on fresh wiping paper.</w:t>
      </w:r>
      <w:r>
        <w:rPr>
          <w:rFonts w:ascii="Helvetica" w:hAnsi="Helvetica"/>
          <w:sz w:val="22"/>
          <w:szCs w:val="22"/>
        </w:rPr>
        <w:t xml:space="preserve"> </w:t>
      </w:r>
      <w:r w:rsidR="00EF1388" w:rsidRPr="00EF1388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EF1388">
        <w:rPr>
          <w:rFonts w:ascii="Helvetica" w:hAnsi="Helvetica"/>
          <w:sz w:val="22"/>
          <w:szCs w:val="22"/>
          <w:highlight w:val="green"/>
        </w:rPr>
        <w:t>End of this includes some of 3.5.1</w:t>
      </w:r>
      <w:r w:rsidR="00EF1388" w:rsidRPr="00EF1388">
        <w:rPr>
          <w:rFonts w:ascii="Helvetica" w:hAnsi="Helvetica"/>
          <w:sz w:val="22"/>
          <w:szCs w:val="22"/>
          <w:highlight w:val="green"/>
        </w:rPr>
        <w:t>)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Open the PTFE envelope with flat-ended and pointed-ended </w:t>
      </w:r>
      <w:r>
        <w:rPr>
          <w:rFonts w:ascii="Helvetica" w:hAnsi="Helvetica"/>
          <w:sz w:val="22"/>
          <w:szCs w:val="22"/>
        </w:rPr>
        <w:t xml:space="preserve">tweezers in reverse order of the folding steps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Close-up shot of PTFE envelope as talent opens it with the tweezers.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flat-ended tweezers, hold the peripheral area of the glass fiber filter, where the sulfuric acid is supposed to be unabsorb</w:t>
      </w:r>
      <w:r>
        <w:rPr>
          <w:rFonts w:ascii="Helvetica" w:hAnsi="Helvetica"/>
          <w:sz w:val="22"/>
          <w:szCs w:val="22"/>
        </w:rPr>
        <w:t xml:space="preserve">ed, and transfer it into an 11-milliter screw cap test tube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Rinse the tweezers with ion-exchanged </w:t>
      </w:r>
      <w:proofErr w:type="gramStart"/>
      <w:r>
        <w:rPr>
          <w:rFonts w:ascii="Helvetica" w:hAnsi="Helvetica"/>
          <w:sz w:val="22"/>
          <w:szCs w:val="22"/>
        </w:rPr>
        <w:t>water, and</w:t>
      </w:r>
      <w:proofErr w:type="gramEnd"/>
      <w:r>
        <w:rPr>
          <w:rFonts w:ascii="Helvetica" w:hAnsi="Helvetica"/>
          <w:sz w:val="22"/>
          <w:szCs w:val="22"/>
        </w:rPr>
        <w:t xml:space="preserve"> wipe them with wiping paper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picks up the glass fiber filter with the flat-ended tweezers and transfers it to a screw cap</w:t>
      </w:r>
      <w:r>
        <w:rPr>
          <w:rFonts w:ascii="Helvetica" w:hAnsi="Helvetica"/>
          <w:sz w:val="22"/>
          <w:szCs w:val="22"/>
        </w:rPr>
        <w:t xml:space="preserve"> test tube.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rinses the tweezers with ion-exchanged water and wipes them with wiping paper. </w:t>
      </w:r>
      <w:r>
        <w:rPr>
          <w:rFonts w:ascii="Helvetica" w:hAnsi="Helvetica"/>
          <w:b/>
          <w:bCs/>
          <w:sz w:val="22"/>
          <w:szCs w:val="22"/>
        </w:rPr>
        <w:t>TEXT: Repeat previous steps for all envelopes.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Add 1 milliliter of ion-exchanged water to each test tube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Close the test tubes with PTFE-lined screw</w:t>
      </w:r>
      <w:r>
        <w:rPr>
          <w:rFonts w:ascii="Helvetica" w:hAnsi="Helvetica"/>
          <w:sz w:val="22"/>
          <w:szCs w:val="22"/>
        </w:rPr>
        <w:t xml:space="preserve"> caps and allow them to stand for at least 30 minutes at room temperature to completely elute the ammonium cation from the glass fiber filter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adds ion-exchanged water to each test tube.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closes the test tubes with the screw cap</w:t>
      </w:r>
      <w:r>
        <w:rPr>
          <w:rFonts w:ascii="Helvetica" w:hAnsi="Helvetica"/>
          <w:sz w:val="22"/>
          <w:szCs w:val="22"/>
        </w:rPr>
        <w:t>s and places them on a lab bench.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Following this, open the screw cap, add 2 milliliters of a previously prepared persulfate-oxidizing solution reagent to the test tube, and close the tube tightly with a screw cap to prevent any loss or contamination during</w:t>
      </w:r>
      <w:r>
        <w:rPr>
          <w:rFonts w:ascii="Helvetica" w:hAnsi="Helvetica"/>
          <w:sz w:val="22"/>
          <w:szCs w:val="22"/>
        </w:rPr>
        <w:t xml:space="preserve"> the following steps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opens the screw cap of one of the tubes, adds the persulfate-oxidizing solution reagent, and closes the test tube with a screw cap.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Videographer: Show persulfate-oxidizing solution reagent container label in frame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if possible.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See text for POR reagent prep.</w:t>
      </w:r>
      <w:r>
        <w:rPr>
          <w:rFonts w:ascii="Helvetica" w:hAnsi="Helvetica"/>
          <w:sz w:val="22"/>
          <w:szCs w:val="22"/>
        </w:rPr>
        <w:t xml:space="preserve"> </w:t>
      </w:r>
    </w:p>
    <w:p w:rsidR="00265B70" w:rsidRPr="00EF1388" w:rsidRDefault="004D64BD" w:rsidP="00EF1388">
      <w:pPr>
        <w:pStyle w:val="Body"/>
        <w:tabs>
          <w:tab w:val="left" w:pos="1368"/>
        </w:tabs>
        <w:spacing w:before="240"/>
        <w:ind w:left="1530" w:hanging="810"/>
        <w:outlineLvl w:val="0"/>
        <w:rPr>
          <w:rFonts w:ascii="Helvetica" w:eastAsia="Helvetica" w:hAnsi="Helvetica" w:cs="Helvetica"/>
          <w:color w:val="auto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3.8.1 A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Extra shot of tightening cap hard</w:t>
      </w:r>
      <w:r w:rsidR="00EF1388">
        <w:rPr>
          <w:rFonts w:ascii="Helvetica" w:hAnsi="Helvetica"/>
          <w:sz w:val="22"/>
          <w:szCs w:val="22"/>
        </w:rPr>
        <w:t xml:space="preserve">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Stand the test tubes on a rack, wrap them in double-layered aluminum foil, and autoclave them in an upright position for 1 hour at 121 degrees Celsius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places the test tubes in a rack, wraps them in aluminum foil, and places them in th</w:t>
      </w:r>
      <w:r>
        <w:rPr>
          <w:rFonts w:ascii="Helvetica" w:hAnsi="Helvetica"/>
          <w:sz w:val="22"/>
          <w:szCs w:val="22"/>
        </w:rPr>
        <w:t xml:space="preserve">e autoclave. </w:t>
      </w:r>
      <w:r>
        <w:rPr>
          <w:rFonts w:ascii="Helvetica" w:hAnsi="Helvetica"/>
          <w:b/>
          <w:bCs/>
          <w:sz w:val="22"/>
          <w:szCs w:val="22"/>
        </w:rPr>
        <w:t>TEXT: Avoid rapid temp changes after autoclaving.</w:t>
      </w:r>
      <w:r>
        <w:rPr>
          <w:rFonts w:ascii="Helvetica" w:hAnsi="Helvetica"/>
          <w:sz w:val="22"/>
          <w:szCs w:val="22"/>
        </w:rPr>
        <w:t xml:space="preserve"> </w:t>
      </w:r>
    </w:p>
    <w:p w:rsidR="00EF1388" w:rsidRPr="00EF1388" w:rsidRDefault="004D64BD" w:rsidP="00EF1388">
      <w:pPr>
        <w:pStyle w:val="Body"/>
        <w:tabs>
          <w:tab w:val="left" w:pos="1368"/>
        </w:tabs>
        <w:spacing w:before="240"/>
        <w:ind w:left="1530" w:hanging="810"/>
        <w:outlineLvl w:val="0"/>
        <w:rPr>
          <w:rFonts w:ascii="Helvetica" w:eastAsia="Helvetica" w:hAnsi="Helvetica" w:cs="Helvetica"/>
          <w:color w:val="auto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3.9.1 A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continuation in different </w:t>
      </w:r>
      <w:r w:rsidR="00EF1388">
        <w:rPr>
          <w:rFonts w:ascii="Helvetica" w:hAnsi="Helvetica"/>
          <w:sz w:val="22"/>
          <w:szCs w:val="22"/>
        </w:rPr>
        <w:t xml:space="preserve">location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Default="00265B70">
      <w:pPr>
        <w:pStyle w:val="Body"/>
        <w:tabs>
          <w:tab w:val="left" w:pos="1368"/>
        </w:tabs>
        <w:spacing w:before="240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4D64BD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Determining the NO</w:t>
      </w:r>
      <w:r>
        <w:rPr>
          <w:rFonts w:ascii="Helvetica" w:hAnsi="Helvetica"/>
          <w:b/>
          <w:bCs/>
          <w:sz w:val="22"/>
          <w:szCs w:val="22"/>
          <w:vertAlign w:val="subscript"/>
        </w:rPr>
        <w:t>3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−</w:t>
      </w:r>
      <w:r>
        <w:rPr>
          <w:rFonts w:ascii="Helvetica" w:hAnsi="Helvetica"/>
          <w:b/>
          <w:bCs/>
          <w:sz w:val="22"/>
          <w:szCs w:val="22"/>
        </w:rPr>
        <w:t xml:space="preserve"> Converted from 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+</w:t>
      </w:r>
      <w:r>
        <w:rPr>
          <w:rFonts w:ascii="Helvetica" w:hAnsi="Helvetica"/>
          <w:b/>
          <w:bCs/>
          <w:sz w:val="22"/>
          <w:szCs w:val="22"/>
        </w:rPr>
        <w:t xml:space="preserve"> by the </w:t>
      </w:r>
      <w:proofErr w:type="spellStart"/>
      <w:r>
        <w:rPr>
          <w:rFonts w:ascii="Helvetica" w:hAnsi="Helvetica"/>
          <w:b/>
          <w:bCs/>
          <w:sz w:val="22"/>
          <w:szCs w:val="22"/>
        </w:rPr>
        <w:t>Denitrifier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Method Using Quadrupole GC/MS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Mix 100 milliliters of sterile 40 millimoles per liter phosphate buffer and 100 milliliters of sterile 30 millimoles per liter glucose aseptically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mixes the phosphate buffer and glucose in an Erlenmeyer flask on a clean bench.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Add a glyce</w:t>
      </w:r>
      <w:r>
        <w:rPr>
          <w:rFonts w:ascii="Helvetica" w:hAnsi="Helvetica"/>
          <w:sz w:val="22"/>
          <w:szCs w:val="22"/>
        </w:rPr>
        <w:t xml:space="preserve">rol stock of </w:t>
      </w:r>
      <w:r>
        <w:rPr>
          <w:rFonts w:ascii="Helvetica" w:hAnsi="Helvetica"/>
          <w:i/>
          <w:iCs/>
          <w:sz w:val="22"/>
          <w:szCs w:val="22"/>
          <w:lang w:val="de-DE"/>
        </w:rPr>
        <w:t xml:space="preserve">P. </w:t>
      </w:r>
      <w:proofErr w:type="spellStart"/>
      <w:r>
        <w:rPr>
          <w:rFonts w:ascii="Helvetica" w:hAnsi="Helvetica"/>
          <w:i/>
          <w:iCs/>
          <w:sz w:val="22"/>
          <w:szCs w:val="22"/>
          <w:lang w:val="de-DE"/>
        </w:rPr>
        <w:t>chlororaphis</w:t>
      </w:r>
      <w:proofErr w:type="spellEnd"/>
      <w:r>
        <w:rPr>
          <w:rFonts w:ascii="Helvetica" w:hAnsi="Helvetica"/>
          <w:sz w:val="22"/>
          <w:szCs w:val="22"/>
        </w:rPr>
        <w:t xml:space="preserve"> to 200 milliliters of the phosphate-buffered glucose solution in a 300-milliliter Erlenmeyer flask, and purge with an ultra-pure helium stream for 1 hour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i/>
          <w:iCs/>
          <w:color w:val="2F5496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adds a glycerol stock solution of </w:t>
      </w:r>
      <w:r>
        <w:rPr>
          <w:rFonts w:ascii="Helvetica" w:hAnsi="Helvetica"/>
          <w:i/>
          <w:iCs/>
          <w:sz w:val="22"/>
          <w:szCs w:val="22"/>
          <w:lang w:val="de-DE"/>
        </w:rPr>
        <w:t xml:space="preserve">P. </w:t>
      </w:r>
      <w:proofErr w:type="spellStart"/>
      <w:r>
        <w:rPr>
          <w:rFonts w:ascii="Helvetica" w:hAnsi="Helvetica"/>
          <w:i/>
          <w:iCs/>
          <w:sz w:val="22"/>
          <w:szCs w:val="22"/>
          <w:lang w:val="de-DE"/>
        </w:rPr>
        <w:t>chlororaphis</w:t>
      </w:r>
      <w:proofErr w:type="spellEnd"/>
      <w:r>
        <w:rPr>
          <w:rFonts w:ascii="Helvetica" w:hAnsi="Helvetica"/>
          <w:sz w:val="22"/>
          <w:szCs w:val="22"/>
        </w:rPr>
        <w:t xml:space="preserve"> to an Erlenmeyer flask containing the phosphate-buffered glucose solution and purges the solution with an ultra-pure helium stream. </w:t>
      </w:r>
      <w:r>
        <w:rPr>
          <w:rFonts w:ascii="Helvetica" w:hAnsi="Helvetica"/>
          <w:b/>
          <w:bCs/>
          <w:sz w:val="22"/>
          <w:szCs w:val="22"/>
        </w:rPr>
        <w:t>TEXT: 1/7.2 volume.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Video Editor: Overlay should appear at mention of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“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a glycerol stock of P. </w:t>
      </w:r>
      <w:proofErr w:type="spellStart"/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chlororaphis</w:t>
      </w:r>
      <w:proofErr w:type="spellEnd"/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”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.</w:t>
      </w:r>
    </w:p>
    <w:p w:rsidR="00265B70" w:rsidRDefault="004D64BD" w:rsidP="00EF1388">
      <w:pPr>
        <w:pStyle w:val="Body"/>
        <w:tabs>
          <w:tab w:val="left" w:pos="1368"/>
        </w:tabs>
        <w:spacing w:before="240"/>
        <w:ind w:left="1080" w:hanging="360"/>
        <w:outlineLvl w:val="0"/>
        <w:rPr>
          <w:rFonts w:ascii="Helvetica" w:eastAsia="Helvetica" w:hAnsi="Helvetica" w:cs="Helvetica"/>
          <w:i/>
          <w:iCs/>
          <w:color w:val="2F5496"/>
          <w:sz w:val="22"/>
          <w:szCs w:val="22"/>
          <w:u w:color="2F5496"/>
        </w:rPr>
      </w:pP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4.2.1 A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Purge solution in different location</w:t>
      </w:r>
      <w:r w:rsidR="00EF1388"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Default="004D64BD" w:rsidP="00EF1388">
      <w:pPr>
        <w:pStyle w:val="Body"/>
        <w:tabs>
          <w:tab w:val="left" w:pos="1368"/>
        </w:tabs>
        <w:spacing w:before="240"/>
        <w:ind w:left="1080" w:hanging="360"/>
        <w:outlineLvl w:val="0"/>
        <w:rPr>
          <w:rFonts w:ascii="Helvetica" w:eastAsia="Helvetica" w:hAnsi="Helvetica" w:cs="Helvetica"/>
          <w:i/>
          <w:iCs/>
          <w:color w:val="2F5496"/>
          <w:sz w:val="22"/>
          <w:szCs w:val="22"/>
          <w:u w:color="2F5496"/>
        </w:rPr>
      </w:pP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4.2.1 B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CU of bubbles - no slate</w:t>
      </w:r>
      <w:r w:rsidR="00EF1388">
        <w:rPr>
          <w:rFonts w:ascii="Helvetica" w:hAnsi="Helvetica"/>
          <w:i/>
          <w:iCs/>
          <w:color w:val="2F5496"/>
          <w:sz w:val="22"/>
          <w:szCs w:val="22"/>
          <w:u w:color="2F5496"/>
        </w:rPr>
        <w:t xml:space="preserve"> </w:t>
      </w:r>
      <w:r w:rsidR="00EF1388" w:rsidRPr="00EF1388">
        <w:rPr>
          <w:rFonts w:ascii="Helvetica" w:hAnsi="Helvetica"/>
          <w:color w:val="auto"/>
          <w:sz w:val="22"/>
          <w:szCs w:val="22"/>
          <w:highlight w:val="green"/>
        </w:rPr>
        <w:t>(Editor: Unsure if this needs to be used)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dispense 2 milliliters of a previously prepared </w:t>
      </w:r>
      <w:proofErr w:type="spellStart"/>
      <w:r>
        <w:rPr>
          <w:rFonts w:ascii="Helvetica" w:hAnsi="Helvetica"/>
          <w:sz w:val="22"/>
          <w:szCs w:val="22"/>
        </w:rPr>
        <w:t>denitrifier</w:t>
      </w:r>
      <w:proofErr w:type="spellEnd"/>
      <w:r>
        <w:rPr>
          <w:rFonts w:ascii="Helvetica" w:hAnsi="Helvetica"/>
          <w:sz w:val="22"/>
          <w:szCs w:val="22"/>
        </w:rPr>
        <w:t xml:space="preserve"> suspension into 5-milliliter vials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. Cap each vial with a gray butyl rubber stopper and an aluminum closure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dispenses the </w:t>
      </w:r>
      <w:proofErr w:type="spellStart"/>
      <w:r>
        <w:rPr>
          <w:rFonts w:ascii="Helvetica" w:hAnsi="Helvetica"/>
          <w:sz w:val="22"/>
          <w:szCs w:val="22"/>
        </w:rPr>
        <w:t>denitrifier</w:t>
      </w:r>
      <w:proofErr w:type="spellEnd"/>
      <w:r>
        <w:rPr>
          <w:rFonts w:ascii="Helvetica" w:hAnsi="Helvetica"/>
          <w:sz w:val="22"/>
          <w:szCs w:val="22"/>
        </w:rPr>
        <w:t xml:space="preserve"> suspension into the vials. </w:t>
      </w:r>
      <w:r>
        <w:rPr>
          <w:rFonts w:ascii="Helvetica" w:hAnsi="Helvetica"/>
          <w:b/>
          <w:bCs/>
          <w:sz w:val="22"/>
          <w:szCs w:val="22"/>
        </w:rPr>
        <w:t>TEXT</w:t>
      </w:r>
      <w:r>
        <w:rPr>
          <w:rFonts w:ascii="Helvetica" w:hAnsi="Helvetica"/>
          <w:b/>
          <w:bCs/>
          <w:sz w:val="22"/>
          <w:szCs w:val="22"/>
        </w:rPr>
        <w:t xml:space="preserve">: See text for </w:t>
      </w:r>
      <w:proofErr w:type="spellStart"/>
      <w:r>
        <w:rPr>
          <w:rFonts w:ascii="Helvetica" w:hAnsi="Helvetica"/>
          <w:b/>
          <w:bCs/>
          <w:sz w:val="22"/>
          <w:szCs w:val="22"/>
        </w:rPr>
        <w:t>denitrifier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prep.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caps each vial with a rubber stopper and an aluminum closure. 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Replace the headspace air with ultra-pure helium by vacuuming for 3 minutes and charging the helium for 1 minute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Set the headspace gas positiv</w:t>
      </w:r>
      <w:r>
        <w:rPr>
          <w:rFonts w:ascii="Helvetica" w:hAnsi="Helvetica"/>
          <w:sz w:val="22"/>
          <w:szCs w:val="22"/>
        </w:rPr>
        <w:t xml:space="preserve">e pressure to 1.3 atmospheres to avoid unintentional air contamination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turns on the vacuum.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sets the headspace positive pressure and introduces ultra-pure helium to each vial.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Videographer: Show headspace gas positive pressur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e reading in frame if possible.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Inject 1 milliliter of a sample or standard through the butyl rubber stopper using a 1-milliliter disposable syringe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. Then, incubate the vials overnight at 25 degrees Celsius under dark conditions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injects a sample or standard into</w:t>
      </w:r>
      <w:r>
        <w:rPr>
          <w:rFonts w:ascii="Helvetica" w:hAnsi="Helvetica"/>
          <w:sz w:val="22"/>
          <w:szCs w:val="22"/>
        </w:rPr>
        <w:t xml:space="preserve"> each vial with a syringe. </w:t>
      </w:r>
      <w:r>
        <w:rPr>
          <w:rFonts w:ascii="Helvetica" w:hAnsi="Helvetica"/>
          <w:b/>
          <w:bCs/>
          <w:sz w:val="22"/>
          <w:szCs w:val="22"/>
        </w:rPr>
        <w:t>TEXT: Note exact amount.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EF1388" w:rsidRPr="00EF1388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Pr="00EF1388">
        <w:rPr>
          <w:rFonts w:ascii="Helvetica" w:hAnsi="Helvetica"/>
          <w:sz w:val="22"/>
          <w:szCs w:val="22"/>
          <w:highlight w:val="green"/>
        </w:rPr>
        <w:t>Added element of weighing and setting to 0 before adding sample.</w:t>
      </w:r>
      <w:r w:rsidR="00EF1388" w:rsidRPr="00EF1388">
        <w:rPr>
          <w:rFonts w:ascii="Helvetica" w:hAnsi="Helvetica"/>
          <w:sz w:val="22"/>
          <w:szCs w:val="22"/>
          <w:highlight w:val="green"/>
        </w:rPr>
        <w:t>)</w:t>
      </w:r>
    </w:p>
    <w:p w:rsidR="00265B70" w:rsidRDefault="004D64BD" w:rsidP="00EF1388">
      <w:pPr>
        <w:pStyle w:val="Body"/>
        <w:tabs>
          <w:tab w:val="left" w:pos="1368"/>
        </w:tabs>
        <w:spacing w:before="240"/>
        <w:ind w:firstLine="810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4.5.1 A </w:t>
      </w:r>
      <w:r w:rsidR="00EF1388" w:rsidRPr="00EF1388">
        <w:rPr>
          <w:rFonts w:ascii="Helvetica" w:hAnsi="Helvetica"/>
          <w:sz w:val="22"/>
          <w:szCs w:val="22"/>
          <w:highlight w:val="green"/>
        </w:rPr>
        <w:t>[Added Shot]</w:t>
      </w:r>
      <w:r w:rsidR="00EF1388" w:rsidRPr="00EF1388">
        <w:rPr>
          <w:rFonts w:ascii="Helvetica" w:hAnsi="Helvetica"/>
          <w:sz w:val="22"/>
          <w:szCs w:val="22"/>
        </w:rPr>
        <w:t xml:space="preserve">: </w:t>
      </w:r>
      <w:r w:rsidRPr="00EF1388">
        <w:rPr>
          <w:rFonts w:ascii="Helvetica" w:hAnsi="Helvetica"/>
          <w:sz w:val="22"/>
          <w:szCs w:val="22"/>
        </w:rPr>
        <w:t>CU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places the vials in a laboratory incubator.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On the following day, inject 0.3 milliliters of 6 moles per liter sodiu</w:t>
      </w:r>
      <w:r>
        <w:rPr>
          <w:rFonts w:ascii="Helvetica" w:hAnsi="Helvetica"/>
          <w:sz w:val="22"/>
          <w:szCs w:val="22"/>
        </w:rPr>
        <w:t xml:space="preserve">m hydroxide to stop the denitrification and absorb the headspace carbon dioxide, which will otherwise disturb the nitrous oxide analysis because carbon dioxide and nitrous oxide have the same molecular weight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injects sodium hydroxide into</w:t>
      </w:r>
      <w:r>
        <w:rPr>
          <w:rFonts w:ascii="Helvetica" w:hAnsi="Helvetica"/>
          <w:sz w:val="22"/>
          <w:szCs w:val="22"/>
        </w:rPr>
        <w:t xml:space="preserve"> each vial.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Determine the amounts of nitrous oxide with a molecular weight of 44, 45 and 46 in the headspace gas using quadrupole GC/MS with a modified injection port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places the vials in the GC/MS instrument for the analysis. </w:t>
      </w:r>
      <w:r>
        <w:rPr>
          <w:rFonts w:ascii="Helvetica" w:hAnsi="Helvetica"/>
          <w:b/>
          <w:bCs/>
          <w:sz w:val="22"/>
          <w:szCs w:val="22"/>
        </w:rPr>
        <w:t>TEXT: Se</w:t>
      </w:r>
      <w:r>
        <w:rPr>
          <w:rFonts w:ascii="Helvetica" w:hAnsi="Helvetica"/>
          <w:b/>
          <w:bCs/>
          <w:sz w:val="22"/>
          <w:szCs w:val="22"/>
        </w:rPr>
        <w:t>e table 2 for GC/MS conditions.</w:t>
      </w: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color w:val="FF0000"/>
          <w:sz w:val="22"/>
          <w:szCs w:val="22"/>
          <w:u w:color="FF0000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color w:val="FF0000"/>
          <w:sz w:val="22"/>
          <w:szCs w:val="22"/>
          <w:u w:color="FF0000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color w:val="FF0000"/>
          <w:sz w:val="22"/>
          <w:szCs w:val="22"/>
          <w:u w:color="FF0000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b/>
          <w:bCs/>
          <w:color w:val="FF0000"/>
          <w:sz w:val="22"/>
          <w:szCs w:val="22"/>
          <w:u w:color="FF0000"/>
        </w:rPr>
      </w:pPr>
    </w:p>
    <w:p w:rsidR="00265B70" w:rsidRDefault="00265B70">
      <w:pPr>
        <w:pStyle w:val="Body"/>
        <w:rPr>
          <w:rFonts w:ascii="Helvetica" w:eastAsia="Helvetica" w:hAnsi="Helvetica" w:cs="Helvetica"/>
          <w:color w:val="323E4F"/>
          <w:spacing w:val="5"/>
          <w:kern w:val="28"/>
          <w:sz w:val="52"/>
          <w:szCs w:val="52"/>
          <w:u w:color="323E4F"/>
        </w:rPr>
      </w:pPr>
    </w:p>
    <w:p w:rsidR="00EF1388" w:rsidRDefault="00EF1388">
      <w:pPr>
        <w:rPr>
          <w:rFonts w:ascii="Helvetica" w:eastAsia="Calibri Light" w:hAnsi="Helvetica" w:cs="Calibri Light"/>
          <w:color w:val="323E4F"/>
          <w:spacing w:val="5"/>
          <w:kern w:val="28"/>
          <w:sz w:val="52"/>
          <w:szCs w:val="52"/>
          <w:u w:color="323E4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</w:rPr>
        <w:br w:type="page"/>
      </w:r>
    </w:p>
    <w:p w:rsidR="00265B70" w:rsidRDefault="004D64BD">
      <w:pPr>
        <w:pStyle w:val="Title"/>
        <w:jc w:val="center"/>
        <w:rPr>
          <w:rFonts w:ascii="Helvetica" w:eastAsia="Helvetica" w:hAnsi="Helvetica" w:cs="Helvetica"/>
        </w:rPr>
      </w:pPr>
      <w:bookmarkStart w:id="0" w:name="_GoBack"/>
      <w:bookmarkEnd w:id="0"/>
      <w:r>
        <w:rPr>
          <w:rFonts w:ascii="Helvetica" w:hAnsi="Helvetica"/>
        </w:rPr>
        <w:lastRenderedPageBreak/>
        <w:t xml:space="preserve">Section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Results</w:t>
      </w:r>
    </w:p>
    <w:p w:rsidR="00265B70" w:rsidRDefault="004D64BD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Results: Determination of DNRA Rate Based on 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14</w:t>
      </w:r>
      <w:r>
        <w:rPr>
          <w:rFonts w:ascii="Helvetica" w:hAnsi="Helvetica"/>
          <w:b/>
          <w:bCs/>
          <w:sz w:val="22"/>
          <w:szCs w:val="22"/>
        </w:rPr>
        <w:t>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+</w:t>
      </w:r>
      <w:r>
        <w:rPr>
          <w:rFonts w:ascii="Helvetica" w:hAnsi="Helvetica"/>
          <w:b/>
          <w:bCs/>
          <w:sz w:val="22"/>
          <w:szCs w:val="22"/>
        </w:rPr>
        <w:t>/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15</w:t>
      </w:r>
      <w:r>
        <w:rPr>
          <w:rFonts w:ascii="Helvetica" w:hAnsi="Helvetica"/>
          <w:b/>
          <w:bCs/>
          <w:sz w:val="22"/>
          <w:szCs w:val="22"/>
        </w:rPr>
        <w:t>NH</w:t>
      </w:r>
      <w:r>
        <w:rPr>
          <w:rFonts w:ascii="Helvetica" w:hAnsi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>+</w:t>
      </w:r>
      <w:r>
        <w:rPr>
          <w:rFonts w:ascii="Helvetica" w:hAnsi="Helvetica"/>
          <w:b/>
          <w:bCs/>
          <w:sz w:val="22"/>
          <w:szCs w:val="22"/>
        </w:rPr>
        <w:t xml:space="preserve"> Analyses 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representative results were derived from fifteen nitrogen-tracing experiments of salt marsh sediments created from the 2011 Great East Japan Earthquake in the </w:t>
      </w:r>
      <w:proofErr w:type="spellStart"/>
      <w:r>
        <w:rPr>
          <w:rFonts w:ascii="Helvetica" w:hAnsi="Helvetica"/>
          <w:sz w:val="22"/>
          <w:szCs w:val="22"/>
        </w:rPr>
        <w:t>Moune</w:t>
      </w:r>
      <w:proofErr w:type="spellEnd"/>
      <w:r>
        <w:rPr>
          <w:rFonts w:ascii="Helvetica" w:hAnsi="Helvetica"/>
          <w:sz w:val="22"/>
          <w:szCs w:val="22"/>
        </w:rPr>
        <w:t xml:space="preserve"> area of </w:t>
      </w:r>
      <w:proofErr w:type="spellStart"/>
      <w:r>
        <w:rPr>
          <w:rFonts w:ascii="Helvetica" w:hAnsi="Helvetica"/>
          <w:sz w:val="22"/>
          <w:szCs w:val="22"/>
        </w:rPr>
        <w:t>Kesen-numa</w:t>
      </w:r>
      <w:proofErr w:type="spellEnd"/>
      <w:r>
        <w:rPr>
          <w:rFonts w:ascii="Helvetica" w:hAnsi="Helvetica"/>
          <w:sz w:val="22"/>
          <w:szCs w:val="22"/>
        </w:rPr>
        <w:t xml:space="preserve"> city in Miyagi Prefecture, Japan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An increase in the labeled amm</w:t>
      </w:r>
      <w:r>
        <w:rPr>
          <w:rFonts w:ascii="Helvetica" w:hAnsi="Helvetica"/>
          <w:sz w:val="22"/>
          <w:szCs w:val="22"/>
        </w:rPr>
        <w:t xml:space="preserve">onium concentration throughout the incubation period was observed for all sediments collected in the subtidal and intertidal zones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*To be provided by author.  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 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DNRA rates were within the range of 24.8 to 177 and are comparable to values reported in previous studies, but higher than values derived from similar environments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3 </w:t>
      </w:r>
      <w:r>
        <w:rPr>
          <w:rFonts w:ascii="Helvetica" w:hAnsi="Helvetica"/>
          <w:sz w:val="22"/>
          <w:szCs w:val="22"/>
        </w:rPr>
        <w:t xml:space="preserve">–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Video Editor: Highlight DNRA rate column.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high DRNA rate may be explained by the salt marsh being used as a cultivation field before the earthquake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Consistent with this speculation, the DNRA rate in the intertidal zone, which is rich in organic compounds compared to the subtidal zone, was</w:t>
      </w:r>
      <w:r>
        <w:rPr>
          <w:rFonts w:ascii="Helvetica" w:hAnsi="Helvetica"/>
          <w:sz w:val="22"/>
          <w:szCs w:val="22"/>
        </w:rPr>
        <w:t xml:space="preserve"> higher </w:t>
      </w:r>
      <w:r>
        <w:rPr>
          <w:rFonts w:ascii="Helvetica" w:hAnsi="Helvetica"/>
          <w:b/>
          <w:bCs/>
          <w:sz w:val="22"/>
          <w:szCs w:val="22"/>
          <w:lang w:val="pt-PT"/>
        </w:rPr>
        <w:t>[2]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3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3 </w:t>
      </w:r>
      <w:r>
        <w:rPr>
          <w:rFonts w:ascii="Helvetica" w:hAnsi="Helvetica"/>
          <w:sz w:val="22"/>
          <w:szCs w:val="22"/>
        </w:rPr>
        <w:t xml:space="preserve">– </w:t>
      </w:r>
      <w:r>
        <w:rPr>
          <w:rFonts w:ascii="Helvetica" w:hAnsi="Helvetica"/>
          <w:i/>
          <w:iCs/>
          <w:color w:val="2F5496"/>
          <w:sz w:val="22"/>
          <w:szCs w:val="22"/>
          <w:u w:color="2F5496"/>
        </w:rPr>
        <w:t>Video Editor: Highlight two intertidal DNRA rates (177 and 129).</w:t>
      </w:r>
    </w:p>
    <w:p w:rsidR="00265B70" w:rsidRDefault="00265B70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</w:p>
    <w:p w:rsidR="00265B70" w:rsidRDefault="004D64BD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:rsidR="00265B70" w:rsidRDefault="004D64BD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Conclusion</w:t>
      </w:r>
    </w:p>
    <w:p w:rsidR="00265B70" w:rsidRDefault="004D64BD">
      <w:pPr>
        <w:pStyle w:val="Body"/>
        <w:numPr>
          <w:ilvl w:val="0"/>
          <w:numId w:val="6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Interview Statements: (Said by you on camera) - All interview statements may be edited for length and c</w:t>
      </w:r>
      <w:r>
        <w:rPr>
          <w:rFonts w:ascii="Helvetica" w:hAnsi="Helvetica"/>
          <w:b/>
          <w:bCs/>
          <w:sz w:val="22"/>
          <w:szCs w:val="22"/>
        </w:rPr>
        <w:t>larity.</w:t>
      </w:r>
    </w:p>
    <w:p w:rsidR="00265B70" w:rsidRDefault="004D64BD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Megumi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Kuroiwa</w:t>
      </w:r>
      <w:proofErr w:type="spellEnd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Our protocol is widely applicable to analysis of metabolic pathways which involves ammonium formation under fifteen nitrogen tracer addition conditions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:rsidR="00265B70" w:rsidRDefault="004D64BD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Megumi </w:t>
      </w:r>
      <w:proofErr w:type="spellStart"/>
      <w:r>
        <w:rPr>
          <w:rFonts w:ascii="Helvetica" w:hAnsi="Helvetica"/>
          <w:sz w:val="22"/>
          <w:szCs w:val="22"/>
        </w:rPr>
        <w:t>Kuroiwa</w:t>
      </w:r>
      <w:proofErr w:type="spellEnd"/>
      <w:r>
        <w:rPr>
          <w:rFonts w:ascii="Helvetica" w:hAnsi="Helvetica"/>
          <w:sz w:val="22"/>
          <w:szCs w:val="22"/>
        </w:rPr>
        <w:t xml:space="preserve"> says the statement above in an interview-style shot, looking slightly off</w:t>
      </w:r>
      <w:r>
        <w:rPr>
          <w:rFonts w:ascii="Helvetica" w:hAnsi="Helvetica"/>
          <w:sz w:val="22"/>
          <w:szCs w:val="22"/>
        </w:rPr>
        <w:t>-camera.</w:t>
      </w:r>
    </w:p>
    <w:sectPr w:rsidR="00265B7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BD" w:rsidRDefault="004D64BD">
      <w:r>
        <w:separator/>
      </w:r>
    </w:p>
  </w:endnote>
  <w:endnote w:type="continuationSeparator" w:id="0">
    <w:p w:rsidR="004D64BD" w:rsidRDefault="004D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B70" w:rsidRDefault="004D64BD">
    <w:pPr>
      <w:pStyle w:val="Footer"/>
      <w:ind w:right="360"/>
      <w:jc w:val="center"/>
    </w:pPr>
    <w:r>
      <w:rPr>
        <w:rFonts w:ascii="Symbol" w:hAnsi="Symbol"/>
      </w:rPr>
      <w:t>Ó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 w:rsidR="00EF1388">
      <w:rPr>
        <w:rFonts w:ascii="Arial" w:eastAsia="Arial" w:hAnsi="Arial" w:cs="Arial"/>
        <w:sz w:val="22"/>
        <w:szCs w:val="22"/>
      </w:rPr>
      <w:fldChar w:fldCharType="separate"/>
    </w:r>
    <w:r w:rsidR="00EF1388"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 w:rsidR="00EF1388">
      <w:rPr>
        <w:rFonts w:ascii="Arial" w:eastAsia="Arial" w:hAnsi="Arial" w:cs="Arial"/>
        <w:sz w:val="22"/>
        <w:szCs w:val="22"/>
      </w:rPr>
      <w:fldChar w:fldCharType="separate"/>
    </w:r>
    <w:r w:rsidR="00EF1388"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BD" w:rsidRDefault="004D64BD">
      <w:r>
        <w:separator/>
      </w:r>
    </w:p>
  </w:footnote>
  <w:footnote w:type="continuationSeparator" w:id="0">
    <w:p w:rsidR="004D64BD" w:rsidRDefault="004D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B70" w:rsidRDefault="004D64BD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857518</wp:posOffset>
          </wp:positionH>
          <wp:positionV relativeFrom="page">
            <wp:posOffset>209619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008000"/>
        <w:sz w:val="28"/>
        <w:szCs w:val="28"/>
        <w:u w:val="single" w:color="008000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96CE5"/>
    <w:multiLevelType w:val="hybridMultilevel"/>
    <w:tmpl w:val="C1DED452"/>
    <w:numStyleLink w:val="ImportedStyle1"/>
  </w:abstractNum>
  <w:abstractNum w:abstractNumId="1" w15:restartNumberingAfterBreak="0">
    <w:nsid w:val="40716CA6"/>
    <w:multiLevelType w:val="hybridMultilevel"/>
    <w:tmpl w:val="C1DED452"/>
    <w:styleLink w:val="ImportedStyle1"/>
    <w:lvl w:ilvl="0" w:tplc="DAA809B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A1558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D670A4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3E21A6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9CC2F4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E07F0A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A6862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ADA06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5AF6C8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9CF2061"/>
    <w:multiLevelType w:val="multilevel"/>
    <w:tmpl w:val="0280575C"/>
    <w:styleLink w:val="ImportedStyle2"/>
    <w:lvl w:ilvl="0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800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800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0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0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0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7201E2"/>
    <w:multiLevelType w:val="multilevel"/>
    <w:tmpl w:val="078CDA50"/>
    <w:numStyleLink w:val="ImportedStyle3"/>
  </w:abstractNum>
  <w:abstractNum w:abstractNumId="4" w15:restartNumberingAfterBreak="0">
    <w:nsid w:val="6E434961"/>
    <w:multiLevelType w:val="multilevel"/>
    <w:tmpl w:val="0280575C"/>
    <w:numStyleLink w:val="ImportedStyle2"/>
  </w:abstractNum>
  <w:abstractNum w:abstractNumId="5" w15:restartNumberingAfterBreak="0">
    <w:nsid w:val="75FD4B7B"/>
    <w:multiLevelType w:val="multilevel"/>
    <w:tmpl w:val="078CDA50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70"/>
    <w:rsid w:val="00265B70"/>
    <w:rsid w:val="004D64BD"/>
    <w:rsid w:val="00E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8197C"/>
  <w15:docId w15:val="{7261801C-D36E-2346-AD3D-FEDF2D93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eastAsia="Times" w:hAnsi="Times" w:cs="Times"/>
      <w:i/>
      <w:iCs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sz w:val="22"/>
      <w:szCs w:val="22"/>
      <w:u w:val="single" w:color="0000FF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M10">
    <w:name w:val="CM10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outline w:val="0"/>
      <w:color w:val="0000FF"/>
      <w:sz w:val="22"/>
      <w:szCs w:val="22"/>
      <w:u w:val="single" w:color="0000FF"/>
    </w:rPr>
  </w:style>
  <w:style w:type="paragraph" w:styleId="Title">
    <w:name w:val="Title"/>
    <w:next w:val="Body"/>
    <w:uiPriority w:val="10"/>
    <w:qFormat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3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ro.25w@g.chuo-u.ac.jp" TargetMode="External"/><Relationship Id="rId13" Type="http://schemas.openxmlformats.org/officeDocument/2006/relationships/hyperlink" Target="mailto:ckatsu@hiroshima-u.ac.j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66458" TargetMode="External"/><Relationship Id="rId12" Type="http://schemas.openxmlformats.org/officeDocument/2006/relationships/hyperlink" Target="mailto:t.casiar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kiko.senga@sci.toho-u.ac.j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gs.blo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itarktaro.f@gmail.com" TargetMode="External"/><Relationship Id="rId14" Type="http://schemas.openxmlformats.org/officeDocument/2006/relationships/hyperlink" Target="mailto:y-suwa@bio.chuo-u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2185</Words>
  <Characters>12460</Characters>
  <Application>Microsoft Office Word</Application>
  <DocSecurity>0</DocSecurity>
  <Lines>103</Lines>
  <Paragraphs>29</Paragraphs>
  <ScaleCrop>false</ScaleCrop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Iannazzi</cp:lastModifiedBy>
  <cp:revision>2</cp:revision>
  <dcterms:created xsi:type="dcterms:W3CDTF">2020-01-16T18:25:00Z</dcterms:created>
  <dcterms:modified xsi:type="dcterms:W3CDTF">2020-01-16T18:31:00Z</dcterms:modified>
</cp:coreProperties>
</file>