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C1A1C" w14:textId="257F8514" w:rsidR="00161C43" w:rsidRPr="00FF0B41" w:rsidRDefault="00917C73" w:rsidP="00161C43">
      <w:pPr>
        <w:spacing w:after="0" w:line="240" w:lineRule="auto"/>
        <w:ind w:left="6480"/>
        <w:jc w:val="both"/>
        <w:rPr>
          <w:sz w:val="22"/>
        </w:rPr>
      </w:pPr>
      <w:r>
        <w:rPr>
          <w:sz w:val="22"/>
        </w:rPr>
        <w:t>April</w:t>
      </w:r>
      <w:bookmarkStart w:id="0" w:name="_GoBack"/>
      <w:bookmarkEnd w:id="0"/>
      <w:r w:rsidR="006C453F">
        <w:rPr>
          <w:sz w:val="22"/>
        </w:rPr>
        <w:t xml:space="preserve"> </w:t>
      </w:r>
      <w:r>
        <w:rPr>
          <w:sz w:val="22"/>
        </w:rPr>
        <w:t>2</w:t>
      </w:r>
      <w:r w:rsidR="006C453F">
        <w:rPr>
          <w:sz w:val="22"/>
        </w:rPr>
        <w:t>, 2019</w:t>
      </w:r>
    </w:p>
    <w:p w14:paraId="67A3EE05" w14:textId="77777777" w:rsidR="009B6585" w:rsidRPr="00027E54" w:rsidRDefault="009B6585" w:rsidP="009B6585">
      <w:pPr>
        <w:spacing w:after="0" w:line="240" w:lineRule="auto"/>
        <w:jc w:val="both"/>
        <w:rPr>
          <w:sz w:val="22"/>
        </w:rPr>
      </w:pPr>
    </w:p>
    <w:p w14:paraId="16EF2ADB" w14:textId="77777777" w:rsidR="009B6585" w:rsidRPr="00027E54" w:rsidRDefault="009B6585" w:rsidP="009B6585">
      <w:pPr>
        <w:spacing w:after="0" w:line="240" w:lineRule="auto"/>
        <w:jc w:val="both"/>
        <w:rPr>
          <w:sz w:val="22"/>
        </w:rPr>
      </w:pPr>
    </w:p>
    <w:p w14:paraId="704BE2C1" w14:textId="38E5E9AA" w:rsidR="009B6585" w:rsidRPr="00027E54" w:rsidRDefault="006667DD" w:rsidP="009B6585">
      <w:pPr>
        <w:spacing w:after="0" w:line="240" w:lineRule="auto"/>
        <w:jc w:val="both"/>
        <w:rPr>
          <w:sz w:val="22"/>
        </w:rPr>
      </w:pPr>
      <w:r w:rsidRPr="00027E54">
        <w:rPr>
          <w:sz w:val="22"/>
        </w:rPr>
        <w:t xml:space="preserve">Dear </w:t>
      </w:r>
      <w:r w:rsidR="00161C43">
        <w:rPr>
          <w:sz w:val="22"/>
        </w:rPr>
        <w:t>Dr. Wu</w:t>
      </w:r>
      <w:r w:rsidR="009B6585" w:rsidRPr="00027E54">
        <w:rPr>
          <w:sz w:val="22"/>
        </w:rPr>
        <w:t>,</w:t>
      </w:r>
    </w:p>
    <w:p w14:paraId="2A470618" w14:textId="77777777" w:rsidR="009B6585" w:rsidRPr="00027E54" w:rsidRDefault="009B6585" w:rsidP="009B6585">
      <w:pPr>
        <w:spacing w:after="0" w:line="240" w:lineRule="auto"/>
        <w:ind w:firstLine="720"/>
        <w:jc w:val="both"/>
        <w:rPr>
          <w:sz w:val="22"/>
        </w:rPr>
      </w:pPr>
    </w:p>
    <w:p w14:paraId="01C1837D" w14:textId="396051E2" w:rsidR="009B6585" w:rsidRPr="00027E54" w:rsidRDefault="009B6585" w:rsidP="00027E54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808080" w:themeColor="background1" w:themeShade="80"/>
          <w:sz w:val="22"/>
          <w:szCs w:val="22"/>
        </w:rPr>
      </w:pPr>
      <w:r w:rsidRPr="00027E54">
        <w:rPr>
          <w:rFonts w:ascii="Times New Roman" w:hAnsi="Times New Roman" w:cs="Times New Roman"/>
          <w:sz w:val="22"/>
          <w:szCs w:val="22"/>
        </w:rPr>
        <w:t xml:space="preserve">Please find enclosed our </w:t>
      </w:r>
      <w:r w:rsidR="00917C73">
        <w:rPr>
          <w:rFonts w:ascii="Times New Roman" w:hAnsi="Times New Roman" w:cs="Times New Roman"/>
          <w:sz w:val="22"/>
          <w:szCs w:val="22"/>
        </w:rPr>
        <w:t xml:space="preserve">fourth </w:t>
      </w:r>
      <w:r w:rsidR="00055873">
        <w:rPr>
          <w:rFonts w:ascii="Times New Roman" w:hAnsi="Times New Roman" w:cs="Times New Roman"/>
          <w:sz w:val="22"/>
          <w:szCs w:val="22"/>
        </w:rPr>
        <w:t>(R</w:t>
      </w:r>
      <w:r w:rsidR="00917C73">
        <w:rPr>
          <w:rFonts w:ascii="Times New Roman" w:hAnsi="Times New Roman" w:cs="Times New Roman"/>
          <w:sz w:val="22"/>
          <w:szCs w:val="22"/>
        </w:rPr>
        <w:t>3</w:t>
      </w:r>
      <w:r w:rsidR="00055873">
        <w:rPr>
          <w:rFonts w:ascii="Times New Roman" w:hAnsi="Times New Roman" w:cs="Times New Roman"/>
          <w:sz w:val="22"/>
          <w:szCs w:val="22"/>
        </w:rPr>
        <w:t>)</w:t>
      </w:r>
      <w:r w:rsidR="0088519E">
        <w:rPr>
          <w:rFonts w:ascii="Times New Roman" w:hAnsi="Times New Roman" w:cs="Times New Roman"/>
          <w:sz w:val="22"/>
          <w:szCs w:val="22"/>
        </w:rPr>
        <w:t xml:space="preserve"> revision of</w:t>
      </w:r>
      <w:r w:rsidR="00161C43">
        <w:rPr>
          <w:rFonts w:ascii="Times New Roman" w:hAnsi="Times New Roman" w:cs="Times New Roman"/>
          <w:sz w:val="22"/>
          <w:szCs w:val="22"/>
        </w:rPr>
        <w:t xml:space="preserve"> </w:t>
      </w:r>
      <w:r w:rsidRPr="00161C43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manuscript </w:t>
      </w:r>
      <w:r w:rsidR="00161C43" w:rsidRPr="00161C43">
        <w:rPr>
          <w:rFonts w:ascii="Times New Roman" w:eastAsia="Calibri" w:hAnsi="Times New Roman" w:cs="Times New Roman"/>
          <w:color w:val="auto"/>
          <w:sz w:val="22"/>
          <w:szCs w:val="22"/>
        </w:rPr>
        <w:t>JoVE59553,</w:t>
      </w:r>
      <w:r w:rsidR="00161C43">
        <w:t xml:space="preserve"> </w:t>
      </w:r>
      <w:r w:rsidRPr="00027E54">
        <w:rPr>
          <w:rFonts w:ascii="Times New Roman" w:hAnsi="Times New Roman" w:cs="Times New Roman"/>
          <w:sz w:val="22"/>
          <w:szCs w:val="22"/>
        </w:rPr>
        <w:t>enti</w:t>
      </w:r>
      <w:r w:rsidRPr="00027E54">
        <w:rPr>
          <w:rFonts w:ascii="Times New Roman" w:eastAsia="Calibri" w:hAnsi="Times New Roman" w:cs="Times New Roman"/>
          <w:color w:val="auto"/>
          <w:sz w:val="22"/>
          <w:szCs w:val="22"/>
        </w:rPr>
        <w:t>tled “</w:t>
      </w:r>
      <w:r w:rsidR="00027E54" w:rsidRPr="00027E54">
        <w:rPr>
          <w:rFonts w:ascii="Times New Roman" w:eastAsia="Calibri" w:hAnsi="Times New Roman" w:cs="Times New Roman"/>
          <w:color w:val="auto"/>
          <w:sz w:val="22"/>
          <w:szCs w:val="22"/>
        </w:rPr>
        <w:t>Electrochemical Roughening of Thin-Film Platinum Macro and Microelectrodes</w:t>
      </w:r>
      <w:r w:rsidRPr="00027E54">
        <w:rPr>
          <w:rFonts w:ascii="Times New Roman" w:eastAsia="Calibri" w:hAnsi="Times New Roman" w:cs="Times New Roman"/>
          <w:color w:val="auto"/>
          <w:sz w:val="22"/>
          <w:szCs w:val="22"/>
        </w:rPr>
        <w:t>” for</w:t>
      </w:r>
      <w:r w:rsidRPr="00027E54">
        <w:rPr>
          <w:rFonts w:ascii="Times New Roman" w:hAnsi="Times New Roman" w:cs="Times New Roman"/>
          <w:sz w:val="22"/>
          <w:szCs w:val="22"/>
        </w:rPr>
        <w:t xml:space="preserve"> consideration </w:t>
      </w:r>
      <w:r w:rsidR="00161C43">
        <w:rPr>
          <w:rFonts w:ascii="Times New Roman" w:hAnsi="Times New Roman" w:cs="Times New Roman"/>
          <w:sz w:val="22"/>
          <w:szCs w:val="22"/>
        </w:rPr>
        <w:t>as an article in</w:t>
      </w:r>
      <w:r w:rsidR="00027E54" w:rsidRPr="00027E54">
        <w:rPr>
          <w:rFonts w:ascii="Times New Roman" w:hAnsi="Times New Roman" w:cs="Times New Roman"/>
          <w:sz w:val="22"/>
          <w:szCs w:val="22"/>
        </w:rPr>
        <w:t xml:space="preserve"> </w:t>
      </w:r>
      <w:r w:rsidR="00027E54" w:rsidRPr="00027E54">
        <w:rPr>
          <w:rFonts w:ascii="Times New Roman" w:hAnsi="Times New Roman" w:cs="Times New Roman"/>
          <w:i/>
          <w:sz w:val="22"/>
          <w:szCs w:val="22"/>
        </w:rPr>
        <w:t>The Journal of Visual Experiments</w:t>
      </w:r>
      <w:r w:rsidR="00027E54" w:rsidRPr="00027E54">
        <w:rPr>
          <w:rFonts w:ascii="Times New Roman" w:hAnsi="Times New Roman" w:cs="Times New Roman"/>
          <w:sz w:val="22"/>
          <w:szCs w:val="22"/>
        </w:rPr>
        <w:t>.</w:t>
      </w:r>
    </w:p>
    <w:p w14:paraId="06034200" w14:textId="77777777" w:rsidR="009A4F7F" w:rsidRPr="00027E54" w:rsidRDefault="009A4F7F" w:rsidP="009A4F7F">
      <w:pPr>
        <w:spacing w:after="0" w:line="240" w:lineRule="auto"/>
        <w:ind w:firstLine="720"/>
        <w:jc w:val="both"/>
        <w:rPr>
          <w:sz w:val="22"/>
        </w:rPr>
      </w:pPr>
    </w:p>
    <w:p w14:paraId="1A0618E6" w14:textId="1A9A7BC6" w:rsidR="00161C43" w:rsidRDefault="00161C43" w:rsidP="00027E54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We have revised the manuscript </w:t>
      </w:r>
      <w:r w:rsidR="006C453F">
        <w:rPr>
          <w:sz w:val="22"/>
        </w:rPr>
        <w:t>to address all changes requested by editors</w:t>
      </w:r>
      <w:r>
        <w:rPr>
          <w:sz w:val="22"/>
        </w:rPr>
        <w:t xml:space="preserve">. The revisions are indicated </w:t>
      </w:r>
      <w:r w:rsidR="005B47CC">
        <w:rPr>
          <w:sz w:val="22"/>
        </w:rPr>
        <w:t>by track changes</w:t>
      </w:r>
      <w:r>
        <w:rPr>
          <w:sz w:val="22"/>
        </w:rPr>
        <w:t xml:space="preserve"> in the version of the revised manuscript </w:t>
      </w:r>
      <w:r w:rsidR="0088519E">
        <w:rPr>
          <w:sz w:val="22"/>
        </w:rPr>
        <w:t xml:space="preserve">document </w:t>
      </w:r>
      <w:r>
        <w:rPr>
          <w:sz w:val="22"/>
        </w:rPr>
        <w:t>entitled 59553_R</w:t>
      </w:r>
      <w:r w:rsidR="00917C73">
        <w:rPr>
          <w:sz w:val="22"/>
        </w:rPr>
        <w:t>3</w:t>
      </w:r>
      <w:r>
        <w:rPr>
          <w:sz w:val="22"/>
        </w:rPr>
        <w:t xml:space="preserve">. </w:t>
      </w:r>
      <w:r w:rsidR="009B6585" w:rsidRPr="00027E54">
        <w:rPr>
          <w:sz w:val="22"/>
        </w:rPr>
        <w:t xml:space="preserve">We </w:t>
      </w:r>
      <w:r w:rsidR="006C453F">
        <w:rPr>
          <w:sz w:val="22"/>
        </w:rPr>
        <w:t>believe</w:t>
      </w:r>
      <w:r>
        <w:rPr>
          <w:sz w:val="22"/>
        </w:rPr>
        <w:t xml:space="preserve"> these revisions </w:t>
      </w:r>
      <w:r w:rsidR="00917C73">
        <w:rPr>
          <w:sz w:val="22"/>
        </w:rPr>
        <w:t>now make the filmed (highlighted) portion of the manuscript less than 2.75 pages</w:t>
      </w:r>
      <w:r w:rsidR="0088519E">
        <w:rPr>
          <w:sz w:val="22"/>
        </w:rPr>
        <w:t>.</w:t>
      </w:r>
    </w:p>
    <w:p w14:paraId="68E5C05E" w14:textId="77777777" w:rsidR="006C453F" w:rsidRPr="00027E54" w:rsidRDefault="006C453F" w:rsidP="00027E54">
      <w:pPr>
        <w:spacing w:after="0" w:line="240" w:lineRule="auto"/>
        <w:jc w:val="both"/>
        <w:rPr>
          <w:sz w:val="22"/>
        </w:rPr>
      </w:pPr>
    </w:p>
    <w:p w14:paraId="6B8FA399" w14:textId="77777777" w:rsidR="006C453F" w:rsidRPr="00027E54" w:rsidRDefault="006C453F" w:rsidP="006C453F">
      <w:pPr>
        <w:spacing w:after="0" w:line="240" w:lineRule="auto"/>
        <w:jc w:val="both"/>
        <w:rPr>
          <w:sz w:val="22"/>
        </w:rPr>
      </w:pPr>
      <w:r w:rsidRPr="00027E54">
        <w:rPr>
          <w:sz w:val="22"/>
        </w:rPr>
        <w:t>In this work, we present a method to electrochemically roughen thin-film</w:t>
      </w:r>
      <w:r>
        <w:rPr>
          <w:sz w:val="22"/>
        </w:rPr>
        <w:t xml:space="preserve"> </w:t>
      </w:r>
      <w:r w:rsidRPr="00027E54">
        <w:rPr>
          <w:sz w:val="22"/>
        </w:rPr>
        <w:t>without comprising the fidelity of the film. Previously published electrochemical methods for roughening of thicker films damage thin-film electrodes. Our modified method can be used for the roughening of micro or macro think-film electrodes. Finally, we demonstrate how to characterize the active surface area of both the macro and microelectrodes.</w:t>
      </w:r>
    </w:p>
    <w:p w14:paraId="70D65926" w14:textId="05639BC7" w:rsidR="009B6585" w:rsidRPr="00027E54" w:rsidRDefault="009B6585" w:rsidP="00027E54">
      <w:pPr>
        <w:pStyle w:val="text"/>
        <w:rPr>
          <w:sz w:val="22"/>
          <w:szCs w:val="22"/>
        </w:rPr>
      </w:pPr>
      <w:r w:rsidRPr="00027E54">
        <w:rPr>
          <w:sz w:val="22"/>
          <w:szCs w:val="22"/>
        </w:rPr>
        <w:t xml:space="preserve">All authors have seen and approved the submission of this manuscript. This work </w:t>
      </w:r>
      <w:r w:rsidR="00027E54" w:rsidRPr="00027E54">
        <w:rPr>
          <w:sz w:val="22"/>
          <w:szCs w:val="22"/>
        </w:rPr>
        <w:t xml:space="preserve">is based on techniques we first reported in Ivanovskaya AN, Belle AM, Yorita AM, Qian F, Chen S, Tooker A, Garcia Lozada R, Dahlquist D, Tolosa VM. “Electrochemical Roughening of Thin-Film Platinum for Neural Probe Arrays and Biosensing Applications,” </w:t>
      </w:r>
      <w:r w:rsidR="00027E54" w:rsidRPr="00027E54">
        <w:rPr>
          <w:i/>
          <w:iCs/>
          <w:sz w:val="22"/>
          <w:szCs w:val="22"/>
        </w:rPr>
        <w:t xml:space="preserve">J. </w:t>
      </w:r>
      <w:proofErr w:type="spellStart"/>
      <w:r w:rsidR="00027E54" w:rsidRPr="00027E54">
        <w:rPr>
          <w:i/>
          <w:iCs/>
          <w:sz w:val="22"/>
          <w:szCs w:val="22"/>
        </w:rPr>
        <w:t>Electrochem</w:t>
      </w:r>
      <w:proofErr w:type="spellEnd"/>
      <w:r w:rsidR="00027E54" w:rsidRPr="00027E54">
        <w:rPr>
          <w:i/>
          <w:iCs/>
          <w:sz w:val="22"/>
          <w:szCs w:val="22"/>
        </w:rPr>
        <w:t>. Soc.</w:t>
      </w:r>
      <w:r w:rsidR="00027E54" w:rsidRPr="00027E54">
        <w:rPr>
          <w:sz w:val="22"/>
          <w:szCs w:val="22"/>
        </w:rPr>
        <w:t xml:space="preserve"> 2018 vol 165, issue 12, G3125-G3132</w:t>
      </w:r>
      <w:r w:rsidRPr="00027E54">
        <w:rPr>
          <w:sz w:val="22"/>
          <w:szCs w:val="22"/>
        </w:rPr>
        <w:t>.</w:t>
      </w:r>
      <w:r w:rsidR="00834C62" w:rsidRPr="00027E54">
        <w:rPr>
          <w:sz w:val="22"/>
          <w:szCs w:val="22"/>
        </w:rPr>
        <w:t xml:space="preserve"> </w:t>
      </w:r>
      <w:r w:rsidR="00027E54" w:rsidRPr="00027E54">
        <w:rPr>
          <w:sz w:val="22"/>
          <w:szCs w:val="22"/>
        </w:rPr>
        <w:t>Additionally, t</w:t>
      </w:r>
      <w:r w:rsidR="00834C62" w:rsidRPr="00027E54">
        <w:rPr>
          <w:sz w:val="22"/>
          <w:szCs w:val="22"/>
        </w:rPr>
        <w:t xml:space="preserve">here has been a </w:t>
      </w:r>
      <w:r w:rsidR="00EB5888" w:rsidRPr="00027E54">
        <w:rPr>
          <w:sz w:val="22"/>
          <w:szCs w:val="22"/>
        </w:rPr>
        <w:t>published patent application filed for this work under number</w:t>
      </w:r>
      <w:r w:rsidR="00AE509B" w:rsidRPr="00027E54">
        <w:rPr>
          <w:sz w:val="22"/>
          <w:szCs w:val="22"/>
        </w:rPr>
        <w:t xml:space="preserve"> US 2017 0350034</w:t>
      </w:r>
      <w:r w:rsidR="00EB5888" w:rsidRPr="00027E54">
        <w:rPr>
          <w:sz w:val="22"/>
          <w:szCs w:val="22"/>
        </w:rPr>
        <w:t>.</w:t>
      </w:r>
    </w:p>
    <w:p w14:paraId="6A270954" w14:textId="77777777" w:rsidR="009B6585" w:rsidRPr="00FF0B41" w:rsidRDefault="009B6585" w:rsidP="009B6585">
      <w:pPr>
        <w:spacing w:after="0" w:line="240" w:lineRule="auto"/>
        <w:ind w:firstLine="720"/>
        <w:jc w:val="both"/>
        <w:rPr>
          <w:sz w:val="22"/>
        </w:rPr>
      </w:pPr>
    </w:p>
    <w:p w14:paraId="1DB019CC" w14:textId="77777777" w:rsidR="009B6585" w:rsidRPr="00FF0B41" w:rsidRDefault="009B6585" w:rsidP="009B6585">
      <w:pPr>
        <w:spacing w:after="0" w:line="240" w:lineRule="auto"/>
        <w:rPr>
          <w:sz w:val="22"/>
        </w:rPr>
      </w:pPr>
      <w:r w:rsidRPr="00FF0B41">
        <w:rPr>
          <w:sz w:val="22"/>
        </w:rPr>
        <w:t>Sincerely,</w:t>
      </w:r>
    </w:p>
    <w:p w14:paraId="07DA78DC" w14:textId="6607F4E4" w:rsidR="009B6585" w:rsidRDefault="009B6585" w:rsidP="009B6585">
      <w:pPr>
        <w:spacing w:after="0" w:line="240" w:lineRule="auto"/>
        <w:rPr>
          <w:sz w:val="22"/>
        </w:rPr>
      </w:pPr>
    </w:p>
    <w:p w14:paraId="5A4AB7CD" w14:textId="352C0226" w:rsidR="00CC6F7E" w:rsidRDefault="00027E54" w:rsidP="009B6585">
      <w:pPr>
        <w:spacing w:after="0" w:line="240" w:lineRule="auto"/>
        <w:rPr>
          <w:sz w:val="22"/>
        </w:rPr>
      </w:pPr>
      <w:r>
        <w:rPr>
          <w:noProof/>
          <w:sz w:val="22"/>
        </w:rPr>
        <w:drawing>
          <wp:inline distT="0" distB="0" distL="0" distR="0" wp14:anchorId="745B4B56" wp14:editId="3251A28F">
            <wp:extent cx="1055807" cy="374979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291" cy="38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DC80E" w14:textId="77777777" w:rsidR="00CC6F7E" w:rsidRDefault="00CC6F7E" w:rsidP="009B6585">
      <w:pPr>
        <w:spacing w:after="0" w:line="240" w:lineRule="auto"/>
        <w:rPr>
          <w:sz w:val="22"/>
        </w:rPr>
      </w:pPr>
    </w:p>
    <w:p w14:paraId="04CF389E" w14:textId="77777777" w:rsidR="00CC6F7E" w:rsidRDefault="00CC6F7E" w:rsidP="00CC6F7E">
      <w:pPr>
        <w:spacing w:after="0" w:line="252" w:lineRule="auto"/>
        <w:rPr>
          <w:szCs w:val="24"/>
        </w:rPr>
      </w:pPr>
      <w:r>
        <w:rPr>
          <w:szCs w:val="24"/>
        </w:rPr>
        <w:t>Anna Belle, Ph.D.</w:t>
      </w:r>
    </w:p>
    <w:p w14:paraId="1CBBA5FF" w14:textId="77777777" w:rsidR="00CC6F7E" w:rsidRDefault="00CC6F7E" w:rsidP="00CC6F7E">
      <w:pPr>
        <w:spacing w:after="0" w:line="252" w:lineRule="auto"/>
        <w:rPr>
          <w:szCs w:val="24"/>
        </w:rPr>
      </w:pPr>
      <w:r>
        <w:rPr>
          <w:szCs w:val="24"/>
        </w:rPr>
        <w:t>7000 East Avenue, L-222</w:t>
      </w:r>
    </w:p>
    <w:p w14:paraId="65DBDBA3" w14:textId="77777777" w:rsidR="00CC6F7E" w:rsidRDefault="00CC6F7E" w:rsidP="00CC6F7E">
      <w:pPr>
        <w:spacing w:after="0" w:line="252" w:lineRule="auto"/>
        <w:rPr>
          <w:szCs w:val="24"/>
        </w:rPr>
      </w:pPr>
      <w:r>
        <w:rPr>
          <w:szCs w:val="24"/>
        </w:rPr>
        <w:t>Livermore, CA 94550</w:t>
      </w:r>
    </w:p>
    <w:p w14:paraId="3E85D84D" w14:textId="77777777" w:rsidR="00CC6F7E" w:rsidRDefault="00CC6F7E" w:rsidP="00CC6F7E">
      <w:pPr>
        <w:spacing w:after="0" w:line="252" w:lineRule="auto"/>
        <w:rPr>
          <w:szCs w:val="24"/>
        </w:rPr>
      </w:pPr>
      <w:r>
        <w:rPr>
          <w:szCs w:val="24"/>
        </w:rPr>
        <w:t>Office: 925-424-6606</w:t>
      </w:r>
    </w:p>
    <w:p w14:paraId="2FC7E4E1" w14:textId="77777777" w:rsidR="00CC6F7E" w:rsidRDefault="00CC6F7E" w:rsidP="00CC6F7E">
      <w:pPr>
        <w:spacing w:after="0" w:line="252" w:lineRule="auto"/>
        <w:rPr>
          <w:szCs w:val="24"/>
        </w:rPr>
      </w:pPr>
      <w:r>
        <w:rPr>
          <w:szCs w:val="24"/>
        </w:rPr>
        <w:t>Cell: 925-640-1014</w:t>
      </w:r>
    </w:p>
    <w:p w14:paraId="22A45C97" w14:textId="77777777" w:rsidR="00CC6F7E" w:rsidRDefault="00CC6F7E" w:rsidP="00CC6F7E">
      <w:pPr>
        <w:spacing w:after="0" w:line="252" w:lineRule="auto"/>
        <w:rPr>
          <w:szCs w:val="24"/>
        </w:rPr>
      </w:pPr>
      <w:r>
        <w:rPr>
          <w:szCs w:val="24"/>
        </w:rPr>
        <w:t>Email: </w:t>
      </w:r>
      <w:hyperlink r:id="rId7" w:history="1">
        <w:r>
          <w:rPr>
            <w:rStyle w:val="Hyperlink"/>
            <w:szCs w:val="24"/>
          </w:rPr>
          <w:t>belle1@llnl.gov</w:t>
        </w:r>
      </w:hyperlink>
    </w:p>
    <w:sectPr w:rsidR="00CC6F7E" w:rsidSect="00B444F8">
      <w:headerReference w:type="default" r:id="rId8"/>
      <w:headerReference w:type="first" r:id="rId9"/>
      <w:footerReference w:type="first" r:id="rId10"/>
      <w:pgSz w:w="12240" w:h="15840" w:code="1"/>
      <w:pgMar w:top="720" w:right="1800" w:bottom="720" w:left="180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022C6" w14:textId="77777777" w:rsidR="00557AD6" w:rsidRDefault="00557AD6" w:rsidP="00744886">
      <w:pPr>
        <w:spacing w:after="0" w:line="240" w:lineRule="auto"/>
      </w:pPr>
      <w:r>
        <w:separator/>
      </w:r>
    </w:p>
  </w:endnote>
  <w:endnote w:type="continuationSeparator" w:id="0">
    <w:p w14:paraId="60CBC1EC" w14:textId="77777777" w:rsidR="00557AD6" w:rsidRDefault="00557AD6" w:rsidP="0074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00"/>
      <w:gridCol w:w="900"/>
    </w:tblGrid>
    <w:tr w:rsidR="00946210" w:rsidRPr="00D43F95" w14:paraId="05C71834" w14:textId="77777777" w:rsidTr="00D43F95">
      <w:trPr>
        <w:jc w:val="center"/>
      </w:trPr>
      <w:tc>
        <w:tcPr>
          <w:tcW w:w="9900" w:type="dxa"/>
          <w:vAlign w:val="bottom"/>
        </w:tcPr>
        <w:p w14:paraId="29E62270" w14:textId="77777777" w:rsidR="00946210" w:rsidRPr="00D43F95" w:rsidRDefault="00A7372E" w:rsidP="00D43F95">
          <w:pPr>
            <w:pStyle w:val="Footer"/>
            <w:jc w:val="right"/>
            <w:rPr>
              <w:sz w:val="22"/>
            </w:rPr>
          </w:pPr>
          <w:r w:rsidRPr="006B0085">
            <w:rPr>
              <w:noProof/>
              <w:sz w:val="22"/>
            </w:rPr>
            <w:drawing>
              <wp:inline distT="0" distB="0" distL="0" distR="0" wp14:anchorId="6B5C5657" wp14:editId="506932D4">
                <wp:extent cx="5613400" cy="292100"/>
                <wp:effectExtent l="0" t="0" r="0" b="0"/>
                <wp:docPr id="3" name="Picture 6" descr="equalopp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equalopp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3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" w:type="dxa"/>
          <w:vAlign w:val="bottom"/>
        </w:tcPr>
        <w:p w14:paraId="7CC3FCD3" w14:textId="77777777" w:rsidR="00946210" w:rsidRPr="00D43F95" w:rsidRDefault="00A7372E" w:rsidP="00D43F95">
          <w:pPr>
            <w:pStyle w:val="Footer"/>
            <w:jc w:val="right"/>
            <w:rPr>
              <w:sz w:val="22"/>
            </w:rPr>
          </w:pPr>
          <w:r w:rsidRPr="006B0085">
            <w:rPr>
              <w:noProof/>
              <w:sz w:val="22"/>
            </w:rPr>
            <w:drawing>
              <wp:inline distT="0" distB="0" distL="0" distR="0" wp14:anchorId="6ECFC628" wp14:editId="33F1CFE3">
                <wp:extent cx="406400" cy="596900"/>
                <wp:effectExtent l="0" t="0" r="0" b="0"/>
                <wp:docPr id="4" name="Picture 3" descr="recycle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cycle.jpg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F82595" w14:textId="77777777" w:rsidR="00946210" w:rsidRDefault="00946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38549" w14:textId="77777777" w:rsidR="00557AD6" w:rsidRDefault="00557AD6" w:rsidP="00744886">
      <w:pPr>
        <w:spacing w:after="0" w:line="240" w:lineRule="auto"/>
      </w:pPr>
      <w:r>
        <w:separator/>
      </w:r>
    </w:p>
  </w:footnote>
  <w:footnote w:type="continuationSeparator" w:id="0">
    <w:p w14:paraId="31A86B21" w14:textId="77777777" w:rsidR="00557AD6" w:rsidRDefault="00557AD6" w:rsidP="00744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D4FDF" w14:textId="77777777" w:rsidR="001B2D7C" w:rsidRDefault="001B2D7C">
    <w:pPr>
      <w:pStyle w:val="Header"/>
    </w:pPr>
  </w:p>
  <w:p w14:paraId="5A2E0F9A" w14:textId="77777777" w:rsidR="001B2D7C" w:rsidRDefault="001B2D7C">
    <w:pPr>
      <w:pStyle w:val="Header"/>
    </w:pPr>
  </w:p>
  <w:p w14:paraId="34196EDF" w14:textId="77777777" w:rsidR="001B2D7C" w:rsidRDefault="001B2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59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53"/>
      <w:gridCol w:w="9206"/>
    </w:tblGrid>
    <w:tr w:rsidR="00CC39E0" w:rsidRPr="00D43F95" w14:paraId="12BB5B2B" w14:textId="77777777" w:rsidTr="00CC39E0">
      <w:trPr>
        <w:trHeight w:val="978"/>
        <w:jc w:val="center"/>
      </w:trPr>
      <w:tc>
        <w:tcPr>
          <w:tcW w:w="1253" w:type="dxa"/>
        </w:tcPr>
        <w:p w14:paraId="18E2B323" w14:textId="77777777" w:rsidR="00946210" w:rsidRPr="00D43F95" w:rsidRDefault="00A7372E" w:rsidP="00586041">
          <w:pPr>
            <w:pStyle w:val="Header"/>
            <w:rPr>
              <w:sz w:val="22"/>
            </w:rPr>
          </w:pPr>
          <w:r w:rsidRPr="006B0085">
            <w:rPr>
              <w:noProof/>
              <w:sz w:val="22"/>
            </w:rPr>
            <w:drawing>
              <wp:inline distT="0" distB="0" distL="0" distR="0" wp14:anchorId="5F338E04" wp14:editId="57DC10C9">
                <wp:extent cx="635000" cy="660400"/>
                <wp:effectExtent l="0" t="0" r="0" b="0"/>
                <wp:docPr id="1" name="Picture 1" descr="llnl-icon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lnl-icon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6" w:type="dxa"/>
        </w:tcPr>
        <w:p w14:paraId="4BFF0DA5" w14:textId="77777777" w:rsidR="00946210" w:rsidRPr="00D43F95" w:rsidRDefault="00B10E5E" w:rsidP="00D43F95">
          <w:pPr>
            <w:pStyle w:val="Header"/>
            <w:jc w:val="right"/>
            <w:rPr>
              <w:sz w:val="22"/>
            </w:rPr>
          </w:pPr>
          <w:r>
            <w:rPr>
              <w:noProof/>
              <w:sz w:val="2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07CC6FD" wp14:editId="3DEA94D4">
                    <wp:simplePos x="0" y="0"/>
                    <wp:positionH relativeFrom="column">
                      <wp:posOffset>2131060</wp:posOffset>
                    </wp:positionH>
                    <wp:positionV relativeFrom="paragraph">
                      <wp:posOffset>-50800</wp:posOffset>
                    </wp:positionV>
                    <wp:extent cx="3886200" cy="342900"/>
                    <wp:effectExtent l="0" t="0" r="0" b="0"/>
                    <wp:wrapNone/>
                    <wp:docPr id="5" name="Text Box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8620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EC10BE8" w14:textId="77777777" w:rsidR="00B10E5E" w:rsidRPr="00B10E5E" w:rsidRDefault="00B10E5E">
                                <w:pPr>
                                  <w:rPr>
                                    <w:rFonts w:ascii="Arial" w:hAnsi="Arial" w:cs="Arial"/>
                                    <w:color w:val="0033D2"/>
                                    <w:sz w:val="32"/>
                                    <w:szCs w:val="32"/>
                                  </w:rPr>
                                </w:pPr>
                                <w:r w:rsidRPr="00B10E5E">
                                  <w:rPr>
                                    <w:rFonts w:ascii="Arial" w:hAnsi="Arial" w:cs="Arial"/>
                                    <w:color w:val="0033D2"/>
                                    <w:sz w:val="32"/>
                                    <w:szCs w:val="32"/>
                                  </w:rPr>
                                  <w:t>Lawrence Livermore National Laboratory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07CC6F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167.8pt;margin-top:-4pt;width:30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" fillcolor="white [3201]" stroked="f" strokeweight=".5pt">
                    <v:textbox>
                      <w:txbxContent>
                        <w:p w14:paraId="5EC10BE8" w14:textId="77777777" w:rsidR="00B10E5E" w:rsidRPr="00B10E5E" w:rsidRDefault="00B10E5E">
                          <w:pPr>
                            <w:rPr>
                              <w:rFonts w:ascii="Arial" w:hAnsi="Arial" w:cs="Arial"/>
                              <w:color w:val="0033D2"/>
                              <w:sz w:val="32"/>
                              <w:szCs w:val="32"/>
                            </w:rPr>
                          </w:pPr>
                          <w:r w:rsidRPr="00B10E5E">
                            <w:rPr>
                              <w:rFonts w:ascii="Arial" w:hAnsi="Arial" w:cs="Arial"/>
                              <w:color w:val="0033D2"/>
                              <w:sz w:val="32"/>
                              <w:szCs w:val="32"/>
                            </w:rPr>
                            <w:t>Lawrence Livermore National Laboratory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8A54D80" w14:textId="77777777" w:rsidR="00946210" w:rsidRDefault="009462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86"/>
    <w:rsid w:val="00027E54"/>
    <w:rsid w:val="00042D85"/>
    <w:rsid w:val="00055873"/>
    <w:rsid w:val="000858AD"/>
    <w:rsid w:val="001019CF"/>
    <w:rsid w:val="00161C43"/>
    <w:rsid w:val="00163063"/>
    <w:rsid w:val="001B2D7C"/>
    <w:rsid w:val="001B74FD"/>
    <w:rsid w:val="001F2807"/>
    <w:rsid w:val="00202F3E"/>
    <w:rsid w:val="00210825"/>
    <w:rsid w:val="00310AA8"/>
    <w:rsid w:val="003F2B89"/>
    <w:rsid w:val="0046742C"/>
    <w:rsid w:val="004D55E3"/>
    <w:rsid w:val="00557AD6"/>
    <w:rsid w:val="00586041"/>
    <w:rsid w:val="005A383E"/>
    <w:rsid w:val="005B47CC"/>
    <w:rsid w:val="005F3F0C"/>
    <w:rsid w:val="00605FAF"/>
    <w:rsid w:val="0065030D"/>
    <w:rsid w:val="006667DD"/>
    <w:rsid w:val="006B0085"/>
    <w:rsid w:val="006C453F"/>
    <w:rsid w:val="00744886"/>
    <w:rsid w:val="007B0662"/>
    <w:rsid w:val="007E5209"/>
    <w:rsid w:val="00834C62"/>
    <w:rsid w:val="008400EE"/>
    <w:rsid w:val="0088519E"/>
    <w:rsid w:val="00897D14"/>
    <w:rsid w:val="00917C73"/>
    <w:rsid w:val="0094360F"/>
    <w:rsid w:val="00946210"/>
    <w:rsid w:val="009A4F7F"/>
    <w:rsid w:val="009B6585"/>
    <w:rsid w:val="00A32D99"/>
    <w:rsid w:val="00A7372E"/>
    <w:rsid w:val="00A977B9"/>
    <w:rsid w:val="00AE509B"/>
    <w:rsid w:val="00AF1D96"/>
    <w:rsid w:val="00B10E5E"/>
    <w:rsid w:val="00B269C4"/>
    <w:rsid w:val="00B444F8"/>
    <w:rsid w:val="00B747A8"/>
    <w:rsid w:val="00B8140F"/>
    <w:rsid w:val="00B8273E"/>
    <w:rsid w:val="00BA145D"/>
    <w:rsid w:val="00BA45E7"/>
    <w:rsid w:val="00C97C63"/>
    <w:rsid w:val="00CB16FA"/>
    <w:rsid w:val="00CC39E0"/>
    <w:rsid w:val="00CC6F7E"/>
    <w:rsid w:val="00CD4B92"/>
    <w:rsid w:val="00D43F95"/>
    <w:rsid w:val="00D767EE"/>
    <w:rsid w:val="00DA431D"/>
    <w:rsid w:val="00DC4FC4"/>
    <w:rsid w:val="00EB5888"/>
    <w:rsid w:val="00EE1557"/>
    <w:rsid w:val="00EF24BC"/>
    <w:rsid w:val="00F50065"/>
    <w:rsid w:val="00F6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D24D2"/>
  <w15:chartTrackingRefBased/>
  <w15:docId w15:val="{F6DD275B-DEF7-2247-86EA-E7ECAA38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065"/>
    <w:pPr>
      <w:spacing w:after="240" w:line="300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886"/>
  </w:style>
  <w:style w:type="paragraph" w:styleId="Footer">
    <w:name w:val="footer"/>
    <w:basedOn w:val="Normal"/>
    <w:link w:val="FooterChar"/>
    <w:uiPriority w:val="99"/>
    <w:unhideWhenUsed/>
    <w:rsid w:val="00744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886"/>
  </w:style>
  <w:style w:type="paragraph" w:styleId="BalloonText">
    <w:name w:val="Balloon Text"/>
    <w:basedOn w:val="Normal"/>
    <w:link w:val="BalloonTextChar"/>
    <w:uiPriority w:val="99"/>
    <w:semiHidden/>
    <w:unhideWhenUsed/>
    <w:rsid w:val="0074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48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8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tterBody">
    <w:name w:val="Letter Body"/>
    <w:basedOn w:val="Normal"/>
    <w:qFormat/>
    <w:rsid w:val="00F50065"/>
    <w:pPr>
      <w:spacing w:before="120" w:after="120"/>
    </w:pPr>
  </w:style>
  <w:style w:type="character" w:styleId="Hyperlink">
    <w:name w:val="Hyperlink"/>
    <w:uiPriority w:val="99"/>
    <w:unhideWhenUsed/>
    <w:rsid w:val="009B658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6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585"/>
    <w:rPr>
      <w:rFonts w:ascii="Times New Roman" w:hAns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858AD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4BC"/>
    <w:rPr>
      <w:rFonts w:ascii="Times New Roman" w:hAnsi="Times New Roman"/>
      <w:b/>
      <w:bCs/>
    </w:rPr>
  </w:style>
  <w:style w:type="paragraph" w:customStyle="1" w:styleId="text">
    <w:name w:val="text"/>
    <w:basedOn w:val="Normal"/>
    <w:rsid w:val="00027E5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NormalWeb">
    <w:name w:val="Normal (Web)"/>
    <w:basedOn w:val="Normal"/>
    <w:link w:val="NormalWebChar"/>
    <w:uiPriority w:val="99"/>
    <w:rsid w:val="00027E5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027E54"/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elle1@llnl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LLNL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freitas21</dc:creator>
  <cp:keywords/>
  <dc:description/>
  <cp:lastModifiedBy>Belle, Anna Marie</cp:lastModifiedBy>
  <cp:revision>3</cp:revision>
  <cp:lastPrinted>2018-02-16T15:57:00Z</cp:lastPrinted>
  <dcterms:created xsi:type="dcterms:W3CDTF">2019-04-02T15:24:00Z</dcterms:created>
  <dcterms:modified xsi:type="dcterms:W3CDTF">2019-04-02T15:26:00Z</dcterms:modified>
</cp:coreProperties>
</file>