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CDE16" w14:textId="525F504D" w:rsidR="009C6608" w:rsidRDefault="009C6608">
      <w:pPr>
        <w:rPr>
          <w:rFonts w:cs="Arial"/>
        </w:rPr>
      </w:pPr>
      <w:r>
        <w:rPr>
          <w:rFonts w:cs="Arial"/>
        </w:rPr>
        <w:t xml:space="preserve">Dear Dr. </w:t>
      </w:r>
      <w:proofErr w:type="spellStart"/>
      <w:r>
        <w:rPr>
          <w:rFonts w:cs="Arial"/>
        </w:rPr>
        <w:t>Steindel</w:t>
      </w:r>
      <w:proofErr w:type="spellEnd"/>
      <w:r w:rsidR="00B302FA">
        <w:rPr>
          <w:rFonts w:cs="Arial"/>
        </w:rPr>
        <w:t>,</w:t>
      </w:r>
      <w:bookmarkStart w:id="0" w:name="_GoBack"/>
      <w:bookmarkEnd w:id="0"/>
    </w:p>
    <w:p w14:paraId="2D2E401F" w14:textId="77777777" w:rsidR="009C6608" w:rsidRDefault="009C6608">
      <w:pPr>
        <w:rPr>
          <w:rFonts w:cs="Arial"/>
        </w:rPr>
      </w:pPr>
    </w:p>
    <w:p w14:paraId="1810C2EF" w14:textId="37FBB0FB" w:rsidR="009C6608" w:rsidRPr="009C6608" w:rsidRDefault="009C6608">
      <w:pPr>
        <w:rPr>
          <w:rFonts w:cs="Arial"/>
        </w:rPr>
      </w:pPr>
      <w:r w:rsidRPr="009C6608">
        <w:rPr>
          <w:rFonts w:cs="Arial"/>
        </w:rPr>
        <w:t>We have received the reviewer</w:t>
      </w:r>
      <w:r>
        <w:rPr>
          <w:rFonts w:cs="Arial"/>
        </w:rPr>
        <w:t>’s comments and we have addressed all their comments and concerns.</w:t>
      </w:r>
    </w:p>
    <w:p w14:paraId="30B5AD07" w14:textId="77777777" w:rsidR="009C6608" w:rsidRPr="009C6608" w:rsidRDefault="009C6608">
      <w:pPr>
        <w:rPr>
          <w:rFonts w:cs="Arial"/>
        </w:rPr>
      </w:pPr>
    </w:p>
    <w:p w14:paraId="1C35533E" w14:textId="5612F7B5" w:rsidR="004A3912" w:rsidRDefault="004A3912">
      <w:pPr>
        <w:rPr>
          <w:rFonts w:eastAsia="Times New Roman" w:cs="Times New Roman"/>
        </w:rPr>
      </w:pPr>
      <w:r>
        <w:rPr>
          <w:rStyle w:val="Strong"/>
          <w:rFonts w:eastAsia="Times New Roman" w:cs="Times New Roman"/>
        </w:rPr>
        <w:t>Editorial comments:</w:t>
      </w:r>
      <w:r>
        <w:rPr>
          <w:rFonts w:eastAsia="Times New Roman" w:cs="Times New Roman"/>
        </w:rPr>
        <w:br/>
        <w:t>Changes to be made by the author(s):</w:t>
      </w:r>
      <w:r>
        <w:rPr>
          <w:rFonts w:eastAsia="Times New Roman" w:cs="Times New Roman"/>
        </w:rPr>
        <w:br/>
        <w:t xml:space="preserve">1. Please take this opportunity to thoroughly proofread the manuscript to ensure that there are no spelling or grammar issues. The </w:t>
      </w:r>
      <w:proofErr w:type="spellStart"/>
      <w:r>
        <w:rPr>
          <w:rFonts w:eastAsia="Times New Roman" w:cs="Times New Roman"/>
        </w:rPr>
        <w:t>JoVE</w:t>
      </w:r>
      <w:proofErr w:type="spellEnd"/>
      <w:r>
        <w:rPr>
          <w:rFonts w:eastAsia="Times New Roman" w:cs="Times New Roman"/>
        </w:rPr>
        <w:t xml:space="preserve"> editor will not copy-edit your manuscript and any errors in the submitted revision may be present in the published version.</w:t>
      </w:r>
    </w:p>
    <w:p w14:paraId="44C72932" w14:textId="716DBE27" w:rsidR="004A3912" w:rsidRDefault="004A3912">
      <w:pPr>
        <w:rPr>
          <w:rFonts w:eastAsia="Times New Roman" w:cs="Times New Roman"/>
        </w:rPr>
      </w:pPr>
      <w:r>
        <w:rPr>
          <w:rFonts w:eastAsia="Times New Roman" w:cs="Times New Roman"/>
        </w:rPr>
        <w:t xml:space="preserve"> </w:t>
      </w:r>
      <w:r w:rsidRPr="004A3912">
        <w:rPr>
          <w:rFonts w:eastAsia="Times New Roman" w:cs="Times New Roman"/>
          <w:color w:val="FF0000"/>
        </w:rPr>
        <w:t>The manuscript</w:t>
      </w:r>
      <w:r w:rsidR="008336CA">
        <w:rPr>
          <w:rFonts w:eastAsia="Times New Roman" w:cs="Times New Roman"/>
          <w:color w:val="FF0000"/>
        </w:rPr>
        <w:t xml:space="preserve"> has been</w:t>
      </w:r>
      <w:r w:rsidRPr="004A3912">
        <w:rPr>
          <w:rFonts w:eastAsia="Times New Roman" w:cs="Times New Roman"/>
          <w:color w:val="FF0000"/>
        </w:rPr>
        <w:t xml:space="preserve"> thoroughly proofread.</w:t>
      </w:r>
      <w:r>
        <w:rPr>
          <w:rFonts w:eastAsia="Times New Roman" w:cs="Times New Roman"/>
        </w:rPr>
        <w:t xml:space="preserve"> </w:t>
      </w:r>
    </w:p>
    <w:p w14:paraId="27843B6E" w14:textId="77777777" w:rsidR="004A3912" w:rsidRDefault="004A3912">
      <w:pPr>
        <w:rPr>
          <w:rFonts w:eastAsia="Times New Roman" w:cs="Times New Roman"/>
        </w:rPr>
      </w:pPr>
      <w:r>
        <w:rPr>
          <w:rFonts w:eastAsia="Times New Roman" w:cs="Times New Roman"/>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rFonts w:eastAsia="Times New Roman" w:cs="Times New Roman"/>
        </w:rPr>
        <w:t>docx</w:t>
      </w:r>
      <w:proofErr w:type="spellEnd"/>
      <w:r>
        <w:rPr>
          <w:rFonts w:eastAsia="Times New Roman" w:cs="Times New Roman"/>
        </w:rPr>
        <w:t xml:space="preserve"> file to your Editorial Manager account. The Figure must be cited appropriately in the Figure Legend, i.e. “This figure has been modified from [citation].”</w:t>
      </w:r>
    </w:p>
    <w:p w14:paraId="16E8C3C1" w14:textId="77777777" w:rsidR="004A3912" w:rsidRDefault="004A3912">
      <w:pPr>
        <w:rPr>
          <w:rFonts w:eastAsia="Times New Roman" w:cs="Times New Roman"/>
          <w:color w:val="FF0000"/>
        </w:rPr>
      </w:pPr>
      <w:r w:rsidRPr="004A3912">
        <w:rPr>
          <w:rFonts w:eastAsia="Times New Roman" w:cs="Times New Roman"/>
          <w:color w:val="FF0000"/>
        </w:rPr>
        <w:t>Permission from Journal of Blood Advances has been received in the form of an email and both a link to the editorial policy and the copyright link is uploaded in the Editorial Manager account.</w:t>
      </w:r>
    </w:p>
    <w:p w14:paraId="7AAA7FF4" w14:textId="77777777" w:rsidR="004A3912" w:rsidRDefault="004A3912">
      <w:pPr>
        <w:rPr>
          <w:rFonts w:eastAsia="Times New Roman" w:cs="Times New Roman"/>
        </w:rPr>
      </w:pPr>
      <w:r>
        <w:rPr>
          <w:rFonts w:eastAsia="Times New Roman" w:cs="Times New Roman"/>
        </w:rPr>
        <w:br/>
        <w:t>3. Figure 1: Please change “16hr” to “16 h”.</w:t>
      </w:r>
    </w:p>
    <w:p w14:paraId="79FBA05C" w14:textId="77777777" w:rsidR="004A3912" w:rsidRDefault="004A3912">
      <w:pPr>
        <w:rPr>
          <w:rFonts w:eastAsia="Times New Roman" w:cs="Times New Roman"/>
        </w:rPr>
      </w:pPr>
      <w:r w:rsidRPr="004A3912">
        <w:rPr>
          <w:rFonts w:eastAsia="Times New Roman" w:cs="Times New Roman"/>
          <w:color w:val="FF0000"/>
        </w:rPr>
        <w:t xml:space="preserve">A change from </w:t>
      </w:r>
      <w:proofErr w:type="spellStart"/>
      <w:r w:rsidRPr="004A3912">
        <w:rPr>
          <w:rFonts w:eastAsia="Times New Roman" w:cs="Times New Roman"/>
          <w:color w:val="FF0000"/>
        </w:rPr>
        <w:t>hr</w:t>
      </w:r>
      <w:proofErr w:type="spellEnd"/>
      <w:r w:rsidRPr="004A3912">
        <w:rPr>
          <w:rFonts w:eastAsia="Times New Roman" w:cs="Times New Roman"/>
          <w:color w:val="FF0000"/>
        </w:rPr>
        <w:t xml:space="preserve"> to h is applied throughout the manuscript including Figure 1.</w:t>
      </w:r>
    </w:p>
    <w:p w14:paraId="4543D8D7" w14:textId="77777777" w:rsidR="004A3912" w:rsidRDefault="004A3912">
      <w:pPr>
        <w:rPr>
          <w:rFonts w:eastAsia="Times New Roman" w:cs="Times New Roman"/>
        </w:rPr>
      </w:pPr>
      <w:r>
        <w:rPr>
          <w:rFonts w:eastAsia="Times New Roman" w:cs="Times New Roman"/>
        </w:rPr>
        <w:br/>
        <w:t>4. Table of Materials: Please remove trademark (™) and registered (®) symbols. Please sort the items in alphabetical order according to the name of material/equipment.</w:t>
      </w:r>
    </w:p>
    <w:p w14:paraId="56E28DD7" w14:textId="10475FEB" w:rsidR="004A3912" w:rsidRPr="00D178A2" w:rsidRDefault="004A3912">
      <w:pPr>
        <w:rPr>
          <w:rFonts w:eastAsia="Times New Roman" w:cs="Times New Roman"/>
        </w:rPr>
      </w:pPr>
      <w:r>
        <w:rPr>
          <w:rFonts w:eastAsia="Times New Roman" w:cs="Times New Roman"/>
        </w:rPr>
        <w:t xml:space="preserve"> </w:t>
      </w:r>
      <w:r w:rsidRPr="00D178A2">
        <w:rPr>
          <w:rFonts w:eastAsia="Times New Roman" w:cs="Times New Roman"/>
          <w:color w:val="FF0000"/>
        </w:rPr>
        <w:t>Trademark and registered symbols have been removed</w:t>
      </w:r>
      <w:r w:rsidR="00D178A2" w:rsidRPr="00D178A2">
        <w:rPr>
          <w:rFonts w:eastAsia="Times New Roman" w:cs="Times New Roman"/>
          <w:color w:val="FF0000"/>
        </w:rPr>
        <w:t xml:space="preserve"> and the materials are sorted in the </w:t>
      </w:r>
      <w:r w:rsidR="00D178A2">
        <w:rPr>
          <w:rFonts w:eastAsia="Times New Roman" w:cs="Times New Roman"/>
          <w:color w:val="FF0000"/>
        </w:rPr>
        <w:t>a</w:t>
      </w:r>
      <w:r w:rsidRPr="00D178A2">
        <w:rPr>
          <w:rFonts w:eastAsia="Times New Roman" w:cs="Times New Roman"/>
          <w:color w:val="FF0000"/>
        </w:rPr>
        <w:t>lphabetic order</w:t>
      </w:r>
      <w:r w:rsidR="00D178A2">
        <w:rPr>
          <w:rFonts w:eastAsia="Times New Roman" w:cs="Times New Roman"/>
          <w:color w:val="FF0000"/>
        </w:rPr>
        <w:t>.</w:t>
      </w:r>
      <w:r w:rsidRPr="00D178A2">
        <w:rPr>
          <w:rFonts w:eastAsia="Times New Roman" w:cs="Times New Roman"/>
          <w:color w:val="FF0000"/>
        </w:rPr>
        <w:t xml:space="preserve"> </w:t>
      </w:r>
    </w:p>
    <w:p w14:paraId="4C6853DC" w14:textId="77777777" w:rsidR="004A3912" w:rsidRDefault="004A3912">
      <w:pPr>
        <w:rPr>
          <w:rFonts w:eastAsia="Times New Roman" w:cs="Times New Roman"/>
        </w:rPr>
      </w:pPr>
      <w:r>
        <w:rPr>
          <w:rFonts w:eastAsia="Times New Roman" w:cs="Times New Roman"/>
        </w:rPr>
        <w:br/>
        <w:t>5. Please revise lines 310-311 and 325-333 to avoid previously published text.</w:t>
      </w:r>
    </w:p>
    <w:p w14:paraId="59660832" w14:textId="77777777" w:rsidR="004A3912" w:rsidRDefault="004A3912">
      <w:pPr>
        <w:rPr>
          <w:rFonts w:eastAsia="Times New Roman" w:cs="Times New Roman"/>
        </w:rPr>
      </w:pPr>
      <w:r w:rsidRPr="004A3912">
        <w:rPr>
          <w:rFonts w:eastAsia="Times New Roman" w:cs="Times New Roman"/>
          <w:color w:val="FF0000"/>
        </w:rPr>
        <w:t>The text has been revised.</w:t>
      </w:r>
    </w:p>
    <w:p w14:paraId="3A5547DF" w14:textId="77777777" w:rsidR="004A3912" w:rsidRDefault="004A3912">
      <w:pPr>
        <w:rPr>
          <w:rFonts w:eastAsia="Times New Roman" w:cs="Times New Roman"/>
        </w:rPr>
      </w:pPr>
      <w:r>
        <w:rPr>
          <w:rFonts w:eastAsia="Times New Roman" w:cs="Times New Roman"/>
        </w:rPr>
        <w:br/>
        <w:t>6. Please provide an email address for each author.</w:t>
      </w:r>
    </w:p>
    <w:p w14:paraId="74B30A74" w14:textId="77777777" w:rsidR="004A3912" w:rsidRDefault="004A3912">
      <w:pPr>
        <w:rPr>
          <w:rFonts w:eastAsia="Times New Roman" w:cs="Times New Roman"/>
        </w:rPr>
      </w:pPr>
      <w:r w:rsidRPr="004A3912">
        <w:rPr>
          <w:rFonts w:eastAsia="Times New Roman" w:cs="Times New Roman"/>
          <w:color w:val="FF0000"/>
        </w:rPr>
        <w:t>Email addresses for all the authors have been included.</w:t>
      </w:r>
      <w:r>
        <w:rPr>
          <w:rFonts w:eastAsia="Times New Roman" w:cs="Times New Roman"/>
        </w:rPr>
        <w:t xml:space="preserve"> </w:t>
      </w:r>
    </w:p>
    <w:p w14:paraId="13A4F92F" w14:textId="77777777" w:rsidR="004A3912" w:rsidRDefault="004A3912">
      <w:pPr>
        <w:rPr>
          <w:rFonts w:eastAsia="Times New Roman" w:cs="Times New Roman"/>
        </w:rPr>
      </w:pPr>
      <w:r>
        <w:rPr>
          <w:rFonts w:eastAsia="Times New Roman" w:cs="Times New Roman"/>
        </w:rPr>
        <w:br/>
        <w:t>7. Please expand the Summary to briefly describe the applications of this protocol.</w:t>
      </w:r>
    </w:p>
    <w:p w14:paraId="3AF82910" w14:textId="77777777" w:rsidR="004A3912" w:rsidRDefault="004A3912">
      <w:pPr>
        <w:rPr>
          <w:rFonts w:eastAsia="Times New Roman" w:cs="Times New Roman"/>
        </w:rPr>
      </w:pPr>
      <w:r w:rsidRPr="004A3912">
        <w:rPr>
          <w:rFonts w:eastAsia="Times New Roman" w:cs="Times New Roman"/>
          <w:color w:val="FF0000"/>
        </w:rPr>
        <w:t xml:space="preserve">Short abstract has been expanded (please </w:t>
      </w:r>
      <w:r w:rsidR="009507C6">
        <w:rPr>
          <w:rFonts w:eastAsia="Times New Roman" w:cs="Times New Roman"/>
          <w:color w:val="FF0000"/>
        </w:rPr>
        <w:t>refer to</w:t>
      </w:r>
      <w:r w:rsidRPr="004A3912">
        <w:rPr>
          <w:rFonts w:eastAsia="Times New Roman" w:cs="Times New Roman"/>
          <w:color w:val="FF0000"/>
        </w:rPr>
        <w:t xml:space="preserve"> lines 68-72</w:t>
      </w:r>
      <w:r w:rsidR="009507C6">
        <w:rPr>
          <w:rFonts w:eastAsia="Times New Roman" w:cs="Times New Roman"/>
          <w:color w:val="FF0000"/>
        </w:rPr>
        <w:t>)</w:t>
      </w:r>
      <w:r w:rsidRPr="004A3912">
        <w:rPr>
          <w:rFonts w:eastAsia="Times New Roman" w:cs="Times New Roman"/>
          <w:color w:val="FF0000"/>
        </w:rPr>
        <w:t>.</w:t>
      </w:r>
    </w:p>
    <w:p w14:paraId="5D4C0C00" w14:textId="77777777" w:rsidR="004A3912" w:rsidRDefault="004A3912">
      <w:pPr>
        <w:rPr>
          <w:rFonts w:eastAsia="Times New Roman" w:cs="Times New Roman"/>
        </w:rPr>
      </w:pPr>
      <w:r>
        <w:rPr>
          <w:rFonts w:eastAsia="Times New Roman" w:cs="Times New Roman"/>
        </w:rPr>
        <w:br/>
        <w:t>8. Please define all abbreviations (BSA, GMP, etc.) before use.</w:t>
      </w:r>
    </w:p>
    <w:p w14:paraId="497536E3" w14:textId="77777777" w:rsidR="004A3912" w:rsidRDefault="004A3912">
      <w:pPr>
        <w:rPr>
          <w:rFonts w:eastAsia="Times New Roman" w:cs="Times New Roman"/>
        </w:rPr>
      </w:pPr>
      <w:r w:rsidRPr="004A3912">
        <w:rPr>
          <w:rFonts w:eastAsia="Times New Roman" w:cs="Times New Roman"/>
          <w:color w:val="FF0000"/>
        </w:rPr>
        <w:t>Abbreviations of all the reagents used in this protocol have been defined.</w:t>
      </w:r>
    </w:p>
    <w:p w14:paraId="30C788F8" w14:textId="77777777" w:rsidR="004A3912" w:rsidRDefault="004A3912">
      <w:pPr>
        <w:rPr>
          <w:rFonts w:eastAsia="Times New Roman" w:cs="Times New Roman"/>
        </w:rPr>
      </w:pPr>
      <w:r>
        <w:rPr>
          <w:rFonts w:eastAsia="Times New Roman" w:cs="Times New Roman"/>
        </w:rPr>
        <w:br/>
        <w:t>9. Please use SI abbreviations for all units: L, mL, µL, h, min, s, etc. Please use the micro symbol µ instead of u. Please abbreviate liters to L to avoid confusion.</w:t>
      </w:r>
    </w:p>
    <w:p w14:paraId="71DE5826" w14:textId="77777777" w:rsidR="004A3912" w:rsidRPr="004A3912" w:rsidRDefault="004A3912">
      <w:pPr>
        <w:rPr>
          <w:rFonts w:eastAsia="Times New Roman" w:cs="Times New Roman"/>
          <w:color w:val="FF0000"/>
        </w:rPr>
      </w:pPr>
      <w:r w:rsidRPr="004A3912">
        <w:rPr>
          <w:rFonts w:eastAsia="Times New Roman" w:cs="Times New Roman"/>
          <w:color w:val="FF0000"/>
        </w:rPr>
        <w:t>The correct SI abbreviations have been used for all the units.</w:t>
      </w:r>
    </w:p>
    <w:p w14:paraId="79E8A3A3" w14:textId="77777777" w:rsidR="0017593F" w:rsidRDefault="004A3912">
      <w:pPr>
        <w:rPr>
          <w:rFonts w:eastAsia="Times New Roman" w:cs="Times New Roman"/>
        </w:rPr>
      </w:pPr>
      <w:r>
        <w:rPr>
          <w:rFonts w:eastAsia="Times New Roman" w:cs="Times New Roman"/>
        </w:rPr>
        <w:br/>
        <w:t>10. Please include a space between all numerical values and their corresponding units: 15 mL, 37 °C, 60 s; etc.</w:t>
      </w:r>
    </w:p>
    <w:p w14:paraId="6CDA8B8A" w14:textId="77777777" w:rsidR="0017593F" w:rsidRDefault="0017593F">
      <w:pPr>
        <w:rPr>
          <w:rFonts w:eastAsia="Times New Roman" w:cs="Times New Roman"/>
        </w:rPr>
      </w:pPr>
      <w:r w:rsidRPr="0017593F">
        <w:rPr>
          <w:rFonts w:eastAsia="Times New Roman" w:cs="Times New Roman"/>
          <w:color w:val="FF0000"/>
        </w:rPr>
        <w:t xml:space="preserve"> Space has been included between all numerical values.</w:t>
      </w:r>
    </w:p>
    <w:p w14:paraId="1728198F" w14:textId="77777777" w:rsidR="0017593F" w:rsidRDefault="004A3912">
      <w:pPr>
        <w:rPr>
          <w:rFonts w:eastAsia="Times New Roman" w:cs="Times New Roman"/>
        </w:rPr>
      </w:pPr>
      <w:r>
        <w:rPr>
          <w:rFonts w:eastAsia="Times New Roman" w:cs="Times New Roman"/>
        </w:rPr>
        <w:lastRenderedPageBreak/>
        <w:br/>
      </w:r>
      <w:proofErr w:type="gramStart"/>
      <w:r>
        <w:rPr>
          <w:rFonts w:eastAsia="Times New Roman" w:cs="Times New Roman"/>
        </w:rPr>
        <w:t xml:space="preserve">11. </w:t>
      </w:r>
      <w:proofErr w:type="spellStart"/>
      <w:r>
        <w:rPr>
          <w:rFonts w:eastAsia="Times New Roman" w:cs="Times New Roman"/>
        </w:rPr>
        <w:t>JoVE</w:t>
      </w:r>
      <w:proofErr w:type="spellEnd"/>
      <w:proofErr w:type="gramEnd"/>
      <w:r>
        <w:rPr>
          <w:rFonts w:eastAsia="Times New Roman" w:cs="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Pr>
          <w:rFonts w:eastAsia="Times New Roman" w:cs="Times New Roman"/>
        </w:rPr>
        <w:t>Stemline</w:t>
      </w:r>
      <w:proofErr w:type="spellEnd"/>
      <w:r>
        <w:rPr>
          <w:rFonts w:eastAsia="Times New Roman" w:cs="Times New Roman"/>
        </w:rPr>
        <w:t xml:space="preserve">, </w:t>
      </w:r>
      <w:proofErr w:type="spellStart"/>
      <w:r>
        <w:rPr>
          <w:rFonts w:eastAsia="Times New Roman" w:cs="Times New Roman"/>
        </w:rPr>
        <w:t>Ficoll-Paque</w:t>
      </w:r>
      <w:proofErr w:type="spellEnd"/>
      <w:r>
        <w:rPr>
          <w:rFonts w:eastAsia="Times New Roman" w:cs="Times New Roman"/>
        </w:rPr>
        <w:t xml:space="preserve">, Invitrogen, </w:t>
      </w:r>
      <w:proofErr w:type="spellStart"/>
      <w:r>
        <w:rPr>
          <w:rFonts w:eastAsia="Times New Roman" w:cs="Times New Roman"/>
        </w:rPr>
        <w:t>autoMACS</w:t>
      </w:r>
      <w:proofErr w:type="spellEnd"/>
      <w:r>
        <w:rPr>
          <w:rFonts w:eastAsia="Times New Roman" w:cs="Times New Roman"/>
        </w:rPr>
        <w:t>, etc.</w:t>
      </w:r>
    </w:p>
    <w:p w14:paraId="78693021" w14:textId="77777777" w:rsidR="003D2316" w:rsidRPr="003D2316" w:rsidRDefault="003D2316">
      <w:pPr>
        <w:rPr>
          <w:rFonts w:eastAsia="Times New Roman" w:cs="Times New Roman"/>
          <w:color w:val="FF0000"/>
        </w:rPr>
      </w:pPr>
      <w:r w:rsidRPr="003D2316">
        <w:rPr>
          <w:rFonts w:eastAsia="Times New Roman" w:cs="Times New Roman"/>
          <w:color w:val="FF0000"/>
        </w:rPr>
        <w:t>All the</w:t>
      </w:r>
      <w:r>
        <w:rPr>
          <w:rFonts w:eastAsia="Times New Roman" w:cs="Times New Roman"/>
          <w:color w:val="FF0000"/>
        </w:rPr>
        <w:t xml:space="preserve"> commercial products have been referenced in the table of Materials and Reagents and all the commercial names have been removed from the main text.</w:t>
      </w:r>
      <w:r>
        <w:rPr>
          <w:rFonts w:eastAsia="Times New Roman" w:cs="Times New Roman"/>
          <w:color w:val="FF0000"/>
          <w:sz w:val="72"/>
          <w:szCs w:val="72"/>
        </w:rPr>
        <w:t xml:space="preserve"> </w:t>
      </w:r>
    </w:p>
    <w:p w14:paraId="1AD702CB" w14:textId="77777777" w:rsidR="0017593F" w:rsidRDefault="0017593F">
      <w:pPr>
        <w:rPr>
          <w:rFonts w:eastAsia="Times New Roman" w:cs="Times New Roman"/>
        </w:rPr>
      </w:pPr>
    </w:p>
    <w:p w14:paraId="4592E283" w14:textId="77777777" w:rsidR="003D2316" w:rsidRDefault="004A3912">
      <w:pPr>
        <w:rPr>
          <w:rFonts w:eastAsia="Times New Roman" w:cs="Times New Roman"/>
        </w:rPr>
      </w:pPr>
      <w:r>
        <w:rPr>
          <w:rFonts w:eastAsia="Times New Roman" w:cs="Times New Roman"/>
        </w:rPr>
        <w:br/>
        <w:t>12. Please include an ethics statement before the numbered protocol steps, indicating that the protocol follows the guidelines of your institution’s human research ethics committee.</w:t>
      </w:r>
    </w:p>
    <w:p w14:paraId="2F08A158" w14:textId="2B875B3A" w:rsidR="003D2316" w:rsidRDefault="003D2316">
      <w:pPr>
        <w:rPr>
          <w:rFonts w:eastAsia="Times New Roman" w:cs="Times New Roman"/>
        </w:rPr>
      </w:pPr>
      <w:r w:rsidRPr="003D2316">
        <w:rPr>
          <w:rFonts w:eastAsia="Times New Roman" w:cs="Times New Roman"/>
          <w:color w:val="FF0000"/>
        </w:rPr>
        <w:t>The ethics statement has been included.</w:t>
      </w:r>
      <w:r>
        <w:rPr>
          <w:rFonts w:eastAsia="Times New Roman" w:cs="Times New Roman"/>
          <w:color w:val="FF0000"/>
        </w:rPr>
        <w:t xml:space="preserve"> </w:t>
      </w:r>
    </w:p>
    <w:p w14:paraId="79227A11" w14:textId="77777777" w:rsidR="00CC4562" w:rsidRDefault="004A3912">
      <w:pPr>
        <w:rPr>
          <w:rFonts w:eastAsia="Times New Roman" w:cs="Times New Roman"/>
        </w:rPr>
      </w:pPr>
      <w:r>
        <w:rPr>
          <w:rFonts w:eastAsia="Times New Roman" w:cs="Times New Roman"/>
        </w:rPr>
        <w:br/>
        <w:t xml:space="preserve">13. Please adjust the numbering of the Protocol to follow the </w:t>
      </w:r>
      <w:proofErr w:type="spellStart"/>
      <w:r>
        <w:rPr>
          <w:rFonts w:eastAsia="Times New Roman" w:cs="Times New Roman"/>
        </w:rPr>
        <w:t>JoVE</w:t>
      </w:r>
      <w:proofErr w:type="spellEnd"/>
      <w:r>
        <w:rPr>
          <w:rFonts w:eastAsia="Times New Roman" w:cs="Times New Roman"/>
        </w:rPr>
        <w:t xml:space="preserve"> Instructions for Authors. For example, 1 should be followed by 1.1 and then 1.1.1 and 1.1.2 if necessary. Please refrain from using bullets, dashes, or indentations.</w:t>
      </w:r>
    </w:p>
    <w:p w14:paraId="3AB1DADB" w14:textId="77777777" w:rsidR="00CC4562" w:rsidRDefault="00CC4562">
      <w:pPr>
        <w:rPr>
          <w:rFonts w:eastAsia="Times New Roman" w:cs="Times New Roman"/>
        </w:rPr>
      </w:pPr>
      <w:r w:rsidRPr="00CC4562">
        <w:rPr>
          <w:rFonts w:eastAsia="Times New Roman" w:cs="Times New Roman"/>
          <w:color w:val="FF0000"/>
        </w:rPr>
        <w:t xml:space="preserve"> It has been corrected.</w:t>
      </w:r>
    </w:p>
    <w:p w14:paraId="5425E6FD" w14:textId="77777777" w:rsidR="00CC4562" w:rsidRDefault="004A3912">
      <w:pPr>
        <w:rPr>
          <w:rFonts w:eastAsia="Times New Roman" w:cs="Times New Roman"/>
        </w:rPr>
      </w:pPr>
      <w:r>
        <w:rPr>
          <w:rFonts w:eastAsia="Times New Roman" w:cs="Times New Roman"/>
        </w:rPr>
        <w:br/>
        <w:t>14. Line 205: Please provide the composition of GMP media. If it is purchased, please cite the Table of Materials.</w:t>
      </w:r>
    </w:p>
    <w:p w14:paraId="4D1B532C" w14:textId="77777777" w:rsidR="00CC4562" w:rsidRDefault="00CC4562" w:rsidP="00CC4562">
      <w:pPr>
        <w:rPr>
          <w:rFonts w:eastAsia="Times New Roman" w:cs="Times New Roman"/>
        </w:rPr>
      </w:pPr>
      <w:r w:rsidRPr="00CC4562">
        <w:rPr>
          <w:rFonts w:eastAsia="Times New Roman" w:cs="Times New Roman"/>
          <w:color w:val="FF0000"/>
        </w:rPr>
        <w:t>It has been corrected.</w:t>
      </w:r>
    </w:p>
    <w:p w14:paraId="2C52A1F7" w14:textId="77777777" w:rsidR="00CC4562" w:rsidRDefault="004A3912">
      <w:pPr>
        <w:rPr>
          <w:rFonts w:eastAsia="Times New Roman" w:cs="Times New Roman"/>
        </w:rPr>
      </w:pPr>
      <w:r>
        <w:rPr>
          <w:rFonts w:eastAsia="Times New Roman" w:cs="Times New Roman"/>
        </w:rPr>
        <w:br/>
        <w:t>15. Line 211: Please specify the source of UCB unit.</w:t>
      </w:r>
    </w:p>
    <w:p w14:paraId="5AFFDB74" w14:textId="77777777" w:rsidR="00D178A2" w:rsidRPr="00D178A2" w:rsidRDefault="00D178A2">
      <w:pPr>
        <w:rPr>
          <w:rFonts w:eastAsia="Times New Roman" w:cs="Times New Roman"/>
          <w:color w:val="FF0000"/>
        </w:rPr>
      </w:pPr>
      <w:r w:rsidRPr="00D178A2">
        <w:rPr>
          <w:rFonts w:eastAsia="Times New Roman" w:cs="Times New Roman"/>
          <w:color w:val="FF0000"/>
        </w:rPr>
        <w:t>T</w:t>
      </w:r>
      <w:r w:rsidR="00471776" w:rsidRPr="00D178A2">
        <w:rPr>
          <w:rFonts w:eastAsia="Times New Roman" w:cs="Times New Roman"/>
          <w:color w:val="FF0000"/>
        </w:rPr>
        <w:t xml:space="preserve">he source of UCB unit is stated in the </w:t>
      </w:r>
      <w:r w:rsidRPr="00D178A2">
        <w:rPr>
          <w:rFonts w:eastAsia="Times New Roman" w:cs="Times New Roman"/>
          <w:color w:val="FF0000"/>
        </w:rPr>
        <w:t>table of Materials.</w:t>
      </w:r>
    </w:p>
    <w:p w14:paraId="791C588B" w14:textId="2492CF07" w:rsidR="00CC4562" w:rsidRDefault="004A3912">
      <w:pPr>
        <w:rPr>
          <w:rFonts w:eastAsia="Times New Roman" w:cs="Times New Roman"/>
        </w:rPr>
      </w:pPr>
      <w:r>
        <w:rPr>
          <w:rFonts w:eastAsia="Times New Roman" w:cs="Times New Roman"/>
        </w:rPr>
        <w:br/>
        <w:t>16. Line 273: Please describe how to assess the purity and cell composition by FACS analysis.</w:t>
      </w:r>
    </w:p>
    <w:p w14:paraId="4F7DC834" w14:textId="4B2E90B7" w:rsidR="00CC4562" w:rsidRPr="00D178A2" w:rsidRDefault="00CC4562" w:rsidP="00CC4562">
      <w:pPr>
        <w:rPr>
          <w:rFonts w:eastAsia="Times New Roman" w:cs="Times New Roman"/>
          <w:color w:val="FF0000"/>
        </w:rPr>
      </w:pPr>
      <w:r w:rsidRPr="00CC4562">
        <w:rPr>
          <w:rFonts w:eastAsia="Times New Roman" w:cs="Times New Roman"/>
          <w:color w:val="FF0000"/>
        </w:rPr>
        <w:t xml:space="preserve">It has been </w:t>
      </w:r>
      <w:r>
        <w:rPr>
          <w:rFonts w:eastAsia="Times New Roman" w:cs="Times New Roman"/>
          <w:color w:val="FF0000"/>
        </w:rPr>
        <w:t>specified</w:t>
      </w:r>
      <w:r w:rsidR="00B33907">
        <w:rPr>
          <w:rFonts w:eastAsia="Times New Roman" w:cs="Times New Roman"/>
          <w:color w:val="FF0000"/>
        </w:rPr>
        <w:t xml:space="preserve"> </w:t>
      </w:r>
      <w:r w:rsidR="00B33907" w:rsidRPr="00D178A2">
        <w:rPr>
          <w:rFonts w:eastAsia="Times New Roman" w:cs="Times New Roman"/>
          <w:color w:val="FF0000"/>
        </w:rPr>
        <w:t>“</w:t>
      </w:r>
      <w:r w:rsidR="00B33907" w:rsidRPr="00D178A2">
        <w:rPr>
          <w:rFonts w:eastAsia="Times New Roman" w:cs="Arial"/>
          <w:color w:val="FF0000"/>
        </w:rPr>
        <w:t>Assess the purity of isolated CD34</w:t>
      </w:r>
      <w:r w:rsidR="00B33907" w:rsidRPr="00D178A2">
        <w:rPr>
          <w:rFonts w:eastAsia="Times New Roman" w:cs="Arial"/>
          <w:color w:val="FF0000"/>
          <w:vertAlign w:val="superscript"/>
        </w:rPr>
        <w:t>+</w:t>
      </w:r>
      <w:r w:rsidR="00B33907" w:rsidRPr="00D178A2">
        <w:rPr>
          <w:rFonts w:eastAsia="Times New Roman" w:cs="Arial"/>
          <w:color w:val="FF0000"/>
        </w:rPr>
        <w:t xml:space="preserve"> cells and cell composition </w:t>
      </w:r>
      <w:r w:rsidR="00B33907" w:rsidRPr="00D178A2">
        <w:rPr>
          <w:rFonts w:cs="Arial"/>
          <w:color w:val="FF0000"/>
          <w:shd w:val="clear" w:color="auto" w:fill="FFFFFF"/>
        </w:rPr>
        <w:t xml:space="preserve">by FACS analysis as described below in </w:t>
      </w:r>
      <w:r w:rsidR="009507C6" w:rsidRPr="00D178A2">
        <w:rPr>
          <w:rFonts w:cs="Arial"/>
          <w:color w:val="FF0000"/>
          <w:shd w:val="clear" w:color="auto" w:fill="FFFFFF"/>
        </w:rPr>
        <w:t xml:space="preserve">step </w:t>
      </w:r>
      <w:r w:rsidR="00B33907" w:rsidRPr="00D178A2">
        <w:rPr>
          <w:rFonts w:cs="Arial"/>
          <w:color w:val="FF0000"/>
          <w:shd w:val="clear" w:color="auto" w:fill="FFFFFF"/>
        </w:rPr>
        <w:t>6</w:t>
      </w:r>
      <w:r w:rsidR="00D178A2">
        <w:rPr>
          <w:rFonts w:cs="Arial"/>
          <w:color w:val="FF0000"/>
          <w:shd w:val="clear" w:color="auto" w:fill="FFFFFF"/>
        </w:rPr>
        <w:t>.3</w:t>
      </w:r>
      <w:r w:rsidR="00B33907" w:rsidRPr="00D178A2">
        <w:rPr>
          <w:rFonts w:cs="Arial"/>
          <w:color w:val="FF0000"/>
          <w:shd w:val="clear" w:color="auto" w:fill="FFFFFF"/>
        </w:rPr>
        <w:t>”.</w:t>
      </w:r>
    </w:p>
    <w:p w14:paraId="27764889" w14:textId="77777777" w:rsidR="00B33907" w:rsidRDefault="004A3912">
      <w:pPr>
        <w:rPr>
          <w:rFonts w:eastAsia="Times New Roman" w:cs="Times New Roman"/>
        </w:rPr>
      </w:pPr>
      <w:r>
        <w:rPr>
          <w:rFonts w:eastAsia="Times New Roman" w:cs="Times New Roman"/>
        </w:rPr>
        <w:br/>
        <w:t>17. Line 317: Is the supernatant discarded after centrifugation? Please specify.</w:t>
      </w:r>
    </w:p>
    <w:p w14:paraId="7FC97AD8" w14:textId="1DB35AB0" w:rsidR="00627EA2" w:rsidRDefault="00B33907">
      <w:pPr>
        <w:rPr>
          <w:rFonts w:eastAsia="Times New Roman" w:cs="Times New Roman"/>
        </w:rPr>
      </w:pPr>
      <w:r w:rsidRPr="00627EA2">
        <w:rPr>
          <w:rFonts w:eastAsia="Times New Roman" w:cs="Times New Roman"/>
          <w:color w:val="FF0000"/>
        </w:rPr>
        <w:t>The supernatant is discarded and this is specified in step</w:t>
      </w:r>
      <w:r w:rsidR="008336CA">
        <w:rPr>
          <w:rFonts w:eastAsia="Times New Roman" w:cs="Times New Roman"/>
          <w:color w:val="FF0000"/>
        </w:rPr>
        <w:t xml:space="preserve"> 6.9</w:t>
      </w:r>
      <w:r w:rsidR="00627EA2" w:rsidRPr="00627EA2">
        <w:rPr>
          <w:rFonts w:eastAsia="Times New Roman" w:cs="Times New Roman"/>
          <w:color w:val="FF0000"/>
        </w:rPr>
        <w:t>.</w:t>
      </w:r>
      <w:r w:rsidR="00627EA2">
        <w:rPr>
          <w:rFonts w:eastAsia="Times New Roman" w:cs="Times New Roman"/>
        </w:rPr>
        <w:t xml:space="preserve"> </w:t>
      </w:r>
    </w:p>
    <w:p w14:paraId="6F7AB0D1" w14:textId="77777777" w:rsidR="00627EA2" w:rsidRDefault="004A3912">
      <w:pPr>
        <w:rPr>
          <w:rFonts w:eastAsia="Times New Roman" w:cs="Times New Roman"/>
        </w:rPr>
      </w:pPr>
      <w:r>
        <w:rPr>
          <w:rFonts w:eastAsia="Times New Roman" w:cs="Times New Roman"/>
        </w:rPr>
        <w:br/>
        <w:t>18. A minimum of 10 references should be cited in the manuscript. For instance, please include applicable references to previous studies when describing advantages over alternative techniques.</w:t>
      </w:r>
    </w:p>
    <w:p w14:paraId="50DE47F9" w14:textId="7F8FD7D5" w:rsidR="00627EA2" w:rsidRDefault="005F7D76">
      <w:pPr>
        <w:rPr>
          <w:rFonts w:eastAsia="Times New Roman" w:cs="Times New Roman"/>
          <w:color w:val="FF0000"/>
        </w:rPr>
      </w:pPr>
      <w:r>
        <w:rPr>
          <w:rFonts w:eastAsia="Times New Roman" w:cs="Times New Roman"/>
          <w:color w:val="FF0000"/>
        </w:rPr>
        <w:t>Additional references have been</w:t>
      </w:r>
      <w:r w:rsidR="00627EA2" w:rsidRPr="00627EA2">
        <w:rPr>
          <w:rFonts w:eastAsia="Times New Roman" w:cs="Times New Roman"/>
          <w:color w:val="FF0000"/>
        </w:rPr>
        <w:t xml:space="preserve"> included </w:t>
      </w:r>
      <w:r>
        <w:rPr>
          <w:rFonts w:eastAsia="Times New Roman" w:cs="Times New Roman"/>
          <w:color w:val="FF0000"/>
        </w:rPr>
        <w:t xml:space="preserve">and </w:t>
      </w:r>
      <w:r w:rsidR="00627EA2" w:rsidRPr="00627EA2">
        <w:rPr>
          <w:rFonts w:eastAsia="Times New Roman" w:cs="Times New Roman"/>
          <w:color w:val="FF0000"/>
        </w:rPr>
        <w:t xml:space="preserve">the number of references </w:t>
      </w:r>
      <w:r>
        <w:rPr>
          <w:rFonts w:eastAsia="Times New Roman" w:cs="Times New Roman"/>
          <w:color w:val="FF0000"/>
        </w:rPr>
        <w:t>is currently 13</w:t>
      </w:r>
      <w:r w:rsidR="00627EA2" w:rsidRPr="00627EA2">
        <w:rPr>
          <w:rFonts w:eastAsia="Times New Roman" w:cs="Times New Roman"/>
          <w:color w:val="FF0000"/>
        </w:rPr>
        <w:t xml:space="preserve">. Reference 2, </w:t>
      </w:r>
      <w:r>
        <w:rPr>
          <w:rFonts w:eastAsia="Times New Roman" w:cs="Times New Roman"/>
          <w:color w:val="FF0000"/>
        </w:rPr>
        <w:t>3,6 and 13</w:t>
      </w:r>
      <w:r w:rsidR="00627EA2" w:rsidRPr="00627EA2">
        <w:rPr>
          <w:rFonts w:eastAsia="Times New Roman" w:cs="Times New Roman"/>
          <w:color w:val="FF0000"/>
        </w:rPr>
        <w:t xml:space="preserve"> describes the advantages over the alternative techniques.</w:t>
      </w:r>
    </w:p>
    <w:p w14:paraId="7A7BF3A5" w14:textId="77777777" w:rsidR="00627EA2" w:rsidRDefault="004A3912">
      <w:pPr>
        <w:rPr>
          <w:rFonts w:eastAsia="Times New Roman" w:cs="Times New Roman"/>
          <w:color w:val="FF0000"/>
        </w:rPr>
      </w:pPr>
      <w:r w:rsidRPr="00627EA2">
        <w:rPr>
          <w:rFonts w:eastAsia="Times New Roman" w:cs="Times New Roman"/>
          <w:color w:val="FF0000"/>
        </w:rPr>
        <w:br/>
      </w:r>
      <w:r>
        <w:rPr>
          <w:rFonts w:eastAsia="Times New Roman" w:cs="Times New Roman"/>
        </w:rPr>
        <w:t>19. Please ensure that the references appear as the following: [</w:t>
      </w:r>
      <w:proofErr w:type="spellStart"/>
      <w:r>
        <w:rPr>
          <w:rFonts w:eastAsia="Times New Roman" w:cs="Times New Roman"/>
        </w:rPr>
        <w:t>Lastname</w:t>
      </w:r>
      <w:proofErr w:type="spellEnd"/>
      <w:r>
        <w:rPr>
          <w:rFonts w:eastAsia="Times New Roman" w:cs="Times New Roman"/>
        </w:rPr>
        <w:t xml:space="preserve">, F.I., </w:t>
      </w:r>
      <w:proofErr w:type="spellStart"/>
      <w:r>
        <w:rPr>
          <w:rFonts w:eastAsia="Times New Roman" w:cs="Times New Roman"/>
        </w:rPr>
        <w:lastRenderedPageBreak/>
        <w:t>LastName</w:t>
      </w:r>
      <w:proofErr w:type="spellEnd"/>
      <w:r>
        <w:rPr>
          <w:rFonts w:eastAsia="Times New Roman" w:cs="Times New Roman"/>
        </w:rPr>
        <w:t xml:space="preserve">, F.I., </w:t>
      </w:r>
      <w:proofErr w:type="spellStart"/>
      <w:r>
        <w:rPr>
          <w:rFonts w:eastAsia="Times New Roman" w:cs="Times New Roman"/>
        </w:rPr>
        <w:t>LastName</w:t>
      </w:r>
      <w:proofErr w:type="spellEnd"/>
      <w:r>
        <w:rPr>
          <w:rFonts w:eastAsia="Times New Roman" w:cs="Times New Roman"/>
        </w:rPr>
        <w:t xml:space="preserve">, F.I. Article Title. Source. Volume (Issue), </w:t>
      </w:r>
      <w:proofErr w:type="spellStart"/>
      <w:r>
        <w:rPr>
          <w:rFonts w:eastAsia="Times New Roman" w:cs="Times New Roman"/>
        </w:rPr>
        <w:t>FirstPage</w:t>
      </w:r>
      <w:proofErr w:type="spellEnd"/>
      <w:r>
        <w:rPr>
          <w:rFonts w:eastAsia="Times New Roman" w:cs="Times New Roman"/>
        </w:rPr>
        <w:t xml:space="preserve"> – </w:t>
      </w:r>
      <w:proofErr w:type="spellStart"/>
      <w:r>
        <w:rPr>
          <w:rFonts w:eastAsia="Times New Roman" w:cs="Times New Roman"/>
        </w:rPr>
        <w:t>LastPage</w:t>
      </w:r>
      <w:proofErr w:type="spellEnd"/>
      <w:r>
        <w:rPr>
          <w:rFonts w:eastAsia="Times New Roman" w:cs="Times New Roman"/>
        </w:rPr>
        <w:t xml:space="preserve"> (YEAR).] For more than 6 authors, list only the first author then et al. Please do not abbreviate journal titles. See the example below:</w:t>
      </w:r>
      <w:r>
        <w:rPr>
          <w:rFonts w:eastAsia="Times New Roman" w:cs="Times New Roman"/>
        </w:rPr>
        <w:br/>
        <w:t xml:space="preserve">Bedford, C.D., Harris, R.N., </w:t>
      </w:r>
      <w:proofErr w:type="spellStart"/>
      <w:r>
        <w:rPr>
          <w:rFonts w:eastAsia="Times New Roman" w:cs="Times New Roman"/>
        </w:rPr>
        <w:t>Howd</w:t>
      </w:r>
      <w:proofErr w:type="spellEnd"/>
      <w:r>
        <w:rPr>
          <w:rFonts w:eastAsia="Times New Roman" w:cs="Times New Roman"/>
        </w:rPr>
        <w:t xml:space="preserve">, R.A., Goff, D.A., </w:t>
      </w:r>
      <w:proofErr w:type="spellStart"/>
      <w:r>
        <w:rPr>
          <w:rFonts w:eastAsia="Times New Roman" w:cs="Times New Roman"/>
        </w:rPr>
        <w:t>Koolpe</w:t>
      </w:r>
      <w:proofErr w:type="spellEnd"/>
      <w:r>
        <w:rPr>
          <w:rFonts w:eastAsia="Times New Roman" w:cs="Times New Roman"/>
        </w:rPr>
        <w:t>, G.A. Quaternary salts of 2-[(</w:t>
      </w:r>
      <w:proofErr w:type="spellStart"/>
      <w:proofErr w:type="gramStart"/>
      <w:r>
        <w:rPr>
          <w:rFonts w:eastAsia="Times New Roman" w:cs="Times New Roman"/>
        </w:rPr>
        <w:t>hydroxyimino</w:t>
      </w:r>
      <w:proofErr w:type="spellEnd"/>
      <w:r>
        <w:rPr>
          <w:rFonts w:eastAsia="Times New Roman" w:cs="Times New Roman"/>
        </w:rPr>
        <w:t>)methyl</w:t>
      </w:r>
      <w:proofErr w:type="gramEnd"/>
      <w:r>
        <w:rPr>
          <w:rFonts w:eastAsia="Times New Roman" w:cs="Times New Roman"/>
        </w:rPr>
        <w:t xml:space="preserve">]imidazole. </w:t>
      </w:r>
      <w:proofErr w:type="gramStart"/>
      <w:r>
        <w:rPr>
          <w:rFonts w:eastAsia="Times New Roman" w:cs="Times New Roman"/>
        </w:rPr>
        <w:t>Journal of Medicinal Chemistry.</w:t>
      </w:r>
      <w:proofErr w:type="gramEnd"/>
      <w:r>
        <w:rPr>
          <w:rFonts w:eastAsia="Times New Roman" w:cs="Times New Roman"/>
        </w:rPr>
        <w:t xml:space="preserve"> </w:t>
      </w:r>
      <w:proofErr w:type="gramStart"/>
      <w:r>
        <w:rPr>
          <w:rFonts w:eastAsia="Times New Roman" w:cs="Times New Roman"/>
        </w:rPr>
        <w:t>32 (2), 493-503 (1998).</w:t>
      </w:r>
      <w:proofErr w:type="gramEnd"/>
      <w:r>
        <w:rPr>
          <w:rFonts w:eastAsia="Times New Roman" w:cs="Times New Roman"/>
        </w:rPr>
        <w:br/>
      </w:r>
      <w:r w:rsidR="00627EA2">
        <w:rPr>
          <w:rFonts w:eastAsia="Times New Roman" w:cs="Times New Roman"/>
        </w:rPr>
        <w:t xml:space="preserve"> </w:t>
      </w:r>
      <w:r w:rsidR="009507C6">
        <w:rPr>
          <w:rFonts w:eastAsia="Times New Roman" w:cs="Times New Roman"/>
          <w:color w:val="FF0000"/>
        </w:rPr>
        <w:t xml:space="preserve">All references now </w:t>
      </w:r>
      <w:r w:rsidR="00627EA2" w:rsidRPr="00627EA2">
        <w:rPr>
          <w:rFonts w:eastAsia="Times New Roman" w:cs="Times New Roman"/>
          <w:color w:val="FF0000"/>
        </w:rPr>
        <w:t xml:space="preserve">appear as </w:t>
      </w:r>
      <w:r w:rsidR="00627EA2">
        <w:rPr>
          <w:rFonts w:eastAsia="Times New Roman" w:cs="Times New Roman"/>
          <w:color w:val="FF0000"/>
        </w:rPr>
        <w:t>required</w:t>
      </w:r>
      <w:r w:rsidR="00627EA2" w:rsidRPr="00627EA2">
        <w:rPr>
          <w:rFonts w:eastAsia="Times New Roman" w:cs="Times New Roman"/>
          <w:color w:val="FF0000"/>
        </w:rPr>
        <w:t>.</w:t>
      </w:r>
    </w:p>
    <w:p w14:paraId="4D0BA1CB" w14:textId="77777777" w:rsidR="00D178A2" w:rsidRDefault="004A3912">
      <w:pPr>
        <w:rPr>
          <w:rFonts w:eastAsia="Times New Roman" w:cs="Times New Roman"/>
          <w:color w:val="FF0000"/>
        </w:rPr>
      </w:pPr>
      <w:r>
        <w:rPr>
          <w:rFonts w:eastAsia="Times New Roman" w:cs="Times New Roman"/>
        </w:rPr>
        <w:br/>
      </w:r>
      <w:r>
        <w:rPr>
          <w:rStyle w:val="Strong"/>
          <w:rFonts w:eastAsia="Times New Roman" w:cs="Times New Roman"/>
        </w:rPr>
        <w:t>Reviewers' comments:</w:t>
      </w:r>
      <w:r>
        <w:rPr>
          <w:rFonts w:eastAsia="Times New Roman" w:cs="Times New Roman"/>
        </w:rPr>
        <w:br/>
      </w:r>
      <w:r>
        <w:rPr>
          <w:rFonts w:eastAsia="Times New Roman" w:cs="Times New Roman"/>
        </w:rPr>
        <w:br/>
      </w:r>
      <w:r>
        <w:rPr>
          <w:rFonts w:eastAsia="Times New Roman" w:cs="Times New Roman"/>
        </w:rPr>
        <w:br/>
      </w:r>
      <w:r>
        <w:rPr>
          <w:rFonts w:eastAsia="Times New Roman" w:cs="Times New Roman"/>
        </w:rPr>
        <w:br/>
        <w:t>Reviewer #1:</w:t>
      </w:r>
      <w:r>
        <w:rPr>
          <w:rFonts w:eastAsia="Times New Roman" w:cs="Times New Roman"/>
        </w:rPr>
        <w:br/>
      </w:r>
      <w:r>
        <w:rPr>
          <w:rFonts w:eastAsia="Times New Roman" w:cs="Times New Roman"/>
        </w:rPr>
        <w:br/>
        <w:t>Manuscript Summary:</w:t>
      </w:r>
      <w:r>
        <w:rPr>
          <w:rFonts w:eastAsia="Times New Roman" w:cs="Times New Roman"/>
        </w:rPr>
        <w:br/>
        <w:t xml:space="preserve">This is a very </w:t>
      </w:r>
      <w:proofErr w:type="gramStart"/>
      <w:r>
        <w:rPr>
          <w:rFonts w:eastAsia="Times New Roman" w:cs="Times New Roman"/>
        </w:rPr>
        <w:t>well-written</w:t>
      </w:r>
      <w:proofErr w:type="gramEnd"/>
      <w:r>
        <w:rPr>
          <w:rFonts w:eastAsia="Times New Roman" w:cs="Times New Roman"/>
        </w:rPr>
        <w:t xml:space="preserve"> manuscript detailing a straightforward and reproducible method for rapidly expanding functional HSC from a single unit of cord blood. The protocol is preceded by a well thought-out and informative introduction, and the protocol is followed by a succinct, well-written Discussion making readers aware of some of the nuances of the expansion system. The protocol is sure to be of great interest to many readers in the HSC field.</w:t>
      </w:r>
      <w:r>
        <w:rPr>
          <w:rFonts w:eastAsia="Times New Roman" w:cs="Times New Roman"/>
        </w:rPr>
        <w:br/>
      </w:r>
      <w:r>
        <w:rPr>
          <w:rFonts w:eastAsia="Times New Roman" w:cs="Times New Roman"/>
        </w:rPr>
        <w:br/>
        <w:t>Major Concerns:</w:t>
      </w:r>
      <w:r>
        <w:rPr>
          <w:rFonts w:eastAsia="Times New Roman" w:cs="Times New Roman"/>
        </w:rPr>
        <w:br/>
        <w:t>None</w:t>
      </w:r>
      <w:r>
        <w:rPr>
          <w:rFonts w:eastAsia="Times New Roman" w:cs="Times New Roman"/>
        </w:rPr>
        <w:br/>
      </w:r>
      <w:r>
        <w:rPr>
          <w:rFonts w:eastAsia="Times New Roman" w:cs="Times New Roman"/>
        </w:rPr>
        <w:br/>
        <w:t>Minor Concerns:</w:t>
      </w:r>
      <w:r>
        <w:rPr>
          <w:rFonts w:eastAsia="Times New Roman" w:cs="Times New Roman"/>
        </w:rPr>
        <w:br/>
        <w:t>There are a couple of typos in lines 383 and 474.</w:t>
      </w:r>
      <w:r w:rsidR="00627EA2">
        <w:rPr>
          <w:rFonts w:eastAsia="Times New Roman" w:cs="Times New Roman"/>
        </w:rPr>
        <w:t xml:space="preserve"> </w:t>
      </w:r>
    </w:p>
    <w:p w14:paraId="003EF921" w14:textId="1AFD904F" w:rsidR="001D41C2" w:rsidRDefault="00D178A2">
      <w:pPr>
        <w:rPr>
          <w:rFonts w:eastAsia="Times New Roman" w:cs="Times New Roman"/>
        </w:rPr>
      </w:pPr>
      <w:r>
        <w:rPr>
          <w:rFonts w:eastAsia="Times New Roman" w:cs="Times New Roman"/>
          <w:color w:val="FF0000"/>
        </w:rPr>
        <w:t>The mistakes have been corrected.</w:t>
      </w:r>
      <w:r w:rsidR="004A3912">
        <w:rPr>
          <w:rFonts w:eastAsia="Times New Roman" w:cs="Times New Roman"/>
        </w:rPr>
        <w:br/>
      </w:r>
      <w:r w:rsidR="004A3912">
        <w:rPr>
          <w:rFonts w:eastAsia="Times New Roman" w:cs="Times New Roman"/>
        </w:rPr>
        <w:br/>
      </w:r>
      <w:r w:rsidR="004A3912">
        <w:rPr>
          <w:rFonts w:eastAsia="Times New Roman" w:cs="Times New Roman"/>
        </w:rPr>
        <w:br/>
        <w:t>Reviewer #2:</w:t>
      </w:r>
      <w:r w:rsidR="004A3912">
        <w:rPr>
          <w:rFonts w:eastAsia="Times New Roman" w:cs="Times New Roman"/>
        </w:rPr>
        <w:br/>
      </w:r>
      <w:r w:rsidR="004A3912">
        <w:rPr>
          <w:rFonts w:eastAsia="Times New Roman" w:cs="Times New Roman"/>
        </w:rPr>
        <w:br/>
        <w:t xml:space="preserve">Manuscript Summary: This is a detailed protocol of the ex vivo expansion of human hematopoietic stem and progenitor cells using a cytokine cocktail and </w:t>
      </w:r>
      <w:proofErr w:type="spellStart"/>
      <w:r w:rsidR="004A3912">
        <w:rPr>
          <w:rFonts w:eastAsia="Times New Roman" w:cs="Times New Roman"/>
        </w:rPr>
        <w:t>valproic</w:t>
      </w:r>
      <w:proofErr w:type="spellEnd"/>
      <w:r w:rsidR="004A3912">
        <w:rPr>
          <w:rFonts w:eastAsia="Times New Roman" w:cs="Times New Roman"/>
        </w:rPr>
        <w:t xml:space="preserve"> acid.</w:t>
      </w:r>
      <w:r w:rsidR="004A3912">
        <w:rPr>
          <w:rFonts w:eastAsia="Times New Roman" w:cs="Times New Roman"/>
        </w:rPr>
        <w:br/>
      </w:r>
      <w:r w:rsidR="004A3912">
        <w:rPr>
          <w:rFonts w:eastAsia="Times New Roman" w:cs="Times New Roman"/>
        </w:rPr>
        <w:br/>
        <w:t>Minor Concerns:</w:t>
      </w:r>
      <w:r w:rsidR="004A3912">
        <w:rPr>
          <w:rFonts w:eastAsia="Times New Roman" w:cs="Times New Roman"/>
        </w:rPr>
        <w:br/>
      </w:r>
      <w:r w:rsidR="004A3912">
        <w:rPr>
          <w:rFonts w:eastAsia="Times New Roman" w:cs="Times New Roman"/>
        </w:rPr>
        <w:br/>
        <w:t>1. In the introduction the authors should explain in more details why the expansion of HSCs is due to the acquisition of a primitive phenotype and not simply proliferation.</w:t>
      </w:r>
    </w:p>
    <w:p w14:paraId="0AE827F4" w14:textId="328D33FF" w:rsidR="00436078" w:rsidRDefault="001D41C2" w:rsidP="009507C6">
      <w:pPr>
        <w:jc w:val="both"/>
        <w:rPr>
          <w:rFonts w:asciiTheme="majorHAnsi" w:hAnsiTheme="majorHAnsi" w:cs="Arial"/>
          <w:color w:val="FF0000"/>
        </w:rPr>
      </w:pPr>
      <w:r>
        <w:rPr>
          <w:rFonts w:eastAsia="Times New Roman" w:cs="Times New Roman"/>
        </w:rPr>
        <w:t xml:space="preserve"> </w:t>
      </w:r>
      <w:r w:rsidRPr="001D41C2">
        <w:rPr>
          <w:rFonts w:eastAsia="Times New Roman" w:cs="Times New Roman"/>
          <w:color w:val="FF0000"/>
        </w:rPr>
        <w:t>An explanation</w:t>
      </w:r>
      <w:r w:rsidR="005F7D76">
        <w:rPr>
          <w:rFonts w:eastAsia="Times New Roman" w:cs="Times New Roman"/>
          <w:color w:val="FF0000"/>
        </w:rPr>
        <w:t xml:space="preserve"> has been</w:t>
      </w:r>
      <w:r w:rsidRPr="001D41C2">
        <w:rPr>
          <w:rFonts w:eastAsia="Times New Roman" w:cs="Times New Roman"/>
          <w:color w:val="FF0000"/>
        </w:rPr>
        <w:t xml:space="preserve"> currently added in the introduction part of this manuscript</w:t>
      </w:r>
      <w:r>
        <w:rPr>
          <w:rFonts w:eastAsia="Times New Roman" w:cs="Times New Roman"/>
        </w:rPr>
        <w:t xml:space="preserve"> </w:t>
      </w:r>
      <w:r w:rsidRPr="009507C6">
        <w:rPr>
          <w:rFonts w:eastAsia="Times New Roman" w:cs="Times New Roman"/>
          <w:color w:val="FF0000"/>
        </w:rPr>
        <w:t>“</w:t>
      </w:r>
      <w:r w:rsidRPr="009507C6">
        <w:rPr>
          <w:rFonts w:asciiTheme="majorHAnsi" w:hAnsiTheme="majorHAnsi" w:cs="Arial"/>
          <w:b/>
          <w:color w:val="FF0000"/>
        </w:rPr>
        <w:t>Within the initial 24-48 h of incubation with a combination of cytokines and VPA, CD34</w:t>
      </w:r>
      <w:r w:rsidRPr="009507C6">
        <w:rPr>
          <w:rFonts w:asciiTheme="majorHAnsi" w:hAnsiTheme="majorHAnsi" w:cs="Arial"/>
          <w:b/>
          <w:color w:val="FF0000"/>
          <w:vertAlign w:val="superscript"/>
        </w:rPr>
        <w:t>+</w:t>
      </w:r>
      <w:r w:rsidRPr="009507C6">
        <w:rPr>
          <w:rFonts w:asciiTheme="majorHAnsi" w:hAnsiTheme="majorHAnsi" w:cs="Arial"/>
          <w:b/>
          <w:color w:val="FF0000"/>
        </w:rPr>
        <w:t xml:space="preserve"> cells acquire a transcriptomic and phenotypic profile that characterize long-term HSCs. The significant increase in the percentage of HSCs is accompanied by a prompt increase in the number of HSCs (63 fold increase within 24 h of VPA </w:t>
      </w:r>
      <w:r w:rsidRPr="009507C6">
        <w:rPr>
          <w:rFonts w:asciiTheme="majorHAnsi" w:hAnsiTheme="majorHAnsi" w:cs="Arial"/>
          <w:b/>
          <w:color w:val="FF0000"/>
        </w:rPr>
        <w:lastRenderedPageBreak/>
        <w:t>treatment)</w:t>
      </w:r>
      <w:r w:rsidRPr="009507C6">
        <w:rPr>
          <w:rFonts w:asciiTheme="majorHAnsi" w:hAnsiTheme="majorHAnsi" w:cs="Arial"/>
          <w:b/>
          <w:color w:val="FF0000"/>
        </w:rPr>
        <w:fldChar w:fldCharType="begin"/>
      </w:r>
      <w:r w:rsidRPr="009507C6">
        <w:rPr>
          <w:rFonts w:asciiTheme="majorHAnsi" w:hAnsiTheme="majorHAnsi" w:cs="Arial"/>
          <w:b/>
          <w:color w:val="FF0000"/>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Pr="009507C6">
        <w:rPr>
          <w:rFonts w:asciiTheme="majorHAnsi" w:hAnsiTheme="majorHAnsi" w:cs="Arial"/>
          <w:b/>
          <w:color w:val="FF0000"/>
        </w:rPr>
        <w:fldChar w:fldCharType="separate"/>
      </w:r>
      <w:r w:rsidRPr="009507C6">
        <w:rPr>
          <w:rFonts w:asciiTheme="majorHAnsi" w:hAnsiTheme="majorHAnsi" w:cs="Arial"/>
          <w:b/>
          <w:noProof/>
          <w:color w:val="FF0000"/>
          <w:vertAlign w:val="superscript"/>
        </w:rPr>
        <w:t>9</w:t>
      </w:r>
      <w:r w:rsidRPr="009507C6">
        <w:rPr>
          <w:rFonts w:asciiTheme="majorHAnsi" w:hAnsiTheme="majorHAnsi" w:cs="Arial"/>
          <w:b/>
          <w:color w:val="FF0000"/>
        </w:rPr>
        <w:fldChar w:fldCharType="end"/>
      </w:r>
      <w:r w:rsidR="00436078" w:rsidRPr="009507C6">
        <w:rPr>
          <w:rFonts w:asciiTheme="majorHAnsi" w:hAnsiTheme="majorHAnsi" w:cs="Arial"/>
          <w:b/>
          <w:color w:val="FF0000"/>
        </w:rPr>
        <w:t>.</w:t>
      </w:r>
      <w:r w:rsidR="00436078">
        <w:rPr>
          <w:rFonts w:asciiTheme="majorHAnsi" w:hAnsiTheme="majorHAnsi" w:cs="Arial"/>
          <w:b/>
        </w:rPr>
        <w:t xml:space="preserve"> </w:t>
      </w:r>
      <w:r w:rsidR="00436078" w:rsidRPr="00436078">
        <w:rPr>
          <w:rFonts w:asciiTheme="majorHAnsi" w:hAnsiTheme="majorHAnsi" w:cs="Arial"/>
          <w:color w:val="FF0000"/>
        </w:rPr>
        <w:t xml:space="preserve">Moreover, </w:t>
      </w:r>
      <w:r w:rsidR="009507C6">
        <w:rPr>
          <w:rFonts w:asciiTheme="majorHAnsi" w:hAnsiTheme="majorHAnsi" w:cs="Arial"/>
          <w:color w:val="FF0000"/>
        </w:rPr>
        <w:t xml:space="preserve">regarding this point, </w:t>
      </w:r>
      <w:r w:rsidR="00436078" w:rsidRPr="00436078">
        <w:rPr>
          <w:rFonts w:asciiTheme="majorHAnsi" w:hAnsiTheme="majorHAnsi" w:cs="Arial"/>
          <w:color w:val="FF0000"/>
        </w:rPr>
        <w:t>we have added the</w:t>
      </w:r>
      <w:r w:rsidRPr="00436078">
        <w:rPr>
          <w:rFonts w:asciiTheme="majorHAnsi" w:hAnsiTheme="majorHAnsi" w:cs="Arial"/>
          <w:color w:val="FF0000"/>
        </w:rPr>
        <w:t xml:space="preserve"> appropriate reference</w:t>
      </w:r>
      <w:r w:rsidR="00436078" w:rsidRPr="00436078">
        <w:rPr>
          <w:rFonts w:asciiTheme="majorHAnsi" w:hAnsiTheme="majorHAnsi" w:cs="Arial"/>
          <w:color w:val="FF0000"/>
        </w:rPr>
        <w:t xml:space="preserve"> </w:t>
      </w:r>
      <w:r w:rsidR="00436078">
        <w:rPr>
          <w:rFonts w:asciiTheme="majorHAnsi" w:hAnsiTheme="majorHAnsi" w:cs="Arial"/>
          <w:color w:val="FF0000"/>
        </w:rPr>
        <w:t>in which</w:t>
      </w:r>
      <w:r w:rsidRPr="001D41C2">
        <w:rPr>
          <w:rFonts w:asciiTheme="majorHAnsi" w:hAnsiTheme="majorHAnsi" w:cs="Arial"/>
          <w:color w:val="FF0000"/>
        </w:rPr>
        <w:t xml:space="preserve"> the authors have provided detailed insights and explanations along with a great amount of data </w:t>
      </w:r>
      <w:r w:rsidR="00817F49">
        <w:rPr>
          <w:rFonts w:asciiTheme="majorHAnsi" w:hAnsiTheme="majorHAnsi" w:cs="Arial"/>
          <w:color w:val="FF0000"/>
        </w:rPr>
        <w:t>that includes phenotypic, trans</w:t>
      </w:r>
      <w:r>
        <w:rPr>
          <w:rFonts w:asciiTheme="majorHAnsi" w:hAnsiTheme="majorHAnsi" w:cs="Arial"/>
          <w:color w:val="FF0000"/>
        </w:rPr>
        <w:t>criptomic and metabolic analysis as well as cell cycle analysis</w:t>
      </w:r>
      <w:r w:rsidR="005F7D76">
        <w:rPr>
          <w:rFonts w:asciiTheme="majorHAnsi" w:hAnsiTheme="majorHAnsi" w:cs="Arial"/>
          <w:color w:val="FF0000"/>
        </w:rPr>
        <w:t xml:space="preserve"> (Papa et al)</w:t>
      </w:r>
      <w:r w:rsidRPr="001D41C2">
        <w:rPr>
          <w:rFonts w:asciiTheme="majorHAnsi" w:hAnsiTheme="majorHAnsi" w:cs="Arial"/>
          <w:color w:val="FF0000"/>
        </w:rPr>
        <w:t>.</w:t>
      </w:r>
    </w:p>
    <w:p w14:paraId="075181A1" w14:textId="77777777" w:rsidR="001D41C2" w:rsidRDefault="004A3912" w:rsidP="00770E35">
      <w:pPr>
        <w:rPr>
          <w:rFonts w:eastAsia="Times New Roman" w:cs="Times New Roman"/>
        </w:rPr>
      </w:pPr>
      <w:r w:rsidRPr="001D41C2">
        <w:rPr>
          <w:rFonts w:eastAsia="Times New Roman" w:cs="Times New Roman"/>
          <w:color w:val="FF0000"/>
        </w:rPr>
        <w:br/>
      </w:r>
      <w:r>
        <w:rPr>
          <w:rFonts w:eastAsia="Times New Roman" w:cs="Times New Roman"/>
        </w:rPr>
        <w:t>2. Can the authors define how many folds is the ex vivo expansion with VPA?</w:t>
      </w:r>
    </w:p>
    <w:p w14:paraId="5CE6B201" w14:textId="77777777" w:rsidR="00436078" w:rsidRPr="009507C6" w:rsidRDefault="001D41C2" w:rsidP="009507C6">
      <w:pPr>
        <w:jc w:val="both"/>
        <w:rPr>
          <w:rFonts w:asciiTheme="majorHAnsi" w:hAnsiTheme="majorHAnsi" w:cs="Arial"/>
          <w:b/>
          <w:color w:val="FF0000"/>
        </w:rPr>
      </w:pPr>
      <w:r>
        <w:rPr>
          <w:rFonts w:eastAsia="Times New Roman" w:cs="Times New Roman"/>
        </w:rPr>
        <w:t xml:space="preserve"> </w:t>
      </w:r>
      <w:r w:rsidRPr="00436078">
        <w:rPr>
          <w:rFonts w:eastAsia="Times New Roman" w:cs="Times New Roman"/>
          <w:color w:val="FF0000"/>
        </w:rPr>
        <w:t>This has been defined in the introduction part of this manuscript</w:t>
      </w:r>
      <w:r>
        <w:rPr>
          <w:rFonts w:eastAsia="Times New Roman" w:cs="Times New Roman"/>
        </w:rPr>
        <w:t xml:space="preserve"> </w:t>
      </w:r>
      <w:r w:rsidRPr="009507C6">
        <w:rPr>
          <w:rFonts w:eastAsia="Times New Roman" w:cs="Times New Roman"/>
          <w:color w:val="FF0000"/>
        </w:rPr>
        <w:t>“</w:t>
      </w:r>
      <w:r w:rsidR="00436078" w:rsidRPr="009507C6">
        <w:rPr>
          <w:rFonts w:asciiTheme="majorHAnsi" w:hAnsiTheme="majorHAnsi" w:cs="Arial"/>
          <w:b/>
          <w:color w:val="FF0000"/>
        </w:rPr>
        <w:t>The significant increase in the percentage of HSCs is accompanied by a prompt increase in the number of HSCs (63 fold increase within 24 h of VPA treatment)</w:t>
      </w:r>
      <w:r w:rsidR="00436078" w:rsidRPr="009507C6">
        <w:rPr>
          <w:rFonts w:asciiTheme="majorHAnsi" w:hAnsiTheme="majorHAnsi" w:cs="Arial"/>
          <w:b/>
          <w:color w:val="FF0000"/>
        </w:rPr>
        <w:fldChar w:fldCharType="begin"/>
      </w:r>
      <w:r w:rsidR="00436078" w:rsidRPr="009507C6">
        <w:rPr>
          <w:rFonts w:asciiTheme="majorHAnsi" w:hAnsiTheme="majorHAnsi" w:cs="Arial"/>
          <w:b/>
          <w:color w:val="FF0000"/>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436078" w:rsidRPr="009507C6">
        <w:rPr>
          <w:rFonts w:asciiTheme="majorHAnsi" w:hAnsiTheme="majorHAnsi" w:cs="Arial"/>
          <w:b/>
          <w:color w:val="FF0000"/>
        </w:rPr>
        <w:fldChar w:fldCharType="separate"/>
      </w:r>
      <w:r w:rsidR="00436078" w:rsidRPr="009507C6">
        <w:rPr>
          <w:rFonts w:asciiTheme="majorHAnsi" w:hAnsiTheme="majorHAnsi" w:cs="Arial"/>
          <w:b/>
          <w:noProof/>
          <w:color w:val="FF0000"/>
          <w:vertAlign w:val="superscript"/>
        </w:rPr>
        <w:t>9</w:t>
      </w:r>
      <w:r w:rsidR="00436078" w:rsidRPr="009507C6">
        <w:rPr>
          <w:rFonts w:asciiTheme="majorHAnsi" w:hAnsiTheme="majorHAnsi" w:cs="Arial"/>
          <w:b/>
          <w:color w:val="FF0000"/>
        </w:rPr>
        <w:fldChar w:fldCharType="end"/>
      </w:r>
      <w:r w:rsidR="00436078" w:rsidRPr="009507C6">
        <w:rPr>
          <w:rFonts w:asciiTheme="majorHAnsi" w:hAnsiTheme="majorHAnsi" w:cs="Arial"/>
          <w:b/>
          <w:color w:val="FF0000"/>
        </w:rPr>
        <w:t>”.</w:t>
      </w:r>
    </w:p>
    <w:p w14:paraId="1947A79C" w14:textId="77777777" w:rsidR="00436078" w:rsidRDefault="004A3912" w:rsidP="00770E35">
      <w:pPr>
        <w:rPr>
          <w:rFonts w:eastAsia="Times New Roman" w:cs="Times New Roman"/>
        </w:rPr>
      </w:pPr>
      <w:r>
        <w:rPr>
          <w:rFonts w:eastAsia="Times New Roman" w:cs="Times New Roman"/>
        </w:rPr>
        <w:br/>
        <w:t xml:space="preserve">3. Define </w:t>
      </w:r>
      <w:proofErr w:type="spellStart"/>
      <w:r>
        <w:rPr>
          <w:rFonts w:eastAsia="Times New Roman" w:cs="Times New Roman"/>
        </w:rPr>
        <w:t>stemline</w:t>
      </w:r>
      <w:proofErr w:type="spellEnd"/>
      <w:r>
        <w:rPr>
          <w:rFonts w:eastAsia="Times New Roman" w:cs="Times New Roman"/>
        </w:rPr>
        <w:t xml:space="preserve"> II in line 205</w:t>
      </w:r>
    </w:p>
    <w:p w14:paraId="6CF5D70C" w14:textId="45959CED" w:rsidR="00436078" w:rsidRDefault="00436078" w:rsidP="00770E35">
      <w:pPr>
        <w:rPr>
          <w:rFonts w:eastAsia="Times New Roman" w:cs="Times New Roman"/>
        </w:rPr>
      </w:pPr>
      <w:proofErr w:type="spellStart"/>
      <w:r w:rsidRPr="00436078">
        <w:rPr>
          <w:rFonts w:eastAsia="Times New Roman" w:cs="Times New Roman"/>
          <w:color w:val="FF0000"/>
        </w:rPr>
        <w:t>Steml</w:t>
      </w:r>
      <w:r w:rsidR="00D178A2">
        <w:rPr>
          <w:rFonts w:eastAsia="Times New Roman" w:cs="Times New Roman"/>
          <w:color w:val="FF0000"/>
        </w:rPr>
        <w:t>ine</w:t>
      </w:r>
      <w:proofErr w:type="spellEnd"/>
      <w:r w:rsidR="00D178A2">
        <w:rPr>
          <w:rFonts w:eastAsia="Times New Roman" w:cs="Times New Roman"/>
          <w:color w:val="FF0000"/>
        </w:rPr>
        <w:t xml:space="preserve"> II media </w:t>
      </w:r>
      <w:r w:rsidR="00042905">
        <w:rPr>
          <w:rFonts w:eastAsia="Times New Roman" w:cs="Times New Roman"/>
          <w:color w:val="FF0000"/>
        </w:rPr>
        <w:t>has been</w:t>
      </w:r>
      <w:r w:rsidR="00D178A2">
        <w:rPr>
          <w:rFonts w:eastAsia="Times New Roman" w:cs="Times New Roman"/>
          <w:color w:val="FF0000"/>
        </w:rPr>
        <w:t xml:space="preserve"> defined in the t</w:t>
      </w:r>
      <w:r w:rsidRPr="00436078">
        <w:rPr>
          <w:rFonts w:eastAsia="Times New Roman" w:cs="Times New Roman"/>
          <w:color w:val="FF0000"/>
        </w:rPr>
        <w:t>able of Materials.</w:t>
      </w:r>
    </w:p>
    <w:p w14:paraId="2E47DD39" w14:textId="77777777" w:rsidR="00436078" w:rsidRDefault="004A3912" w:rsidP="00770E35">
      <w:pPr>
        <w:rPr>
          <w:rFonts w:eastAsia="Times New Roman" w:cs="Times New Roman"/>
        </w:rPr>
      </w:pPr>
      <w:r>
        <w:rPr>
          <w:rFonts w:eastAsia="Times New Roman" w:cs="Times New Roman"/>
        </w:rPr>
        <w:br/>
        <w:t xml:space="preserve">4. Can the authors include some alternative solutions for the readers that do not have the exact similar </w:t>
      </w:r>
      <w:proofErr w:type="gramStart"/>
      <w:r>
        <w:rPr>
          <w:rFonts w:eastAsia="Times New Roman" w:cs="Times New Roman"/>
        </w:rPr>
        <w:t>tools.</w:t>
      </w:r>
      <w:proofErr w:type="gramEnd"/>
      <w:r>
        <w:rPr>
          <w:rFonts w:eastAsia="Times New Roman" w:cs="Times New Roman"/>
        </w:rPr>
        <w:t xml:space="preserve"> </w:t>
      </w:r>
      <w:proofErr w:type="gramStart"/>
      <w:r>
        <w:rPr>
          <w:rFonts w:eastAsia="Times New Roman" w:cs="Times New Roman"/>
        </w:rPr>
        <w:t xml:space="preserve">For example for the </w:t>
      </w:r>
      <w:proofErr w:type="spellStart"/>
      <w:r>
        <w:rPr>
          <w:rFonts w:eastAsia="Times New Roman" w:cs="Times New Roman"/>
        </w:rPr>
        <w:t>autoMACS</w:t>
      </w:r>
      <w:proofErr w:type="spellEnd"/>
      <w:r>
        <w:rPr>
          <w:rFonts w:eastAsia="Times New Roman" w:cs="Times New Roman"/>
        </w:rPr>
        <w:t xml:space="preserve"> and the "posseld2" program.</w:t>
      </w:r>
      <w:proofErr w:type="gramEnd"/>
    </w:p>
    <w:p w14:paraId="54D759C7" w14:textId="77777777" w:rsidR="00D178A2" w:rsidRPr="00D178A2" w:rsidRDefault="00D178A2" w:rsidP="00D178A2">
      <w:pPr>
        <w:rPr>
          <w:rFonts w:eastAsia="Times New Roman" w:cs="Times New Roman"/>
          <w:color w:val="FF0000"/>
        </w:rPr>
      </w:pPr>
      <w:r w:rsidRPr="00D178A2">
        <w:rPr>
          <w:rFonts w:eastAsia="Times New Roman" w:cs="Times New Roman"/>
          <w:color w:val="FF0000"/>
        </w:rPr>
        <w:t>The</w:t>
      </w:r>
      <w:r w:rsidR="00764E4C" w:rsidRPr="00D178A2">
        <w:rPr>
          <w:rFonts w:eastAsia="Times New Roman" w:cs="Times New Roman"/>
          <w:color w:val="FF0000"/>
        </w:rPr>
        <w:t xml:space="preserve"> alternative method </w:t>
      </w:r>
      <w:r w:rsidRPr="00D178A2">
        <w:rPr>
          <w:rFonts w:eastAsia="Times New Roman" w:cs="Times New Roman"/>
          <w:color w:val="FF0000"/>
        </w:rPr>
        <w:t>has been added in step 3.7 as a note followed by the appropriate reference.</w:t>
      </w:r>
    </w:p>
    <w:p w14:paraId="15FEA2E9" w14:textId="649C0374" w:rsidR="00D178A2" w:rsidRDefault="00D178A2" w:rsidP="00D178A2">
      <w:pPr>
        <w:rPr>
          <w:rFonts w:eastAsia="Times New Roman" w:cs="Times New Roman"/>
        </w:rPr>
      </w:pPr>
      <w:r>
        <w:rPr>
          <w:rFonts w:eastAsia="Times New Roman" w:cs="Times New Roman"/>
        </w:rPr>
        <w:t xml:space="preserve"> </w:t>
      </w:r>
    </w:p>
    <w:p w14:paraId="64BC77E5" w14:textId="64E876B3" w:rsidR="00436078" w:rsidRDefault="004A3912" w:rsidP="00770E35">
      <w:pPr>
        <w:rPr>
          <w:rFonts w:eastAsia="Times New Roman" w:cs="Times New Roman"/>
        </w:rPr>
      </w:pPr>
      <w:r>
        <w:rPr>
          <w:rFonts w:eastAsia="Times New Roman" w:cs="Times New Roman"/>
        </w:rPr>
        <w:t>5. Line 271: How many purified CD34+ cells do you put per well?</w:t>
      </w:r>
    </w:p>
    <w:p w14:paraId="2D506F53" w14:textId="77777777" w:rsidR="00817F49" w:rsidRDefault="00436078" w:rsidP="00770E35">
      <w:pPr>
        <w:rPr>
          <w:rFonts w:eastAsia="Times New Roman" w:cs="Times New Roman"/>
        </w:rPr>
      </w:pPr>
      <w:r w:rsidRPr="00817F49">
        <w:rPr>
          <w:rFonts w:eastAsia="Times New Roman" w:cs="Times New Roman"/>
          <w:color w:val="FF0000"/>
        </w:rPr>
        <w:t>5X10</w:t>
      </w:r>
      <w:r w:rsidRPr="00817F49">
        <w:rPr>
          <w:rFonts w:eastAsia="Times New Roman" w:cs="Times New Roman"/>
          <w:color w:val="FF0000"/>
          <w:vertAlign w:val="superscript"/>
        </w:rPr>
        <w:t>4</w:t>
      </w:r>
      <w:r w:rsidRPr="00817F49">
        <w:rPr>
          <w:rFonts w:eastAsia="Times New Roman" w:cs="Times New Roman"/>
          <w:color w:val="FF0000"/>
        </w:rPr>
        <w:t xml:space="preserve"> CD34</w:t>
      </w:r>
      <w:r w:rsidRPr="00817F49">
        <w:rPr>
          <w:rFonts w:eastAsia="Times New Roman" w:cs="Times New Roman"/>
          <w:color w:val="FF0000"/>
          <w:vertAlign w:val="superscript"/>
        </w:rPr>
        <w:t>+</w:t>
      </w:r>
      <w:r w:rsidRPr="00817F49">
        <w:rPr>
          <w:rFonts w:eastAsia="Times New Roman" w:cs="Times New Roman"/>
          <w:color w:val="FF0000"/>
        </w:rPr>
        <w:t xml:space="preserve"> cells were plated in each well. This is clarified in steps 4.1 and 4.2</w:t>
      </w:r>
      <w:r w:rsidR="00817F49" w:rsidRPr="00817F49">
        <w:rPr>
          <w:rFonts w:eastAsia="Times New Roman" w:cs="Times New Roman"/>
          <w:color w:val="FF0000"/>
        </w:rPr>
        <w:t>.</w:t>
      </w:r>
      <w:r w:rsidR="00817F49">
        <w:rPr>
          <w:rFonts w:eastAsia="Times New Roman" w:cs="Times New Roman"/>
        </w:rPr>
        <w:t xml:space="preserve"> </w:t>
      </w:r>
    </w:p>
    <w:p w14:paraId="01CB828C" w14:textId="77777777" w:rsidR="0010706E" w:rsidRDefault="004A3912" w:rsidP="00770E35">
      <w:pPr>
        <w:rPr>
          <w:rFonts w:eastAsia="Times New Roman" w:cs="Times New Roman"/>
        </w:rPr>
      </w:pPr>
      <w:r>
        <w:rPr>
          <w:rFonts w:eastAsia="Times New Roman" w:cs="Times New Roman"/>
        </w:rPr>
        <w:br/>
        <w:t xml:space="preserve">6. Define how much antibody solution you need for a certain number of cells (line 279 </w:t>
      </w:r>
      <w:proofErr w:type="spellStart"/>
      <w:r>
        <w:rPr>
          <w:rFonts w:eastAsia="Times New Roman" w:cs="Times New Roman"/>
        </w:rPr>
        <w:t>etc</w:t>
      </w:r>
      <w:proofErr w:type="spellEnd"/>
      <w:r>
        <w:rPr>
          <w:rFonts w:eastAsia="Times New Roman" w:cs="Times New Roman"/>
        </w:rPr>
        <w:t>)</w:t>
      </w:r>
    </w:p>
    <w:p w14:paraId="775BDB98" w14:textId="226714EF" w:rsidR="00764E4C" w:rsidRPr="00042905" w:rsidRDefault="00D178A2" w:rsidP="00042905">
      <w:pPr>
        <w:shd w:val="clear" w:color="auto" w:fill="FFFFFF"/>
        <w:spacing w:before="100" w:beforeAutospacing="1" w:after="150"/>
        <w:jc w:val="both"/>
        <w:rPr>
          <w:rFonts w:eastAsia="Times New Roman" w:cs="Arial"/>
          <w:color w:val="FF0000"/>
        </w:rPr>
      </w:pPr>
      <w:r w:rsidRPr="00042905">
        <w:rPr>
          <w:rFonts w:eastAsia="Times New Roman" w:cs="Times New Roman"/>
          <w:color w:val="FF0000"/>
        </w:rPr>
        <w:t>The antibody solution and the concentration have been described in step 6.3</w:t>
      </w:r>
      <w:r w:rsidR="00764E4C" w:rsidRPr="00042905">
        <w:rPr>
          <w:rFonts w:eastAsia="Times New Roman" w:cs="Times New Roman"/>
          <w:color w:val="FF0000"/>
        </w:rPr>
        <w:t xml:space="preserve">: </w:t>
      </w:r>
      <w:r w:rsidR="00042905" w:rsidRPr="00042905">
        <w:rPr>
          <w:rFonts w:eastAsia="Times New Roman" w:cs="Times New Roman"/>
          <w:b/>
          <w:color w:val="FF0000"/>
        </w:rPr>
        <w:t>“</w:t>
      </w:r>
      <w:r w:rsidR="00764E4C" w:rsidRPr="00042905">
        <w:rPr>
          <w:rFonts w:eastAsia="Times New Roman" w:cs="Arial"/>
          <w:b/>
          <w:color w:val="FF0000"/>
        </w:rPr>
        <w:t>Prepare antibody-staining solution to</w:t>
      </w:r>
      <w:r w:rsidR="00764E4C" w:rsidRPr="00042905">
        <w:rPr>
          <w:rFonts w:cs="Arial"/>
          <w:b/>
          <w:color w:val="FF0000"/>
          <w:shd w:val="clear" w:color="auto" w:fill="FFFFFF"/>
        </w:rPr>
        <w:t xml:space="preserve"> stain 5x10</w:t>
      </w:r>
      <w:r w:rsidR="00764E4C" w:rsidRPr="00042905">
        <w:rPr>
          <w:rFonts w:cs="Arial"/>
          <w:b/>
          <w:color w:val="FF0000"/>
          <w:shd w:val="clear" w:color="auto" w:fill="FFFFFF"/>
          <w:vertAlign w:val="superscript"/>
        </w:rPr>
        <w:t>5</w:t>
      </w:r>
      <w:r w:rsidR="00764E4C" w:rsidRPr="00042905">
        <w:rPr>
          <w:rFonts w:cs="Arial"/>
          <w:b/>
          <w:color w:val="FF0000"/>
          <w:shd w:val="clear" w:color="auto" w:fill="FFFFFF"/>
        </w:rPr>
        <w:t>-2x10</w:t>
      </w:r>
      <w:r w:rsidR="00764E4C" w:rsidRPr="00042905">
        <w:rPr>
          <w:rFonts w:cs="Arial"/>
          <w:b/>
          <w:color w:val="FF0000"/>
          <w:shd w:val="clear" w:color="auto" w:fill="FFFFFF"/>
          <w:vertAlign w:val="superscript"/>
        </w:rPr>
        <w:t>6</w:t>
      </w:r>
      <w:r w:rsidR="00764E4C" w:rsidRPr="00042905">
        <w:rPr>
          <w:rFonts w:cs="Arial"/>
          <w:b/>
          <w:color w:val="FF0000"/>
          <w:shd w:val="clear" w:color="auto" w:fill="FFFFFF"/>
        </w:rPr>
        <w:t xml:space="preserve"> cells and isotype solution to stain 1x10</w:t>
      </w:r>
      <w:r w:rsidR="00764E4C" w:rsidRPr="00042905">
        <w:rPr>
          <w:rFonts w:cs="Arial"/>
          <w:b/>
          <w:color w:val="FF0000"/>
          <w:shd w:val="clear" w:color="auto" w:fill="FFFFFF"/>
          <w:vertAlign w:val="superscript"/>
        </w:rPr>
        <w:t xml:space="preserve">5 </w:t>
      </w:r>
      <w:r w:rsidR="00764E4C" w:rsidRPr="00042905">
        <w:rPr>
          <w:rFonts w:cs="Arial"/>
          <w:b/>
          <w:color w:val="FF0000"/>
          <w:shd w:val="clear" w:color="auto" w:fill="FFFFFF"/>
        </w:rPr>
        <w:t>cells and determine FACS gating.</w:t>
      </w:r>
      <w:r w:rsidR="00764E4C" w:rsidRPr="00042905">
        <w:rPr>
          <w:rFonts w:eastAsia="Times New Roman" w:cs="Arial"/>
          <w:b/>
          <w:color w:val="FF0000"/>
        </w:rPr>
        <w:t xml:space="preserve"> </w:t>
      </w:r>
      <w:proofErr w:type="gramStart"/>
      <w:r w:rsidR="00764E4C" w:rsidRPr="00042905">
        <w:rPr>
          <w:rFonts w:eastAsia="Times New Roman" w:cs="Arial"/>
          <w:b/>
          <w:color w:val="FF0000"/>
        </w:rPr>
        <w:t xml:space="preserve">Dilute 1/10 (APC anti-CD34), 1/20 (FITC-CD90) antibodies and the corresponding isotypes into 500 </w:t>
      </w:r>
      <w:r w:rsidR="00764E4C" w:rsidRPr="00042905">
        <w:rPr>
          <w:rFonts w:cs="Arial"/>
          <w:b/>
          <w:color w:val="FF0000"/>
          <w:shd w:val="clear" w:color="auto" w:fill="FFFFFF"/>
        </w:rPr>
        <w:t>µL of separation buffer per each condition</w:t>
      </w:r>
      <w:r w:rsidR="00042905" w:rsidRPr="00042905">
        <w:rPr>
          <w:rFonts w:cs="Arial"/>
          <w:b/>
          <w:color w:val="FF0000"/>
          <w:shd w:val="clear" w:color="auto" w:fill="FFFFFF"/>
        </w:rPr>
        <w:t>”</w:t>
      </w:r>
      <w:r w:rsidR="00764E4C" w:rsidRPr="00042905">
        <w:rPr>
          <w:rFonts w:cs="Arial"/>
          <w:b/>
          <w:color w:val="FF0000"/>
          <w:shd w:val="clear" w:color="auto" w:fill="FFFFFF"/>
        </w:rPr>
        <w:t>.</w:t>
      </w:r>
      <w:proofErr w:type="gramEnd"/>
      <w:r w:rsidR="00764E4C" w:rsidRPr="00042905">
        <w:rPr>
          <w:rFonts w:cs="Arial"/>
          <w:color w:val="FF0000"/>
          <w:shd w:val="clear" w:color="auto" w:fill="FFFFFF"/>
        </w:rPr>
        <w:t xml:space="preserve"> </w:t>
      </w:r>
    </w:p>
    <w:p w14:paraId="1A0452E8" w14:textId="77777777" w:rsidR="009507C6" w:rsidRDefault="009507C6" w:rsidP="00770E35">
      <w:pPr>
        <w:rPr>
          <w:rFonts w:eastAsia="Times New Roman" w:cs="Times New Roman"/>
          <w:color w:val="FF0000"/>
        </w:rPr>
      </w:pPr>
    </w:p>
    <w:p w14:paraId="32ED3C10" w14:textId="77777777" w:rsidR="00817F49" w:rsidRDefault="004A3912" w:rsidP="00770E35">
      <w:pPr>
        <w:rPr>
          <w:rFonts w:eastAsia="Times New Roman" w:cs="Times New Roman"/>
        </w:rPr>
      </w:pPr>
      <w:r>
        <w:rPr>
          <w:rFonts w:eastAsia="Times New Roman" w:cs="Times New Roman"/>
        </w:rPr>
        <w:br/>
        <w:t>7. The authors describe a 7-day protocol. Do they change the media? Renew the VPA or cytokines?</w:t>
      </w:r>
    </w:p>
    <w:p w14:paraId="52260AFA" w14:textId="77777777" w:rsidR="00817F49" w:rsidRPr="009507C6" w:rsidRDefault="00817F49" w:rsidP="00770E35">
      <w:pPr>
        <w:shd w:val="clear" w:color="auto" w:fill="FFFFFF"/>
        <w:spacing w:before="100" w:beforeAutospacing="1" w:after="150"/>
        <w:rPr>
          <w:rFonts w:eastAsia="Times New Roman" w:cs="Arial"/>
          <w:color w:val="FF0000"/>
        </w:rPr>
      </w:pPr>
      <w:r w:rsidRPr="00817F49">
        <w:rPr>
          <w:rFonts w:eastAsia="Times New Roman" w:cs="Times New Roman"/>
          <w:color w:val="FF0000"/>
        </w:rPr>
        <w:t>Media is not changed. This is currently clarified on line 344 or step 4.</w:t>
      </w:r>
      <w:r w:rsidRPr="009507C6">
        <w:rPr>
          <w:rFonts w:eastAsia="Times New Roman" w:cs="Times New Roman"/>
          <w:color w:val="FF0000"/>
        </w:rPr>
        <w:t>5 “</w:t>
      </w:r>
      <w:r w:rsidRPr="009507C6">
        <w:rPr>
          <w:rFonts w:cs="Arial"/>
          <w:b/>
          <w:color w:val="FF0000"/>
          <w:shd w:val="clear" w:color="auto" w:fill="FFFFFF"/>
        </w:rPr>
        <w:t>Media remains unchanged during the duration of the ex-vivo expansion”.</w:t>
      </w:r>
      <w:r w:rsidRPr="009507C6">
        <w:rPr>
          <w:rFonts w:cs="Arial"/>
          <w:color w:val="FF0000"/>
          <w:shd w:val="clear" w:color="auto" w:fill="FFFFFF"/>
        </w:rPr>
        <w:t xml:space="preserve"> </w:t>
      </w:r>
    </w:p>
    <w:p w14:paraId="187FF882" w14:textId="77777777" w:rsidR="00817F49" w:rsidRDefault="004A3912" w:rsidP="00770E35">
      <w:pPr>
        <w:rPr>
          <w:rFonts w:eastAsia="Times New Roman" w:cs="Times New Roman"/>
        </w:rPr>
      </w:pPr>
      <w:r>
        <w:rPr>
          <w:rFonts w:eastAsia="Times New Roman" w:cs="Times New Roman"/>
        </w:rPr>
        <w:br/>
        <w:t>8. Why the total number of TNCs is important? Please explain</w:t>
      </w:r>
    </w:p>
    <w:p w14:paraId="006D44FC" w14:textId="3F668A06" w:rsidR="00564B68" w:rsidRDefault="00817F49" w:rsidP="00155CF3">
      <w:pPr>
        <w:rPr>
          <w:rFonts w:eastAsia="Times New Roman" w:cs="Times New Roman"/>
        </w:rPr>
      </w:pPr>
      <w:r w:rsidRPr="00770E35">
        <w:rPr>
          <w:rFonts w:eastAsia="Times New Roman" w:cs="Times New Roman"/>
          <w:color w:val="FF0000"/>
        </w:rPr>
        <w:t xml:space="preserve">The total number of TNCs is important to show that the increase in the absolute number of HSCs in cultures treated with the combination of cytokine cocktail and VPA is not due to the increased number of cells but </w:t>
      </w:r>
      <w:r w:rsidR="00770E35">
        <w:rPr>
          <w:rFonts w:eastAsia="Times New Roman" w:cs="Times New Roman"/>
          <w:color w:val="FF0000"/>
        </w:rPr>
        <w:t xml:space="preserve">rather </w:t>
      </w:r>
      <w:r w:rsidRPr="00770E35">
        <w:rPr>
          <w:rFonts w:eastAsia="Times New Roman" w:cs="Times New Roman"/>
          <w:color w:val="FF0000"/>
        </w:rPr>
        <w:t xml:space="preserve">to acquisition of a primitive phenotype. </w:t>
      </w:r>
      <w:r w:rsidR="00770E35" w:rsidRPr="00770E35">
        <w:rPr>
          <w:rFonts w:eastAsia="Times New Roman" w:cs="Times New Roman"/>
          <w:color w:val="FF0000"/>
        </w:rPr>
        <w:t xml:space="preserve">We have included </w:t>
      </w:r>
      <w:r w:rsidR="00155CF3" w:rsidRPr="00770E35">
        <w:rPr>
          <w:rFonts w:eastAsia="Times New Roman" w:cs="Times New Roman"/>
          <w:color w:val="FF0000"/>
        </w:rPr>
        <w:t>the following sentence</w:t>
      </w:r>
      <w:r w:rsidR="00155CF3">
        <w:rPr>
          <w:rFonts w:eastAsia="Times New Roman" w:cs="Times New Roman"/>
        </w:rPr>
        <w:t xml:space="preserve"> </w:t>
      </w:r>
      <w:r w:rsidR="00E818F7">
        <w:rPr>
          <w:rFonts w:eastAsia="Times New Roman" w:cs="Times New Roman"/>
          <w:color w:val="FF0000"/>
        </w:rPr>
        <w:t>in the “Representative R</w:t>
      </w:r>
      <w:r w:rsidR="00770E35" w:rsidRPr="00770E35">
        <w:rPr>
          <w:rFonts w:eastAsia="Times New Roman" w:cs="Times New Roman"/>
          <w:color w:val="FF0000"/>
        </w:rPr>
        <w:t>esult</w:t>
      </w:r>
      <w:r w:rsidR="00E818F7">
        <w:rPr>
          <w:rFonts w:eastAsia="Times New Roman" w:cs="Times New Roman"/>
          <w:color w:val="FF0000"/>
        </w:rPr>
        <w:t>”</w:t>
      </w:r>
      <w:r w:rsidR="00770E35" w:rsidRPr="00770E35">
        <w:rPr>
          <w:rFonts w:eastAsia="Times New Roman" w:cs="Times New Roman"/>
          <w:color w:val="FF0000"/>
        </w:rPr>
        <w:t xml:space="preserve"> </w:t>
      </w:r>
      <w:r w:rsidR="00E818F7" w:rsidRPr="00770E35">
        <w:rPr>
          <w:rFonts w:eastAsia="Times New Roman" w:cs="Times New Roman"/>
          <w:color w:val="FF0000"/>
        </w:rPr>
        <w:t xml:space="preserve">part </w:t>
      </w:r>
      <w:r w:rsidR="00E818F7">
        <w:rPr>
          <w:rFonts w:eastAsia="Times New Roman" w:cs="Times New Roman"/>
          <w:color w:val="FF0000"/>
        </w:rPr>
        <w:t xml:space="preserve">of this manuscript </w:t>
      </w:r>
      <w:r w:rsidR="00042905">
        <w:rPr>
          <w:rFonts w:eastAsia="Times New Roman" w:cs="Times New Roman"/>
          <w:color w:val="FF0000"/>
        </w:rPr>
        <w:t>“</w:t>
      </w:r>
      <w:r w:rsidR="00042905" w:rsidRPr="00042905">
        <w:rPr>
          <w:rFonts w:asciiTheme="majorHAnsi" w:hAnsiTheme="majorHAnsi" w:cs="Arial"/>
          <w:b/>
          <w:color w:val="FF0000"/>
        </w:rPr>
        <w:t xml:space="preserve">The total number of nucleated cells </w:t>
      </w:r>
      <w:r w:rsidR="00042905" w:rsidRPr="00042905">
        <w:rPr>
          <w:rFonts w:asciiTheme="majorHAnsi" w:hAnsiTheme="majorHAnsi" w:cs="Arial"/>
          <w:b/>
          <w:color w:val="FF0000"/>
        </w:rPr>
        <w:lastRenderedPageBreak/>
        <w:t>(TNCs) in cultures treated with the cytokine cocktail alone is significantly higher than the numbers of cells observed in cultures treated with cytokine cocktail and VPA (Figure 2A). Despite the higher number of TNCs, the number of HSCs in the cultures receiving the cytokine cocktail alone remains low during the entire expansion period compared to cultures treated with cytokine cocktail and VPA (Figure 2B)</w:t>
      </w:r>
      <w:r w:rsidR="00042905">
        <w:rPr>
          <w:rFonts w:asciiTheme="majorHAnsi" w:hAnsiTheme="majorHAnsi" w:cs="Arial"/>
          <w:b/>
          <w:color w:val="FF0000"/>
        </w:rPr>
        <w:t>”</w:t>
      </w:r>
      <w:r w:rsidR="00042905" w:rsidRPr="00042905">
        <w:rPr>
          <w:rFonts w:asciiTheme="majorHAnsi" w:hAnsiTheme="majorHAnsi" w:cs="Arial"/>
          <w:b/>
          <w:color w:val="FF0000"/>
        </w:rPr>
        <w:t>.</w:t>
      </w:r>
      <w:r w:rsidR="00042905">
        <w:rPr>
          <w:rFonts w:asciiTheme="majorHAnsi" w:hAnsiTheme="majorHAnsi" w:cs="Arial"/>
          <w:b/>
          <w:color w:val="FF0000"/>
        </w:rPr>
        <w:t xml:space="preserve"> </w:t>
      </w:r>
      <w:r w:rsidRPr="00155CF3">
        <w:rPr>
          <w:rFonts w:eastAsia="Times New Roman" w:cs="Times New Roman"/>
          <w:color w:val="FF0000"/>
        </w:rPr>
        <w:t xml:space="preserve">Since this manuscript does not deliberate on the results but rather on the methods, </w:t>
      </w:r>
      <w:r w:rsidR="00155CF3">
        <w:rPr>
          <w:rFonts w:eastAsia="Times New Roman" w:cs="Times New Roman"/>
          <w:color w:val="FF0000"/>
        </w:rPr>
        <w:t>a</w:t>
      </w:r>
      <w:r w:rsidRPr="00155CF3">
        <w:rPr>
          <w:rFonts w:eastAsia="Times New Roman" w:cs="Times New Roman"/>
          <w:color w:val="FF0000"/>
        </w:rPr>
        <w:t xml:space="preserve"> paper</w:t>
      </w:r>
      <w:r w:rsidR="00155CF3">
        <w:rPr>
          <w:rFonts w:eastAsia="Times New Roman" w:cs="Times New Roman"/>
          <w:color w:val="FF0000"/>
        </w:rPr>
        <w:t xml:space="preserve"> from our group</w:t>
      </w:r>
      <w:r w:rsidRPr="00155CF3">
        <w:rPr>
          <w:rFonts w:eastAsia="Times New Roman" w:cs="Times New Roman"/>
          <w:color w:val="FF0000"/>
        </w:rPr>
        <w:t xml:space="preserve"> that provide</w:t>
      </w:r>
      <w:r w:rsidR="00D178A2">
        <w:rPr>
          <w:rFonts w:eastAsia="Times New Roman" w:cs="Times New Roman"/>
          <w:color w:val="FF0000"/>
        </w:rPr>
        <w:t>s</w:t>
      </w:r>
      <w:r w:rsidRPr="00155CF3">
        <w:rPr>
          <w:rFonts w:eastAsia="Times New Roman" w:cs="Times New Roman"/>
          <w:color w:val="FF0000"/>
        </w:rPr>
        <w:t xml:space="preserve"> detailed insights on the ex vivo expansion is referenced. </w:t>
      </w:r>
      <w:r w:rsidR="004A3912" w:rsidRPr="00042905">
        <w:rPr>
          <w:rFonts w:eastAsia="Times New Roman" w:cs="Times New Roman"/>
        </w:rPr>
        <w:br/>
      </w:r>
      <w:r w:rsidR="004A3912">
        <w:rPr>
          <w:rFonts w:eastAsia="Times New Roman" w:cs="Times New Roman"/>
        </w:rPr>
        <w:br/>
      </w:r>
      <w:r w:rsidR="004A3912">
        <w:rPr>
          <w:rFonts w:eastAsia="Times New Roman" w:cs="Times New Roman"/>
        </w:rPr>
        <w:br/>
        <w:t>Reviewer #3:</w:t>
      </w:r>
      <w:r w:rsidR="004A3912">
        <w:rPr>
          <w:rFonts w:eastAsia="Times New Roman" w:cs="Times New Roman"/>
        </w:rPr>
        <w:br/>
      </w:r>
      <w:r w:rsidR="004A3912">
        <w:rPr>
          <w:rFonts w:eastAsia="Times New Roman" w:cs="Times New Roman"/>
        </w:rPr>
        <w:br/>
        <w:t>Manuscript Summary:</w:t>
      </w:r>
      <w:r w:rsidR="004A3912">
        <w:rPr>
          <w:rFonts w:eastAsia="Times New Roman" w:cs="Times New Roman"/>
        </w:rPr>
        <w:br/>
        <w:t xml:space="preserve">This is a very important method article for human HSC expansion </w:t>
      </w:r>
      <w:proofErr w:type="spellStart"/>
      <w:r w:rsidR="004A3912">
        <w:rPr>
          <w:rFonts w:eastAsia="Times New Roman" w:cs="Times New Roman"/>
        </w:rPr>
        <w:t>fileld</w:t>
      </w:r>
      <w:proofErr w:type="spellEnd"/>
      <w:r w:rsidR="004A3912">
        <w:rPr>
          <w:rFonts w:eastAsia="Times New Roman" w:cs="Times New Roman"/>
        </w:rPr>
        <w:t>. It is well written and detail-oriented. To make it better, I have several concerns.</w:t>
      </w:r>
      <w:r w:rsidR="004A3912">
        <w:rPr>
          <w:rFonts w:eastAsia="Times New Roman" w:cs="Times New Roman"/>
        </w:rPr>
        <w:br/>
      </w:r>
      <w:r w:rsidR="004A3912">
        <w:rPr>
          <w:rFonts w:eastAsia="Times New Roman" w:cs="Times New Roman"/>
        </w:rPr>
        <w:br/>
        <w:t>Major Concerns:</w:t>
      </w:r>
      <w:r w:rsidR="004A3912">
        <w:rPr>
          <w:rFonts w:eastAsia="Times New Roman" w:cs="Times New Roman"/>
        </w:rPr>
        <w:br/>
      </w:r>
      <w:r w:rsidR="004A3912">
        <w:rPr>
          <w:rFonts w:eastAsia="Times New Roman" w:cs="Times New Roman"/>
        </w:rPr>
        <w:br/>
        <w:t>1. The authors claimed that they use 1mM VPA to culture CD34+ cells. This concentration sounds very high for expansion experiments. It would be better to give more information on how this concentration was determined.</w:t>
      </w:r>
      <w:r w:rsidR="00564B68">
        <w:rPr>
          <w:rFonts w:eastAsia="Times New Roman" w:cs="Times New Roman"/>
        </w:rPr>
        <w:t xml:space="preserve"> </w:t>
      </w:r>
    </w:p>
    <w:p w14:paraId="7AFC1C09" w14:textId="6C6EEBDB" w:rsidR="00A32004" w:rsidRPr="0010706E" w:rsidRDefault="00564B68" w:rsidP="00155CF3">
      <w:pPr>
        <w:jc w:val="both"/>
        <w:rPr>
          <w:rFonts w:eastAsia="Times New Roman" w:cs="Arial"/>
          <w:color w:val="FF0000"/>
        </w:rPr>
      </w:pPr>
      <w:r w:rsidRPr="00564B68">
        <w:rPr>
          <w:rFonts w:eastAsia="Times New Roman" w:cs="Times New Roman"/>
          <w:color w:val="FF0000"/>
        </w:rPr>
        <w:t>VPA is an FDA approved drug used for treatment of bipolar disorders and epilepsy</w:t>
      </w:r>
      <w:r w:rsidR="00A32004">
        <w:rPr>
          <w:rFonts w:eastAsia="Times New Roman" w:cs="Times New Roman"/>
          <w:color w:val="FF0000"/>
        </w:rPr>
        <w:t xml:space="preserve"> with very limited side effects</w:t>
      </w:r>
      <w:r w:rsidRPr="00564B68">
        <w:rPr>
          <w:rFonts w:eastAsia="Times New Roman" w:cs="Times New Roman"/>
          <w:color w:val="FF0000"/>
        </w:rPr>
        <w:t>. VPA treatment and other deacetylase inhibitors were</w:t>
      </w:r>
      <w:r w:rsidR="00A32004">
        <w:rPr>
          <w:rFonts w:eastAsia="Times New Roman" w:cs="Times New Roman"/>
          <w:color w:val="FF0000"/>
        </w:rPr>
        <w:t xml:space="preserve"> previously</w:t>
      </w:r>
      <w:r w:rsidRPr="00564B68">
        <w:rPr>
          <w:rFonts w:eastAsia="Times New Roman" w:cs="Times New Roman"/>
          <w:color w:val="FF0000"/>
        </w:rPr>
        <w:t xml:space="preserve"> tested</w:t>
      </w:r>
      <w:r>
        <w:rPr>
          <w:rFonts w:eastAsia="Times New Roman" w:cs="Times New Roman"/>
          <w:color w:val="FF0000"/>
        </w:rPr>
        <w:t xml:space="preserve"> and</w:t>
      </w:r>
      <w:r w:rsidRPr="00564B68">
        <w:rPr>
          <w:rFonts w:eastAsia="Times New Roman" w:cs="Times New Roman"/>
          <w:color w:val="FF0000"/>
        </w:rPr>
        <w:t xml:space="preserve"> </w:t>
      </w:r>
      <w:r>
        <w:rPr>
          <w:rFonts w:eastAsia="Times New Roman" w:cs="Times New Roman"/>
          <w:color w:val="FF0000"/>
        </w:rPr>
        <w:t>t</w:t>
      </w:r>
      <w:r w:rsidRPr="00564B68">
        <w:rPr>
          <w:rFonts w:eastAsia="Times New Roman" w:cs="Times New Roman"/>
          <w:color w:val="FF0000"/>
        </w:rPr>
        <w:t xml:space="preserve">hese </w:t>
      </w:r>
      <w:r w:rsidR="00A32004" w:rsidRPr="00564B68">
        <w:rPr>
          <w:rFonts w:eastAsia="Times New Roman" w:cs="Times New Roman"/>
          <w:color w:val="FF0000"/>
        </w:rPr>
        <w:t>studies have</w:t>
      </w:r>
      <w:r w:rsidRPr="00564B68">
        <w:rPr>
          <w:rFonts w:eastAsia="Times New Roman" w:cs="Times New Roman"/>
          <w:color w:val="FF0000"/>
        </w:rPr>
        <w:t xml:space="preserve"> been described in several papers from our group including “</w:t>
      </w:r>
      <w:r w:rsidRPr="00564B68">
        <w:rPr>
          <w:rFonts w:cs="Helvetica"/>
          <w:color w:val="FF0000"/>
        </w:rPr>
        <w:t>Epigenetic reprogramming induces the expansion of cord blood stem cells”</w:t>
      </w:r>
      <w:r>
        <w:rPr>
          <w:rFonts w:cs="Helvetica"/>
          <w:color w:val="FF0000"/>
        </w:rPr>
        <w:t xml:space="preserve"> published in JCI</w:t>
      </w:r>
      <w:r w:rsidR="00E818F7">
        <w:rPr>
          <w:rFonts w:cs="Helvetica"/>
          <w:color w:val="FF0000"/>
        </w:rPr>
        <w:t>, which is referenced in this manuscript</w:t>
      </w:r>
      <w:r w:rsidRPr="00564B68">
        <w:rPr>
          <w:rFonts w:cs="Helvetica"/>
          <w:color w:val="FF0000"/>
        </w:rPr>
        <w:t>.</w:t>
      </w:r>
      <w:r>
        <w:rPr>
          <w:rFonts w:cs="Helvetica"/>
          <w:color w:val="FF0000"/>
        </w:rPr>
        <w:t xml:space="preserve"> Among all the deacetylase inhibitors, VPA </w:t>
      </w:r>
      <w:r w:rsidR="00A32004">
        <w:rPr>
          <w:rFonts w:cs="Helvetica"/>
          <w:color w:val="FF0000"/>
        </w:rPr>
        <w:t xml:space="preserve">at a concentration of 1mM is the most efficient treatment to expand at a high degree the pool of very primitive HSCs without inducing either cell death or senescence. </w:t>
      </w:r>
      <w:r w:rsidR="00A32004" w:rsidRPr="0010706E">
        <w:rPr>
          <w:rFonts w:cs="Helvetica"/>
          <w:color w:val="FF0000"/>
        </w:rPr>
        <w:t>Interestingly, our</w:t>
      </w:r>
      <w:r w:rsidR="00A32004" w:rsidRPr="0010706E">
        <w:rPr>
          <w:rFonts w:eastAsia="Times New Roman" w:cs="Arial"/>
          <w:color w:val="FF0000"/>
        </w:rPr>
        <w:t xml:space="preserve"> evidence is consistent with an unbiased in vivo screening of 550 compounds in a transgenic zebrafish embryo model. Notably, this screen identified HDAC inhibitors and particularly VPA as a potent agonist of HSC expansion in vivo</w:t>
      </w:r>
      <w:r w:rsidR="00A32004" w:rsidRPr="0010706E">
        <w:rPr>
          <w:noProof/>
          <w:color w:val="FF0000"/>
        </w:rPr>
        <w:t xml:space="preserve"> (Zebrafish In-Vivo Screening for Compounds Amplifying Hematopoietic Stem and Progenitor Cells: - Preclinical Validation in Human CD34+ Stem and Progenitor Cells. </w:t>
      </w:r>
      <w:r w:rsidR="00A32004" w:rsidRPr="0010706E">
        <w:rPr>
          <w:i/>
          <w:noProof/>
          <w:color w:val="FF0000"/>
        </w:rPr>
        <w:t>Sci Rep</w:t>
      </w:r>
      <w:r w:rsidR="00A32004" w:rsidRPr="0010706E">
        <w:rPr>
          <w:noProof/>
          <w:color w:val="FF0000"/>
        </w:rPr>
        <w:t>. 2017)</w:t>
      </w:r>
      <w:r w:rsidR="00A32004" w:rsidRPr="0010706E">
        <w:rPr>
          <w:rFonts w:eastAsia="Times New Roman" w:cs="Arial"/>
          <w:color w:val="FF0000"/>
        </w:rPr>
        <w:t>.</w:t>
      </w:r>
    </w:p>
    <w:p w14:paraId="34CC70B8" w14:textId="77777777" w:rsidR="0010706E" w:rsidRPr="00155CF3" w:rsidRDefault="004A3912" w:rsidP="00155CF3">
      <w:pPr>
        <w:contextualSpacing/>
        <w:jc w:val="both"/>
        <w:rPr>
          <w:rFonts w:cs="Arial"/>
          <w:color w:val="FF0000"/>
        </w:rPr>
      </w:pPr>
      <w:r w:rsidRPr="00564B68">
        <w:rPr>
          <w:rFonts w:eastAsia="Times New Roman" w:cs="Times New Roman"/>
          <w:color w:val="FF0000"/>
        </w:rPr>
        <w:br/>
      </w:r>
      <w:r>
        <w:rPr>
          <w:rFonts w:eastAsia="Times New Roman" w:cs="Times New Roman"/>
        </w:rPr>
        <w:br/>
        <w:t xml:space="preserve">2. Why </w:t>
      </w:r>
      <w:proofErr w:type="spellStart"/>
      <w:r>
        <w:rPr>
          <w:rFonts w:eastAsia="Times New Roman" w:cs="Times New Roman"/>
        </w:rPr>
        <w:t>StemLineII</w:t>
      </w:r>
      <w:proofErr w:type="spellEnd"/>
      <w:r>
        <w:rPr>
          <w:rFonts w:eastAsia="Times New Roman" w:cs="Times New Roman"/>
        </w:rPr>
        <w:t xml:space="preserve"> medium was chosen? What about </w:t>
      </w:r>
      <w:proofErr w:type="spellStart"/>
      <w:r>
        <w:rPr>
          <w:rFonts w:eastAsia="Times New Roman" w:cs="Times New Roman"/>
        </w:rPr>
        <w:t>Stemspam</w:t>
      </w:r>
      <w:proofErr w:type="spellEnd"/>
      <w:r>
        <w:rPr>
          <w:rFonts w:eastAsia="Times New Roman" w:cs="Times New Roman"/>
        </w:rPr>
        <w:t xml:space="preserve"> SFEM medium? Maybe the authors could add some footnotes on similar questions as this.</w:t>
      </w:r>
      <w:r>
        <w:rPr>
          <w:rFonts w:eastAsia="Times New Roman" w:cs="Times New Roman"/>
        </w:rPr>
        <w:br/>
      </w:r>
      <w:r w:rsidR="0010706E" w:rsidRPr="00155CF3">
        <w:rPr>
          <w:rFonts w:eastAsia="Times New Roman" w:cs="Times New Roman"/>
          <w:color w:val="FF0000"/>
        </w:rPr>
        <w:t xml:space="preserve">Studies replacing </w:t>
      </w:r>
      <w:proofErr w:type="spellStart"/>
      <w:r w:rsidR="0010706E" w:rsidRPr="00155CF3">
        <w:rPr>
          <w:rFonts w:eastAsia="Times New Roman" w:cs="Times New Roman"/>
          <w:color w:val="FF0000"/>
        </w:rPr>
        <w:t>StemlineII</w:t>
      </w:r>
      <w:proofErr w:type="spellEnd"/>
      <w:r w:rsidR="0010706E" w:rsidRPr="00155CF3">
        <w:rPr>
          <w:rFonts w:eastAsia="Times New Roman" w:cs="Times New Roman"/>
          <w:color w:val="FF0000"/>
        </w:rPr>
        <w:t xml:space="preserve"> with different media including </w:t>
      </w:r>
      <w:proofErr w:type="spellStart"/>
      <w:r w:rsidR="0010706E" w:rsidRPr="00155CF3">
        <w:rPr>
          <w:rFonts w:eastAsia="Times New Roman" w:cs="Times New Roman"/>
          <w:color w:val="FF0000"/>
        </w:rPr>
        <w:t>Stemspan</w:t>
      </w:r>
      <w:proofErr w:type="spellEnd"/>
      <w:r w:rsidR="0010706E" w:rsidRPr="00155CF3">
        <w:rPr>
          <w:rFonts w:eastAsia="Times New Roman" w:cs="Times New Roman"/>
          <w:color w:val="FF0000"/>
        </w:rPr>
        <w:t xml:space="preserve"> SFEM are currently being performed and such possibility has been now stated in the discussion part “</w:t>
      </w:r>
      <w:r w:rsidR="0010706E" w:rsidRPr="00155CF3">
        <w:rPr>
          <w:rFonts w:cs="Arial"/>
          <w:color w:val="FF0000"/>
        </w:rPr>
        <w:t xml:space="preserve">. </w:t>
      </w:r>
      <w:r w:rsidR="0010706E" w:rsidRPr="00155CF3">
        <w:rPr>
          <w:rFonts w:cs="Arial"/>
          <w:b/>
          <w:color w:val="FF0000"/>
        </w:rPr>
        <w:t>It is also likely that this combination of VPA and cytokine cocktail can expand the pool of HSCs from CD34</w:t>
      </w:r>
      <w:r w:rsidR="0010706E" w:rsidRPr="00155CF3">
        <w:rPr>
          <w:rFonts w:cs="Arial"/>
          <w:b/>
          <w:color w:val="FF0000"/>
          <w:vertAlign w:val="superscript"/>
        </w:rPr>
        <w:t>+</w:t>
      </w:r>
      <w:r w:rsidR="0010706E" w:rsidRPr="00155CF3">
        <w:rPr>
          <w:rFonts w:cs="Arial"/>
          <w:b/>
          <w:color w:val="FF0000"/>
        </w:rPr>
        <w:t xml:space="preserve"> cells at the same degree or higher when using media other than media (see Table of Materials) used in this protocol”.</w:t>
      </w:r>
      <w:r w:rsidR="0010706E" w:rsidRPr="00155CF3">
        <w:rPr>
          <w:rFonts w:cs="Arial"/>
          <w:color w:val="FF0000"/>
        </w:rPr>
        <w:t xml:space="preserve"> </w:t>
      </w:r>
    </w:p>
    <w:p w14:paraId="220D13FE" w14:textId="77777777" w:rsidR="0010706E" w:rsidRPr="00155CF3" w:rsidRDefault="0010706E" w:rsidP="00155CF3">
      <w:pPr>
        <w:contextualSpacing/>
        <w:rPr>
          <w:rFonts w:asciiTheme="majorHAnsi" w:hAnsiTheme="majorHAnsi" w:cs="Arial"/>
          <w:color w:val="FF0000"/>
        </w:rPr>
      </w:pPr>
    </w:p>
    <w:p w14:paraId="6AC4C63F" w14:textId="77777777" w:rsidR="00770E35" w:rsidRDefault="0010706E" w:rsidP="00155CF3">
      <w:pPr>
        <w:rPr>
          <w:rFonts w:eastAsia="Times New Roman" w:cs="Times New Roman"/>
        </w:rPr>
      </w:pPr>
      <w:r>
        <w:rPr>
          <w:rFonts w:eastAsia="Times New Roman" w:cs="Times New Roman"/>
        </w:rPr>
        <w:lastRenderedPageBreak/>
        <w:t xml:space="preserve">   </w:t>
      </w:r>
      <w:r w:rsidR="004A3912">
        <w:rPr>
          <w:rFonts w:eastAsia="Times New Roman" w:cs="Times New Roman"/>
        </w:rPr>
        <w:br/>
        <w:t>Minor Concerns:</w:t>
      </w:r>
      <w:r w:rsidR="004A3912">
        <w:rPr>
          <w:rFonts w:eastAsia="Times New Roman" w:cs="Times New Roman"/>
        </w:rPr>
        <w:br/>
        <w:t xml:space="preserve">Page 6, Line 205, </w:t>
      </w:r>
      <w:proofErr w:type="spellStart"/>
      <w:r w:rsidR="004A3912">
        <w:rPr>
          <w:rFonts w:eastAsia="Times New Roman" w:cs="Times New Roman"/>
        </w:rPr>
        <w:t>mediamedia</w:t>
      </w:r>
      <w:proofErr w:type="spellEnd"/>
      <w:r w:rsidR="004A3912">
        <w:rPr>
          <w:rFonts w:eastAsia="Times New Roman" w:cs="Times New Roman"/>
        </w:rPr>
        <w:t xml:space="preserve"> might be media?</w:t>
      </w:r>
    </w:p>
    <w:p w14:paraId="19F649F6" w14:textId="77777777" w:rsidR="0010706E" w:rsidRDefault="0010706E" w:rsidP="00155CF3">
      <w:pPr>
        <w:rPr>
          <w:rFonts w:eastAsia="Times New Roman" w:cs="Times New Roman"/>
        </w:rPr>
      </w:pPr>
    </w:p>
    <w:p w14:paraId="18802B93" w14:textId="77777777" w:rsidR="007A0509" w:rsidRDefault="00770E35" w:rsidP="00155CF3">
      <w:pPr>
        <w:rPr>
          <w:rFonts w:eastAsia="Times New Roman" w:cs="Times New Roman"/>
        </w:rPr>
      </w:pPr>
      <w:proofErr w:type="spellStart"/>
      <w:r w:rsidRPr="00770E35">
        <w:rPr>
          <w:rFonts w:eastAsia="Times New Roman" w:cs="Times New Roman"/>
          <w:color w:val="FF0000"/>
        </w:rPr>
        <w:t>Mediamedia</w:t>
      </w:r>
      <w:proofErr w:type="spellEnd"/>
      <w:r w:rsidRPr="00770E35">
        <w:rPr>
          <w:rFonts w:eastAsia="Times New Roman" w:cs="Times New Roman"/>
          <w:color w:val="FF0000"/>
        </w:rPr>
        <w:t xml:space="preserve"> has been </w:t>
      </w:r>
      <w:r w:rsidR="0010706E">
        <w:rPr>
          <w:rFonts w:eastAsia="Times New Roman" w:cs="Times New Roman"/>
          <w:color w:val="FF0000"/>
        </w:rPr>
        <w:t xml:space="preserve">now </w:t>
      </w:r>
      <w:r w:rsidRPr="00770E35">
        <w:rPr>
          <w:rFonts w:eastAsia="Times New Roman" w:cs="Times New Roman"/>
          <w:color w:val="FF0000"/>
        </w:rPr>
        <w:t xml:space="preserve">corrected </w:t>
      </w:r>
      <w:r w:rsidR="0010706E">
        <w:rPr>
          <w:rFonts w:eastAsia="Times New Roman" w:cs="Times New Roman"/>
          <w:color w:val="FF0000"/>
        </w:rPr>
        <w:t>and replaced with</w:t>
      </w:r>
      <w:r w:rsidRPr="00770E35">
        <w:rPr>
          <w:rFonts w:eastAsia="Times New Roman" w:cs="Times New Roman"/>
          <w:color w:val="FF0000"/>
        </w:rPr>
        <w:t xml:space="preserve"> media.</w:t>
      </w:r>
      <w:r w:rsidR="004A3912">
        <w:rPr>
          <w:rFonts w:eastAsia="Times New Roman" w:cs="Times New Roman"/>
        </w:rPr>
        <w:br/>
      </w:r>
      <w:r w:rsidR="004A3912">
        <w:rPr>
          <w:rFonts w:eastAsia="Times New Roman" w:cs="Times New Roman"/>
        </w:rPr>
        <w:br/>
      </w:r>
      <w:r w:rsidR="004A3912">
        <w:rPr>
          <w:rFonts w:eastAsia="Times New Roman" w:cs="Times New Roman"/>
        </w:rPr>
        <w:br/>
      </w:r>
      <w:r w:rsidR="004A3912">
        <w:rPr>
          <w:rFonts w:eastAsia="Times New Roman" w:cs="Times New Roman"/>
        </w:rPr>
        <w:br/>
        <w:t>Reviewer #4:</w:t>
      </w:r>
      <w:r w:rsidR="004A3912">
        <w:rPr>
          <w:rFonts w:eastAsia="Times New Roman" w:cs="Times New Roman"/>
        </w:rPr>
        <w:br/>
      </w:r>
      <w:r w:rsidR="004A3912">
        <w:rPr>
          <w:rFonts w:eastAsia="Times New Roman" w:cs="Times New Roman"/>
        </w:rPr>
        <w:br/>
        <w:t>Manuscript Summary:</w:t>
      </w:r>
      <w:r w:rsidR="004A3912">
        <w:rPr>
          <w:rFonts w:eastAsia="Times New Roman" w:cs="Times New Roman"/>
        </w:rPr>
        <w:br/>
        <w:t>The paper by Papa et al. describe a culture protocol to support the production of stem and progenitor cells in culture. The paper is well written, and the strength of this protocol is its simplicity, which I have to admit is admirable. So it could be very useful for labs with limited experience or for investigators looking for a straight forward protocol. A few minor recommendations are made.</w:t>
      </w:r>
      <w:r w:rsidR="004A3912">
        <w:rPr>
          <w:rFonts w:eastAsia="Times New Roman" w:cs="Times New Roman"/>
        </w:rPr>
        <w:br/>
      </w:r>
      <w:r w:rsidR="004A3912">
        <w:rPr>
          <w:rFonts w:eastAsia="Times New Roman" w:cs="Times New Roman"/>
        </w:rPr>
        <w:br/>
        <w:t>Major Concerns:</w:t>
      </w:r>
      <w:r w:rsidR="004A3912">
        <w:rPr>
          <w:rFonts w:eastAsia="Times New Roman" w:cs="Times New Roman"/>
        </w:rPr>
        <w:br/>
        <w:t>none</w:t>
      </w:r>
      <w:r w:rsidR="004A3912">
        <w:rPr>
          <w:rFonts w:eastAsia="Times New Roman" w:cs="Times New Roman"/>
        </w:rPr>
        <w:br/>
      </w:r>
      <w:r w:rsidR="004A3912">
        <w:rPr>
          <w:rFonts w:eastAsia="Times New Roman" w:cs="Times New Roman"/>
        </w:rPr>
        <w:br/>
        <w:t>Minor Concerns:</w:t>
      </w:r>
      <w:r w:rsidR="004A3912">
        <w:rPr>
          <w:rFonts w:eastAsia="Times New Roman" w:cs="Times New Roman"/>
        </w:rPr>
        <w:br/>
      </w:r>
      <w:r w:rsidR="004A3912">
        <w:rPr>
          <w:rFonts w:eastAsia="Times New Roman" w:cs="Times New Roman"/>
        </w:rPr>
        <w:br/>
        <w:t>1. Introduction; if applicable, the author should direct readers to a good review on the matter of HSC expansion ex vivo.</w:t>
      </w:r>
    </w:p>
    <w:p w14:paraId="08146BA4" w14:textId="77777777" w:rsidR="007A0509" w:rsidRPr="009507C6" w:rsidRDefault="00ED0371" w:rsidP="00770E35">
      <w:pPr>
        <w:rPr>
          <w:rFonts w:eastAsia="Times New Roman" w:cs="Times New Roman"/>
          <w:color w:val="FF0000"/>
        </w:rPr>
      </w:pPr>
      <w:r w:rsidRPr="009507C6">
        <w:rPr>
          <w:rFonts w:eastAsia="Times New Roman" w:cs="Times New Roman"/>
          <w:color w:val="FF0000"/>
        </w:rPr>
        <w:t>Reviews focused on</w:t>
      </w:r>
      <w:r w:rsidR="007A0509" w:rsidRPr="009507C6">
        <w:rPr>
          <w:rFonts w:eastAsia="Times New Roman" w:cs="Times New Roman"/>
          <w:color w:val="FF0000"/>
        </w:rPr>
        <w:t xml:space="preserve"> ex vivo expansion</w:t>
      </w:r>
      <w:r w:rsidR="009507C6">
        <w:rPr>
          <w:rFonts w:eastAsia="Times New Roman" w:cs="Times New Roman"/>
          <w:color w:val="FF0000"/>
        </w:rPr>
        <w:t>s of HSCs</w:t>
      </w:r>
      <w:r w:rsidR="007A0509" w:rsidRPr="009507C6">
        <w:rPr>
          <w:rFonts w:eastAsia="Times New Roman" w:cs="Times New Roman"/>
          <w:color w:val="FF0000"/>
        </w:rPr>
        <w:t xml:space="preserve"> </w:t>
      </w:r>
      <w:r w:rsidRPr="009507C6">
        <w:rPr>
          <w:rFonts w:eastAsia="Times New Roman" w:cs="Times New Roman"/>
          <w:color w:val="FF0000"/>
        </w:rPr>
        <w:t xml:space="preserve">are now added in the current manuscript as references </w:t>
      </w:r>
      <w:r w:rsidR="007A0509" w:rsidRPr="009507C6">
        <w:rPr>
          <w:rFonts w:eastAsia="Times New Roman" w:cs="Times New Roman"/>
          <w:color w:val="FF0000"/>
        </w:rPr>
        <w:t>numbered 1, 7 and 8.</w:t>
      </w:r>
    </w:p>
    <w:p w14:paraId="12721FC3" w14:textId="77777777" w:rsidR="007A0509" w:rsidRDefault="004A3912" w:rsidP="00770E35">
      <w:pPr>
        <w:rPr>
          <w:rFonts w:eastAsia="Times New Roman" w:cs="Times New Roman"/>
        </w:rPr>
      </w:pPr>
      <w:r w:rsidRPr="009507C6">
        <w:rPr>
          <w:rFonts w:eastAsia="Times New Roman" w:cs="Times New Roman"/>
          <w:color w:val="FF0000"/>
        </w:rPr>
        <w:br/>
      </w:r>
      <w:r>
        <w:rPr>
          <w:rFonts w:eastAsia="Times New Roman" w:cs="Times New Roman"/>
        </w:rPr>
        <w:t>2. Line 205; correct spelling error for "</w:t>
      </w:r>
      <w:proofErr w:type="spellStart"/>
      <w:r>
        <w:rPr>
          <w:rFonts w:eastAsia="Times New Roman" w:cs="Times New Roman"/>
        </w:rPr>
        <w:t>mediamedia</w:t>
      </w:r>
      <w:proofErr w:type="spellEnd"/>
      <w:r>
        <w:rPr>
          <w:rFonts w:eastAsia="Times New Roman" w:cs="Times New Roman"/>
        </w:rPr>
        <w:t>"</w:t>
      </w:r>
    </w:p>
    <w:p w14:paraId="3F39439F" w14:textId="77777777" w:rsidR="00ED0371" w:rsidRDefault="007A0509" w:rsidP="00770E35">
      <w:pPr>
        <w:rPr>
          <w:rFonts w:eastAsia="Times New Roman" w:cs="Times New Roman"/>
        </w:rPr>
      </w:pPr>
      <w:proofErr w:type="spellStart"/>
      <w:r w:rsidRPr="00770E35">
        <w:rPr>
          <w:rFonts w:eastAsia="Times New Roman" w:cs="Times New Roman"/>
          <w:color w:val="FF0000"/>
        </w:rPr>
        <w:t>Mediamedia</w:t>
      </w:r>
      <w:proofErr w:type="spellEnd"/>
      <w:r w:rsidRPr="00770E35">
        <w:rPr>
          <w:rFonts w:eastAsia="Times New Roman" w:cs="Times New Roman"/>
          <w:color w:val="FF0000"/>
        </w:rPr>
        <w:t xml:space="preserve"> has been </w:t>
      </w:r>
      <w:r>
        <w:rPr>
          <w:rFonts w:eastAsia="Times New Roman" w:cs="Times New Roman"/>
          <w:color w:val="FF0000"/>
        </w:rPr>
        <w:t xml:space="preserve">now </w:t>
      </w:r>
      <w:r w:rsidRPr="00770E35">
        <w:rPr>
          <w:rFonts w:eastAsia="Times New Roman" w:cs="Times New Roman"/>
          <w:color w:val="FF0000"/>
        </w:rPr>
        <w:t xml:space="preserve">corrected </w:t>
      </w:r>
      <w:r>
        <w:rPr>
          <w:rFonts w:eastAsia="Times New Roman" w:cs="Times New Roman"/>
          <w:color w:val="FF0000"/>
        </w:rPr>
        <w:t>and replaced with</w:t>
      </w:r>
      <w:r w:rsidRPr="00770E35">
        <w:rPr>
          <w:rFonts w:eastAsia="Times New Roman" w:cs="Times New Roman"/>
          <w:color w:val="FF0000"/>
        </w:rPr>
        <w:t xml:space="preserve"> media.</w:t>
      </w:r>
      <w:r>
        <w:rPr>
          <w:rFonts w:eastAsia="Times New Roman" w:cs="Times New Roman"/>
        </w:rPr>
        <w:br/>
      </w:r>
      <w:r w:rsidR="004A3912">
        <w:rPr>
          <w:rFonts w:eastAsia="Times New Roman" w:cs="Times New Roman"/>
        </w:rPr>
        <w:br/>
        <w:t>3. For cell counts, not all labs are equipped with automated cell counters (on the contrary); author should provide alternative of manual cell counts with dilution of MNC samples in 3% acetic acid and use of hemocytometer.</w:t>
      </w:r>
    </w:p>
    <w:p w14:paraId="12E4050E" w14:textId="1563E394" w:rsidR="00764E4C" w:rsidRPr="00E818F7" w:rsidRDefault="00E818F7" w:rsidP="00E818F7">
      <w:pPr>
        <w:shd w:val="clear" w:color="auto" w:fill="FFFFFF"/>
        <w:spacing w:before="100" w:beforeAutospacing="1" w:after="150"/>
        <w:jc w:val="both"/>
        <w:rPr>
          <w:rFonts w:cs="Arial"/>
          <w:b/>
          <w:color w:val="FF0000"/>
          <w:shd w:val="clear" w:color="auto" w:fill="FFFFFF"/>
        </w:rPr>
      </w:pPr>
      <w:r w:rsidRPr="00E818F7">
        <w:rPr>
          <w:rFonts w:eastAsia="Times New Roman" w:cs="Times New Roman"/>
          <w:color w:val="FF0000"/>
        </w:rPr>
        <w:t xml:space="preserve">The </w:t>
      </w:r>
      <w:r w:rsidR="00764E4C" w:rsidRPr="00E818F7">
        <w:rPr>
          <w:rFonts w:eastAsia="Times New Roman" w:cs="Times New Roman"/>
          <w:color w:val="FF0000"/>
        </w:rPr>
        <w:t xml:space="preserve">alternative method has </w:t>
      </w:r>
      <w:r>
        <w:rPr>
          <w:rFonts w:eastAsia="Times New Roman" w:cs="Times New Roman"/>
          <w:color w:val="FF0000"/>
        </w:rPr>
        <w:t>now been mentioned in line</w:t>
      </w:r>
      <w:r w:rsidR="00764E4C" w:rsidRPr="00E818F7">
        <w:rPr>
          <w:rFonts w:eastAsia="Times New Roman" w:cs="Times New Roman"/>
          <w:color w:val="FF0000"/>
        </w:rPr>
        <w:t>: 281</w:t>
      </w:r>
      <w:r>
        <w:rPr>
          <w:rFonts w:eastAsia="Times New Roman" w:cs="Times New Roman"/>
          <w:color w:val="FF0000"/>
        </w:rPr>
        <w:t xml:space="preserve"> or step 2.7. </w:t>
      </w:r>
      <w:r w:rsidR="00764E4C" w:rsidRPr="00E818F7">
        <w:rPr>
          <w:rFonts w:eastAsia="Times New Roman" w:cs="Times New Roman"/>
          <w:color w:val="FF0000"/>
        </w:rPr>
        <w:t xml:space="preserve"> </w:t>
      </w:r>
      <w:r w:rsidRPr="00E818F7">
        <w:rPr>
          <w:rFonts w:eastAsia="Times New Roman" w:cs="Times New Roman"/>
          <w:b/>
          <w:color w:val="FF0000"/>
        </w:rPr>
        <w:t>“</w:t>
      </w:r>
      <w:r>
        <w:rPr>
          <w:rFonts w:cs="Arial"/>
          <w:b/>
          <w:color w:val="FF0000"/>
          <w:shd w:val="clear" w:color="auto" w:fill="FFFFFF"/>
        </w:rPr>
        <w:t>Note</w:t>
      </w:r>
      <w:r w:rsidR="00764E4C" w:rsidRPr="00E818F7">
        <w:rPr>
          <w:rFonts w:cs="Arial"/>
          <w:b/>
          <w:color w:val="FF0000"/>
          <w:shd w:val="clear" w:color="auto" w:fill="FFFFFF"/>
        </w:rPr>
        <w:t>: The cell count can be</w:t>
      </w:r>
      <w:r>
        <w:rPr>
          <w:rFonts w:cs="Arial"/>
          <w:b/>
          <w:color w:val="FF0000"/>
          <w:shd w:val="clear" w:color="auto" w:fill="FFFFFF"/>
        </w:rPr>
        <w:t xml:space="preserve"> also performed</w:t>
      </w:r>
      <w:r w:rsidR="00764E4C" w:rsidRPr="00E818F7">
        <w:rPr>
          <w:rFonts w:cs="Arial"/>
          <w:b/>
          <w:color w:val="FF0000"/>
          <w:shd w:val="clear" w:color="auto" w:fill="FFFFFF"/>
        </w:rPr>
        <w:t xml:space="preserve"> by using the trypan blue exclusion method with a </w:t>
      </w:r>
      <w:proofErr w:type="spellStart"/>
      <w:r w:rsidR="00764E4C" w:rsidRPr="00E818F7">
        <w:rPr>
          <w:rFonts w:cs="Arial"/>
          <w:b/>
          <w:color w:val="FF0000"/>
          <w:shd w:val="clear" w:color="auto" w:fill="FFFFFF"/>
        </w:rPr>
        <w:t>hemocytometer</w:t>
      </w:r>
      <w:proofErr w:type="spellEnd"/>
      <w:r w:rsidRPr="00E818F7">
        <w:rPr>
          <w:rFonts w:cs="Arial"/>
          <w:b/>
          <w:color w:val="FF0000"/>
          <w:shd w:val="clear" w:color="auto" w:fill="FFFFFF"/>
        </w:rPr>
        <w:t>”.</w:t>
      </w:r>
    </w:p>
    <w:p w14:paraId="50A298D7" w14:textId="77777777" w:rsidR="009507C6" w:rsidRPr="00E818F7" w:rsidRDefault="009507C6" w:rsidP="00770E35">
      <w:pPr>
        <w:rPr>
          <w:rFonts w:eastAsia="Times New Roman" w:cs="Times New Roman"/>
        </w:rPr>
      </w:pPr>
    </w:p>
    <w:p w14:paraId="08CE5723" w14:textId="77777777" w:rsidR="00ED0371" w:rsidRDefault="004A3912" w:rsidP="00770E35">
      <w:pPr>
        <w:rPr>
          <w:rFonts w:eastAsia="Times New Roman" w:cs="Times New Roman"/>
        </w:rPr>
      </w:pPr>
      <w:r>
        <w:rPr>
          <w:rFonts w:eastAsia="Times New Roman" w:cs="Times New Roman"/>
        </w:rPr>
        <w:br/>
        <w:t>4. Controls for FACS; author should describe preparation of fluorescent minus one (FMO) samples to appropriately set up regions/gates for cytometry. Isotype controls are better suited to determine the level of non-specific binding.</w:t>
      </w:r>
    </w:p>
    <w:p w14:paraId="666AC67A" w14:textId="77777777" w:rsidR="00E86D00" w:rsidRDefault="00E86D00" w:rsidP="00770E35">
      <w:pPr>
        <w:rPr>
          <w:rFonts w:eastAsia="Times New Roman" w:cs="Times New Roman"/>
          <w:color w:val="FF0000"/>
        </w:rPr>
      </w:pPr>
      <w:r>
        <w:rPr>
          <w:rFonts w:eastAsia="Times New Roman" w:cs="Times New Roman"/>
          <w:color w:val="FF0000"/>
        </w:rPr>
        <w:t>This has now been clarified in step 5.1.</w:t>
      </w:r>
    </w:p>
    <w:p w14:paraId="425B12A3" w14:textId="294D1C60" w:rsidR="00ED0371" w:rsidRDefault="004A3912" w:rsidP="00770E35">
      <w:pPr>
        <w:rPr>
          <w:rFonts w:eastAsia="Times New Roman" w:cs="Times New Roman"/>
        </w:rPr>
      </w:pPr>
      <w:r>
        <w:rPr>
          <w:rFonts w:eastAsia="Times New Roman" w:cs="Times New Roman"/>
        </w:rPr>
        <w:br/>
        <w:t>5. Line 302; is it normal that the bullet is at 1, when it seems it should be at 7?</w:t>
      </w:r>
    </w:p>
    <w:p w14:paraId="3AE6E117" w14:textId="77777777" w:rsidR="00ED0371" w:rsidRPr="00ED0371" w:rsidRDefault="00ED0371" w:rsidP="00770E35">
      <w:pPr>
        <w:rPr>
          <w:rFonts w:eastAsia="Times New Roman" w:cs="Times New Roman"/>
          <w:color w:val="FF0000"/>
        </w:rPr>
      </w:pPr>
      <w:r>
        <w:rPr>
          <w:rFonts w:eastAsia="Times New Roman" w:cs="Times New Roman"/>
        </w:rPr>
        <w:lastRenderedPageBreak/>
        <w:t xml:space="preserve"> </w:t>
      </w:r>
      <w:r w:rsidRPr="00ED0371">
        <w:rPr>
          <w:rFonts w:eastAsia="Times New Roman" w:cs="Times New Roman"/>
          <w:color w:val="FF0000"/>
        </w:rPr>
        <w:t>This has been corrected and number 6 replaces the bullet number</w:t>
      </w:r>
      <w:r>
        <w:rPr>
          <w:rFonts w:eastAsia="Times New Roman" w:cs="Times New Roman"/>
          <w:color w:val="FF0000"/>
        </w:rPr>
        <w:t xml:space="preserve"> 1. </w:t>
      </w:r>
    </w:p>
    <w:p w14:paraId="4655FC15" w14:textId="77777777" w:rsidR="00ED0371" w:rsidRDefault="004A3912" w:rsidP="00770E35">
      <w:pPr>
        <w:rPr>
          <w:rFonts w:eastAsia="Times New Roman" w:cs="Times New Roman"/>
        </w:rPr>
      </w:pPr>
      <w:r>
        <w:rPr>
          <w:rFonts w:eastAsia="Times New Roman" w:cs="Times New Roman"/>
        </w:rPr>
        <w:br/>
      </w:r>
      <w:r w:rsidRPr="009507C6">
        <w:rPr>
          <w:rFonts w:eastAsia="Times New Roman" w:cs="Times New Roman"/>
        </w:rPr>
        <w:t>6. The purpose of the sorting of the CD34+CD90- is to show that VPA culture promote the emergence of CD34+CD90+ cells. Am not sure that the whole section on this in the M&amp;M is valuable. Most readers would probably want to produce CD34+CD90+ from CD34+ cells. Maybe this subsection can be removed, or else the context explained by a brief note. The results on that can be retained and presented as is. I leave it to the authors to make the final decision on this.</w:t>
      </w:r>
      <w:r w:rsidR="00ED0371" w:rsidRPr="009507C6">
        <w:rPr>
          <w:rFonts w:eastAsia="Times New Roman" w:cs="Times New Roman"/>
        </w:rPr>
        <w:t>’</w:t>
      </w:r>
    </w:p>
    <w:p w14:paraId="6BB48B77" w14:textId="77777777" w:rsidR="00ED0371" w:rsidRPr="00ED0371" w:rsidRDefault="00ED0371" w:rsidP="00ED0371">
      <w:pPr>
        <w:jc w:val="both"/>
        <w:rPr>
          <w:rFonts w:eastAsia="Times New Roman" w:cs="Times New Roman"/>
          <w:color w:val="FF0000"/>
        </w:rPr>
      </w:pPr>
      <w:r w:rsidRPr="00ED0371">
        <w:rPr>
          <w:rFonts w:eastAsia="Times New Roman" w:cs="Times New Roman"/>
          <w:color w:val="FF0000"/>
        </w:rPr>
        <w:t xml:space="preserve">The reason of including this data is to indicate and confirm that cultures supplemented with cytokine cocktail and VPA trigger transcriptomic alterations </w:t>
      </w:r>
      <w:r w:rsidR="009507C6">
        <w:rPr>
          <w:rFonts w:eastAsia="Times New Roman" w:cs="Times New Roman"/>
          <w:color w:val="FF0000"/>
        </w:rPr>
        <w:t>in CD34</w:t>
      </w:r>
      <w:r w:rsidR="009507C6" w:rsidRPr="009507C6">
        <w:rPr>
          <w:rFonts w:eastAsia="Times New Roman" w:cs="Times New Roman"/>
          <w:color w:val="FF0000"/>
          <w:vertAlign w:val="superscript"/>
        </w:rPr>
        <w:t>+</w:t>
      </w:r>
      <w:r w:rsidR="009507C6">
        <w:rPr>
          <w:rFonts w:eastAsia="Times New Roman" w:cs="Times New Roman"/>
          <w:color w:val="FF0000"/>
        </w:rPr>
        <w:t xml:space="preserve"> cells </w:t>
      </w:r>
      <w:r w:rsidRPr="00ED0371">
        <w:rPr>
          <w:rFonts w:eastAsia="Times New Roman" w:cs="Times New Roman"/>
          <w:color w:val="FF0000"/>
        </w:rPr>
        <w:t xml:space="preserve">that are associated with expression of primitive HSC markers. We have left </w:t>
      </w:r>
      <w:r w:rsidR="009507C6">
        <w:rPr>
          <w:rFonts w:eastAsia="Times New Roman" w:cs="Times New Roman"/>
          <w:color w:val="FF0000"/>
        </w:rPr>
        <w:t xml:space="preserve">unchanged </w:t>
      </w:r>
      <w:r w:rsidRPr="00ED0371">
        <w:rPr>
          <w:rFonts w:eastAsia="Times New Roman" w:cs="Times New Roman"/>
          <w:color w:val="FF0000"/>
        </w:rPr>
        <w:t>this section as it appears in the previous submitted manuscript.</w:t>
      </w:r>
    </w:p>
    <w:p w14:paraId="08574C45" w14:textId="77777777" w:rsidR="00ED0371" w:rsidRDefault="00ED0371" w:rsidP="00770E35">
      <w:pPr>
        <w:rPr>
          <w:rFonts w:eastAsia="Times New Roman" w:cs="Times New Roman"/>
        </w:rPr>
      </w:pPr>
    </w:p>
    <w:p w14:paraId="1815A63F" w14:textId="77777777" w:rsidR="00DD312A" w:rsidRDefault="004A3912" w:rsidP="00770E35">
      <w:pPr>
        <w:rPr>
          <w:rFonts w:eastAsia="Times New Roman" w:cs="Times New Roman"/>
        </w:rPr>
      </w:pPr>
      <w:r>
        <w:rPr>
          <w:rFonts w:eastAsia="Times New Roman" w:cs="Times New Roman"/>
        </w:rPr>
        <w:br/>
        <w:t>7. There is no mention in the text on feeding the culture…maybe the author need to state this as most would assume that the culture is fed with fresh media at least once.</w:t>
      </w:r>
    </w:p>
    <w:p w14:paraId="119774B0" w14:textId="7BEF39B3" w:rsidR="009507C6" w:rsidRPr="009507C6" w:rsidRDefault="00ED0371" w:rsidP="009507C6">
      <w:pPr>
        <w:shd w:val="clear" w:color="auto" w:fill="FFFFFF"/>
        <w:spacing w:before="100" w:beforeAutospacing="1" w:after="150"/>
        <w:jc w:val="both"/>
        <w:rPr>
          <w:rFonts w:eastAsia="Times New Roman" w:cs="Arial"/>
          <w:color w:val="FF0000"/>
        </w:rPr>
      </w:pPr>
      <w:r w:rsidRPr="009507C6">
        <w:rPr>
          <w:rFonts w:eastAsia="Times New Roman" w:cs="Times New Roman"/>
          <w:color w:val="FF0000"/>
        </w:rPr>
        <w:t>This point is n</w:t>
      </w:r>
      <w:r w:rsidR="00F54E76">
        <w:rPr>
          <w:rFonts w:eastAsia="Times New Roman" w:cs="Times New Roman"/>
          <w:color w:val="FF0000"/>
        </w:rPr>
        <w:t>ow clarified in the manuscript i</w:t>
      </w:r>
      <w:r w:rsidRPr="009507C6">
        <w:rPr>
          <w:rFonts w:eastAsia="Times New Roman" w:cs="Times New Roman"/>
          <w:color w:val="FF0000"/>
        </w:rPr>
        <w:t xml:space="preserve">n step </w:t>
      </w:r>
      <w:r w:rsidR="009507C6" w:rsidRPr="009507C6">
        <w:rPr>
          <w:rFonts w:eastAsia="Times New Roman" w:cs="Times New Roman"/>
          <w:color w:val="FF0000"/>
        </w:rPr>
        <w:t>4.5 “</w:t>
      </w:r>
      <w:r w:rsidR="009507C6" w:rsidRPr="009507C6">
        <w:rPr>
          <w:rFonts w:cs="Arial"/>
          <w:color w:val="FF0000"/>
          <w:shd w:val="clear" w:color="auto" w:fill="FFFFFF"/>
        </w:rPr>
        <w:t xml:space="preserve">Media remains unchanged during the duration of the ex-vivo expansion”. </w:t>
      </w:r>
    </w:p>
    <w:p w14:paraId="7A644772" w14:textId="77777777" w:rsidR="00ED0371" w:rsidRDefault="00ED0371" w:rsidP="00770E35">
      <w:pPr>
        <w:rPr>
          <w:rFonts w:eastAsia="Times New Roman" w:cs="Times New Roman"/>
          <w:color w:val="FF0000"/>
        </w:rPr>
      </w:pPr>
    </w:p>
    <w:p w14:paraId="360BB865" w14:textId="77777777" w:rsidR="009C6608" w:rsidRDefault="009C6608" w:rsidP="009C6608">
      <w:pPr>
        <w:widowControl w:val="0"/>
        <w:autoSpaceDE w:val="0"/>
        <w:autoSpaceDN w:val="0"/>
        <w:adjustRightInd w:val="0"/>
        <w:spacing w:after="240"/>
        <w:rPr>
          <w:rFonts w:cs="Arial"/>
          <w:i/>
          <w:iCs/>
          <w:color w:val="2A4B7E"/>
        </w:rPr>
      </w:pPr>
      <w:r w:rsidRPr="009C6608">
        <w:rPr>
          <w:rFonts w:cs="Arial"/>
          <w:iCs/>
        </w:rPr>
        <w:t>Thank you for your consideration</w:t>
      </w:r>
      <w:r w:rsidRPr="009C6608">
        <w:rPr>
          <w:rFonts w:cs="Arial"/>
          <w:i/>
          <w:iCs/>
          <w:color w:val="2A4B7E"/>
        </w:rPr>
        <w:t xml:space="preserve">. </w:t>
      </w:r>
    </w:p>
    <w:p w14:paraId="7ECC7AAA" w14:textId="77777777" w:rsidR="009C6608" w:rsidRPr="009C6608" w:rsidRDefault="009C6608" w:rsidP="009C6608">
      <w:pPr>
        <w:widowControl w:val="0"/>
        <w:autoSpaceDE w:val="0"/>
        <w:autoSpaceDN w:val="0"/>
        <w:adjustRightInd w:val="0"/>
        <w:spacing w:after="240"/>
        <w:rPr>
          <w:rFonts w:cs="Arial"/>
        </w:rPr>
      </w:pPr>
    </w:p>
    <w:p w14:paraId="2BD35263" w14:textId="77777777" w:rsidR="009C6608" w:rsidRPr="002F691D" w:rsidRDefault="009C6608" w:rsidP="009C6608">
      <w:pPr>
        <w:pStyle w:val="BasicParagraph"/>
        <w:spacing w:line="264" w:lineRule="auto"/>
        <w:rPr>
          <w:rFonts w:ascii="Times New Roman" w:hAnsi="Times New Roman"/>
          <w:b/>
        </w:rPr>
      </w:pPr>
      <w:r w:rsidRPr="002F691D">
        <w:rPr>
          <w:rFonts w:ascii="Times New Roman" w:hAnsi="Times New Roman"/>
          <w:b/>
        </w:rPr>
        <w:t>Luena Papa, Ph.D.</w:t>
      </w:r>
    </w:p>
    <w:p w14:paraId="650C5948" w14:textId="77777777" w:rsidR="009C6608" w:rsidRPr="002F691D" w:rsidRDefault="009C6608" w:rsidP="009C6608">
      <w:pPr>
        <w:pStyle w:val="BasicParagraph"/>
        <w:spacing w:after="90" w:line="264" w:lineRule="auto"/>
        <w:rPr>
          <w:rFonts w:ascii="Times New Roman" w:hAnsi="Times New Roman"/>
          <w:b/>
        </w:rPr>
      </w:pPr>
      <w:r w:rsidRPr="002F691D">
        <w:rPr>
          <w:rFonts w:ascii="Times New Roman" w:hAnsi="Times New Roman"/>
          <w:i/>
        </w:rPr>
        <w:t>Assistant Professor</w:t>
      </w:r>
      <w:r w:rsidRPr="002F691D">
        <w:rPr>
          <w:rFonts w:ascii="Times New Roman" w:hAnsi="Times New Roman"/>
          <w:b/>
        </w:rPr>
        <w:t xml:space="preserve"> </w:t>
      </w:r>
    </w:p>
    <w:p w14:paraId="25CA1DA3" w14:textId="77777777" w:rsidR="009C6608" w:rsidRPr="002F691D" w:rsidRDefault="009C6608" w:rsidP="009C6608">
      <w:pPr>
        <w:pStyle w:val="BasicParagraph"/>
        <w:spacing w:after="90" w:line="264" w:lineRule="auto"/>
        <w:rPr>
          <w:rFonts w:ascii="Times New Roman" w:hAnsi="Times New Roman"/>
          <w:b/>
        </w:rPr>
      </w:pPr>
      <w:r w:rsidRPr="002F691D">
        <w:rPr>
          <w:rFonts w:ascii="Times New Roman" w:hAnsi="Times New Roman"/>
          <w:b/>
        </w:rPr>
        <w:t>Division of Hematology and Medical Oncology</w:t>
      </w:r>
    </w:p>
    <w:p w14:paraId="55DFC111" w14:textId="77777777" w:rsidR="009C6608" w:rsidRPr="002F691D" w:rsidRDefault="009C6608" w:rsidP="009C6608">
      <w:pPr>
        <w:pStyle w:val="BasicParagraph"/>
        <w:spacing w:after="90" w:line="264" w:lineRule="auto"/>
        <w:rPr>
          <w:rFonts w:ascii="Times New Roman" w:hAnsi="Times New Roman"/>
          <w:b/>
        </w:rPr>
      </w:pPr>
      <w:r w:rsidRPr="002F691D">
        <w:rPr>
          <w:rFonts w:ascii="Times New Roman" w:hAnsi="Times New Roman" w:cs="Ingeborg-Regular"/>
        </w:rPr>
        <w:t>Mount Sinai School of Medicine</w:t>
      </w:r>
    </w:p>
    <w:p w14:paraId="03FE94A0" w14:textId="77777777" w:rsidR="009C6608" w:rsidRPr="002F691D" w:rsidRDefault="009C6608" w:rsidP="009C6608">
      <w:pPr>
        <w:pStyle w:val="BasicParagraph"/>
        <w:spacing w:after="90" w:line="264" w:lineRule="auto"/>
        <w:rPr>
          <w:rFonts w:ascii="Times New Roman" w:hAnsi="Times New Roman"/>
          <w:b/>
        </w:rPr>
      </w:pPr>
      <w:r w:rsidRPr="002F691D">
        <w:rPr>
          <w:rFonts w:ascii="Times New Roman" w:hAnsi="Times New Roman" w:cs="Ingeborg-Regular"/>
        </w:rPr>
        <w:t xml:space="preserve">One </w:t>
      </w:r>
      <w:proofErr w:type="spellStart"/>
      <w:r w:rsidRPr="002F691D">
        <w:rPr>
          <w:rFonts w:ascii="Times New Roman" w:hAnsi="Times New Roman" w:cs="Ingeborg-Regular"/>
        </w:rPr>
        <w:t>Gustave</w:t>
      </w:r>
      <w:proofErr w:type="spellEnd"/>
      <w:r w:rsidRPr="002F691D">
        <w:rPr>
          <w:rFonts w:ascii="Times New Roman" w:hAnsi="Times New Roman" w:cs="Ingeborg-Regular"/>
        </w:rPr>
        <w:t xml:space="preserve"> L. Levy Place, </w:t>
      </w:r>
    </w:p>
    <w:p w14:paraId="589883BB" w14:textId="77777777" w:rsidR="009C6608" w:rsidRPr="002F691D" w:rsidRDefault="009C6608" w:rsidP="009C6608">
      <w:pPr>
        <w:pStyle w:val="BasicParagraph"/>
        <w:spacing w:line="264" w:lineRule="auto"/>
        <w:jc w:val="both"/>
        <w:rPr>
          <w:rFonts w:ascii="Times New Roman" w:hAnsi="Times New Roman" w:cs="Ingeborg-Regular"/>
        </w:rPr>
      </w:pPr>
      <w:r w:rsidRPr="002F691D">
        <w:rPr>
          <w:rFonts w:ascii="Times New Roman" w:hAnsi="Times New Roman" w:cs="Ingeborg-Regular"/>
        </w:rPr>
        <w:t>New York, NY 10029-6574</w:t>
      </w:r>
    </w:p>
    <w:p w14:paraId="6E029351" w14:textId="77777777" w:rsidR="009C6608" w:rsidRPr="002F691D" w:rsidRDefault="009C6608" w:rsidP="009C6608">
      <w:pPr>
        <w:pStyle w:val="BasicParagraph"/>
        <w:spacing w:line="264" w:lineRule="auto"/>
        <w:jc w:val="both"/>
        <w:rPr>
          <w:rFonts w:ascii="Times New Roman" w:hAnsi="Times New Roman" w:cs="Ingeborg-Regular"/>
        </w:rPr>
      </w:pPr>
      <w:r w:rsidRPr="002F691D">
        <w:rPr>
          <w:rFonts w:ascii="Times New Roman" w:hAnsi="Times New Roman" w:cs="Ingeborg-Regular"/>
        </w:rPr>
        <w:t>Tel: (212) 241-1331</w:t>
      </w:r>
    </w:p>
    <w:p w14:paraId="73DA8A53" w14:textId="77777777" w:rsidR="009C6608" w:rsidRPr="002F691D" w:rsidRDefault="009C6608" w:rsidP="009C6608">
      <w:pPr>
        <w:pStyle w:val="BasicParagraph"/>
        <w:spacing w:line="264" w:lineRule="auto"/>
        <w:jc w:val="both"/>
        <w:rPr>
          <w:rFonts w:ascii="Times New Roman" w:hAnsi="Times New Roman" w:cs="Times New Roman"/>
        </w:rPr>
      </w:pPr>
      <w:r w:rsidRPr="002F691D">
        <w:rPr>
          <w:rFonts w:ascii="Times New Roman" w:hAnsi="Times New Roman" w:cs="Ingeborg-Regular"/>
        </w:rPr>
        <w:t>E</w:t>
      </w:r>
      <w:r w:rsidRPr="002F691D">
        <w:rPr>
          <w:rFonts w:ascii="Times New Roman" w:hAnsi="Times New Roman"/>
        </w:rPr>
        <w:t xml:space="preserve">mail: </w:t>
      </w:r>
      <w:r w:rsidRPr="002F691D">
        <w:rPr>
          <w:rFonts w:ascii="Times New Roman" w:hAnsi="Times New Roman" w:cs="Times New Roman"/>
        </w:rPr>
        <w:t>Luena.papa@mssm.edu</w:t>
      </w:r>
    </w:p>
    <w:p w14:paraId="21F994C1" w14:textId="77777777" w:rsidR="009C6608" w:rsidRPr="002F691D" w:rsidRDefault="009C6608" w:rsidP="009C6608">
      <w:pPr>
        <w:spacing w:line="264" w:lineRule="auto"/>
        <w:rPr>
          <w:rFonts w:ascii="Times New Roman" w:hAnsi="Times New Roman"/>
        </w:rPr>
      </w:pPr>
    </w:p>
    <w:p w14:paraId="3D3BB140" w14:textId="77777777" w:rsidR="009C6608" w:rsidRPr="009507C6" w:rsidRDefault="009C6608" w:rsidP="00770E35">
      <w:pPr>
        <w:rPr>
          <w:rFonts w:eastAsia="Times New Roman" w:cs="Times New Roman"/>
          <w:color w:val="FF0000"/>
        </w:rPr>
      </w:pPr>
    </w:p>
    <w:sectPr w:rsidR="009C6608" w:rsidRPr="009507C6" w:rsidSect="00DD312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EFE67" w14:textId="77777777" w:rsidR="005F7D76" w:rsidRDefault="005F7D76" w:rsidP="005F7D76">
      <w:r>
        <w:separator/>
      </w:r>
    </w:p>
  </w:endnote>
  <w:endnote w:type="continuationSeparator" w:id="0">
    <w:p w14:paraId="73C4A41C" w14:textId="77777777" w:rsidR="005F7D76" w:rsidRDefault="005F7D76" w:rsidP="005F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inionPro-Regular">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Ingeborg-Regular">
    <w:altName w:val="Genev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AE9FB" w14:textId="77777777" w:rsidR="005F7D76" w:rsidRDefault="005F7D76" w:rsidP="00576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459391" w14:textId="77777777" w:rsidR="005F7D76" w:rsidRDefault="005F7D76" w:rsidP="005F7D7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DF5BB" w14:textId="77777777" w:rsidR="005F7D76" w:rsidRDefault="005F7D76" w:rsidP="00576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02FA">
      <w:rPr>
        <w:rStyle w:val="PageNumber"/>
        <w:noProof/>
      </w:rPr>
      <w:t>1</w:t>
    </w:r>
    <w:r>
      <w:rPr>
        <w:rStyle w:val="PageNumber"/>
      </w:rPr>
      <w:fldChar w:fldCharType="end"/>
    </w:r>
  </w:p>
  <w:p w14:paraId="18F3B11A" w14:textId="77777777" w:rsidR="005F7D76" w:rsidRDefault="005F7D76" w:rsidP="005F7D7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FAAB4" w14:textId="77777777" w:rsidR="005F7D76" w:rsidRDefault="005F7D76" w:rsidP="005F7D76">
      <w:r>
        <w:separator/>
      </w:r>
    </w:p>
  </w:footnote>
  <w:footnote w:type="continuationSeparator" w:id="0">
    <w:p w14:paraId="66D3B4E2" w14:textId="77777777" w:rsidR="005F7D76" w:rsidRDefault="005F7D76" w:rsidP="005F7D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65B94"/>
    <w:multiLevelType w:val="multilevel"/>
    <w:tmpl w:val="13A8620E"/>
    <w:lvl w:ilvl="0">
      <w:start w:val="4"/>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nsid w:val="2B8E31EF"/>
    <w:multiLevelType w:val="multilevel"/>
    <w:tmpl w:val="BD8E82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12"/>
    <w:rsid w:val="00042905"/>
    <w:rsid w:val="00072B45"/>
    <w:rsid w:val="0010706E"/>
    <w:rsid w:val="00155CF3"/>
    <w:rsid w:val="0017593F"/>
    <w:rsid w:val="001961ED"/>
    <w:rsid w:val="001D41C2"/>
    <w:rsid w:val="00265F92"/>
    <w:rsid w:val="00270878"/>
    <w:rsid w:val="003D2316"/>
    <w:rsid w:val="00436078"/>
    <w:rsid w:val="00471776"/>
    <w:rsid w:val="004A3912"/>
    <w:rsid w:val="00564B68"/>
    <w:rsid w:val="005F7D76"/>
    <w:rsid w:val="00627EA2"/>
    <w:rsid w:val="006F3F1C"/>
    <w:rsid w:val="00764E4C"/>
    <w:rsid w:val="00770E35"/>
    <w:rsid w:val="007A0509"/>
    <w:rsid w:val="00817F49"/>
    <w:rsid w:val="008336CA"/>
    <w:rsid w:val="009507C6"/>
    <w:rsid w:val="009C6608"/>
    <w:rsid w:val="00A32004"/>
    <w:rsid w:val="00B302FA"/>
    <w:rsid w:val="00B33907"/>
    <w:rsid w:val="00B735B2"/>
    <w:rsid w:val="00CC4562"/>
    <w:rsid w:val="00D178A2"/>
    <w:rsid w:val="00DD312A"/>
    <w:rsid w:val="00E818F7"/>
    <w:rsid w:val="00E86D00"/>
    <w:rsid w:val="00ED0371"/>
    <w:rsid w:val="00F54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5FD5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3912"/>
    <w:rPr>
      <w:b/>
      <w:bCs/>
    </w:rPr>
  </w:style>
  <w:style w:type="paragraph" w:styleId="ListParagraph">
    <w:name w:val="List Paragraph"/>
    <w:basedOn w:val="Normal"/>
    <w:uiPriority w:val="34"/>
    <w:qFormat/>
    <w:rsid w:val="00817F49"/>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764E4C"/>
    <w:rPr>
      <w:color w:val="0000FF" w:themeColor="hyperlink"/>
      <w:u w:val="single"/>
    </w:rPr>
  </w:style>
  <w:style w:type="paragraph" w:styleId="Footer">
    <w:name w:val="footer"/>
    <w:basedOn w:val="Normal"/>
    <w:link w:val="FooterChar"/>
    <w:uiPriority w:val="99"/>
    <w:unhideWhenUsed/>
    <w:rsid w:val="005F7D76"/>
    <w:pPr>
      <w:tabs>
        <w:tab w:val="center" w:pos="4320"/>
        <w:tab w:val="right" w:pos="8640"/>
      </w:tabs>
    </w:pPr>
  </w:style>
  <w:style w:type="character" w:customStyle="1" w:styleId="FooterChar">
    <w:name w:val="Footer Char"/>
    <w:basedOn w:val="DefaultParagraphFont"/>
    <w:link w:val="Footer"/>
    <w:uiPriority w:val="99"/>
    <w:rsid w:val="005F7D76"/>
  </w:style>
  <w:style w:type="character" w:styleId="PageNumber">
    <w:name w:val="page number"/>
    <w:basedOn w:val="DefaultParagraphFont"/>
    <w:uiPriority w:val="99"/>
    <w:semiHidden/>
    <w:unhideWhenUsed/>
    <w:rsid w:val="005F7D76"/>
  </w:style>
  <w:style w:type="paragraph" w:customStyle="1" w:styleId="BasicParagraph">
    <w:name w:val="[Basic Paragraph]"/>
    <w:basedOn w:val="Normal"/>
    <w:uiPriority w:val="99"/>
    <w:rsid w:val="009C6608"/>
    <w:pPr>
      <w:widowControl w:val="0"/>
      <w:autoSpaceDE w:val="0"/>
      <w:autoSpaceDN w:val="0"/>
      <w:adjustRightInd w:val="0"/>
      <w:spacing w:line="288" w:lineRule="auto"/>
      <w:textAlignment w:val="center"/>
    </w:pPr>
    <w:rPr>
      <w:rFonts w:ascii="MinionPro-Regular" w:eastAsia="Cambria" w:hAnsi="MinionPro-Regular" w:cs="MinionPro-Regular"/>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3912"/>
    <w:rPr>
      <w:b/>
      <w:bCs/>
    </w:rPr>
  </w:style>
  <w:style w:type="paragraph" w:styleId="ListParagraph">
    <w:name w:val="List Paragraph"/>
    <w:basedOn w:val="Normal"/>
    <w:uiPriority w:val="34"/>
    <w:qFormat/>
    <w:rsid w:val="00817F49"/>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764E4C"/>
    <w:rPr>
      <w:color w:val="0000FF" w:themeColor="hyperlink"/>
      <w:u w:val="single"/>
    </w:rPr>
  </w:style>
  <w:style w:type="paragraph" w:styleId="Footer">
    <w:name w:val="footer"/>
    <w:basedOn w:val="Normal"/>
    <w:link w:val="FooterChar"/>
    <w:uiPriority w:val="99"/>
    <w:unhideWhenUsed/>
    <w:rsid w:val="005F7D76"/>
    <w:pPr>
      <w:tabs>
        <w:tab w:val="center" w:pos="4320"/>
        <w:tab w:val="right" w:pos="8640"/>
      </w:tabs>
    </w:pPr>
  </w:style>
  <w:style w:type="character" w:customStyle="1" w:styleId="FooterChar">
    <w:name w:val="Footer Char"/>
    <w:basedOn w:val="DefaultParagraphFont"/>
    <w:link w:val="Footer"/>
    <w:uiPriority w:val="99"/>
    <w:rsid w:val="005F7D76"/>
  </w:style>
  <w:style w:type="character" w:styleId="PageNumber">
    <w:name w:val="page number"/>
    <w:basedOn w:val="DefaultParagraphFont"/>
    <w:uiPriority w:val="99"/>
    <w:semiHidden/>
    <w:unhideWhenUsed/>
    <w:rsid w:val="005F7D76"/>
  </w:style>
  <w:style w:type="paragraph" w:customStyle="1" w:styleId="BasicParagraph">
    <w:name w:val="[Basic Paragraph]"/>
    <w:basedOn w:val="Normal"/>
    <w:uiPriority w:val="99"/>
    <w:rsid w:val="009C6608"/>
    <w:pPr>
      <w:widowControl w:val="0"/>
      <w:autoSpaceDE w:val="0"/>
      <w:autoSpaceDN w:val="0"/>
      <w:adjustRightInd w:val="0"/>
      <w:spacing w:line="288" w:lineRule="auto"/>
      <w:textAlignment w:val="center"/>
    </w:pPr>
    <w:rPr>
      <w:rFonts w:ascii="MinionPro-Regular" w:eastAsia="Cambria"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2642</Words>
  <Characters>15060</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17667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Luena</dc:creator>
  <cp:lastModifiedBy>Luena</cp:lastModifiedBy>
  <cp:revision>3</cp:revision>
  <cp:lastPrinted>2019-01-14T20:05:00Z</cp:lastPrinted>
  <dcterms:created xsi:type="dcterms:W3CDTF">2019-01-14T20:12:00Z</dcterms:created>
  <dcterms:modified xsi:type="dcterms:W3CDTF">2019-01-14T20:12:00Z</dcterms:modified>
</cp:coreProperties>
</file>