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1AC09" w14:textId="77777777" w:rsidR="00016D51" w:rsidRPr="007F69E4" w:rsidRDefault="00016D51" w:rsidP="00655DD5">
      <w:pPr>
        <w:pStyle w:val="NormalWeb"/>
        <w:spacing w:before="0" w:beforeAutospacing="0" w:after="0" w:afterAutospacing="0"/>
        <w:rPr>
          <w:rFonts w:asciiTheme="minorHAnsi" w:hAnsiTheme="minorHAnsi" w:cstheme="minorHAnsi"/>
        </w:rPr>
      </w:pPr>
      <w:r w:rsidRPr="007F69E4">
        <w:rPr>
          <w:rFonts w:asciiTheme="minorHAnsi" w:hAnsiTheme="minorHAnsi" w:cstheme="minorHAnsi"/>
          <w:b/>
          <w:bCs/>
        </w:rPr>
        <w:t>TITLE:</w:t>
      </w:r>
      <w:r w:rsidRPr="007F69E4">
        <w:rPr>
          <w:rFonts w:asciiTheme="minorHAnsi" w:hAnsiTheme="minorHAnsi" w:cstheme="minorHAnsi"/>
        </w:rPr>
        <w:t xml:space="preserve"> </w:t>
      </w:r>
    </w:p>
    <w:p w14:paraId="79A004CB" w14:textId="32EC4162" w:rsidR="00016D51" w:rsidRPr="001A3C54" w:rsidRDefault="00016D51" w:rsidP="00655DD5">
      <w:pPr>
        <w:rPr>
          <w:rFonts w:asciiTheme="minorHAnsi" w:hAnsiTheme="minorHAnsi" w:cstheme="minorHAnsi"/>
          <w:color w:val="auto"/>
        </w:rPr>
      </w:pPr>
      <w:r w:rsidRPr="001A3C54">
        <w:rPr>
          <w:rFonts w:asciiTheme="minorHAnsi" w:hAnsiTheme="minorHAnsi" w:cstheme="minorHAnsi"/>
          <w:color w:val="auto"/>
        </w:rPr>
        <w:t xml:space="preserve">Tailoring </w:t>
      </w:r>
      <w:r w:rsidR="001A3C54" w:rsidRPr="001A3C54">
        <w:rPr>
          <w:rFonts w:asciiTheme="minorHAnsi" w:hAnsiTheme="minorHAnsi" w:cstheme="minorHAnsi"/>
          <w:color w:val="auto"/>
        </w:rPr>
        <w:t xml:space="preserve">In Vivo Cytotoxicity Assays to Study Immunodominance in Tumor-specific </w:t>
      </w:r>
      <w:r w:rsidRPr="001A3C54">
        <w:rPr>
          <w:rFonts w:asciiTheme="minorHAnsi" w:hAnsiTheme="minorHAnsi" w:cstheme="minorHAnsi"/>
          <w:color w:val="auto"/>
        </w:rPr>
        <w:t>CD8</w:t>
      </w:r>
      <w:r w:rsidR="001A3C54" w:rsidRPr="001A3C54">
        <w:rPr>
          <w:rFonts w:asciiTheme="minorHAnsi" w:hAnsiTheme="minorHAnsi" w:cstheme="minorHAnsi"/>
          <w:color w:val="auto"/>
          <w:vertAlign w:val="superscript"/>
        </w:rPr>
        <w:t>+</w:t>
      </w:r>
      <w:r w:rsidR="001A3C54" w:rsidRPr="001A3C54">
        <w:rPr>
          <w:rFonts w:asciiTheme="minorHAnsi" w:hAnsiTheme="minorHAnsi" w:cstheme="minorHAnsi"/>
          <w:color w:val="auto"/>
        </w:rPr>
        <w:t xml:space="preserve"> </w:t>
      </w:r>
      <w:r w:rsidRPr="001A3C54">
        <w:rPr>
          <w:rFonts w:asciiTheme="minorHAnsi" w:hAnsiTheme="minorHAnsi" w:cstheme="minorHAnsi"/>
          <w:color w:val="auto"/>
        </w:rPr>
        <w:t xml:space="preserve">T </w:t>
      </w:r>
      <w:r w:rsidR="001A3C54" w:rsidRPr="001A3C54">
        <w:rPr>
          <w:rFonts w:asciiTheme="minorHAnsi" w:hAnsiTheme="minorHAnsi" w:cstheme="minorHAnsi"/>
          <w:color w:val="auto"/>
        </w:rPr>
        <w:t xml:space="preserve">Cell Responses </w:t>
      </w:r>
    </w:p>
    <w:p w14:paraId="0AE4C98C" w14:textId="77777777" w:rsidR="00016D51" w:rsidRPr="007F69E4" w:rsidRDefault="00016D51" w:rsidP="00655DD5">
      <w:pPr>
        <w:rPr>
          <w:rFonts w:asciiTheme="minorHAnsi" w:hAnsiTheme="minorHAnsi" w:cstheme="minorHAnsi"/>
          <w:b/>
          <w:bCs/>
          <w:color w:val="auto"/>
        </w:rPr>
      </w:pPr>
    </w:p>
    <w:p w14:paraId="0614C59F" w14:textId="77777777" w:rsidR="00016D51" w:rsidRPr="007F69E4" w:rsidRDefault="00016D51" w:rsidP="00655DD5">
      <w:pPr>
        <w:rPr>
          <w:rFonts w:asciiTheme="minorHAnsi" w:hAnsiTheme="minorHAnsi" w:cstheme="minorHAnsi"/>
          <w:color w:val="808080" w:themeColor="background1" w:themeShade="80"/>
        </w:rPr>
      </w:pPr>
      <w:r w:rsidRPr="007F69E4">
        <w:rPr>
          <w:rFonts w:asciiTheme="minorHAnsi" w:hAnsiTheme="minorHAnsi" w:cstheme="minorHAnsi"/>
          <w:b/>
          <w:bCs/>
        </w:rPr>
        <w:t>AUTHORS AND AFFILIATIONS:</w:t>
      </w:r>
    </w:p>
    <w:p w14:paraId="7AC2C6B7" w14:textId="5009E7CC"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rPr>
        <w:t>Joshua Choi</w:t>
      </w:r>
      <w:r w:rsidRPr="007F69E4">
        <w:rPr>
          <w:rFonts w:asciiTheme="minorHAnsi" w:hAnsiTheme="minorHAnsi" w:cstheme="minorHAnsi"/>
          <w:bCs/>
          <w:color w:val="auto"/>
          <w:vertAlign w:val="superscript"/>
        </w:rPr>
        <w:t>1</w:t>
      </w:r>
      <w:r w:rsidRPr="007F69E4">
        <w:rPr>
          <w:rFonts w:asciiTheme="minorHAnsi" w:hAnsiTheme="minorHAnsi" w:cstheme="minorHAnsi"/>
          <w:bCs/>
          <w:color w:val="auto"/>
        </w:rPr>
        <w:t>, Courtney E</w:t>
      </w:r>
      <w:r w:rsidR="001A3C54">
        <w:rPr>
          <w:rFonts w:asciiTheme="minorHAnsi" w:hAnsiTheme="minorHAnsi" w:cstheme="minorHAnsi"/>
          <w:bCs/>
          <w:color w:val="auto"/>
        </w:rPr>
        <w:t>.</w:t>
      </w:r>
      <w:r w:rsidRPr="007F69E4">
        <w:rPr>
          <w:rFonts w:asciiTheme="minorHAnsi" w:hAnsiTheme="minorHAnsi" w:cstheme="minorHAnsi"/>
          <w:bCs/>
          <w:color w:val="auto"/>
        </w:rPr>
        <w:t xml:space="preserve"> Meilleur</w:t>
      </w:r>
      <w:r w:rsidRPr="007F69E4">
        <w:rPr>
          <w:rFonts w:asciiTheme="minorHAnsi" w:hAnsiTheme="minorHAnsi" w:cstheme="minorHAnsi"/>
          <w:bCs/>
          <w:color w:val="auto"/>
          <w:vertAlign w:val="superscript"/>
        </w:rPr>
        <w:t>1</w:t>
      </w:r>
      <w:r w:rsidRPr="007F69E4">
        <w:rPr>
          <w:rFonts w:asciiTheme="minorHAnsi" w:hAnsiTheme="minorHAnsi" w:cstheme="minorHAnsi"/>
          <w:bCs/>
          <w:color w:val="auto"/>
        </w:rPr>
        <w:t>, S</w:t>
      </w:r>
      <w:r w:rsidR="001A3C54">
        <w:rPr>
          <w:rFonts w:asciiTheme="minorHAnsi" w:hAnsiTheme="minorHAnsi" w:cstheme="minorHAnsi"/>
          <w:bCs/>
          <w:color w:val="auto"/>
        </w:rPr>
        <w:t xml:space="preserve">. </w:t>
      </w:r>
      <w:r w:rsidRPr="007F69E4">
        <w:rPr>
          <w:rFonts w:asciiTheme="minorHAnsi" w:hAnsiTheme="minorHAnsi" w:cstheme="minorHAnsi"/>
          <w:bCs/>
          <w:color w:val="auto"/>
        </w:rPr>
        <w:t>M</w:t>
      </w:r>
      <w:r w:rsidR="001A3C54">
        <w:rPr>
          <w:rFonts w:asciiTheme="minorHAnsi" w:hAnsiTheme="minorHAnsi" w:cstheme="minorHAnsi"/>
          <w:bCs/>
          <w:color w:val="auto"/>
        </w:rPr>
        <w:t>.</w:t>
      </w:r>
      <w:r w:rsidRPr="007F69E4">
        <w:rPr>
          <w:rFonts w:asciiTheme="minorHAnsi" w:hAnsiTheme="minorHAnsi" w:cstheme="minorHAnsi"/>
          <w:bCs/>
          <w:color w:val="auto"/>
        </w:rPr>
        <w:t xml:space="preserve"> Mansour Haeryfar</w:t>
      </w:r>
      <w:r w:rsidRPr="007F69E4">
        <w:rPr>
          <w:rFonts w:asciiTheme="minorHAnsi" w:hAnsiTheme="minorHAnsi" w:cstheme="minorHAnsi"/>
          <w:bCs/>
          <w:color w:val="auto"/>
          <w:vertAlign w:val="superscript"/>
        </w:rPr>
        <w:t>1,2,3,4</w:t>
      </w:r>
    </w:p>
    <w:p w14:paraId="1D4E5DC2" w14:textId="77777777" w:rsidR="00016D51" w:rsidRPr="007F69E4" w:rsidRDefault="00016D51" w:rsidP="00655DD5">
      <w:pPr>
        <w:rPr>
          <w:rFonts w:asciiTheme="minorHAnsi" w:hAnsiTheme="minorHAnsi" w:cstheme="minorHAnsi"/>
          <w:bCs/>
          <w:color w:val="808080" w:themeColor="background1" w:themeShade="80"/>
        </w:rPr>
      </w:pPr>
    </w:p>
    <w:p w14:paraId="626F97F1" w14:textId="77777777"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vertAlign w:val="superscript"/>
        </w:rPr>
        <w:t>1</w:t>
      </w:r>
      <w:r w:rsidRPr="007F69E4">
        <w:rPr>
          <w:rFonts w:asciiTheme="minorHAnsi" w:hAnsiTheme="minorHAnsi" w:cstheme="minorHAnsi"/>
          <w:bCs/>
          <w:color w:val="auto"/>
        </w:rPr>
        <w:t>Department of Microbiology and Immunology, Western University, London, ON, Canada</w:t>
      </w:r>
    </w:p>
    <w:p w14:paraId="6E24E8CA" w14:textId="77777777"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vertAlign w:val="superscript"/>
        </w:rPr>
        <w:t>2</w:t>
      </w:r>
      <w:r w:rsidRPr="007F69E4">
        <w:rPr>
          <w:rFonts w:asciiTheme="minorHAnsi" w:hAnsiTheme="minorHAnsi" w:cstheme="minorHAnsi"/>
          <w:bCs/>
          <w:color w:val="auto"/>
        </w:rPr>
        <w:t xml:space="preserve">Department of Medicine, Division of Clinical Immunology and Allergy, Western University, London, ON, Canada </w:t>
      </w:r>
    </w:p>
    <w:p w14:paraId="19039156" w14:textId="77777777"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vertAlign w:val="superscript"/>
        </w:rPr>
        <w:t>3</w:t>
      </w:r>
      <w:r w:rsidRPr="007F69E4">
        <w:rPr>
          <w:rFonts w:asciiTheme="minorHAnsi" w:hAnsiTheme="minorHAnsi" w:cstheme="minorHAnsi"/>
          <w:bCs/>
          <w:color w:val="auto"/>
        </w:rPr>
        <w:t>Department of Surgery, Division of General Surgery, Western University, London, ON, Canada</w:t>
      </w:r>
    </w:p>
    <w:p w14:paraId="38EB3EC6" w14:textId="2458D37A"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vertAlign w:val="superscript"/>
        </w:rPr>
        <w:t>4</w:t>
      </w:r>
      <w:r w:rsidRPr="007F69E4">
        <w:rPr>
          <w:rFonts w:asciiTheme="minorHAnsi" w:hAnsiTheme="minorHAnsi" w:cstheme="minorHAnsi"/>
          <w:bCs/>
          <w:color w:val="auto"/>
        </w:rPr>
        <w:t>Lawson Health Research Institute, London, ON, Canada</w:t>
      </w:r>
    </w:p>
    <w:p w14:paraId="33D4040D" w14:textId="77777777" w:rsidR="00016D51" w:rsidRPr="007F69E4" w:rsidRDefault="00016D51" w:rsidP="00655DD5">
      <w:pPr>
        <w:rPr>
          <w:rFonts w:asciiTheme="minorHAnsi" w:hAnsiTheme="minorHAnsi" w:cstheme="minorHAnsi"/>
          <w:bCs/>
          <w:color w:val="808080"/>
        </w:rPr>
      </w:pPr>
    </w:p>
    <w:p w14:paraId="67AC438F" w14:textId="77777777" w:rsidR="00016D51" w:rsidRPr="007F69E4" w:rsidRDefault="00016D51" w:rsidP="00655DD5">
      <w:pPr>
        <w:rPr>
          <w:rFonts w:asciiTheme="minorHAnsi" w:hAnsiTheme="minorHAnsi" w:cstheme="minorHAnsi"/>
          <w:bCs/>
          <w:color w:val="808080"/>
        </w:rPr>
      </w:pPr>
      <w:r w:rsidRPr="007F69E4">
        <w:rPr>
          <w:rFonts w:asciiTheme="minorHAnsi" w:hAnsiTheme="minorHAnsi" w:cstheme="minorHAnsi"/>
          <w:bCs/>
          <w:color w:val="auto"/>
        </w:rPr>
        <w:t>Corresponding Author:</w:t>
      </w:r>
      <w:r w:rsidRPr="007F69E4">
        <w:rPr>
          <w:rFonts w:asciiTheme="minorHAnsi" w:hAnsiTheme="minorHAnsi" w:cstheme="minorHAnsi"/>
          <w:bCs/>
          <w:color w:val="808080"/>
        </w:rPr>
        <w:t xml:space="preserve"> </w:t>
      </w:r>
    </w:p>
    <w:p w14:paraId="1E2E1991" w14:textId="5FF1CC87" w:rsidR="00016D51" w:rsidRPr="007F69E4" w:rsidRDefault="00016D51" w:rsidP="00655DD5">
      <w:pPr>
        <w:rPr>
          <w:rFonts w:asciiTheme="minorHAnsi" w:hAnsiTheme="minorHAnsi" w:cstheme="minorHAnsi"/>
          <w:bCs/>
          <w:color w:val="auto"/>
        </w:rPr>
      </w:pPr>
      <w:r w:rsidRPr="007F69E4">
        <w:rPr>
          <w:rFonts w:asciiTheme="minorHAnsi" w:hAnsiTheme="minorHAnsi" w:cstheme="minorHAnsi"/>
          <w:bCs/>
          <w:color w:val="auto"/>
        </w:rPr>
        <w:t>S</w:t>
      </w:r>
      <w:r w:rsidR="00942E3E">
        <w:rPr>
          <w:rFonts w:asciiTheme="minorHAnsi" w:hAnsiTheme="minorHAnsi" w:cstheme="minorHAnsi"/>
          <w:bCs/>
          <w:color w:val="auto"/>
        </w:rPr>
        <w:t xml:space="preserve">. </w:t>
      </w:r>
      <w:r w:rsidRPr="007F69E4">
        <w:rPr>
          <w:rFonts w:asciiTheme="minorHAnsi" w:hAnsiTheme="minorHAnsi" w:cstheme="minorHAnsi"/>
          <w:bCs/>
          <w:color w:val="auto"/>
        </w:rPr>
        <w:t>M</w:t>
      </w:r>
      <w:r w:rsidR="00942E3E">
        <w:rPr>
          <w:rFonts w:asciiTheme="minorHAnsi" w:hAnsiTheme="minorHAnsi" w:cstheme="minorHAnsi"/>
          <w:bCs/>
          <w:color w:val="auto"/>
        </w:rPr>
        <w:t>.</w:t>
      </w:r>
      <w:r w:rsidRPr="007F69E4">
        <w:rPr>
          <w:rFonts w:asciiTheme="minorHAnsi" w:hAnsiTheme="minorHAnsi" w:cstheme="minorHAnsi"/>
          <w:bCs/>
          <w:color w:val="auto"/>
        </w:rPr>
        <w:t xml:space="preserve"> Mansour </w:t>
      </w:r>
      <w:proofErr w:type="spellStart"/>
      <w:r w:rsidRPr="007F69E4">
        <w:rPr>
          <w:rFonts w:asciiTheme="minorHAnsi" w:hAnsiTheme="minorHAnsi" w:cstheme="minorHAnsi"/>
          <w:bCs/>
          <w:color w:val="auto"/>
        </w:rPr>
        <w:t>Haeryfar</w:t>
      </w:r>
      <w:proofErr w:type="spellEnd"/>
      <w:r w:rsidR="00942E3E">
        <w:rPr>
          <w:rFonts w:asciiTheme="minorHAnsi" w:hAnsiTheme="minorHAnsi" w:cstheme="minorHAnsi"/>
          <w:bCs/>
          <w:color w:val="auto"/>
        </w:rPr>
        <w:tab/>
        <w:t>(</w:t>
      </w:r>
      <w:r w:rsidRPr="007F69E4">
        <w:rPr>
          <w:rFonts w:asciiTheme="minorHAnsi" w:hAnsiTheme="minorHAnsi" w:cstheme="minorHAnsi"/>
          <w:bCs/>
          <w:color w:val="auto"/>
        </w:rPr>
        <w:t>Mansour.Haeryfar@schulich.uwo.ca</w:t>
      </w:r>
      <w:r w:rsidR="00942E3E">
        <w:rPr>
          <w:rFonts w:asciiTheme="minorHAnsi" w:hAnsiTheme="minorHAnsi" w:cstheme="minorHAnsi"/>
          <w:bCs/>
          <w:color w:val="auto"/>
        </w:rPr>
        <w:t>)</w:t>
      </w:r>
    </w:p>
    <w:p w14:paraId="75109B04" w14:textId="77777777" w:rsidR="00016D51" w:rsidRPr="007F69E4" w:rsidRDefault="00016D51" w:rsidP="00655DD5">
      <w:pPr>
        <w:rPr>
          <w:rFonts w:asciiTheme="minorHAnsi" w:hAnsiTheme="minorHAnsi" w:cstheme="minorHAnsi"/>
          <w:bCs/>
          <w:color w:val="808080"/>
        </w:rPr>
      </w:pPr>
    </w:p>
    <w:p w14:paraId="1917EE94" w14:textId="77777777" w:rsidR="00016D51" w:rsidRPr="007F69E4" w:rsidRDefault="00016D51" w:rsidP="00655DD5">
      <w:pPr>
        <w:pStyle w:val="NormalWeb"/>
        <w:spacing w:before="0" w:beforeAutospacing="0" w:after="0" w:afterAutospacing="0"/>
        <w:rPr>
          <w:rFonts w:asciiTheme="minorHAnsi" w:hAnsiTheme="minorHAnsi" w:cstheme="minorHAnsi"/>
          <w:bCs/>
          <w:color w:val="auto"/>
        </w:rPr>
      </w:pPr>
      <w:r w:rsidRPr="007F69E4">
        <w:rPr>
          <w:rFonts w:asciiTheme="minorHAnsi" w:hAnsiTheme="minorHAnsi" w:cstheme="minorHAnsi"/>
          <w:bCs/>
          <w:color w:val="auto"/>
        </w:rPr>
        <w:t>Email Addresses of Co-authors</w:t>
      </w:r>
      <w:r w:rsidRPr="007F69E4">
        <w:rPr>
          <w:rFonts w:asciiTheme="minorHAnsi" w:hAnsiTheme="minorHAnsi" w:cstheme="minorHAnsi"/>
          <w:b/>
          <w:bCs/>
          <w:color w:val="auto"/>
        </w:rPr>
        <w:t>:</w:t>
      </w:r>
    </w:p>
    <w:p w14:paraId="46285CA3" w14:textId="1E8D745D" w:rsidR="00016D51" w:rsidRPr="007F69E4" w:rsidRDefault="00016D51" w:rsidP="00655DD5">
      <w:pPr>
        <w:pStyle w:val="NormalWeb"/>
        <w:spacing w:before="0" w:beforeAutospacing="0" w:after="0" w:afterAutospacing="0"/>
        <w:rPr>
          <w:rFonts w:asciiTheme="minorHAnsi" w:hAnsiTheme="minorHAnsi" w:cstheme="minorHAnsi"/>
          <w:bCs/>
          <w:color w:val="auto"/>
        </w:rPr>
      </w:pPr>
      <w:r w:rsidRPr="007F69E4">
        <w:rPr>
          <w:rFonts w:asciiTheme="minorHAnsi" w:hAnsiTheme="minorHAnsi" w:cstheme="minorHAnsi"/>
          <w:bCs/>
          <w:color w:val="auto"/>
        </w:rPr>
        <w:t>Joshua Choi</w:t>
      </w:r>
      <w:r w:rsidR="006247B3">
        <w:rPr>
          <w:rFonts w:asciiTheme="minorHAnsi" w:hAnsiTheme="minorHAnsi" w:cstheme="minorHAnsi"/>
          <w:bCs/>
          <w:color w:val="auto"/>
        </w:rPr>
        <w:tab/>
      </w:r>
      <w:r w:rsidR="006247B3">
        <w:rPr>
          <w:rFonts w:asciiTheme="minorHAnsi" w:hAnsiTheme="minorHAnsi" w:cstheme="minorHAnsi"/>
          <w:bCs/>
          <w:color w:val="auto"/>
        </w:rPr>
        <w:tab/>
      </w:r>
      <w:r w:rsidR="006247B3">
        <w:rPr>
          <w:rFonts w:asciiTheme="minorHAnsi" w:hAnsiTheme="minorHAnsi" w:cstheme="minorHAnsi"/>
          <w:bCs/>
          <w:color w:val="auto"/>
        </w:rPr>
        <w:tab/>
      </w:r>
      <w:r w:rsidRPr="007F69E4">
        <w:rPr>
          <w:rFonts w:asciiTheme="minorHAnsi" w:hAnsiTheme="minorHAnsi" w:cstheme="minorHAnsi"/>
          <w:bCs/>
          <w:color w:val="auto"/>
        </w:rPr>
        <w:t>(jchoi443@uwo.ca)</w:t>
      </w:r>
    </w:p>
    <w:p w14:paraId="1576ADE3" w14:textId="124D8EE2" w:rsidR="00016D51" w:rsidRPr="007F69E4" w:rsidRDefault="00016D51" w:rsidP="00655DD5">
      <w:pPr>
        <w:pStyle w:val="NormalWeb"/>
        <w:spacing w:before="0" w:beforeAutospacing="0" w:after="0" w:afterAutospacing="0"/>
        <w:rPr>
          <w:rFonts w:asciiTheme="minorHAnsi" w:hAnsiTheme="minorHAnsi" w:cstheme="minorHAnsi"/>
          <w:bCs/>
          <w:color w:val="auto"/>
        </w:rPr>
      </w:pPr>
      <w:r w:rsidRPr="007F69E4">
        <w:rPr>
          <w:rFonts w:asciiTheme="minorHAnsi" w:hAnsiTheme="minorHAnsi" w:cstheme="minorHAnsi"/>
          <w:bCs/>
          <w:color w:val="auto"/>
        </w:rPr>
        <w:t>Courtney E</w:t>
      </w:r>
      <w:r w:rsidR="006247B3">
        <w:rPr>
          <w:rFonts w:asciiTheme="minorHAnsi" w:hAnsiTheme="minorHAnsi" w:cstheme="minorHAnsi"/>
          <w:bCs/>
          <w:color w:val="auto"/>
        </w:rPr>
        <w:t>.</w:t>
      </w:r>
      <w:r w:rsidRPr="007F69E4">
        <w:rPr>
          <w:rFonts w:asciiTheme="minorHAnsi" w:hAnsiTheme="minorHAnsi" w:cstheme="minorHAnsi"/>
          <w:bCs/>
          <w:color w:val="auto"/>
        </w:rPr>
        <w:t xml:space="preserve"> Meilleur</w:t>
      </w:r>
      <w:r w:rsidR="006247B3">
        <w:rPr>
          <w:rFonts w:asciiTheme="minorHAnsi" w:hAnsiTheme="minorHAnsi" w:cstheme="minorHAnsi"/>
          <w:bCs/>
          <w:color w:val="auto"/>
        </w:rPr>
        <w:tab/>
      </w:r>
      <w:r w:rsidR="006247B3">
        <w:rPr>
          <w:rFonts w:asciiTheme="minorHAnsi" w:hAnsiTheme="minorHAnsi" w:cstheme="minorHAnsi"/>
          <w:bCs/>
          <w:color w:val="auto"/>
        </w:rPr>
        <w:tab/>
      </w:r>
      <w:r w:rsidRPr="007F69E4">
        <w:rPr>
          <w:rFonts w:asciiTheme="minorHAnsi" w:hAnsiTheme="minorHAnsi" w:cstheme="minorHAnsi"/>
          <w:bCs/>
          <w:color w:val="auto"/>
        </w:rPr>
        <w:t>(cmeilleu@uwo.ca)</w:t>
      </w:r>
    </w:p>
    <w:p w14:paraId="04F99AAF" w14:textId="77777777" w:rsidR="00016D51" w:rsidRPr="007F69E4" w:rsidRDefault="00016D51" w:rsidP="00655DD5">
      <w:pPr>
        <w:rPr>
          <w:rFonts w:asciiTheme="minorHAnsi" w:hAnsiTheme="minorHAnsi" w:cstheme="minorHAnsi"/>
          <w:color w:val="auto"/>
        </w:rPr>
      </w:pPr>
    </w:p>
    <w:p w14:paraId="76AFEE68" w14:textId="77777777" w:rsidR="00016D51" w:rsidRPr="007F69E4" w:rsidRDefault="00016D51" w:rsidP="00655DD5">
      <w:pPr>
        <w:pStyle w:val="NormalWeb"/>
        <w:spacing w:before="0" w:beforeAutospacing="0" w:after="0" w:afterAutospacing="0"/>
        <w:rPr>
          <w:rFonts w:asciiTheme="minorHAnsi" w:hAnsiTheme="minorHAnsi" w:cstheme="minorHAnsi"/>
        </w:rPr>
      </w:pPr>
      <w:r w:rsidRPr="007F69E4">
        <w:rPr>
          <w:rFonts w:asciiTheme="minorHAnsi" w:hAnsiTheme="minorHAnsi" w:cstheme="minorHAnsi"/>
          <w:b/>
          <w:bCs/>
        </w:rPr>
        <w:t>KEYWORDS:</w:t>
      </w:r>
      <w:r w:rsidRPr="007F69E4">
        <w:rPr>
          <w:rFonts w:asciiTheme="minorHAnsi" w:hAnsiTheme="minorHAnsi" w:cstheme="minorHAnsi"/>
        </w:rPr>
        <w:t xml:space="preserve"> </w:t>
      </w:r>
    </w:p>
    <w:p w14:paraId="57AD12BE" w14:textId="2A240A71" w:rsidR="00016D51" w:rsidRPr="007F69E4" w:rsidRDefault="00016D51" w:rsidP="00655DD5">
      <w:pPr>
        <w:pStyle w:val="NormalWeb"/>
        <w:spacing w:before="0" w:beforeAutospacing="0" w:after="0" w:afterAutospacing="0"/>
        <w:rPr>
          <w:rFonts w:asciiTheme="minorHAnsi" w:hAnsiTheme="minorHAnsi" w:cstheme="minorHAnsi"/>
        </w:rPr>
      </w:pPr>
      <w:r w:rsidRPr="007F69E4">
        <w:rPr>
          <w:rFonts w:asciiTheme="minorHAnsi" w:hAnsiTheme="minorHAnsi" w:cstheme="minorHAnsi"/>
        </w:rPr>
        <w:t>CD8</w:t>
      </w:r>
      <w:r w:rsidRPr="007F69E4">
        <w:rPr>
          <w:rFonts w:asciiTheme="minorHAnsi" w:hAnsiTheme="minorHAnsi" w:cstheme="minorHAnsi"/>
          <w:vertAlign w:val="superscript"/>
        </w:rPr>
        <w:t>+</w:t>
      </w:r>
      <w:r w:rsidRPr="007F69E4">
        <w:rPr>
          <w:rFonts w:asciiTheme="minorHAnsi" w:hAnsiTheme="minorHAnsi" w:cstheme="minorHAnsi"/>
        </w:rPr>
        <w:t xml:space="preserve"> T cells</w:t>
      </w:r>
      <w:r w:rsidR="002D5C38">
        <w:rPr>
          <w:rFonts w:asciiTheme="minorHAnsi" w:hAnsiTheme="minorHAnsi" w:cstheme="minorHAnsi"/>
        </w:rPr>
        <w:t>,</w:t>
      </w:r>
      <w:r w:rsidRPr="007F69E4">
        <w:rPr>
          <w:rFonts w:asciiTheme="minorHAnsi" w:hAnsiTheme="minorHAnsi" w:cstheme="minorHAnsi"/>
        </w:rPr>
        <w:t xml:space="preserve"> cytotoxicity</w:t>
      </w:r>
      <w:r w:rsidR="002D5C38">
        <w:rPr>
          <w:rFonts w:asciiTheme="minorHAnsi" w:hAnsiTheme="minorHAnsi" w:cstheme="minorHAnsi"/>
        </w:rPr>
        <w:t>,</w:t>
      </w:r>
      <w:r w:rsidRPr="007F69E4">
        <w:rPr>
          <w:rFonts w:asciiTheme="minorHAnsi" w:hAnsiTheme="minorHAnsi" w:cstheme="minorHAnsi"/>
        </w:rPr>
        <w:t xml:space="preserve"> cancer</w:t>
      </w:r>
      <w:r w:rsidR="002D5C38">
        <w:rPr>
          <w:rFonts w:asciiTheme="minorHAnsi" w:hAnsiTheme="minorHAnsi" w:cstheme="minorHAnsi"/>
        </w:rPr>
        <w:t>,</w:t>
      </w:r>
      <w:r w:rsidRPr="007F69E4">
        <w:rPr>
          <w:rFonts w:asciiTheme="minorHAnsi" w:hAnsiTheme="minorHAnsi" w:cstheme="minorHAnsi"/>
        </w:rPr>
        <w:t xml:space="preserve"> immunodominance</w:t>
      </w:r>
      <w:r w:rsidR="002D5C38">
        <w:rPr>
          <w:rFonts w:asciiTheme="minorHAnsi" w:hAnsiTheme="minorHAnsi" w:cstheme="minorHAnsi"/>
        </w:rPr>
        <w:t>,</w:t>
      </w:r>
      <w:r w:rsidRPr="007F69E4">
        <w:rPr>
          <w:rFonts w:asciiTheme="minorHAnsi" w:hAnsiTheme="minorHAnsi" w:cstheme="minorHAnsi"/>
        </w:rPr>
        <w:t xml:space="preserve"> tumor-derived peptides</w:t>
      </w:r>
      <w:r w:rsidR="002D5C38">
        <w:rPr>
          <w:rFonts w:asciiTheme="minorHAnsi" w:hAnsiTheme="minorHAnsi" w:cstheme="minorHAnsi"/>
        </w:rPr>
        <w:t>,</w:t>
      </w:r>
      <w:r w:rsidRPr="007F69E4">
        <w:rPr>
          <w:rFonts w:asciiTheme="minorHAnsi" w:hAnsiTheme="minorHAnsi" w:cstheme="minorHAnsi"/>
        </w:rPr>
        <w:t xml:space="preserve"> large T antigen</w:t>
      </w:r>
      <w:r w:rsidR="002D5C38">
        <w:rPr>
          <w:rFonts w:asciiTheme="minorHAnsi" w:hAnsiTheme="minorHAnsi" w:cstheme="minorHAnsi"/>
        </w:rPr>
        <w:t>,</w:t>
      </w:r>
      <w:r w:rsidRPr="007F69E4">
        <w:rPr>
          <w:rFonts w:asciiTheme="minorHAnsi" w:hAnsiTheme="minorHAnsi" w:cstheme="minorHAnsi"/>
        </w:rPr>
        <w:t xml:space="preserve"> regulatory T cells</w:t>
      </w:r>
      <w:r w:rsidR="002D5C38">
        <w:rPr>
          <w:rFonts w:asciiTheme="minorHAnsi" w:hAnsiTheme="minorHAnsi" w:cstheme="minorHAnsi"/>
        </w:rPr>
        <w:t>,</w:t>
      </w:r>
      <w:r w:rsidRPr="007F69E4">
        <w:rPr>
          <w:rFonts w:asciiTheme="minorHAnsi" w:hAnsiTheme="minorHAnsi" w:cstheme="minorHAnsi"/>
        </w:rPr>
        <w:t xml:space="preserve"> PD-1</w:t>
      </w:r>
      <w:r w:rsidR="002D5C38">
        <w:rPr>
          <w:rFonts w:asciiTheme="minorHAnsi" w:hAnsiTheme="minorHAnsi" w:cstheme="minorHAnsi"/>
        </w:rPr>
        <w:t>,</w:t>
      </w:r>
      <w:r w:rsidRPr="007F69E4">
        <w:rPr>
          <w:rFonts w:asciiTheme="minorHAnsi" w:hAnsiTheme="minorHAnsi" w:cstheme="minorHAnsi"/>
        </w:rPr>
        <w:t xml:space="preserve"> checkpoint inhibitors</w:t>
      </w:r>
      <w:r w:rsidR="002D5C38">
        <w:rPr>
          <w:rFonts w:asciiTheme="minorHAnsi" w:hAnsiTheme="minorHAnsi" w:cstheme="minorHAnsi"/>
        </w:rPr>
        <w:t>,</w:t>
      </w:r>
      <w:r w:rsidRPr="007F69E4">
        <w:rPr>
          <w:rFonts w:asciiTheme="minorHAnsi" w:hAnsiTheme="minorHAnsi" w:cstheme="minorHAnsi"/>
        </w:rPr>
        <w:t xml:space="preserve"> drug efficacy testing</w:t>
      </w:r>
      <w:r w:rsidR="002D5C38">
        <w:rPr>
          <w:rFonts w:asciiTheme="minorHAnsi" w:hAnsiTheme="minorHAnsi" w:cstheme="minorHAnsi"/>
        </w:rPr>
        <w:t>,</w:t>
      </w:r>
      <w:r w:rsidRPr="007F69E4">
        <w:rPr>
          <w:rFonts w:asciiTheme="minorHAnsi" w:hAnsiTheme="minorHAnsi" w:cstheme="minorHAnsi"/>
        </w:rPr>
        <w:t xml:space="preserve"> flow cytometry  </w:t>
      </w:r>
    </w:p>
    <w:p w14:paraId="25B4D84B" w14:textId="77777777" w:rsidR="00016D51" w:rsidRPr="007F69E4" w:rsidRDefault="00016D51" w:rsidP="00655DD5">
      <w:pPr>
        <w:pStyle w:val="NormalWeb"/>
        <w:spacing w:before="0" w:beforeAutospacing="0" w:after="0" w:afterAutospacing="0"/>
        <w:rPr>
          <w:rFonts w:asciiTheme="minorHAnsi" w:hAnsiTheme="minorHAnsi" w:cstheme="minorHAnsi"/>
        </w:rPr>
      </w:pPr>
    </w:p>
    <w:p w14:paraId="4B00E410" w14:textId="411B2FF9" w:rsidR="00016D51" w:rsidRPr="007F69E4" w:rsidRDefault="00016D51" w:rsidP="00655DD5">
      <w:pPr>
        <w:rPr>
          <w:rFonts w:asciiTheme="minorHAnsi" w:hAnsiTheme="minorHAnsi" w:cstheme="minorHAnsi"/>
          <w:color w:val="808080" w:themeColor="background1" w:themeShade="80"/>
        </w:rPr>
      </w:pPr>
      <w:r w:rsidRPr="007F69E4">
        <w:rPr>
          <w:rFonts w:asciiTheme="minorHAnsi" w:hAnsiTheme="minorHAnsi" w:cstheme="minorHAnsi"/>
          <w:b/>
          <w:bCs/>
        </w:rPr>
        <w:t>SUMMARY:</w:t>
      </w:r>
    </w:p>
    <w:p w14:paraId="7C3A178B" w14:textId="4107124A" w:rsidR="00016D51" w:rsidRPr="00164210" w:rsidRDefault="00016D51" w:rsidP="00655DD5">
      <w:pPr>
        <w:rPr>
          <w:rFonts w:asciiTheme="minorHAnsi" w:hAnsiTheme="minorHAnsi" w:cstheme="minorHAnsi"/>
          <w:color w:val="auto"/>
        </w:rPr>
      </w:pPr>
      <w:r w:rsidRPr="00164210">
        <w:rPr>
          <w:rFonts w:asciiTheme="minorHAnsi" w:hAnsiTheme="minorHAnsi" w:cstheme="minorHAnsi"/>
          <w:color w:val="auto"/>
        </w:rPr>
        <w:t xml:space="preserve">We describe here a flow cytometry-based in vivo killing assay that enables examination of immunodominance in cytotoxic T lymphocyte (CTL) responses to a model tumor antigen. We provide examples of how this elegant assay may be employed for mechanistic studies and for drug efficacy testing.     </w:t>
      </w:r>
    </w:p>
    <w:p w14:paraId="5BA6389D" w14:textId="77777777" w:rsidR="00016D51" w:rsidRPr="007F69E4" w:rsidRDefault="00016D51" w:rsidP="00655DD5">
      <w:pPr>
        <w:rPr>
          <w:rFonts w:asciiTheme="minorHAnsi" w:hAnsiTheme="minorHAnsi" w:cstheme="minorHAnsi"/>
          <w:color w:val="808080" w:themeColor="background1" w:themeShade="80"/>
        </w:rPr>
      </w:pPr>
    </w:p>
    <w:p w14:paraId="12D6C876" w14:textId="77777777" w:rsidR="00016D51" w:rsidRPr="007F69E4" w:rsidRDefault="00016D51" w:rsidP="00655DD5">
      <w:pPr>
        <w:rPr>
          <w:rFonts w:asciiTheme="minorHAnsi" w:hAnsiTheme="minorHAnsi" w:cstheme="minorHAnsi"/>
          <w:color w:val="808080"/>
          <w:highlight w:val="red"/>
        </w:rPr>
      </w:pPr>
      <w:r w:rsidRPr="007F69E4">
        <w:rPr>
          <w:rFonts w:asciiTheme="minorHAnsi" w:hAnsiTheme="minorHAnsi" w:cstheme="minorHAnsi"/>
          <w:b/>
          <w:bCs/>
        </w:rPr>
        <w:t>ABSTRACT:</w:t>
      </w:r>
      <w:r w:rsidRPr="007F69E4">
        <w:rPr>
          <w:rFonts w:asciiTheme="minorHAnsi" w:hAnsiTheme="minorHAnsi" w:cstheme="minorHAnsi"/>
          <w:highlight w:val="red"/>
        </w:rPr>
        <w:t xml:space="preserve"> </w:t>
      </w:r>
    </w:p>
    <w:p w14:paraId="442D6AA1" w14:textId="4EF09013" w:rsidR="00FD0F1C" w:rsidRPr="007F69E4" w:rsidRDefault="00812402" w:rsidP="00655DD5">
      <w:pPr>
        <w:rPr>
          <w:rFonts w:asciiTheme="minorHAnsi" w:hAnsiTheme="minorHAnsi" w:cstheme="minorHAnsi"/>
          <w:bCs/>
        </w:rPr>
      </w:pPr>
      <w:bookmarkStart w:id="0" w:name="Long_Abstract"/>
      <w:proofErr w:type="spellStart"/>
      <w:r w:rsidRPr="007F69E4">
        <w:rPr>
          <w:rFonts w:asciiTheme="minorHAnsi" w:hAnsiTheme="minorHAnsi" w:cstheme="minorHAnsi"/>
          <w:bCs/>
        </w:rPr>
        <w:t>C</w:t>
      </w:r>
      <w:r w:rsidRPr="007F69E4">
        <w:rPr>
          <w:rFonts w:asciiTheme="minorHAnsi" w:hAnsiTheme="minorHAnsi" w:cstheme="minorHAnsi"/>
        </w:rPr>
        <w:t>arboxyfluorescein</w:t>
      </w:r>
      <w:proofErr w:type="spellEnd"/>
      <w:r w:rsidRPr="007F69E4">
        <w:rPr>
          <w:rFonts w:asciiTheme="minorHAnsi" w:hAnsiTheme="minorHAnsi" w:cstheme="minorHAnsi"/>
        </w:rPr>
        <w:t xml:space="preserve"> </w:t>
      </w:r>
      <w:proofErr w:type="spellStart"/>
      <w:r w:rsidRPr="007F69E4">
        <w:rPr>
          <w:rFonts w:asciiTheme="minorHAnsi" w:hAnsiTheme="minorHAnsi" w:cstheme="minorHAnsi"/>
        </w:rPr>
        <w:t>succinimidyl</w:t>
      </w:r>
      <w:proofErr w:type="spellEnd"/>
      <w:r w:rsidRPr="007F69E4">
        <w:rPr>
          <w:rFonts w:asciiTheme="minorHAnsi" w:hAnsiTheme="minorHAnsi" w:cstheme="minorHAnsi"/>
        </w:rPr>
        <w:t xml:space="preserve"> ester</w:t>
      </w:r>
      <w:r w:rsidRPr="007F69E4">
        <w:rPr>
          <w:rFonts w:asciiTheme="minorHAnsi" w:hAnsiTheme="minorHAnsi" w:cstheme="minorHAnsi"/>
          <w:bCs/>
        </w:rPr>
        <w:t xml:space="preserve"> (</w:t>
      </w:r>
      <w:r w:rsidR="00FD0F1C" w:rsidRPr="007F69E4">
        <w:rPr>
          <w:rFonts w:asciiTheme="minorHAnsi" w:hAnsiTheme="minorHAnsi" w:cstheme="minorHAnsi"/>
          <w:bCs/>
        </w:rPr>
        <w:t>CFSE</w:t>
      </w:r>
      <w:r w:rsidRPr="007F69E4">
        <w:rPr>
          <w:rFonts w:asciiTheme="minorHAnsi" w:hAnsiTheme="minorHAnsi" w:cstheme="minorHAnsi"/>
          <w:bCs/>
        </w:rPr>
        <w:t>)</w:t>
      </w:r>
      <w:r w:rsidR="00FD0F1C" w:rsidRPr="007F69E4">
        <w:rPr>
          <w:rFonts w:asciiTheme="minorHAnsi" w:hAnsiTheme="minorHAnsi" w:cstheme="minorHAnsi"/>
          <w:bCs/>
        </w:rPr>
        <w:t xml:space="preserve">-based </w:t>
      </w:r>
      <w:r w:rsidR="00164210" w:rsidRPr="00164210">
        <w:rPr>
          <w:rFonts w:asciiTheme="minorHAnsi" w:hAnsiTheme="minorHAnsi" w:cstheme="minorHAnsi"/>
          <w:bCs/>
        </w:rPr>
        <w:t>in vivo</w:t>
      </w:r>
      <w:r w:rsidR="00FD0F1C" w:rsidRPr="007F69E4">
        <w:rPr>
          <w:rFonts w:asciiTheme="minorHAnsi" w:hAnsiTheme="minorHAnsi" w:cstheme="minorHAnsi"/>
          <w:bCs/>
        </w:rPr>
        <w:t xml:space="preserve"> </w:t>
      </w:r>
      <w:r w:rsidR="003E3C54" w:rsidRPr="007F69E4">
        <w:rPr>
          <w:rFonts w:asciiTheme="minorHAnsi" w:hAnsiTheme="minorHAnsi" w:cstheme="minorHAnsi"/>
          <w:bCs/>
        </w:rPr>
        <w:t>cytotoxicity</w:t>
      </w:r>
      <w:r w:rsidR="009D6FB2" w:rsidRPr="007F69E4">
        <w:rPr>
          <w:rFonts w:asciiTheme="minorHAnsi" w:hAnsiTheme="minorHAnsi" w:cstheme="minorHAnsi"/>
          <w:bCs/>
        </w:rPr>
        <w:t xml:space="preserve"> assays enable </w:t>
      </w:r>
      <w:r w:rsidR="005C20A7" w:rsidRPr="007F69E4">
        <w:rPr>
          <w:rFonts w:asciiTheme="minorHAnsi" w:hAnsiTheme="minorHAnsi" w:cstheme="minorHAnsi"/>
          <w:bCs/>
        </w:rPr>
        <w:t xml:space="preserve">sensitive and accurate </w:t>
      </w:r>
      <w:r w:rsidR="0086075F" w:rsidRPr="007F69E4">
        <w:rPr>
          <w:rFonts w:asciiTheme="minorHAnsi" w:hAnsiTheme="minorHAnsi" w:cstheme="minorHAnsi"/>
          <w:bCs/>
        </w:rPr>
        <w:t>quantitation</w:t>
      </w:r>
      <w:r w:rsidR="009D6FB2" w:rsidRPr="007F69E4">
        <w:rPr>
          <w:rFonts w:asciiTheme="minorHAnsi" w:hAnsiTheme="minorHAnsi" w:cstheme="minorHAnsi"/>
          <w:bCs/>
        </w:rPr>
        <w:t xml:space="preserve"> of </w:t>
      </w:r>
      <w:r w:rsidR="00246C48" w:rsidRPr="007F69E4">
        <w:rPr>
          <w:rFonts w:asciiTheme="minorHAnsi" w:hAnsiTheme="minorHAnsi" w:cstheme="minorHAnsi"/>
          <w:bCs/>
        </w:rPr>
        <w:t>CD8</w:t>
      </w:r>
      <w:r w:rsidR="00246C48" w:rsidRPr="007F69E4">
        <w:rPr>
          <w:rFonts w:asciiTheme="minorHAnsi" w:hAnsiTheme="minorHAnsi" w:cstheme="minorHAnsi"/>
          <w:bCs/>
          <w:vertAlign w:val="superscript"/>
        </w:rPr>
        <w:t>+</w:t>
      </w:r>
      <w:r w:rsidR="00125B5B" w:rsidRPr="007F69E4">
        <w:rPr>
          <w:rFonts w:asciiTheme="minorHAnsi" w:hAnsiTheme="minorHAnsi" w:cstheme="minorHAnsi"/>
          <w:bCs/>
        </w:rPr>
        <w:t xml:space="preserve"> </w:t>
      </w:r>
      <w:r w:rsidR="00BE71E7" w:rsidRPr="007F69E4">
        <w:rPr>
          <w:rFonts w:asciiTheme="minorHAnsi" w:hAnsiTheme="minorHAnsi" w:cstheme="minorHAnsi"/>
          <w:bCs/>
        </w:rPr>
        <w:t xml:space="preserve">cytolytic T lymphocyte (CTL) </w:t>
      </w:r>
      <w:r w:rsidR="0044611B" w:rsidRPr="007F69E4">
        <w:rPr>
          <w:rFonts w:asciiTheme="minorHAnsi" w:hAnsiTheme="minorHAnsi" w:cstheme="minorHAnsi"/>
          <w:bCs/>
        </w:rPr>
        <w:t xml:space="preserve">responses </w:t>
      </w:r>
      <w:r w:rsidR="005C20A7" w:rsidRPr="007F69E4">
        <w:rPr>
          <w:rFonts w:asciiTheme="minorHAnsi" w:hAnsiTheme="minorHAnsi" w:cstheme="minorHAnsi"/>
          <w:bCs/>
        </w:rPr>
        <w:t>elicited against tumor- and pathogen-derived peptide</w:t>
      </w:r>
      <w:r w:rsidR="005D066A" w:rsidRPr="007F69E4">
        <w:rPr>
          <w:rFonts w:asciiTheme="minorHAnsi" w:hAnsiTheme="minorHAnsi" w:cstheme="minorHAnsi"/>
          <w:bCs/>
        </w:rPr>
        <w:t>s</w:t>
      </w:r>
      <w:r w:rsidR="005C20A7" w:rsidRPr="007F69E4">
        <w:rPr>
          <w:rFonts w:asciiTheme="minorHAnsi" w:hAnsiTheme="minorHAnsi" w:cstheme="minorHAnsi"/>
          <w:bCs/>
        </w:rPr>
        <w:t xml:space="preserve">. They </w:t>
      </w:r>
      <w:r w:rsidR="005D066A" w:rsidRPr="007F69E4">
        <w:rPr>
          <w:rFonts w:asciiTheme="minorHAnsi" w:hAnsiTheme="minorHAnsi" w:cstheme="minorHAnsi"/>
          <w:bCs/>
        </w:rPr>
        <w:t xml:space="preserve">offer several advantages over traditional </w:t>
      </w:r>
      <w:r w:rsidR="00F51B9A" w:rsidRPr="007F69E4">
        <w:rPr>
          <w:rFonts w:asciiTheme="minorHAnsi" w:hAnsiTheme="minorHAnsi" w:cstheme="minorHAnsi"/>
          <w:bCs/>
        </w:rPr>
        <w:t>killing</w:t>
      </w:r>
      <w:r w:rsidR="005D066A" w:rsidRPr="007F69E4">
        <w:rPr>
          <w:rFonts w:asciiTheme="minorHAnsi" w:hAnsiTheme="minorHAnsi" w:cstheme="minorHAnsi"/>
          <w:bCs/>
        </w:rPr>
        <w:t xml:space="preserve"> assays. First, they </w:t>
      </w:r>
      <w:r w:rsidR="0075763E" w:rsidRPr="007F69E4">
        <w:rPr>
          <w:rFonts w:asciiTheme="minorHAnsi" w:hAnsiTheme="minorHAnsi" w:cstheme="minorHAnsi"/>
          <w:bCs/>
        </w:rPr>
        <w:t>permit t</w:t>
      </w:r>
      <w:r w:rsidR="005C20A7" w:rsidRPr="007F69E4">
        <w:rPr>
          <w:rFonts w:asciiTheme="minorHAnsi" w:hAnsiTheme="minorHAnsi" w:cstheme="minorHAnsi"/>
          <w:color w:val="000000" w:themeColor="text1"/>
        </w:rPr>
        <w:t>he monitoring of CTL</w:t>
      </w:r>
      <w:r w:rsidR="0028729A" w:rsidRPr="007F69E4">
        <w:rPr>
          <w:rFonts w:asciiTheme="minorHAnsi" w:hAnsiTheme="minorHAnsi" w:cstheme="minorHAnsi"/>
          <w:color w:val="000000" w:themeColor="text1"/>
        </w:rPr>
        <w:t>-mediated cytotoxicity w</w:t>
      </w:r>
      <w:r w:rsidR="005C20A7" w:rsidRPr="007F69E4">
        <w:rPr>
          <w:rFonts w:asciiTheme="minorHAnsi" w:hAnsiTheme="minorHAnsi" w:cstheme="minorHAnsi"/>
          <w:color w:val="000000" w:themeColor="text1"/>
        </w:rPr>
        <w:t>ithin architecturally intact secondary lymphoid organs,</w:t>
      </w:r>
      <w:r w:rsidR="0028729A" w:rsidRPr="007F69E4">
        <w:rPr>
          <w:rFonts w:asciiTheme="minorHAnsi" w:hAnsiTheme="minorHAnsi" w:cstheme="minorHAnsi"/>
          <w:color w:val="000000" w:themeColor="text1"/>
        </w:rPr>
        <w:t xml:space="preserve"> typically in the spleen. </w:t>
      </w:r>
      <w:r w:rsidR="005D066A" w:rsidRPr="007F69E4">
        <w:rPr>
          <w:rFonts w:asciiTheme="minorHAnsi" w:hAnsiTheme="minorHAnsi" w:cstheme="minorHAnsi"/>
          <w:color w:val="000000" w:themeColor="text1"/>
        </w:rPr>
        <w:t xml:space="preserve">Second, </w:t>
      </w:r>
      <w:r w:rsidR="0028729A" w:rsidRPr="007F69E4">
        <w:rPr>
          <w:rFonts w:asciiTheme="minorHAnsi" w:hAnsiTheme="minorHAnsi" w:cstheme="minorHAnsi"/>
          <w:color w:val="000000" w:themeColor="text1"/>
        </w:rPr>
        <w:t xml:space="preserve">they allow for mechanistic studies </w:t>
      </w:r>
      <w:r w:rsidR="00C95096" w:rsidRPr="007F69E4">
        <w:rPr>
          <w:rFonts w:asciiTheme="minorHAnsi" w:hAnsiTheme="minorHAnsi" w:cstheme="minorHAnsi"/>
          <w:color w:val="000000" w:themeColor="text1"/>
        </w:rPr>
        <w:t>during</w:t>
      </w:r>
      <w:r w:rsidR="0062262E" w:rsidRPr="007F69E4">
        <w:rPr>
          <w:rFonts w:asciiTheme="minorHAnsi" w:hAnsiTheme="minorHAnsi" w:cstheme="minorHAnsi"/>
          <w:color w:val="000000" w:themeColor="text1"/>
        </w:rPr>
        <w:t xml:space="preserve"> the</w:t>
      </w:r>
      <w:r w:rsidR="0028729A" w:rsidRPr="007F69E4">
        <w:rPr>
          <w:rFonts w:asciiTheme="minorHAnsi" w:hAnsiTheme="minorHAnsi" w:cstheme="minorHAnsi"/>
          <w:color w:val="000000" w:themeColor="text1"/>
        </w:rPr>
        <w:t xml:space="preserve"> priming, effector and recall phases of CTL responses</w:t>
      </w:r>
      <w:r w:rsidR="005D066A" w:rsidRPr="007F69E4">
        <w:rPr>
          <w:rFonts w:asciiTheme="minorHAnsi" w:hAnsiTheme="minorHAnsi" w:cstheme="minorHAnsi"/>
          <w:color w:val="000000" w:themeColor="text1"/>
        </w:rPr>
        <w:t xml:space="preserve">. Third, they </w:t>
      </w:r>
      <w:r w:rsidR="002B4242" w:rsidRPr="007F69E4">
        <w:rPr>
          <w:rFonts w:asciiTheme="minorHAnsi" w:hAnsiTheme="minorHAnsi" w:cstheme="minorHAnsi"/>
          <w:color w:val="000000" w:themeColor="text1"/>
        </w:rPr>
        <w:t xml:space="preserve">provide useful platforms </w:t>
      </w:r>
      <w:r w:rsidR="005D066A" w:rsidRPr="007F69E4">
        <w:rPr>
          <w:rFonts w:asciiTheme="minorHAnsi" w:hAnsiTheme="minorHAnsi" w:cstheme="minorHAnsi"/>
          <w:color w:val="000000" w:themeColor="text1"/>
        </w:rPr>
        <w:t xml:space="preserve">for vaccine/drug efficacy testing in a truly </w:t>
      </w:r>
      <w:r w:rsidR="00164210" w:rsidRPr="00164210">
        <w:rPr>
          <w:rFonts w:asciiTheme="minorHAnsi" w:hAnsiTheme="minorHAnsi" w:cstheme="minorHAnsi"/>
          <w:color w:val="000000" w:themeColor="text1"/>
        </w:rPr>
        <w:t>in vivo</w:t>
      </w:r>
      <w:r w:rsidR="005D066A" w:rsidRPr="007F69E4">
        <w:rPr>
          <w:rFonts w:asciiTheme="minorHAnsi" w:hAnsiTheme="minorHAnsi" w:cstheme="minorHAnsi"/>
          <w:color w:val="000000" w:themeColor="text1"/>
        </w:rPr>
        <w:t xml:space="preserve"> setting.</w:t>
      </w:r>
      <w:r w:rsidR="00A25E57" w:rsidRPr="007F69E4">
        <w:rPr>
          <w:rFonts w:asciiTheme="minorHAnsi" w:hAnsiTheme="minorHAnsi" w:cstheme="minorHAnsi"/>
          <w:color w:val="000000" w:themeColor="text1"/>
        </w:rPr>
        <w:t xml:space="preserve"> Here, we provide an optimized protocol </w:t>
      </w:r>
      <w:r w:rsidR="007F0754" w:rsidRPr="007F69E4">
        <w:rPr>
          <w:rFonts w:asciiTheme="minorHAnsi" w:hAnsiTheme="minorHAnsi" w:cstheme="minorHAnsi"/>
          <w:color w:val="000000" w:themeColor="text1"/>
        </w:rPr>
        <w:t>for the examination of concomitant CTL responses against more than one peptide epitope of a model tumor antigen</w:t>
      </w:r>
      <w:r w:rsidR="00BA0A93" w:rsidRPr="007F69E4">
        <w:rPr>
          <w:rFonts w:asciiTheme="minorHAnsi" w:hAnsiTheme="minorHAnsi" w:cstheme="minorHAnsi"/>
          <w:color w:val="000000" w:themeColor="text1"/>
        </w:rPr>
        <w:t xml:space="preserve"> (Ag)</w:t>
      </w:r>
      <w:r w:rsidR="007F0754" w:rsidRPr="007F69E4">
        <w:rPr>
          <w:rFonts w:asciiTheme="minorHAnsi" w:hAnsiTheme="minorHAnsi" w:cstheme="minorHAnsi"/>
          <w:color w:val="000000" w:themeColor="text1"/>
        </w:rPr>
        <w:t>, namely</w:t>
      </w:r>
      <w:r w:rsidR="00164210">
        <w:rPr>
          <w:rFonts w:asciiTheme="minorHAnsi" w:hAnsiTheme="minorHAnsi" w:cstheme="minorHAnsi"/>
          <w:color w:val="000000" w:themeColor="text1"/>
        </w:rPr>
        <w:t>,</w:t>
      </w:r>
      <w:r w:rsidR="007F0754" w:rsidRPr="007F69E4">
        <w:rPr>
          <w:rFonts w:asciiTheme="minorHAnsi" w:hAnsiTheme="minorHAnsi" w:cstheme="minorHAnsi"/>
          <w:color w:val="000000" w:themeColor="text1"/>
        </w:rPr>
        <w:t xml:space="preserve"> simian virus 40 (SV40)-encod</w:t>
      </w:r>
      <w:r w:rsidR="00C1364A" w:rsidRPr="007F69E4">
        <w:rPr>
          <w:rFonts w:asciiTheme="minorHAnsi" w:hAnsiTheme="minorHAnsi" w:cstheme="minorHAnsi"/>
          <w:color w:val="000000" w:themeColor="text1"/>
        </w:rPr>
        <w:t>ed large T Ag</w:t>
      </w:r>
      <w:r w:rsidR="00BA0A93" w:rsidRPr="007F69E4">
        <w:rPr>
          <w:rFonts w:asciiTheme="minorHAnsi" w:hAnsiTheme="minorHAnsi" w:cstheme="minorHAnsi"/>
          <w:color w:val="000000" w:themeColor="text1"/>
        </w:rPr>
        <w:t xml:space="preserve"> (T Ag)</w:t>
      </w:r>
      <w:r w:rsidR="007F0754" w:rsidRPr="007F69E4">
        <w:rPr>
          <w:rFonts w:asciiTheme="minorHAnsi" w:hAnsiTheme="minorHAnsi" w:cstheme="minorHAnsi"/>
          <w:color w:val="000000" w:themeColor="text1"/>
        </w:rPr>
        <w:t xml:space="preserve">. </w:t>
      </w:r>
      <w:r w:rsidR="00BA0A93" w:rsidRPr="007F69E4">
        <w:rPr>
          <w:rFonts w:asciiTheme="minorHAnsi" w:hAnsiTheme="minorHAnsi" w:cstheme="minorHAnsi"/>
          <w:color w:val="000000" w:themeColor="text1"/>
        </w:rPr>
        <w:t xml:space="preserve">Like </w:t>
      </w:r>
      <w:r w:rsidR="00D00443" w:rsidRPr="007F69E4">
        <w:rPr>
          <w:rFonts w:asciiTheme="minorHAnsi" w:hAnsiTheme="minorHAnsi" w:cstheme="minorHAnsi"/>
          <w:color w:val="000000" w:themeColor="text1"/>
        </w:rPr>
        <w:t>most</w:t>
      </w:r>
      <w:r w:rsidR="00BA0A93" w:rsidRPr="007F69E4">
        <w:rPr>
          <w:rFonts w:asciiTheme="minorHAnsi" w:hAnsiTheme="minorHAnsi" w:cstheme="minorHAnsi"/>
          <w:color w:val="000000" w:themeColor="text1"/>
        </w:rPr>
        <w:t xml:space="preserve"> other clinically relevant t</w:t>
      </w:r>
      <w:r w:rsidR="00BA0A93" w:rsidRPr="007F69E4">
        <w:rPr>
          <w:rFonts w:asciiTheme="minorHAnsi" w:hAnsiTheme="minorHAnsi" w:cstheme="minorHAnsi"/>
        </w:rPr>
        <w:t xml:space="preserve">umor proteins, T Ag harbors many potentially immunogenic peptides. </w:t>
      </w:r>
      <w:r w:rsidR="00EA5DB8" w:rsidRPr="007F69E4">
        <w:rPr>
          <w:rFonts w:asciiTheme="minorHAnsi" w:hAnsiTheme="minorHAnsi" w:cstheme="minorHAnsi"/>
        </w:rPr>
        <w:t xml:space="preserve">However, only </w:t>
      </w:r>
      <w:r w:rsidR="00BA0A93" w:rsidRPr="007F69E4">
        <w:rPr>
          <w:rFonts w:asciiTheme="minorHAnsi" w:hAnsiTheme="minorHAnsi" w:cstheme="minorHAnsi"/>
        </w:rPr>
        <w:t xml:space="preserve">four </w:t>
      </w:r>
      <w:r w:rsidR="00EA5DB8" w:rsidRPr="007F69E4">
        <w:rPr>
          <w:rFonts w:asciiTheme="minorHAnsi" w:hAnsiTheme="minorHAnsi" w:cstheme="minorHAnsi"/>
        </w:rPr>
        <w:t xml:space="preserve">such </w:t>
      </w:r>
      <w:r w:rsidR="00BA0A93" w:rsidRPr="007F69E4">
        <w:rPr>
          <w:rFonts w:asciiTheme="minorHAnsi" w:hAnsiTheme="minorHAnsi" w:cstheme="minorHAnsi"/>
        </w:rPr>
        <w:t xml:space="preserve">peptides </w:t>
      </w:r>
      <w:r w:rsidR="00EA5DB8" w:rsidRPr="007F69E4">
        <w:rPr>
          <w:rFonts w:asciiTheme="minorHAnsi" w:hAnsiTheme="minorHAnsi" w:cstheme="minorHAnsi"/>
        </w:rPr>
        <w:t>induce detectable CTL responses</w:t>
      </w:r>
      <w:r w:rsidR="008D7F0A" w:rsidRPr="007F69E4">
        <w:rPr>
          <w:rFonts w:asciiTheme="minorHAnsi" w:hAnsiTheme="minorHAnsi" w:cstheme="minorHAnsi"/>
        </w:rPr>
        <w:t xml:space="preserve"> in C57BL/6 mice</w:t>
      </w:r>
      <w:r w:rsidR="00CC3403" w:rsidRPr="007F69E4">
        <w:rPr>
          <w:rFonts w:asciiTheme="minorHAnsi" w:hAnsiTheme="minorHAnsi" w:cstheme="minorHAnsi"/>
        </w:rPr>
        <w:t xml:space="preserve">. These responses are consistently arranged in a hierarchical order based on their magnitude, </w:t>
      </w:r>
      <w:r w:rsidR="00E94E30" w:rsidRPr="007F69E4">
        <w:rPr>
          <w:rFonts w:asciiTheme="minorHAnsi" w:hAnsiTheme="minorHAnsi" w:cstheme="minorHAnsi"/>
        </w:rPr>
        <w:t>which forms the basis for T</w:t>
      </w:r>
      <w:r w:rsidR="00E94E30" w:rsidRPr="007F69E4">
        <w:rPr>
          <w:rFonts w:asciiTheme="minorHAnsi" w:hAnsiTheme="minorHAnsi" w:cstheme="minorHAnsi"/>
          <w:vertAlign w:val="subscript"/>
        </w:rPr>
        <w:t>CD8</w:t>
      </w:r>
      <w:r w:rsidR="00E94E30" w:rsidRPr="007F69E4">
        <w:rPr>
          <w:rFonts w:asciiTheme="minorHAnsi" w:hAnsiTheme="minorHAnsi" w:cstheme="minorHAnsi"/>
        </w:rPr>
        <w:t xml:space="preserve"> “immunodominance” in this powerful system.</w:t>
      </w:r>
      <w:r w:rsidR="00164210">
        <w:rPr>
          <w:rFonts w:asciiTheme="minorHAnsi" w:hAnsiTheme="minorHAnsi" w:cstheme="minorHAnsi"/>
        </w:rPr>
        <w:t xml:space="preserve"> </w:t>
      </w:r>
      <w:r w:rsidR="008524E5" w:rsidRPr="007F69E4">
        <w:rPr>
          <w:rFonts w:asciiTheme="minorHAnsi" w:hAnsiTheme="minorHAnsi" w:cstheme="minorHAnsi"/>
        </w:rPr>
        <w:lastRenderedPageBreak/>
        <w:t xml:space="preserve">Accordingly, </w:t>
      </w:r>
      <w:r w:rsidR="00C1617A" w:rsidRPr="007F69E4">
        <w:rPr>
          <w:rFonts w:asciiTheme="minorHAnsi" w:hAnsiTheme="minorHAnsi" w:cstheme="minorHAnsi"/>
        </w:rPr>
        <w:t>the bulk of the T Ag-specific T</w:t>
      </w:r>
      <w:r w:rsidR="00C1617A" w:rsidRPr="007F69E4">
        <w:rPr>
          <w:rFonts w:asciiTheme="minorHAnsi" w:hAnsiTheme="minorHAnsi" w:cstheme="minorHAnsi"/>
          <w:vertAlign w:val="subscript"/>
        </w:rPr>
        <w:t xml:space="preserve">CD8 </w:t>
      </w:r>
      <w:r w:rsidR="00C1617A" w:rsidRPr="007F69E4">
        <w:rPr>
          <w:rFonts w:asciiTheme="minorHAnsi" w:hAnsiTheme="minorHAnsi" w:cstheme="minorHAnsi"/>
        </w:rPr>
        <w:t xml:space="preserve">response is focused against a single immunodominant </w:t>
      </w:r>
      <w:r w:rsidR="005435FF" w:rsidRPr="007F69E4">
        <w:rPr>
          <w:rFonts w:asciiTheme="minorHAnsi" w:hAnsiTheme="minorHAnsi" w:cstheme="minorHAnsi"/>
        </w:rPr>
        <w:t>epitope</w:t>
      </w:r>
      <w:r w:rsidR="00C1617A" w:rsidRPr="007F69E4">
        <w:rPr>
          <w:rFonts w:asciiTheme="minorHAnsi" w:hAnsiTheme="minorHAnsi" w:cstheme="minorHAnsi"/>
        </w:rPr>
        <w:t xml:space="preserve"> while the other three epitopes are recognized and responded to only weakly. </w:t>
      </w:r>
      <w:r w:rsidR="00E94E30" w:rsidRPr="007F69E4">
        <w:rPr>
          <w:rFonts w:asciiTheme="minorHAnsi" w:hAnsiTheme="minorHAnsi" w:cstheme="minorHAnsi"/>
        </w:rPr>
        <w:t>I</w:t>
      </w:r>
      <w:r w:rsidR="00CC3403" w:rsidRPr="007F69E4">
        <w:rPr>
          <w:rFonts w:asciiTheme="minorHAnsi" w:hAnsiTheme="minorHAnsi" w:cstheme="minorHAnsi"/>
        </w:rPr>
        <w:t>m</w:t>
      </w:r>
      <w:r w:rsidR="00C1617A" w:rsidRPr="007F69E4">
        <w:rPr>
          <w:rFonts w:asciiTheme="minorHAnsi" w:hAnsiTheme="minorHAnsi" w:cstheme="minorHAnsi"/>
        </w:rPr>
        <w:t>m</w:t>
      </w:r>
      <w:r w:rsidR="00CC3403" w:rsidRPr="007F69E4">
        <w:rPr>
          <w:rFonts w:asciiTheme="minorHAnsi" w:hAnsiTheme="minorHAnsi" w:cstheme="minorHAnsi"/>
        </w:rPr>
        <w:t xml:space="preserve">unodominance </w:t>
      </w:r>
      <w:r w:rsidR="00C1617A" w:rsidRPr="007F69E4">
        <w:rPr>
          <w:rFonts w:asciiTheme="minorHAnsi" w:hAnsiTheme="minorHAnsi" w:cstheme="minorHAnsi"/>
        </w:rPr>
        <w:t>compromises the breadth of antitumor T</w:t>
      </w:r>
      <w:r w:rsidR="00C1617A" w:rsidRPr="007F69E4">
        <w:rPr>
          <w:rFonts w:asciiTheme="minorHAnsi" w:hAnsiTheme="minorHAnsi" w:cstheme="minorHAnsi"/>
          <w:vertAlign w:val="subscript"/>
        </w:rPr>
        <w:t>CD8</w:t>
      </w:r>
      <w:r w:rsidR="00C1617A" w:rsidRPr="007F69E4">
        <w:rPr>
          <w:rFonts w:asciiTheme="minorHAnsi" w:hAnsiTheme="minorHAnsi" w:cstheme="minorHAnsi"/>
        </w:rPr>
        <w:t xml:space="preserve"> responses and </w:t>
      </w:r>
      <w:r w:rsidR="00CC3403" w:rsidRPr="007F69E4">
        <w:rPr>
          <w:rFonts w:asciiTheme="minorHAnsi" w:hAnsiTheme="minorHAnsi" w:cstheme="minorHAnsi"/>
        </w:rPr>
        <w:t>is</w:t>
      </w:r>
      <w:r w:rsidR="00C1617A" w:rsidRPr="007F69E4">
        <w:rPr>
          <w:rFonts w:asciiTheme="minorHAnsi" w:hAnsiTheme="minorHAnsi" w:cstheme="minorHAnsi"/>
        </w:rPr>
        <w:t>, as such,</w:t>
      </w:r>
      <w:r w:rsidR="00CC3403" w:rsidRPr="007F69E4">
        <w:rPr>
          <w:rFonts w:asciiTheme="minorHAnsi" w:hAnsiTheme="minorHAnsi" w:cstheme="minorHAnsi"/>
        </w:rPr>
        <w:t xml:space="preserve"> considered by many as an impediment to successful vaccination </w:t>
      </w:r>
      <w:r w:rsidR="001F6116" w:rsidRPr="007F69E4">
        <w:rPr>
          <w:rFonts w:asciiTheme="minorHAnsi" w:hAnsiTheme="minorHAnsi" w:cstheme="minorHAnsi"/>
        </w:rPr>
        <w:t>against cancer. Therefore, it is important to understand the cellular and molecular factors and mechanisms that dictate or shape T</w:t>
      </w:r>
      <w:r w:rsidR="001F6116" w:rsidRPr="007F69E4">
        <w:rPr>
          <w:rFonts w:asciiTheme="minorHAnsi" w:hAnsiTheme="minorHAnsi" w:cstheme="minorHAnsi"/>
          <w:vertAlign w:val="subscript"/>
        </w:rPr>
        <w:t>CD8</w:t>
      </w:r>
      <w:r w:rsidR="00824C46" w:rsidRPr="007F69E4">
        <w:rPr>
          <w:rFonts w:asciiTheme="minorHAnsi" w:hAnsiTheme="minorHAnsi" w:cstheme="minorHAnsi"/>
        </w:rPr>
        <w:t xml:space="preserve"> immunodominan</w:t>
      </w:r>
      <w:r w:rsidR="001F6116" w:rsidRPr="007F69E4">
        <w:rPr>
          <w:rFonts w:asciiTheme="minorHAnsi" w:hAnsiTheme="minorHAnsi" w:cstheme="minorHAnsi"/>
        </w:rPr>
        <w:t xml:space="preserve">ce. </w:t>
      </w:r>
      <w:r w:rsidR="008D7F0A" w:rsidRPr="007F69E4">
        <w:rPr>
          <w:rFonts w:asciiTheme="minorHAnsi" w:hAnsiTheme="minorHAnsi" w:cstheme="minorHAnsi"/>
        </w:rPr>
        <w:t>The p</w:t>
      </w:r>
      <w:r w:rsidR="00C30CB7" w:rsidRPr="007F69E4">
        <w:rPr>
          <w:rFonts w:asciiTheme="minorHAnsi" w:hAnsiTheme="minorHAnsi" w:cstheme="minorHAnsi"/>
        </w:rPr>
        <w:t xml:space="preserve">rotocol we describe </w:t>
      </w:r>
      <w:r w:rsidR="008D7F0A" w:rsidRPr="007F69E4">
        <w:rPr>
          <w:rFonts w:asciiTheme="minorHAnsi" w:hAnsiTheme="minorHAnsi" w:cstheme="minorHAnsi"/>
        </w:rPr>
        <w:t xml:space="preserve">here is tailored to the investigation of </w:t>
      </w:r>
      <w:r w:rsidR="005435FF" w:rsidRPr="007F69E4">
        <w:rPr>
          <w:rFonts w:asciiTheme="minorHAnsi" w:hAnsiTheme="minorHAnsi" w:cstheme="minorHAnsi"/>
        </w:rPr>
        <w:t xml:space="preserve">this phenomenon </w:t>
      </w:r>
      <w:r w:rsidR="008D7F0A" w:rsidRPr="007F69E4">
        <w:rPr>
          <w:rFonts w:asciiTheme="minorHAnsi" w:hAnsiTheme="minorHAnsi" w:cstheme="minorHAnsi"/>
        </w:rPr>
        <w:t xml:space="preserve">in the T Ag immunization </w:t>
      </w:r>
      <w:r w:rsidR="00824C46" w:rsidRPr="007F69E4">
        <w:rPr>
          <w:rFonts w:asciiTheme="minorHAnsi" w:hAnsiTheme="minorHAnsi" w:cstheme="minorHAnsi"/>
        </w:rPr>
        <w:t>model, but can be readily modified</w:t>
      </w:r>
      <w:r w:rsidR="008D7F0A" w:rsidRPr="007F69E4">
        <w:rPr>
          <w:rFonts w:asciiTheme="minorHAnsi" w:hAnsiTheme="minorHAnsi" w:cstheme="minorHAnsi"/>
        </w:rPr>
        <w:t xml:space="preserve"> </w:t>
      </w:r>
      <w:r w:rsidR="005435FF" w:rsidRPr="007F69E4">
        <w:rPr>
          <w:rFonts w:asciiTheme="minorHAnsi" w:hAnsiTheme="minorHAnsi" w:cstheme="minorHAnsi"/>
        </w:rPr>
        <w:t xml:space="preserve">and extended </w:t>
      </w:r>
      <w:r w:rsidR="008D7F0A" w:rsidRPr="007F69E4">
        <w:rPr>
          <w:rFonts w:asciiTheme="minorHAnsi" w:hAnsiTheme="minorHAnsi" w:cstheme="minorHAnsi"/>
        </w:rPr>
        <w:t xml:space="preserve">to </w:t>
      </w:r>
      <w:r w:rsidR="005435FF" w:rsidRPr="007F69E4">
        <w:rPr>
          <w:rFonts w:asciiTheme="minorHAnsi" w:hAnsiTheme="minorHAnsi" w:cstheme="minorHAnsi"/>
        </w:rPr>
        <w:t xml:space="preserve">similar studies </w:t>
      </w:r>
      <w:r w:rsidR="00824C46" w:rsidRPr="007F69E4">
        <w:rPr>
          <w:rFonts w:asciiTheme="minorHAnsi" w:hAnsiTheme="minorHAnsi" w:cstheme="minorHAnsi"/>
        </w:rPr>
        <w:t xml:space="preserve">in </w:t>
      </w:r>
      <w:r w:rsidR="008D7F0A" w:rsidRPr="007F69E4">
        <w:rPr>
          <w:rFonts w:asciiTheme="minorHAnsi" w:hAnsiTheme="minorHAnsi" w:cstheme="minorHAnsi"/>
        </w:rPr>
        <w:t xml:space="preserve">other tumor </w:t>
      </w:r>
      <w:r w:rsidR="00824C46" w:rsidRPr="007F69E4">
        <w:rPr>
          <w:rFonts w:asciiTheme="minorHAnsi" w:hAnsiTheme="minorHAnsi" w:cstheme="minorHAnsi"/>
        </w:rPr>
        <w:t>models</w:t>
      </w:r>
      <w:r w:rsidR="008D7F0A" w:rsidRPr="007F69E4">
        <w:rPr>
          <w:rFonts w:asciiTheme="minorHAnsi" w:hAnsiTheme="minorHAnsi" w:cstheme="minorHAnsi"/>
        </w:rPr>
        <w:t xml:space="preserve">. We provide examples of how the impact of experimental immunotherapeutic interventions can be measured using </w:t>
      </w:r>
      <w:r w:rsidR="00164210" w:rsidRPr="00164210">
        <w:rPr>
          <w:rFonts w:asciiTheme="minorHAnsi" w:hAnsiTheme="minorHAnsi" w:cstheme="minorHAnsi"/>
        </w:rPr>
        <w:t>in vivo</w:t>
      </w:r>
      <w:r w:rsidR="008D7F0A" w:rsidRPr="007F69E4">
        <w:rPr>
          <w:rFonts w:asciiTheme="minorHAnsi" w:hAnsiTheme="minorHAnsi" w:cstheme="minorHAnsi"/>
        </w:rPr>
        <w:t xml:space="preserve"> cytotoxicity assays. </w:t>
      </w:r>
      <w:r w:rsidR="00BA0A93" w:rsidRPr="007F69E4">
        <w:rPr>
          <w:rFonts w:asciiTheme="minorHAnsi" w:hAnsiTheme="minorHAnsi" w:cstheme="minorHAnsi"/>
          <w:color w:val="000000" w:themeColor="text1"/>
        </w:rPr>
        <w:t xml:space="preserve"> </w:t>
      </w:r>
      <w:r w:rsidR="007F0754" w:rsidRPr="007F69E4">
        <w:rPr>
          <w:rFonts w:asciiTheme="minorHAnsi" w:hAnsiTheme="minorHAnsi" w:cstheme="minorHAnsi"/>
          <w:color w:val="000000" w:themeColor="text1"/>
        </w:rPr>
        <w:t xml:space="preserve"> </w:t>
      </w:r>
      <w:r w:rsidR="00A25E57" w:rsidRPr="007F69E4">
        <w:rPr>
          <w:rFonts w:asciiTheme="minorHAnsi" w:hAnsiTheme="minorHAnsi" w:cstheme="minorHAnsi"/>
          <w:color w:val="000000" w:themeColor="text1"/>
        </w:rPr>
        <w:t xml:space="preserve"> </w:t>
      </w:r>
      <w:r w:rsidR="005D066A" w:rsidRPr="007F69E4">
        <w:rPr>
          <w:rFonts w:asciiTheme="minorHAnsi" w:hAnsiTheme="minorHAnsi" w:cstheme="minorHAnsi"/>
          <w:color w:val="000000" w:themeColor="text1"/>
        </w:rPr>
        <w:t xml:space="preserve"> </w:t>
      </w:r>
    </w:p>
    <w:p w14:paraId="17F086D0" w14:textId="77777777" w:rsidR="00FD0F1C" w:rsidRPr="007F69E4" w:rsidRDefault="00FD0F1C" w:rsidP="00655DD5">
      <w:pPr>
        <w:rPr>
          <w:rFonts w:asciiTheme="minorHAnsi" w:hAnsiTheme="minorHAnsi" w:cstheme="minorHAnsi"/>
          <w:bCs/>
        </w:rPr>
      </w:pPr>
    </w:p>
    <w:bookmarkEnd w:id="0"/>
    <w:p w14:paraId="593FF8EB" w14:textId="77777777" w:rsidR="00016D51" w:rsidRPr="007F69E4" w:rsidRDefault="00016D51" w:rsidP="00655DD5">
      <w:pPr>
        <w:rPr>
          <w:rFonts w:asciiTheme="minorHAnsi" w:hAnsiTheme="minorHAnsi" w:cstheme="minorHAnsi"/>
          <w:color w:val="808080"/>
        </w:rPr>
      </w:pPr>
      <w:r w:rsidRPr="007F69E4">
        <w:rPr>
          <w:rFonts w:asciiTheme="minorHAnsi" w:hAnsiTheme="minorHAnsi" w:cstheme="minorHAnsi"/>
          <w:b/>
        </w:rPr>
        <w:t>INTRODUCTION</w:t>
      </w:r>
      <w:r w:rsidRPr="007F69E4">
        <w:rPr>
          <w:rFonts w:asciiTheme="minorHAnsi" w:hAnsiTheme="minorHAnsi" w:cstheme="minorHAnsi"/>
          <w:b/>
          <w:bCs/>
        </w:rPr>
        <w:t>:</w:t>
      </w:r>
      <w:r w:rsidRPr="007F69E4">
        <w:rPr>
          <w:rFonts w:asciiTheme="minorHAnsi" w:hAnsiTheme="minorHAnsi" w:cstheme="minorHAnsi"/>
        </w:rPr>
        <w:t xml:space="preserve"> </w:t>
      </w:r>
    </w:p>
    <w:p w14:paraId="7556F7C9" w14:textId="7F61B1F7" w:rsidR="00016D51" w:rsidRPr="007F69E4" w:rsidRDefault="00016D51" w:rsidP="00655DD5">
      <w:pPr>
        <w:rPr>
          <w:rFonts w:asciiTheme="minorHAnsi" w:hAnsiTheme="minorHAnsi" w:cstheme="minorHAnsi"/>
        </w:rPr>
      </w:pPr>
      <w:r w:rsidRPr="007F69E4">
        <w:rPr>
          <w:rFonts w:asciiTheme="minorHAnsi" w:hAnsiTheme="minorHAnsi" w:cstheme="minorHAnsi"/>
        </w:rPr>
        <w:t>Conventional CD8</w:t>
      </w:r>
      <w:r w:rsidRPr="007F69E4">
        <w:rPr>
          <w:rFonts w:asciiTheme="minorHAnsi" w:hAnsiTheme="minorHAnsi" w:cstheme="minorHAnsi"/>
          <w:vertAlign w:val="superscript"/>
        </w:rPr>
        <w:t>+</w:t>
      </w:r>
      <w:r w:rsidRPr="007F69E4">
        <w:rPr>
          <w:rFonts w:asciiTheme="minorHAnsi" w:hAnsiTheme="minorHAnsi" w:cstheme="minorHAnsi"/>
        </w:rPr>
        <w:t xml:space="preserve"> T cells (T</w:t>
      </w:r>
      <w:r w:rsidRPr="007F69E4">
        <w:rPr>
          <w:rFonts w:asciiTheme="minorHAnsi" w:hAnsiTheme="minorHAnsi" w:cstheme="minorHAnsi"/>
          <w:vertAlign w:val="subscript"/>
        </w:rPr>
        <w:t>CD8</w:t>
      </w:r>
      <w:r w:rsidRPr="007F69E4">
        <w:rPr>
          <w:rFonts w:asciiTheme="minorHAnsi" w:hAnsiTheme="minorHAnsi" w:cstheme="minorHAnsi"/>
        </w:rPr>
        <w:t>) play important parts in anticancer immune surveillance. They primarily funct</w:t>
      </w:r>
      <w:r w:rsidR="009A371D" w:rsidRPr="007F69E4">
        <w:rPr>
          <w:rFonts w:asciiTheme="minorHAnsi" w:hAnsiTheme="minorHAnsi" w:cstheme="minorHAnsi"/>
        </w:rPr>
        <w:t>ion in the capacity of cytolytic</w:t>
      </w:r>
      <w:r w:rsidRPr="007F69E4">
        <w:rPr>
          <w:rFonts w:asciiTheme="minorHAnsi" w:hAnsiTheme="minorHAnsi" w:cstheme="minorHAnsi"/>
        </w:rPr>
        <w:t xml:space="preserve"> T lymphocytes (CTLs) that recognize tumor-specific or -associated peptide antigens (Ags) displayed within the close</w:t>
      </w:r>
      <w:r w:rsidR="00175472" w:rsidRPr="007F69E4">
        <w:rPr>
          <w:rFonts w:asciiTheme="minorHAnsi" w:hAnsiTheme="minorHAnsi" w:cstheme="minorHAnsi"/>
        </w:rPr>
        <w:t>d</w:t>
      </w:r>
      <w:r w:rsidRPr="007F69E4">
        <w:rPr>
          <w:rFonts w:asciiTheme="minorHAnsi" w:hAnsiTheme="minorHAnsi" w:cstheme="minorHAnsi"/>
        </w:rPr>
        <w:t xml:space="preserve"> cleft of major histocompatibility complex (MHC) class I molecules. Fully ar</w:t>
      </w:r>
      <w:r w:rsidR="000B628E" w:rsidRPr="007F69E4">
        <w:rPr>
          <w:rFonts w:asciiTheme="minorHAnsi" w:hAnsiTheme="minorHAnsi" w:cstheme="minorHAnsi"/>
        </w:rPr>
        <w:t>med CTLs utilize their cytotoxic</w:t>
      </w:r>
      <w:r w:rsidRPr="007F69E4">
        <w:rPr>
          <w:rFonts w:asciiTheme="minorHAnsi" w:hAnsiTheme="minorHAnsi" w:cstheme="minorHAnsi"/>
        </w:rPr>
        <w:t xml:space="preserve"> arsenal to destroy malignant cells. Anticancer T</w:t>
      </w:r>
      <w:r w:rsidRPr="007F69E4">
        <w:rPr>
          <w:rFonts w:asciiTheme="minorHAnsi" w:hAnsiTheme="minorHAnsi" w:cstheme="minorHAnsi"/>
          <w:vertAlign w:val="subscript"/>
        </w:rPr>
        <w:t>CD8</w:t>
      </w:r>
      <w:r w:rsidRPr="007F69E4">
        <w:rPr>
          <w:rFonts w:asciiTheme="minorHAnsi" w:hAnsiTheme="minorHAnsi" w:cstheme="minorHAnsi"/>
        </w:rPr>
        <w:t xml:space="preserve"> can be detected in the circulation or even inside primary and metastatic masses of many cancer patients and tumor-bearing animals. However, they are often anergic or exhausted and fail to eradicate cancer. Therefore, many immunotherapeutic modalities are designed to increase anticancer T</w:t>
      </w:r>
      <w:r w:rsidRPr="007F69E4">
        <w:rPr>
          <w:rFonts w:asciiTheme="minorHAnsi" w:hAnsiTheme="minorHAnsi" w:cstheme="minorHAnsi"/>
          <w:vertAlign w:val="subscript"/>
        </w:rPr>
        <w:t>CD8</w:t>
      </w:r>
      <w:r w:rsidRPr="007F69E4">
        <w:rPr>
          <w:rFonts w:asciiTheme="minorHAnsi" w:hAnsiTheme="minorHAnsi" w:cstheme="minorHAnsi"/>
        </w:rPr>
        <w:t xml:space="preserve"> frequencies and to restore and boost their functions.</w:t>
      </w:r>
    </w:p>
    <w:p w14:paraId="246CBF40" w14:textId="77777777" w:rsidR="00016D51" w:rsidRPr="007F69E4" w:rsidRDefault="00016D51" w:rsidP="00655DD5">
      <w:pPr>
        <w:rPr>
          <w:rFonts w:asciiTheme="minorHAnsi" w:hAnsiTheme="minorHAnsi" w:cstheme="minorHAnsi"/>
        </w:rPr>
      </w:pPr>
    </w:p>
    <w:p w14:paraId="7AF1BD02" w14:textId="56748B51" w:rsidR="00016D51" w:rsidRPr="007F69E4" w:rsidRDefault="00016D51" w:rsidP="00655DD5">
      <w:pPr>
        <w:rPr>
          <w:rFonts w:asciiTheme="minorHAnsi" w:hAnsiTheme="minorHAnsi" w:cstheme="minorHAnsi"/>
        </w:rPr>
      </w:pPr>
      <w:r w:rsidRPr="007F69E4">
        <w:rPr>
          <w:rFonts w:asciiTheme="minorHAnsi" w:hAnsiTheme="minorHAnsi" w:cstheme="minorHAnsi"/>
        </w:rPr>
        <w:t>Tumor proteins harbor many peptides, some of which can be immunogenic and potentially immunoprotective. However, quantifiable T</w:t>
      </w:r>
      <w:r w:rsidRPr="007F69E4">
        <w:rPr>
          <w:rFonts w:asciiTheme="minorHAnsi" w:hAnsiTheme="minorHAnsi" w:cstheme="minorHAnsi"/>
          <w:vertAlign w:val="subscript"/>
        </w:rPr>
        <w:t>CD8</w:t>
      </w:r>
      <w:r w:rsidRPr="007F69E4">
        <w:rPr>
          <w:rFonts w:asciiTheme="minorHAnsi" w:hAnsiTheme="minorHAnsi" w:cstheme="minorHAnsi"/>
        </w:rPr>
        <w:t xml:space="preserve"> responses are elicited with varying magnitudes against few peptides only. This creates an “immunodominance hierarchy” among T</w:t>
      </w:r>
      <w:r w:rsidRPr="007F69E4">
        <w:rPr>
          <w:rFonts w:asciiTheme="minorHAnsi" w:hAnsiTheme="minorHAnsi" w:cstheme="minorHAnsi"/>
          <w:vertAlign w:val="subscript"/>
        </w:rPr>
        <w:t>CD8</w:t>
      </w:r>
      <w:r w:rsidRPr="007F69E4">
        <w:rPr>
          <w:rFonts w:asciiTheme="minorHAnsi" w:hAnsiTheme="minorHAnsi" w:cstheme="minorHAnsi"/>
        </w:rPr>
        <w:t xml:space="preserve"> clones</w:t>
      </w:r>
      <w:r w:rsidRPr="007F69E4">
        <w:rPr>
          <w:rFonts w:asciiTheme="minorHAnsi" w:hAnsiTheme="minorHAnsi" w:cstheme="minorHAnsi"/>
          <w:noProof/>
          <w:vertAlign w:val="superscript"/>
        </w:rPr>
        <w:t>1</w:t>
      </w:r>
      <w:r w:rsidRPr="007F69E4">
        <w:rPr>
          <w:rFonts w:asciiTheme="minorHAnsi" w:hAnsiTheme="minorHAnsi" w:cstheme="minorHAnsi"/>
        </w:rPr>
        <w:t>. Accordingly, immunodominant (ID) T</w:t>
      </w:r>
      <w:r w:rsidRPr="007F69E4">
        <w:rPr>
          <w:rFonts w:asciiTheme="minorHAnsi" w:hAnsiTheme="minorHAnsi" w:cstheme="minorHAnsi"/>
          <w:vertAlign w:val="subscript"/>
        </w:rPr>
        <w:t>CD8</w:t>
      </w:r>
      <w:r w:rsidRPr="007F69E4">
        <w:rPr>
          <w:rFonts w:asciiTheme="minorHAnsi" w:hAnsiTheme="minorHAnsi" w:cstheme="minorHAnsi"/>
        </w:rPr>
        <w:t xml:space="preserve"> occupy prominent hierarchical ranks, which is commonly judged by their abundance. In contrast, T</w:t>
      </w:r>
      <w:r w:rsidRPr="007F69E4">
        <w:rPr>
          <w:rFonts w:asciiTheme="minorHAnsi" w:hAnsiTheme="minorHAnsi" w:cstheme="minorHAnsi"/>
          <w:vertAlign w:val="subscript"/>
        </w:rPr>
        <w:t>CD8</w:t>
      </w:r>
      <w:r w:rsidRPr="007F69E4">
        <w:rPr>
          <w:rFonts w:asciiTheme="minorHAnsi" w:hAnsiTheme="minorHAnsi" w:cstheme="minorHAnsi"/>
        </w:rPr>
        <w:t xml:space="preserve"> </w:t>
      </w:r>
      <w:r w:rsidR="00FD1FF4">
        <w:rPr>
          <w:rFonts w:asciiTheme="minorHAnsi" w:hAnsiTheme="minorHAnsi" w:cstheme="minorHAnsi"/>
        </w:rPr>
        <w:t xml:space="preserve">cells </w:t>
      </w:r>
      <w:r w:rsidRPr="007F69E4">
        <w:rPr>
          <w:rFonts w:asciiTheme="minorHAnsi" w:hAnsiTheme="minorHAnsi" w:cstheme="minorHAnsi"/>
        </w:rPr>
        <w:t>whose T cell receptor (TCR) is specific for subdominant (SD) epitopes occur in lower frequencies. We and others have identified some of the factors that dictate or shape immunodominance in T</w:t>
      </w:r>
      <w:r w:rsidRPr="007F69E4">
        <w:rPr>
          <w:rFonts w:asciiTheme="minorHAnsi" w:hAnsiTheme="minorHAnsi" w:cstheme="minorHAnsi"/>
          <w:vertAlign w:val="subscript"/>
        </w:rPr>
        <w:t xml:space="preserve">CD8 </w:t>
      </w:r>
      <w:r w:rsidRPr="007F69E4">
        <w:rPr>
          <w:rFonts w:asciiTheme="minorHAnsi" w:hAnsiTheme="minorHAnsi" w:cstheme="minorHAnsi"/>
        </w:rPr>
        <w:t>responses. These include, among others, the mode of Ag presentation to naïve T</w:t>
      </w:r>
      <w:r w:rsidRPr="007F69E4">
        <w:rPr>
          <w:rFonts w:asciiTheme="minorHAnsi" w:hAnsiTheme="minorHAnsi" w:cstheme="minorHAnsi"/>
          <w:vertAlign w:val="subscript"/>
        </w:rPr>
        <w:t>CD8</w:t>
      </w:r>
      <w:r w:rsidRPr="007F69E4">
        <w:rPr>
          <w:rFonts w:asciiTheme="minorHAnsi" w:hAnsiTheme="minorHAnsi" w:cstheme="minorHAnsi"/>
        </w:rPr>
        <w:t xml:space="preserve"> (</w:t>
      </w:r>
      <w:r w:rsidRPr="0038021A">
        <w:rPr>
          <w:rFonts w:asciiTheme="minorHAnsi" w:hAnsiTheme="minorHAnsi" w:cstheme="minorHAnsi"/>
        </w:rPr>
        <w:t>i.e.,</w:t>
      </w:r>
      <w:r w:rsidRPr="007F69E4">
        <w:rPr>
          <w:rFonts w:asciiTheme="minorHAnsi" w:hAnsiTheme="minorHAnsi" w:cstheme="minorHAnsi"/>
        </w:rPr>
        <w:t xml:space="preserve"> direct presentation, cross-presentation, cross-dressing)</w:t>
      </w:r>
      <w:r w:rsidRPr="007F69E4">
        <w:rPr>
          <w:rFonts w:asciiTheme="minorHAnsi" w:hAnsiTheme="minorHAnsi" w:cstheme="minorHAnsi"/>
          <w:noProof/>
          <w:vertAlign w:val="superscript"/>
        </w:rPr>
        <w:t>2-4</w:t>
      </w:r>
      <w:hyperlink w:anchor="_ENREF_3" w:tooltip="Otahal, 2005 #3" w:history="1"/>
      <w:hyperlink w:anchor="_ENREF_4" w:tooltip="Lauron, 2018 #4" w:history="1"/>
      <w:r w:rsidRPr="007F69E4">
        <w:rPr>
          <w:rFonts w:asciiTheme="minorHAnsi" w:hAnsiTheme="minorHAnsi" w:cstheme="minorHAnsi"/>
        </w:rPr>
        <w:t>, the type of Ag-presenting cells (APCs) participating in T</w:t>
      </w:r>
      <w:r w:rsidRPr="007F69E4">
        <w:rPr>
          <w:rFonts w:asciiTheme="minorHAnsi" w:hAnsiTheme="minorHAnsi" w:cstheme="minorHAnsi"/>
          <w:vertAlign w:val="subscript"/>
        </w:rPr>
        <w:t>CD8</w:t>
      </w:r>
      <w:r w:rsidRPr="007F69E4">
        <w:rPr>
          <w:rFonts w:asciiTheme="minorHAnsi" w:hAnsiTheme="minorHAnsi" w:cstheme="minorHAnsi"/>
        </w:rPr>
        <w:t xml:space="preserve"> activation</w:t>
      </w:r>
      <w:r w:rsidRPr="007F69E4">
        <w:rPr>
          <w:rFonts w:asciiTheme="minorHAnsi" w:hAnsiTheme="minorHAnsi" w:cstheme="minorHAnsi"/>
          <w:noProof/>
          <w:vertAlign w:val="superscript"/>
        </w:rPr>
        <w:t>5</w:t>
      </w:r>
      <w:r w:rsidRPr="007F69E4">
        <w:rPr>
          <w:rFonts w:asciiTheme="minorHAnsi" w:hAnsiTheme="minorHAnsi" w:cstheme="minorHAnsi"/>
        </w:rPr>
        <w:t>, the abundance and stability of protein Ags</w:t>
      </w:r>
      <w:r w:rsidRPr="007F69E4">
        <w:rPr>
          <w:rFonts w:asciiTheme="minorHAnsi" w:hAnsiTheme="minorHAnsi" w:cstheme="minorHAnsi"/>
          <w:noProof/>
          <w:vertAlign w:val="superscript"/>
        </w:rPr>
        <w:t>6,7</w:t>
      </w:r>
      <w:hyperlink w:anchor="_ENREF_7" w:tooltip="Gileadi, 1999 #7" w:history="1"/>
      <w:r w:rsidRPr="007F69E4">
        <w:rPr>
          <w:rFonts w:asciiTheme="minorHAnsi" w:hAnsiTheme="minorHAnsi" w:cstheme="minorHAnsi"/>
        </w:rPr>
        <w:t xml:space="preserve"> and the efficiency and kinetics of their degradation by proteasomes</w:t>
      </w:r>
      <w:r w:rsidRPr="007F69E4">
        <w:rPr>
          <w:rFonts w:asciiTheme="minorHAnsi" w:hAnsiTheme="minorHAnsi" w:cstheme="minorHAnsi"/>
          <w:noProof/>
          <w:vertAlign w:val="superscript"/>
        </w:rPr>
        <w:t>7,8</w:t>
      </w:r>
      <w:hyperlink w:anchor="_ENREF_8" w:tooltip="Zanker, 2013 #9" w:history="1"/>
      <w:r w:rsidRPr="007F69E4">
        <w:rPr>
          <w:rFonts w:asciiTheme="minorHAnsi" w:hAnsiTheme="minorHAnsi" w:cstheme="minorHAnsi"/>
        </w:rPr>
        <w:t>, the relative selectivity of transporter associated with Ag processing (TAP) for peptides</w:t>
      </w:r>
      <w:r w:rsidRPr="007F69E4">
        <w:rPr>
          <w:rFonts w:asciiTheme="minorHAnsi" w:hAnsiTheme="minorHAnsi" w:cstheme="minorHAnsi"/>
          <w:noProof/>
          <w:vertAlign w:val="superscript"/>
        </w:rPr>
        <w:t>9</w:t>
      </w:r>
      <w:r w:rsidRPr="007F69E4">
        <w:rPr>
          <w:rFonts w:asciiTheme="minorHAnsi" w:hAnsiTheme="minorHAnsi" w:cstheme="minorHAnsi"/>
        </w:rPr>
        <w:t>, the affinity of liberated peptides for MHC I molecules</w:t>
      </w:r>
      <w:r w:rsidRPr="007F69E4">
        <w:rPr>
          <w:rFonts w:asciiTheme="minorHAnsi" w:hAnsiTheme="minorHAnsi" w:cstheme="minorHAnsi"/>
          <w:noProof/>
          <w:vertAlign w:val="superscript"/>
        </w:rPr>
        <w:t>9,10</w:t>
      </w:r>
      <w:hyperlink w:anchor="_ENREF_10" w:tooltip="Chen, 1994 #11" w:history="1"/>
      <w:r w:rsidRPr="007F69E4">
        <w:rPr>
          <w:rFonts w:asciiTheme="minorHAnsi" w:hAnsiTheme="minorHAnsi" w:cstheme="minorHAnsi"/>
        </w:rPr>
        <w:t>, the presence, precursor frequencies and TCR diversity of cognate T</w:t>
      </w:r>
      <w:r w:rsidRPr="007F69E4">
        <w:rPr>
          <w:rFonts w:asciiTheme="minorHAnsi" w:hAnsiTheme="minorHAnsi" w:cstheme="minorHAnsi"/>
          <w:vertAlign w:val="subscript"/>
        </w:rPr>
        <w:t>CD8</w:t>
      </w:r>
      <w:r w:rsidRPr="007F69E4">
        <w:rPr>
          <w:rFonts w:asciiTheme="minorHAnsi" w:hAnsiTheme="minorHAnsi" w:cstheme="minorHAnsi"/>
        </w:rPr>
        <w:t xml:space="preserve"> in T cell pools</w:t>
      </w:r>
      <w:r w:rsidRPr="007F69E4">
        <w:rPr>
          <w:rFonts w:asciiTheme="minorHAnsi" w:hAnsiTheme="minorHAnsi" w:cstheme="minorHAnsi"/>
          <w:noProof/>
          <w:vertAlign w:val="superscript"/>
        </w:rPr>
        <w:t>11-13</w:t>
      </w:r>
      <w:hyperlink w:anchor="_ENREF_12" w:tooltip="Haeryfar, 2008 #13" w:history="1"/>
      <w:hyperlink w:anchor="_ENREF_13" w:tooltip="Leon-Ponte, 2008 #14" w:history="1"/>
      <w:r w:rsidRPr="007F69E4">
        <w:rPr>
          <w:rFonts w:asciiTheme="minorHAnsi" w:hAnsiTheme="minorHAnsi" w:cstheme="minorHAnsi"/>
        </w:rPr>
        <w:t>, cross-competition among T cells for access to APCs</w:t>
      </w:r>
      <w:r w:rsidRPr="007F69E4">
        <w:rPr>
          <w:rFonts w:asciiTheme="minorHAnsi" w:hAnsiTheme="minorHAnsi" w:cstheme="minorHAnsi"/>
          <w:noProof/>
          <w:vertAlign w:val="superscript"/>
        </w:rPr>
        <w:t>14,15</w:t>
      </w:r>
      <w:hyperlink w:anchor="_ENREF_15" w:tooltip="Kastenmuller, 2007 #16" w:history="1"/>
      <w:r w:rsidRPr="007F69E4">
        <w:rPr>
          <w:rFonts w:asciiTheme="minorHAnsi" w:hAnsiTheme="minorHAnsi" w:cstheme="minorHAnsi"/>
        </w:rPr>
        <w:t>, and the fratricidal capacity of T</w:t>
      </w:r>
      <w:r w:rsidRPr="007F69E4">
        <w:rPr>
          <w:rFonts w:asciiTheme="minorHAnsi" w:hAnsiTheme="minorHAnsi" w:cstheme="minorHAnsi"/>
          <w:vertAlign w:val="subscript"/>
        </w:rPr>
        <w:t>CD8</w:t>
      </w:r>
      <w:r w:rsidRPr="007F69E4">
        <w:rPr>
          <w:rFonts w:asciiTheme="minorHAnsi" w:hAnsiTheme="minorHAnsi" w:cstheme="minorHAnsi"/>
        </w:rPr>
        <w:t xml:space="preserve"> clones</w:t>
      </w:r>
      <w:r w:rsidRPr="007F69E4">
        <w:rPr>
          <w:rFonts w:asciiTheme="minorHAnsi" w:hAnsiTheme="minorHAnsi" w:cstheme="minorHAnsi"/>
          <w:noProof/>
          <w:vertAlign w:val="superscript"/>
        </w:rPr>
        <w:t>16</w:t>
      </w:r>
      <w:r w:rsidRPr="007F69E4">
        <w:rPr>
          <w:rFonts w:asciiTheme="minorHAnsi" w:hAnsiTheme="minorHAnsi" w:cstheme="minorHAnsi"/>
        </w:rPr>
        <w:t>. In addition, T</w:t>
      </w:r>
      <w:r w:rsidRPr="007F69E4">
        <w:rPr>
          <w:rFonts w:asciiTheme="minorHAnsi" w:hAnsiTheme="minorHAnsi" w:cstheme="minorHAnsi"/>
          <w:vertAlign w:val="subscript"/>
        </w:rPr>
        <w:t>CD8</w:t>
      </w:r>
      <w:r w:rsidRPr="007F69E4">
        <w:rPr>
          <w:rFonts w:asciiTheme="minorHAnsi" w:hAnsiTheme="minorHAnsi" w:cstheme="minorHAnsi"/>
        </w:rPr>
        <w:t xml:space="preserve"> immunodominance is subjected to immunoregulatory mechanisms mediated by several suppressor cell types such as naturally occurring regulatory T (nTreg) cells</w:t>
      </w:r>
      <w:r w:rsidRPr="007F69E4">
        <w:rPr>
          <w:rFonts w:asciiTheme="minorHAnsi" w:hAnsiTheme="minorHAnsi" w:cstheme="minorHAnsi"/>
          <w:noProof/>
          <w:vertAlign w:val="superscript"/>
        </w:rPr>
        <w:t>17</w:t>
      </w:r>
      <w:r w:rsidRPr="007F69E4">
        <w:rPr>
          <w:rFonts w:asciiTheme="minorHAnsi" w:hAnsiTheme="minorHAnsi" w:cstheme="minorHAnsi"/>
        </w:rPr>
        <w:t>, the cell surface co-inhibitory molecule programmed death-1 (PD-1)</w:t>
      </w:r>
      <w:r w:rsidRPr="007F69E4">
        <w:rPr>
          <w:rFonts w:asciiTheme="minorHAnsi" w:hAnsiTheme="minorHAnsi" w:cstheme="minorHAnsi"/>
          <w:noProof/>
          <w:vertAlign w:val="superscript"/>
        </w:rPr>
        <w:t>16</w:t>
      </w:r>
      <w:r w:rsidRPr="007F69E4">
        <w:rPr>
          <w:rFonts w:asciiTheme="minorHAnsi" w:hAnsiTheme="minorHAnsi" w:cstheme="minorHAnsi"/>
        </w:rPr>
        <w:t>, and certain intracellular enzymes such as indoleamine 2,3-dioxygenase (IDO)</w:t>
      </w:r>
      <w:r w:rsidRPr="007F69E4">
        <w:rPr>
          <w:rFonts w:asciiTheme="minorHAnsi" w:hAnsiTheme="minorHAnsi" w:cstheme="minorHAnsi"/>
          <w:noProof/>
          <w:vertAlign w:val="superscript"/>
        </w:rPr>
        <w:t>18</w:t>
      </w:r>
      <w:r w:rsidRPr="007F69E4">
        <w:rPr>
          <w:rFonts w:asciiTheme="minorHAnsi" w:hAnsiTheme="minorHAnsi" w:cstheme="minorHAnsi"/>
        </w:rPr>
        <w:t xml:space="preserve"> and the mammalian target of rapamycin (mTOR)</w:t>
      </w:r>
      <w:r w:rsidRPr="007F69E4">
        <w:rPr>
          <w:rFonts w:asciiTheme="minorHAnsi" w:hAnsiTheme="minorHAnsi" w:cstheme="minorHAnsi"/>
          <w:noProof/>
          <w:vertAlign w:val="superscript"/>
        </w:rPr>
        <w:t>19</w:t>
      </w:r>
      <w:r w:rsidRPr="007F69E4">
        <w:rPr>
          <w:rFonts w:asciiTheme="minorHAnsi" w:hAnsiTheme="minorHAnsi" w:cstheme="minorHAnsi"/>
        </w:rPr>
        <w:t>. It is important to note, however, that the above factors do not always fully account for immunodominance.</w:t>
      </w:r>
    </w:p>
    <w:p w14:paraId="26ECEFDD" w14:textId="77777777" w:rsidR="00016D51" w:rsidRPr="007F69E4" w:rsidRDefault="00016D51" w:rsidP="00655DD5">
      <w:pPr>
        <w:rPr>
          <w:rFonts w:asciiTheme="minorHAnsi" w:hAnsiTheme="minorHAnsi" w:cstheme="minorHAnsi"/>
        </w:rPr>
      </w:pPr>
    </w:p>
    <w:p w14:paraId="6ABAA7C1" w14:textId="4A98759F" w:rsidR="00016D51" w:rsidRPr="007F69E4" w:rsidRDefault="00016D51" w:rsidP="00655DD5">
      <w:pPr>
        <w:rPr>
          <w:rFonts w:asciiTheme="minorHAnsi" w:hAnsiTheme="minorHAnsi" w:cstheme="minorHAnsi"/>
        </w:rPr>
      </w:pPr>
      <w:r w:rsidRPr="007F69E4">
        <w:rPr>
          <w:rFonts w:asciiTheme="minorHAnsi" w:hAnsiTheme="minorHAnsi" w:cstheme="minorHAnsi"/>
        </w:rPr>
        <w:t>Apart from the basic biology of T</w:t>
      </w:r>
      <w:r w:rsidRPr="007F69E4">
        <w:rPr>
          <w:rFonts w:asciiTheme="minorHAnsi" w:hAnsiTheme="minorHAnsi" w:cstheme="minorHAnsi"/>
          <w:vertAlign w:val="subscript"/>
        </w:rPr>
        <w:t>CD8</w:t>
      </w:r>
      <w:r w:rsidRPr="007F69E4">
        <w:rPr>
          <w:rFonts w:asciiTheme="minorHAnsi" w:hAnsiTheme="minorHAnsi" w:cstheme="minorHAnsi"/>
        </w:rPr>
        <w:t xml:space="preserve"> immunodominance, the examination of this intriguing phenomenon has important implications in cancer immunology and immunotherapy. First, an ID </w:t>
      </w:r>
      <w:r w:rsidRPr="007F69E4">
        <w:rPr>
          <w:rFonts w:asciiTheme="minorHAnsi" w:hAnsiTheme="minorHAnsi" w:cstheme="minorHAnsi"/>
        </w:rPr>
        <w:lastRenderedPageBreak/>
        <w:t>status does not necessarily confer up</w:t>
      </w:r>
      <w:r w:rsidR="00050FEE" w:rsidRPr="007F69E4">
        <w:rPr>
          <w:rFonts w:asciiTheme="minorHAnsi" w:hAnsiTheme="minorHAnsi" w:cstheme="minorHAnsi"/>
        </w:rPr>
        <w:t>on</w:t>
      </w:r>
      <w:r w:rsidRPr="007F69E4">
        <w:rPr>
          <w:rFonts w:asciiTheme="minorHAnsi" w:hAnsiTheme="minorHAnsi" w:cstheme="minorHAnsi"/>
        </w:rPr>
        <w:t xml:space="preserve"> a given T</w:t>
      </w:r>
      <w:r w:rsidRPr="007F69E4">
        <w:rPr>
          <w:rFonts w:asciiTheme="minorHAnsi" w:hAnsiTheme="minorHAnsi" w:cstheme="minorHAnsi"/>
          <w:vertAlign w:val="subscript"/>
        </w:rPr>
        <w:t>CD8</w:t>
      </w:r>
      <w:r w:rsidRPr="007F69E4">
        <w:rPr>
          <w:rFonts w:asciiTheme="minorHAnsi" w:hAnsiTheme="minorHAnsi" w:cstheme="minorHAnsi"/>
        </w:rPr>
        <w:t xml:space="preserve"> clone the ability to prevent tumor initiation or progression</w:t>
      </w:r>
      <w:r w:rsidRPr="007F69E4">
        <w:rPr>
          <w:rFonts w:asciiTheme="minorHAnsi" w:hAnsiTheme="minorHAnsi" w:cstheme="minorHAnsi"/>
          <w:noProof/>
          <w:vertAlign w:val="superscript"/>
        </w:rPr>
        <w:t>20</w:t>
      </w:r>
      <w:r w:rsidRPr="007F69E4">
        <w:rPr>
          <w:rFonts w:asciiTheme="minorHAnsi" w:hAnsiTheme="minorHAnsi" w:cstheme="minorHAnsi"/>
        </w:rPr>
        <w:t>. Whether</w:t>
      </w:r>
      <w:r w:rsidR="00445BAA">
        <w:rPr>
          <w:rFonts w:asciiTheme="minorHAnsi" w:hAnsiTheme="minorHAnsi" w:cstheme="minorHAnsi"/>
        </w:rPr>
        <w:t xml:space="preserve"> and </w:t>
      </w:r>
      <w:r w:rsidRPr="007F69E4">
        <w:rPr>
          <w:rFonts w:asciiTheme="minorHAnsi" w:hAnsiTheme="minorHAnsi" w:cstheme="minorHAnsi"/>
        </w:rPr>
        <w:t>how ID and SD T</w:t>
      </w:r>
      <w:r w:rsidRPr="007F69E4">
        <w:rPr>
          <w:rFonts w:asciiTheme="minorHAnsi" w:hAnsiTheme="minorHAnsi" w:cstheme="minorHAnsi"/>
          <w:vertAlign w:val="subscript"/>
        </w:rPr>
        <w:t>CD8</w:t>
      </w:r>
      <w:r w:rsidRPr="007F69E4">
        <w:rPr>
          <w:rFonts w:asciiTheme="minorHAnsi" w:hAnsiTheme="minorHAnsi" w:cstheme="minorHAnsi"/>
        </w:rPr>
        <w:t xml:space="preserve"> contribute to antitumor immunity may be dependent upon the type and the extent of malignancy and the experimental system employed. Second, it is thought that ID T</w:t>
      </w:r>
      <w:r w:rsidRPr="007F69E4">
        <w:rPr>
          <w:rFonts w:asciiTheme="minorHAnsi" w:hAnsiTheme="minorHAnsi" w:cstheme="minorHAnsi"/>
          <w:vertAlign w:val="subscript"/>
        </w:rPr>
        <w:t>CD8</w:t>
      </w:r>
      <w:r w:rsidRPr="007F69E4">
        <w:rPr>
          <w:rFonts w:asciiTheme="minorHAnsi" w:hAnsiTheme="minorHAnsi" w:cstheme="minorHAnsi"/>
        </w:rPr>
        <w:t xml:space="preserve"> clones may be ‘too visible’ to the immune system and consequently more prone to central and/or peripheral tolerance mechanisms</w:t>
      </w:r>
      <w:r w:rsidRPr="007F69E4">
        <w:rPr>
          <w:rFonts w:asciiTheme="minorHAnsi" w:hAnsiTheme="minorHAnsi" w:cstheme="minorHAnsi"/>
          <w:noProof/>
          <w:vertAlign w:val="superscript"/>
        </w:rPr>
        <w:t>16,21</w:t>
      </w:r>
      <w:hyperlink w:anchor="_ENREF_16" w:tooltip="Memarnejadian, 2017 #44" w:history="1"/>
      <w:r w:rsidRPr="007F69E4">
        <w:rPr>
          <w:rFonts w:asciiTheme="minorHAnsi" w:hAnsiTheme="minorHAnsi" w:cstheme="minorHAnsi"/>
        </w:rPr>
        <w:t>. Third, heterogeneic tumors may contain neoplastic cells that avoid detection by many, if not most, CTLs by displaying only a narrow spectrum of peptide:MHC complexes. Under these circumstances, T</w:t>
      </w:r>
      <w:r w:rsidRPr="007F69E4">
        <w:rPr>
          <w:rFonts w:asciiTheme="minorHAnsi" w:hAnsiTheme="minorHAnsi" w:cstheme="minorHAnsi"/>
          <w:vertAlign w:val="subscript"/>
        </w:rPr>
        <w:t>CD8</w:t>
      </w:r>
      <w:r w:rsidRPr="007F69E4">
        <w:rPr>
          <w:rFonts w:asciiTheme="minorHAnsi" w:hAnsiTheme="minorHAnsi" w:cstheme="minorHAnsi"/>
        </w:rPr>
        <w:t xml:space="preserve"> responses of insufficient breadth are likely to afford such tumor cells a survival advantage, thus potentiating their outgrowth</w:t>
      </w:r>
      <w:r w:rsidRPr="007F69E4">
        <w:rPr>
          <w:rFonts w:asciiTheme="minorHAnsi" w:hAnsiTheme="minorHAnsi" w:cstheme="minorHAnsi"/>
          <w:noProof/>
          <w:vertAlign w:val="superscript"/>
        </w:rPr>
        <w:t>22</w:t>
      </w:r>
      <w:r w:rsidRPr="007F69E4">
        <w:rPr>
          <w:rFonts w:asciiTheme="minorHAnsi" w:hAnsiTheme="minorHAnsi" w:cstheme="minorHAnsi"/>
        </w:rPr>
        <w:t>. It is for the above reasons that many view immunodominance as a hurdle to successful T</w:t>
      </w:r>
      <w:r w:rsidRPr="007F69E4">
        <w:rPr>
          <w:rFonts w:asciiTheme="minorHAnsi" w:hAnsiTheme="minorHAnsi" w:cstheme="minorHAnsi"/>
          <w:vertAlign w:val="subscript"/>
        </w:rPr>
        <w:t>CD8</w:t>
      </w:r>
      <w:r w:rsidRPr="007F69E4">
        <w:rPr>
          <w:rFonts w:asciiTheme="minorHAnsi" w:hAnsiTheme="minorHAnsi" w:cstheme="minorHAnsi"/>
        </w:rPr>
        <w:t>-based vaccination and therapies against cancer.</w:t>
      </w:r>
    </w:p>
    <w:p w14:paraId="15C29957" w14:textId="77777777" w:rsidR="00016D51" w:rsidRPr="007F69E4" w:rsidRDefault="00016D51" w:rsidP="00655DD5">
      <w:pPr>
        <w:rPr>
          <w:rFonts w:asciiTheme="minorHAnsi" w:hAnsiTheme="minorHAnsi" w:cstheme="minorHAnsi"/>
        </w:rPr>
      </w:pPr>
    </w:p>
    <w:p w14:paraId="65816C9B" w14:textId="1D4A4B11" w:rsidR="00016D51" w:rsidRPr="007F69E4" w:rsidRDefault="00016D51" w:rsidP="00655DD5">
      <w:pPr>
        <w:rPr>
          <w:rFonts w:asciiTheme="minorHAnsi" w:hAnsiTheme="minorHAnsi" w:cstheme="minorHAnsi"/>
        </w:rPr>
      </w:pPr>
      <w:r w:rsidRPr="007F69E4">
        <w:rPr>
          <w:rFonts w:asciiTheme="minorHAnsi" w:hAnsiTheme="minorHAnsi" w:cstheme="minorHAnsi"/>
        </w:rPr>
        <w:t>Inoculation of C57BL/6 mice with simian virus 40 (SV40)-transformed cells that express large tumor Ag (T Ag) provides a powerful preclinical system to study T</w:t>
      </w:r>
      <w:r w:rsidRPr="007F69E4">
        <w:rPr>
          <w:rFonts w:asciiTheme="minorHAnsi" w:hAnsiTheme="minorHAnsi" w:cstheme="minorHAnsi"/>
          <w:vertAlign w:val="subscript"/>
        </w:rPr>
        <w:t>CD8</w:t>
      </w:r>
      <w:r w:rsidRPr="007F69E4">
        <w:rPr>
          <w:rFonts w:asciiTheme="minorHAnsi" w:hAnsiTheme="minorHAnsi" w:cstheme="minorHAnsi"/>
        </w:rPr>
        <w:t xml:space="preserve"> immunodominance. This model offers several benefits. First, the peptide epitopes of this clinically relevant oncoprotein are well-characterized in this mouse strain</w:t>
      </w:r>
      <w:r w:rsidRPr="007F69E4">
        <w:rPr>
          <w:rFonts w:asciiTheme="minorHAnsi" w:hAnsiTheme="minorHAnsi" w:cstheme="minorHAnsi"/>
          <w:noProof/>
          <w:vertAlign w:val="superscript"/>
        </w:rPr>
        <w:t>23</w:t>
      </w:r>
      <w:r w:rsidRPr="007F69E4">
        <w:rPr>
          <w:rFonts w:asciiTheme="minorHAnsi" w:hAnsiTheme="minorHAnsi" w:cstheme="minorHAnsi"/>
        </w:rPr>
        <w:t xml:space="preserve"> </w:t>
      </w:r>
      <w:r w:rsidR="002F5491">
        <w:rPr>
          <w:rFonts w:asciiTheme="minorHAnsi" w:hAnsiTheme="minorHAnsi" w:cstheme="minorHAnsi"/>
        </w:rPr>
        <w:t>(</w:t>
      </w:r>
      <w:r w:rsidRPr="002F5491">
        <w:rPr>
          <w:rFonts w:asciiTheme="minorHAnsi" w:hAnsiTheme="minorHAnsi" w:cstheme="minorHAnsi"/>
          <w:b/>
        </w:rPr>
        <w:t>Table 1</w:t>
      </w:r>
      <w:r w:rsidR="002F5491">
        <w:rPr>
          <w:rFonts w:asciiTheme="minorHAnsi" w:hAnsiTheme="minorHAnsi" w:cstheme="minorHAnsi"/>
        </w:rPr>
        <w:t>)</w:t>
      </w:r>
      <w:r w:rsidRPr="007F69E4">
        <w:rPr>
          <w:rFonts w:asciiTheme="minorHAnsi" w:hAnsiTheme="minorHAnsi" w:cstheme="minorHAnsi"/>
        </w:rPr>
        <w:t>. Second, T Ag epitopes, which are called sites I, II/III, IV</w:t>
      </w:r>
      <w:r w:rsidR="002F5491">
        <w:rPr>
          <w:rFonts w:asciiTheme="minorHAnsi" w:hAnsiTheme="minorHAnsi" w:cstheme="minorHAnsi"/>
        </w:rPr>
        <w:t>,</w:t>
      </w:r>
      <w:r w:rsidRPr="007F69E4">
        <w:rPr>
          <w:rFonts w:asciiTheme="minorHAnsi" w:hAnsiTheme="minorHAnsi" w:cstheme="minorHAnsi"/>
        </w:rPr>
        <w:t xml:space="preserve"> and V, trigger T</w:t>
      </w:r>
      <w:r w:rsidRPr="007F69E4">
        <w:rPr>
          <w:rFonts w:asciiTheme="minorHAnsi" w:hAnsiTheme="minorHAnsi" w:cstheme="minorHAnsi"/>
          <w:vertAlign w:val="subscript"/>
        </w:rPr>
        <w:t>CD8</w:t>
      </w:r>
      <w:r w:rsidRPr="007F69E4">
        <w:rPr>
          <w:rFonts w:asciiTheme="minorHAnsi" w:hAnsiTheme="minorHAnsi" w:cstheme="minorHAnsi"/>
        </w:rPr>
        <w:t xml:space="preserve"> responses that are consistently arranged in the following hierarchical order: site IV &gt;&gt; site I </w:t>
      </w:r>
      <w:r w:rsidR="002F5491">
        <w:rPr>
          <w:rFonts w:asciiTheme="minorHAnsi" w:hAnsiTheme="minorHAnsi" w:cstheme="minorHAnsi"/>
        </w:rPr>
        <w:t>≥</w:t>
      </w:r>
      <w:r w:rsidRPr="007F69E4">
        <w:rPr>
          <w:rFonts w:asciiTheme="minorHAnsi" w:hAnsiTheme="minorHAnsi" w:cstheme="minorHAnsi"/>
        </w:rPr>
        <w:t xml:space="preserve"> site II/III &gt;&gt; site V. Accordingly, site IV-specific T</w:t>
      </w:r>
      <w:r w:rsidRPr="007F69E4">
        <w:rPr>
          <w:rFonts w:asciiTheme="minorHAnsi" w:hAnsiTheme="minorHAnsi" w:cstheme="minorHAnsi"/>
          <w:vertAlign w:val="subscript"/>
        </w:rPr>
        <w:t>CD8</w:t>
      </w:r>
      <w:r w:rsidRPr="007F69E4">
        <w:rPr>
          <w:rFonts w:asciiTheme="minorHAnsi" w:hAnsiTheme="minorHAnsi" w:cstheme="minorHAnsi"/>
        </w:rPr>
        <w:t xml:space="preserve"> mount the most robust response to T Ag. In contrast, sites I and II/III are subdominant, and site V-specific T</w:t>
      </w:r>
      <w:r w:rsidRPr="007F69E4">
        <w:rPr>
          <w:rFonts w:asciiTheme="minorHAnsi" w:hAnsiTheme="minorHAnsi" w:cstheme="minorHAnsi"/>
          <w:vertAlign w:val="subscript"/>
        </w:rPr>
        <w:t>CD8</w:t>
      </w:r>
      <w:r w:rsidRPr="007F69E4">
        <w:rPr>
          <w:rFonts w:asciiTheme="minorHAnsi" w:hAnsiTheme="minorHAnsi" w:cstheme="minorHAnsi"/>
        </w:rPr>
        <w:t xml:space="preserve"> are least abundant and usually only detectable in the absence of responsiveness to other epitopes</w:t>
      </w:r>
      <w:r w:rsidRPr="007F69E4">
        <w:rPr>
          <w:rFonts w:asciiTheme="minorHAnsi" w:hAnsiTheme="minorHAnsi" w:cstheme="minorHAnsi"/>
          <w:noProof/>
          <w:vertAlign w:val="superscript"/>
        </w:rPr>
        <w:t>23,24</w:t>
      </w:r>
      <w:hyperlink w:anchor="_ENREF_23" w:tooltip="Mylin, 2000 #25" w:history="1"/>
      <w:r w:rsidRPr="007F69E4">
        <w:rPr>
          <w:rFonts w:asciiTheme="minorHAnsi" w:hAnsiTheme="minorHAnsi" w:cstheme="minorHAnsi"/>
        </w:rPr>
        <w:t>. Third, the T Ag</w:t>
      </w:r>
      <w:r w:rsidRPr="007F69E4">
        <w:rPr>
          <w:rFonts w:asciiTheme="minorHAnsi" w:hAnsiTheme="minorHAnsi" w:cstheme="minorHAnsi"/>
          <w:vertAlign w:val="superscript"/>
        </w:rPr>
        <w:t>+</w:t>
      </w:r>
      <w:r w:rsidRPr="007F69E4">
        <w:rPr>
          <w:rFonts w:asciiTheme="minorHAnsi" w:hAnsiTheme="minorHAnsi" w:cstheme="minorHAnsi"/>
        </w:rPr>
        <w:t xml:space="preserve"> tumor cell line utilized in the protocol described herein, namely C57SV fibrosarcoma cells, and those used in our previous investigations</w:t>
      </w:r>
      <w:r w:rsidRPr="007F69E4">
        <w:rPr>
          <w:rFonts w:asciiTheme="minorHAnsi" w:hAnsiTheme="minorHAnsi" w:cstheme="minorHAnsi"/>
          <w:noProof/>
          <w:vertAlign w:val="superscript"/>
        </w:rPr>
        <w:t>16-19,25,26</w:t>
      </w:r>
      <w:hyperlink w:anchor="_ENREF_17" w:tooltip="Haeryfar, 2005 #18" w:history="1"/>
      <w:hyperlink w:anchor="_ENREF_19" w:tooltip="Maleki Vareki, 2012 #28" w:history="1"/>
      <w:hyperlink w:anchor="_ENREF_18" w:tooltip="Rytelewski, 2014 #29" w:history="1"/>
      <w:hyperlink w:anchor="_ENREF_26" w:tooltip="Memarnejadian, 2016 #30" w:history="1"/>
      <w:hyperlink w:anchor="_ENREF_16" w:tooltip="Memarnejadian, 2017 #44" w:history="1"/>
      <w:r w:rsidRPr="007F69E4">
        <w:rPr>
          <w:rFonts w:asciiTheme="minorHAnsi" w:hAnsiTheme="minorHAnsi" w:cstheme="minorHAnsi"/>
        </w:rPr>
        <w:t>, are transformed with subgenomic SV40 fragments</w:t>
      </w:r>
      <w:r w:rsidRPr="007F69E4">
        <w:rPr>
          <w:rFonts w:asciiTheme="minorHAnsi" w:hAnsiTheme="minorHAnsi" w:cstheme="minorHAnsi"/>
          <w:noProof/>
          <w:vertAlign w:val="superscript"/>
        </w:rPr>
        <w:t>25</w:t>
      </w:r>
      <w:r w:rsidRPr="007F69E4">
        <w:rPr>
          <w:rFonts w:asciiTheme="minorHAnsi" w:hAnsiTheme="minorHAnsi" w:cstheme="minorHAnsi"/>
        </w:rPr>
        <w:t>. Therefore, they are unable to assemble and release SV40 virions that could potentially infect host APCs. In addition, C57SV cells are devoid of classic costimulatory molecules such as CD80 (B7-1), CD86 (B7-2)</w:t>
      </w:r>
      <w:r w:rsidR="00691382">
        <w:rPr>
          <w:rFonts w:asciiTheme="minorHAnsi" w:hAnsiTheme="minorHAnsi" w:cstheme="minorHAnsi"/>
        </w:rPr>
        <w:t>,</w:t>
      </w:r>
      <w:r w:rsidRPr="007F69E4">
        <w:rPr>
          <w:rFonts w:asciiTheme="minorHAnsi" w:hAnsiTheme="minorHAnsi" w:cstheme="minorHAnsi"/>
        </w:rPr>
        <w:t xml:space="preserve"> and CD137 ligand (4-1BBL)</w:t>
      </w:r>
      <w:r w:rsidRPr="007F69E4">
        <w:rPr>
          <w:rFonts w:asciiTheme="minorHAnsi" w:hAnsiTheme="minorHAnsi" w:cstheme="minorHAnsi"/>
          <w:noProof/>
          <w:vertAlign w:val="superscript"/>
        </w:rPr>
        <w:t>16</w:t>
      </w:r>
      <w:r w:rsidRPr="007F69E4">
        <w:rPr>
          <w:rFonts w:asciiTheme="minorHAnsi" w:hAnsiTheme="minorHAnsi" w:cstheme="minorHAnsi"/>
        </w:rPr>
        <w:t xml:space="preserve">. The above attributes make these lines ideal for examination of </w:t>
      </w:r>
      <w:r w:rsidR="00164210" w:rsidRPr="00164210">
        <w:rPr>
          <w:rFonts w:asciiTheme="minorHAnsi" w:hAnsiTheme="minorHAnsi" w:cstheme="minorHAnsi"/>
        </w:rPr>
        <w:t>in vivo</w:t>
      </w:r>
      <w:r w:rsidRPr="007F69E4">
        <w:rPr>
          <w:rFonts w:asciiTheme="minorHAnsi" w:hAnsiTheme="minorHAnsi" w:cstheme="minorHAnsi"/>
        </w:rPr>
        <w:t xml:space="preserve"> T</w:t>
      </w:r>
      <w:r w:rsidRPr="007F69E4">
        <w:rPr>
          <w:rFonts w:asciiTheme="minorHAnsi" w:hAnsiTheme="minorHAnsi" w:cstheme="minorHAnsi"/>
          <w:vertAlign w:val="subscript"/>
        </w:rPr>
        <w:t>CD8</w:t>
      </w:r>
      <w:r w:rsidRPr="007F69E4">
        <w:rPr>
          <w:rFonts w:asciiTheme="minorHAnsi" w:hAnsiTheme="minorHAnsi" w:cstheme="minorHAnsi"/>
        </w:rPr>
        <w:t xml:space="preserve"> activation via cross-priming. Cross-priming is a major pathway in inducing T</w:t>
      </w:r>
      <w:r w:rsidRPr="007F69E4">
        <w:rPr>
          <w:rFonts w:asciiTheme="minorHAnsi" w:hAnsiTheme="minorHAnsi" w:cstheme="minorHAnsi"/>
          <w:vertAlign w:val="subscript"/>
        </w:rPr>
        <w:t>CD8</w:t>
      </w:r>
      <w:r w:rsidRPr="007F69E4">
        <w:rPr>
          <w:rFonts w:asciiTheme="minorHAnsi" w:hAnsiTheme="minorHAnsi" w:cstheme="minorHAnsi"/>
        </w:rPr>
        <w:t xml:space="preserve"> responses, especially those launched against tumor cells of non-hematopoietic origin that fail to directly prime naïve T cells</w:t>
      </w:r>
      <w:r w:rsidRPr="007F69E4">
        <w:rPr>
          <w:rFonts w:asciiTheme="minorHAnsi" w:hAnsiTheme="minorHAnsi" w:cstheme="minorHAnsi"/>
          <w:noProof/>
          <w:vertAlign w:val="superscript"/>
        </w:rPr>
        <w:t>25</w:t>
      </w:r>
      <w:r w:rsidRPr="007F69E4">
        <w:rPr>
          <w:rFonts w:asciiTheme="minorHAnsi" w:hAnsiTheme="minorHAnsi" w:cstheme="minorHAnsi"/>
        </w:rPr>
        <w:t>.</w:t>
      </w:r>
    </w:p>
    <w:p w14:paraId="31305385" w14:textId="77777777" w:rsidR="00016D51" w:rsidRPr="007F69E4" w:rsidRDefault="00016D51" w:rsidP="00655DD5">
      <w:pPr>
        <w:rPr>
          <w:rFonts w:asciiTheme="minorHAnsi" w:hAnsiTheme="minorHAnsi" w:cstheme="minorHAnsi"/>
        </w:rPr>
      </w:pPr>
    </w:p>
    <w:p w14:paraId="2600EDA9" w14:textId="4BAB7A8B" w:rsidR="00016D51" w:rsidRPr="007F69E4" w:rsidRDefault="00016D51" w:rsidP="00655DD5">
      <w:pPr>
        <w:rPr>
          <w:rFonts w:asciiTheme="minorHAnsi" w:hAnsiTheme="minorHAnsi" w:cstheme="minorHAnsi"/>
        </w:rPr>
      </w:pPr>
      <w:r w:rsidRPr="007F69E4">
        <w:rPr>
          <w:rFonts w:asciiTheme="minorHAnsi" w:hAnsiTheme="minorHAnsi" w:cstheme="minorHAnsi"/>
        </w:rPr>
        <w:t>Antitumor T</w:t>
      </w:r>
      <w:r w:rsidRPr="007F69E4">
        <w:rPr>
          <w:rFonts w:asciiTheme="minorHAnsi" w:hAnsiTheme="minorHAnsi" w:cstheme="minorHAnsi"/>
          <w:vertAlign w:val="subscript"/>
        </w:rPr>
        <w:t>CD8</w:t>
      </w:r>
      <w:r w:rsidRPr="007F69E4">
        <w:rPr>
          <w:rFonts w:asciiTheme="minorHAnsi" w:hAnsiTheme="minorHAnsi" w:cstheme="minorHAnsi"/>
        </w:rPr>
        <w:t xml:space="preserve"> frequencies and/or functions can be monitored by MHC I tetramer staining, intracellular staining for effector cytokines </w:t>
      </w:r>
      <w:r w:rsidR="00691382">
        <w:rPr>
          <w:rFonts w:asciiTheme="minorHAnsi" w:hAnsiTheme="minorHAnsi" w:cstheme="minorHAnsi"/>
        </w:rPr>
        <w:t>(</w:t>
      </w:r>
      <w:r w:rsidRPr="00691382">
        <w:rPr>
          <w:rFonts w:asciiTheme="minorHAnsi" w:hAnsiTheme="minorHAnsi" w:cstheme="minorHAnsi"/>
        </w:rPr>
        <w:t>e.g.,</w:t>
      </w:r>
      <w:r w:rsidRPr="007F69E4">
        <w:rPr>
          <w:rFonts w:asciiTheme="minorHAnsi" w:hAnsiTheme="minorHAnsi" w:cstheme="minorHAnsi"/>
        </w:rPr>
        <w:t xml:space="preserve"> interferon </w:t>
      </w:r>
      <w:r w:rsidR="00691382">
        <w:rPr>
          <w:rFonts w:asciiTheme="minorHAnsi" w:hAnsiTheme="minorHAnsi" w:cstheme="minorHAnsi"/>
        </w:rPr>
        <w:t>[</w:t>
      </w:r>
      <w:r w:rsidRPr="007F69E4">
        <w:rPr>
          <w:rFonts w:asciiTheme="minorHAnsi" w:hAnsiTheme="minorHAnsi" w:cstheme="minorHAnsi"/>
        </w:rPr>
        <w:t>IFN</w:t>
      </w:r>
      <w:r w:rsidR="00691382">
        <w:rPr>
          <w:rFonts w:asciiTheme="minorHAnsi" w:hAnsiTheme="minorHAnsi" w:cstheme="minorHAnsi"/>
        </w:rPr>
        <w:t>]</w:t>
      </w:r>
      <w:r w:rsidRPr="007F69E4">
        <w:rPr>
          <w:rFonts w:asciiTheme="minorHAnsi" w:hAnsiTheme="minorHAnsi" w:cstheme="minorHAnsi"/>
        </w:rPr>
        <w:t>-</w:t>
      </w:r>
      <w:r w:rsidR="00691382">
        <w:rPr>
          <w:rFonts w:asciiTheme="minorHAnsi" w:hAnsiTheme="minorHAnsi" w:cstheme="minorHAnsi"/>
        </w:rPr>
        <w:t>γ)</w:t>
      </w:r>
      <w:r w:rsidRPr="007F69E4">
        <w:rPr>
          <w:rFonts w:asciiTheme="minorHAnsi" w:hAnsiTheme="minorHAnsi" w:cstheme="minorHAnsi"/>
        </w:rPr>
        <w:t xml:space="preserve"> or lytic molecules (</w:t>
      </w:r>
      <w:r w:rsidRPr="00691382">
        <w:rPr>
          <w:rFonts w:asciiTheme="minorHAnsi" w:hAnsiTheme="minorHAnsi" w:cstheme="minorHAnsi"/>
        </w:rPr>
        <w:t>e.g.,</w:t>
      </w:r>
      <w:r w:rsidRPr="007F69E4">
        <w:rPr>
          <w:rFonts w:asciiTheme="minorHAnsi" w:hAnsiTheme="minorHAnsi" w:cstheme="minorHAnsi"/>
        </w:rPr>
        <w:t xml:space="preserve"> perforin), enzyme-linked immunospot (ELISpot) assays and </w:t>
      </w:r>
      <w:r w:rsidRPr="002E78C4">
        <w:rPr>
          <w:rFonts w:asciiTheme="minorHAnsi" w:hAnsiTheme="minorHAnsi" w:cstheme="minorHAnsi"/>
        </w:rPr>
        <w:t>ex vivo</w:t>
      </w:r>
      <w:r w:rsidRPr="007F69E4">
        <w:rPr>
          <w:rFonts w:asciiTheme="minorHAnsi" w:hAnsiTheme="minorHAnsi" w:cstheme="minorHAnsi"/>
        </w:rPr>
        <w:t xml:space="preserve"> cytotoxicity assays. Since their inception in the 1990s</w:t>
      </w:r>
      <w:r w:rsidRPr="007F69E4">
        <w:rPr>
          <w:rFonts w:asciiTheme="minorHAnsi" w:hAnsiTheme="minorHAnsi" w:cstheme="minorHAnsi"/>
          <w:noProof/>
          <w:vertAlign w:val="superscript"/>
        </w:rPr>
        <w:t>27,28</w:t>
      </w:r>
      <w:hyperlink w:anchor="_ENREF_28" w:tooltip="Oehen, 1998 #36" w:history="1"/>
      <w:r w:rsidRPr="007F69E4">
        <w:rPr>
          <w:rFonts w:asciiTheme="minorHAnsi" w:hAnsiTheme="minorHAnsi" w:cstheme="minorHAnsi"/>
        </w:rPr>
        <w:t xml:space="preserve">, </w:t>
      </w:r>
      <w:proofErr w:type="spellStart"/>
      <w:r w:rsidRPr="007F69E4">
        <w:rPr>
          <w:rFonts w:asciiTheme="minorHAnsi" w:hAnsiTheme="minorHAnsi" w:cstheme="minorHAnsi"/>
        </w:rPr>
        <w:t>carboxyfluorescein</w:t>
      </w:r>
      <w:proofErr w:type="spellEnd"/>
      <w:r w:rsidRPr="007F69E4">
        <w:rPr>
          <w:rFonts w:asciiTheme="minorHAnsi" w:hAnsiTheme="minorHAnsi" w:cstheme="minorHAnsi"/>
        </w:rPr>
        <w:t xml:space="preserve"> </w:t>
      </w:r>
      <w:proofErr w:type="spellStart"/>
      <w:r w:rsidRPr="007F69E4">
        <w:rPr>
          <w:rFonts w:asciiTheme="minorHAnsi" w:hAnsiTheme="minorHAnsi" w:cstheme="minorHAnsi"/>
        </w:rPr>
        <w:t>succinimidyl</w:t>
      </w:r>
      <w:proofErr w:type="spellEnd"/>
      <w:r w:rsidRPr="007F69E4">
        <w:rPr>
          <w:rFonts w:asciiTheme="minorHAnsi" w:hAnsiTheme="minorHAnsi" w:cstheme="minorHAnsi"/>
        </w:rPr>
        <w:t xml:space="preserve"> ester (CFSE)-based </w:t>
      </w:r>
      <w:r w:rsidR="00164210" w:rsidRPr="00164210">
        <w:rPr>
          <w:rFonts w:asciiTheme="minorHAnsi" w:hAnsiTheme="minorHAnsi" w:cstheme="minorHAnsi"/>
        </w:rPr>
        <w:t>in vivo</w:t>
      </w:r>
      <w:r w:rsidRPr="007F69E4">
        <w:rPr>
          <w:rFonts w:asciiTheme="minorHAnsi" w:hAnsiTheme="minorHAnsi" w:cstheme="minorHAnsi"/>
        </w:rPr>
        <w:t xml:space="preserve"> killing assays have enabled evaluation of cytotoxic responses mediated by antiviral CTLs</w:t>
      </w:r>
      <w:r w:rsidRPr="007F69E4">
        <w:rPr>
          <w:rFonts w:asciiTheme="minorHAnsi" w:hAnsiTheme="minorHAnsi" w:cstheme="minorHAnsi"/>
          <w:noProof/>
          <w:vertAlign w:val="superscript"/>
        </w:rPr>
        <w:t>29-31</w:t>
      </w:r>
      <w:hyperlink w:anchor="_ENREF_30" w:tooltip="Barber, 2003 #38" w:history="1"/>
      <w:hyperlink w:anchor="_ENREF_31" w:tooltip="Meilleur, 2018 #39" w:history="1"/>
      <w:r w:rsidRPr="007F69E4">
        <w:rPr>
          <w:rFonts w:asciiTheme="minorHAnsi" w:hAnsiTheme="minorHAnsi" w:cstheme="minorHAnsi"/>
        </w:rPr>
        <w:t>, antitumor CTLs</w:t>
      </w:r>
      <w:r w:rsidRPr="007F69E4">
        <w:rPr>
          <w:rFonts w:asciiTheme="minorHAnsi" w:hAnsiTheme="minorHAnsi" w:cstheme="minorHAnsi"/>
          <w:noProof/>
          <w:vertAlign w:val="superscript"/>
        </w:rPr>
        <w:t>16,32</w:t>
      </w:r>
      <w:hyperlink w:anchor="_ENREF_16" w:tooltip="Memarnejadian, 2017 #44" w:history="1"/>
      <w:r w:rsidRPr="007F69E4">
        <w:rPr>
          <w:rFonts w:asciiTheme="minorHAnsi" w:hAnsiTheme="minorHAnsi" w:cstheme="minorHAnsi"/>
        </w:rPr>
        <w:t>, natural killer (NK) cells</w:t>
      </w:r>
      <w:r w:rsidRPr="007F69E4">
        <w:rPr>
          <w:rFonts w:asciiTheme="minorHAnsi" w:hAnsiTheme="minorHAnsi" w:cstheme="minorHAnsi"/>
          <w:noProof/>
          <w:vertAlign w:val="superscript"/>
        </w:rPr>
        <w:t>33</w:t>
      </w:r>
      <w:r w:rsidRPr="007F69E4">
        <w:rPr>
          <w:rFonts w:asciiTheme="minorHAnsi" w:hAnsiTheme="minorHAnsi" w:cstheme="minorHAnsi"/>
        </w:rPr>
        <w:t>, glycolipid-reactive invariant natural killer T (</w:t>
      </w:r>
      <w:r w:rsidRPr="007F69E4">
        <w:rPr>
          <w:rFonts w:asciiTheme="minorHAnsi" w:hAnsiTheme="minorHAnsi" w:cstheme="minorHAnsi"/>
          <w:i/>
        </w:rPr>
        <w:t>i</w:t>
      </w:r>
      <w:r w:rsidRPr="007F69E4">
        <w:rPr>
          <w:rFonts w:asciiTheme="minorHAnsi" w:hAnsiTheme="minorHAnsi" w:cstheme="minorHAnsi"/>
        </w:rPr>
        <w:t>NKT) cells</w:t>
      </w:r>
      <w:r w:rsidRPr="007F69E4">
        <w:rPr>
          <w:rFonts w:asciiTheme="minorHAnsi" w:hAnsiTheme="minorHAnsi" w:cstheme="minorHAnsi"/>
          <w:noProof/>
          <w:vertAlign w:val="superscript"/>
        </w:rPr>
        <w:t>34</w:t>
      </w:r>
      <w:r w:rsidRPr="007F69E4">
        <w:rPr>
          <w:rFonts w:asciiTheme="minorHAnsi" w:hAnsiTheme="minorHAnsi" w:cstheme="minorHAnsi"/>
        </w:rPr>
        <w:t xml:space="preserve">, and preexisting and </w:t>
      </w:r>
      <w:r w:rsidRPr="002E78C4">
        <w:rPr>
          <w:rFonts w:asciiTheme="minorHAnsi" w:hAnsiTheme="minorHAnsi" w:cstheme="minorHAnsi"/>
        </w:rPr>
        <w:t>de novo</w:t>
      </w:r>
      <w:r w:rsidRPr="007F69E4">
        <w:rPr>
          <w:rFonts w:asciiTheme="minorHAnsi" w:hAnsiTheme="minorHAnsi" w:cstheme="minorHAnsi"/>
        </w:rPr>
        <w:t xml:space="preserve"> donor-specific alloantibodies</w:t>
      </w:r>
      <w:r w:rsidRPr="007F69E4">
        <w:rPr>
          <w:rFonts w:asciiTheme="minorHAnsi" w:hAnsiTheme="minorHAnsi" w:cstheme="minorHAnsi"/>
          <w:noProof/>
          <w:vertAlign w:val="superscript"/>
        </w:rPr>
        <w:t>26</w:t>
      </w:r>
      <w:r w:rsidRPr="007F69E4">
        <w:rPr>
          <w:rFonts w:asciiTheme="minorHAnsi" w:hAnsiTheme="minorHAnsi" w:cstheme="minorHAnsi"/>
        </w:rPr>
        <w:t xml:space="preserve">. Therefore, their applications can be of interest to a wide readership, including but not limited to investigators working in the areas of tumor immunology and immunotherapy, anti-pathogen immunity, and preventative and therapeutic vaccine design.   </w:t>
      </w:r>
    </w:p>
    <w:p w14:paraId="0CAA25CB" w14:textId="77777777" w:rsidR="00016D51" w:rsidRPr="007F69E4" w:rsidRDefault="00016D51" w:rsidP="00655DD5">
      <w:pPr>
        <w:rPr>
          <w:rFonts w:asciiTheme="minorHAnsi" w:hAnsiTheme="minorHAnsi" w:cstheme="minorHAnsi"/>
        </w:rPr>
      </w:pPr>
    </w:p>
    <w:p w14:paraId="76789577" w14:textId="4755873C" w:rsidR="00016D51" w:rsidRPr="007F69E4" w:rsidRDefault="00016D51" w:rsidP="00655DD5">
      <w:pPr>
        <w:rPr>
          <w:rFonts w:asciiTheme="minorHAnsi" w:hAnsiTheme="minorHAnsi" w:cstheme="minorHAnsi"/>
        </w:rPr>
      </w:pPr>
      <w:r w:rsidRPr="007F69E4">
        <w:rPr>
          <w:rFonts w:asciiTheme="minorHAnsi" w:hAnsiTheme="minorHAnsi" w:cstheme="minorHAnsi"/>
        </w:rPr>
        <w:t xml:space="preserve">To assess cell-mediated cytotoxicity in typical scenarios, two populations of naïve splenocytes that display either an irrelevant Ag or a cognate Ag(s) are labeled with two different doses of CFSE, mixed in equal numbers and injected into naïve (control) or killer cell-harboring mice. The presence/absence of each target population is then examined by flow cytometry.                                              </w:t>
      </w:r>
    </w:p>
    <w:p w14:paraId="0B0AE354" w14:textId="77777777" w:rsidR="00016D51" w:rsidRPr="007F69E4" w:rsidRDefault="00016D51" w:rsidP="00655DD5">
      <w:pPr>
        <w:rPr>
          <w:rFonts w:asciiTheme="minorHAnsi" w:hAnsiTheme="minorHAnsi" w:cstheme="minorHAnsi"/>
        </w:rPr>
      </w:pPr>
    </w:p>
    <w:p w14:paraId="3BBFD2FA" w14:textId="73F13C12" w:rsidR="00016D51" w:rsidRPr="007F69E4" w:rsidRDefault="00016D51" w:rsidP="00655DD5">
      <w:pPr>
        <w:rPr>
          <w:rFonts w:asciiTheme="minorHAnsi" w:hAnsiTheme="minorHAnsi" w:cstheme="minorHAnsi"/>
        </w:rPr>
      </w:pPr>
      <w:r w:rsidRPr="007F69E4">
        <w:rPr>
          <w:rFonts w:asciiTheme="minorHAnsi" w:hAnsiTheme="minorHAnsi" w:cstheme="minorHAnsi"/>
        </w:rPr>
        <w:lastRenderedPageBreak/>
        <w:t xml:space="preserve">We have optimized and employed </w:t>
      </w:r>
      <w:r w:rsidR="00164210" w:rsidRPr="00164210">
        <w:rPr>
          <w:rFonts w:asciiTheme="minorHAnsi" w:hAnsiTheme="minorHAnsi" w:cstheme="minorHAnsi"/>
        </w:rPr>
        <w:t>in vivo</w:t>
      </w:r>
      <w:r w:rsidRPr="007F69E4">
        <w:rPr>
          <w:rFonts w:asciiTheme="minorHAnsi" w:hAnsiTheme="minorHAnsi" w:cstheme="minorHAnsi"/>
        </w:rPr>
        <w:t xml:space="preserve"> killing assays in our studies on immunodominance in both antiviral and antitumor T</w:t>
      </w:r>
      <w:r w:rsidRPr="007F69E4">
        <w:rPr>
          <w:rFonts w:asciiTheme="minorHAnsi" w:hAnsiTheme="minorHAnsi" w:cstheme="minorHAnsi"/>
          <w:vertAlign w:val="subscript"/>
        </w:rPr>
        <w:t>CD8</w:t>
      </w:r>
      <w:r w:rsidRPr="007F69E4">
        <w:rPr>
          <w:rFonts w:asciiTheme="minorHAnsi" w:hAnsiTheme="minorHAnsi" w:cstheme="minorHAnsi"/>
        </w:rPr>
        <w:t xml:space="preserve"> responses</w:t>
      </w:r>
      <w:r w:rsidRPr="007F69E4">
        <w:rPr>
          <w:rFonts w:asciiTheme="minorHAnsi" w:hAnsiTheme="minorHAnsi" w:cstheme="minorHAnsi"/>
          <w:noProof/>
          <w:vertAlign w:val="superscript"/>
        </w:rPr>
        <w:t>12,16,17</w:t>
      </w:r>
      <w:hyperlink w:anchor="_ENREF_12" w:tooltip="Haeryfar, 2008 #13" w:history="1"/>
      <w:hyperlink w:anchor="_ENREF_16" w:tooltip="Memarnejadian, 2017 #44" w:history="1"/>
      <w:r w:rsidRPr="007F69E4">
        <w:rPr>
          <w:rFonts w:asciiTheme="minorHAnsi" w:hAnsiTheme="minorHAnsi" w:cstheme="minorHAnsi"/>
        </w:rPr>
        <w:t>. Here, we provide a detailed protocol for the simultaneous assessment of ID and SD T</w:t>
      </w:r>
      <w:r w:rsidRPr="007F69E4">
        <w:rPr>
          <w:rFonts w:asciiTheme="minorHAnsi" w:hAnsiTheme="minorHAnsi" w:cstheme="minorHAnsi"/>
          <w:vertAlign w:val="subscript"/>
        </w:rPr>
        <w:t>CD8</w:t>
      </w:r>
      <w:r w:rsidRPr="007F69E4">
        <w:rPr>
          <w:rFonts w:asciiTheme="minorHAnsi" w:hAnsiTheme="minorHAnsi" w:cstheme="minorHAnsi"/>
        </w:rPr>
        <w:t xml:space="preserve"> responses to T Ag epitopes, which can be readily adopted for similar investigations in other experimental systems. We also provide representative results demonstrating that nTreg cell depletion and PD-1 blockade can selectively enhance ID T</w:t>
      </w:r>
      <w:r w:rsidRPr="007F69E4">
        <w:rPr>
          <w:rFonts w:asciiTheme="minorHAnsi" w:hAnsiTheme="minorHAnsi" w:cstheme="minorHAnsi"/>
          <w:vertAlign w:val="subscript"/>
        </w:rPr>
        <w:t>CD8</w:t>
      </w:r>
      <w:r w:rsidRPr="007F69E4">
        <w:rPr>
          <w:rFonts w:asciiTheme="minorHAnsi" w:hAnsiTheme="minorHAnsi" w:cstheme="minorHAnsi"/>
        </w:rPr>
        <w:t>- and SD T</w:t>
      </w:r>
      <w:r w:rsidRPr="007F69E4">
        <w:rPr>
          <w:rFonts w:asciiTheme="minorHAnsi" w:hAnsiTheme="minorHAnsi" w:cstheme="minorHAnsi"/>
          <w:vertAlign w:val="subscript"/>
        </w:rPr>
        <w:t>CD8</w:t>
      </w:r>
      <w:r w:rsidRPr="007F69E4">
        <w:rPr>
          <w:rFonts w:asciiTheme="minorHAnsi" w:hAnsiTheme="minorHAnsi" w:cstheme="minorHAnsi"/>
        </w:rPr>
        <w:t xml:space="preserve">-induced cytotoxicity, respectively. At the end, we will discuss </w:t>
      </w:r>
      <w:r w:rsidR="00D503A1" w:rsidRPr="007F69E4">
        <w:rPr>
          <w:rFonts w:asciiTheme="minorHAnsi" w:hAnsiTheme="minorHAnsi" w:cstheme="minorHAnsi"/>
        </w:rPr>
        <w:t xml:space="preserve">multiple </w:t>
      </w:r>
      <w:r w:rsidRPr="007F69E4">
        <w:rPr>
          <w:rFonts w:asciiTheme="minorHAnsi" w:hAnsiTheme="minorHAnsi" w:cstheme="minorHAnsi"/>
        </w:rPr>
        <w:t xml:space="preserve">advantages of </w:t>
      </w:r>
      <w:r w:rsidR="00164210" w:rsidRPr="00164210">
        <w:rPr>
          <w:rFonts w:asciiTheme="minorHAnsi" w:hAnsiTheme="minorHAnsi" w:cstheme="minorHAnsi"/>
        </w:rPr>
        <w:t>in vivo</w:t>
      </w:r>
      <w:r w:rsidRPr="007F69E4">
        <w:rPr>
          <w:rFonts w:asciiTheme="minorHAnsi" w:hAnsiTheme="minorHAnsi" w:cstheme="minorHAnsi"/>
        </w:rPr>
        <w:t xml:space="preserve"> killing assays as well as some of their inherent limitations.           </w:t>
      </w:r>
    </w:p>
    <w:p w14:paraId="490D82E8" w14:textId="77777777" w:rsidR="00016D51" w:rsidRPr="007F69E4" w:rsidRDefault="00016D51" w:rsidP="00655DD5">
      <w:pPr>
        <w:rPr>
          <w:rFonts w:asciiTheme="minorHAnsi" w:hAnsiTheme="minorHAnsi" w:cstheme="minorHAnsi"/>
        </w:rPr>
      </w:pPr>
    </w:p>
    <w:p w14:paraId="2663E011" w14:textId="77777777" w:rsidR="00016D51" w:rsidRPr="007F69E4" w:rsidRDefault="00016D51" w:rsidP="00655DD5">
      <w:pPr>
        <w:rPr>
          <w:rFonts w:asciiTheme="minorHAnsi" w:hAnsiTheme="minorHAnsi" w:cstheme="minorHAnsi"/>
          <w:color w:val="808080" w:themeColor="background1" w:themeShade="80"/>
        </w:rPr>
      </w:pPr>
      <w:r w:rsidRPr="007F69E4">
        <w:rPr>
          <w:rFonts w:asciiTheme="minorHAnsi" w:hAnsiTheme="minorHAnsi" w:cstheme="minorHAnsi"/>
          <w:b/>
        </w:rPr>
        <w:t>PROTOCOL:</w:t>
      </w:r>
      <w:r w:rsidRPr="007F69E4">
        <w:rPr>
          <w:rFonts w:asciiTheme="minorHAnsi" w:hAnsiTheme="minorHAnsi" w:cstheme="minorHAnsi"/>
        </w:rPr>
        <w:t xml:space="preserve"> </w:t>
      </w:r>
    </w:p>
    <w:p w14:paraId="2DA90A44" w14:textId="42C5D795" w:rsidR="009B2AD9" w:rsidRPr="007F69E4" w:rsidRDefault="009B2AD9" w:rsidP="00655DD5">
      <w:pPr>
        <w:pStyle w:val="ListParagraph"/>
        <w:widowControl/>
        <w:autoSpaceDE/>
        <w:autoSpaceDN/>
        <w:adjustRightInd/>
        <w:ind w:left="0"/>
        <w:rPr>
          <w:rFonts w:asciiTheme="minorHAnsi" w:hAnsiTheme="minorHAnsi" w:cstheme="minorHAnsi"/>
          <w:color w:val="000000" w:themeColor="text1"/>
        </w:rPr>
      </w:pPr>
      <w:bookmarkStart w:id="1" w:name="_Hlk507596421"/>
      <w:r w:rsidRPr="007F69E4">
        <w:rPr>
          <w:rFonts w:asciiTheme="minorHAnsi" w:hAnsiTheme="minorHAnsi" w:cstheme="minorHAnsi"/>
          <w:color w:val="000000" w:themeColor="text1"/>
        </w:rPr>
        <w:t xml:space="preserve">The experiments described </w:t>
      </w:r>
      <w:r w:rsidR="0076661B" w:rsidRPr="007F69E4">
        <w:rPr>
          <w:rFonts w:asciiTheme="minorHAnsi" w:hAnsiTheme="minorHAnsi" w:cstheme="minorHAnsi"/>
          <w:color w:val="000000" w:themeColor="text1"/>
        </w:rPr>
        <w:t>here</w:t>
      </w:r>
      <w:r w:rsidRPr="007F69E4">
        <w:rPr>
          <w:rFonts w:asciiTheme="minorHAnsi" w:hAnsiTheme="minorHAnsi" w:cstheme="minorHAnsi"/>
          <w:color w:val="000000" w:themeColor="text1"/>
        </w:rPr>
        <w:t xml:space="preserve"> follow animal use protocols approved by institutional entities and adhered to established national guidelines.</w:t>
      </w:r>
    </w:p>
    <w:p w14:paraId="027E68FB" w14:textId="77777777" w:rsidR="009B2AD9" w:rsidRPr="007F69E4" w:rsidRDefault="009B2AD9" w:rsidP="00655DD5">
      <w:pPr>
        <w:pStyle w:val="ListParagraph"/>
        <w:widowControl/>
        <w:autoSpaceDE/>
        <w:autoSpaceDN/>
        <w:adjustRightInd/>
        <w:ind w:left="0"/>
        <w:rPr>
          <w:rFonts w:asciiTheme="minorHAnsi" w:hAnsiTheme="minorHAnsi" w:cstheme="minorHAnsi"/>
          <w:color w:val="000000" w:themeColor="text1"/>
        </w:rPr>
      </w:pPr>
    </w:p>
    <w:p w14:paraId="3410F8A0" w14:textId="4243B701" w:rsidR="00016D51" w:rsidRPr="00520415"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520415">
        <w:rPr>
          <w:rFonts w:asciiTheme="minorHAnsi" w:hAnsiTheme="minorHAnsi" w:cstheme="minorHAnsi"/>
          <w:b/>
          <w:color w:val="000000" w:themeColor="text1"/>
          <w:highlight w:val="yellow"/>
        </w:rPr>
        <w:t xml:space="preserve">1. Inoculation of C57BL/6 </w:t>
      </w:r>
      <w:r w:rsidR="00F714B4" w:rsidRPr="00520415">
        <w:rPr>
          <w:rFonts w:asciiTheme="minorHAnsi" w:hAnsiTheme="minorHAnsi" w:cstheme="minorHAnsi"/>
          <w:b/>
          <w:color w:val="000000" w:themeColor="text1"/>
          <w:highlight w:val="yellow"/>
        </w:rPr>
        <w:t>M</w:t>
      </w:r>
      <w:r w:rsidRPr="00520415">
        <w:rPr>
          <w:rFonts w:asciiTheme="minorHAnsi" w:hAnsiTheme="minorHAnsi" w:cstheme="minorHAnsi"/>
          <w:b/>
          <w:color w:val="000000" w:themeColor="text1"/>
          <w:highlight w:val="yellow"/>
        </w:rPr>
        <w:t xml:space="preserve">ice with T Ag-expressing </w:t>
      </w:r>
      <w:r w:rsidR="00F714B4" w:rsidRPr="00520415">
        <w:rPr>
          <w:rFonts w:asciiTheme="minorHAnsi" w:hAnsiTheme="minorHAnsi" w:cstheme="minorHAnsi"/>
          <w:b/>
          <w:color w:val="000000" w:themeColor="text1"/>
          <w:highlight w:val="yellow"/>
        </w:rPr>
        <w:t>T</w:t>
      </w:r>
      <w:r w:rsidRPr="00520415">
        <w:rPr>
          <w:rFonts w:asciiTheme="minorHAnsi" w:hAnsiTheme="minorHAnsi" w:cstheme="minorHAnsi"/>
          <w:b/>
          <w:color w:val="000000" w:themeColor="text1"/>
          <w:highlight w:val="yellow"/>
        </w:rPr>
        <w:t xml:space="preserve">umor </w:t>
      </w:r>
      <w:r w:rsidR="00F714B4" w:rsidRPr="00520415">
        <w:rPr>
          <w:rFonts w:asciiTheme="minorHAnsi" w:hAnsiTheme="minorHAnsi" w:cstheme="minorHAnsi"/>
          <w:b/>
          <w:color w:val="000000" w:themeColor="text1"/>
          <w:highlight w:val="yellow"/>
        </w:rPr>
        <w:t>C</w:t>
      </w:r>
      <w:r w:rsidRPr="00520415">
        <w:rPr>
          <w:rFonts w:asciiTheme="minorHAnsi" w:hAnsiTheme="minorHAnsi" w:cstheme="minorHAnsi"/>
          <w:b/>
          <w:color w:val="000000" w:themeColor="text1"/>
          <w:highlight w:val="yellow"/>
        </w:rPr>
        <w:t>ells</w:t>
      </w:r>
    </w:p>
    <w:p w14:paraId="0A1EE1B4"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p>
    <w:p w14:paraId="5DC5661E" w14:textId="4FA9C809"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color w:val="000000" w:themeColor="text1"/>
        </w:rPr>
        <w:t>1.1. Grow the SV40-transformed fibrosarcoma cell line C57SV (or a similar T Ag</w:t>
      </w:r>
      <w:r w:rsidRPr="007F69E4">
        <w:rPr>
          <w:rFonts w:asciiTheme="minorHAnsi" w:hAnsiTheme="minorHAnsi" w:cstheme="minorHAnsi"/>
          <w:color w:val="000000" w:themeColor="text1"/>
          <w:vertAlign w:val="superscript"/>
        </w:rPr>
        <w:t xml:space="preserve">+ </w:t>
      </w:r>
      <w:r w:rsidRPr="007F69E4">
        <w:rPr>
          <w:rFonts w:asciiTheme="minorHAnsi" w:hAnsiTheme="minorHAnsi" w:cstheme="minorHAnsi"/>
          <w:color w:val="000000" w:themeColor="text1"/>
        </w:rPr>
        <w:t xml:space="preserve">adherent cell line) in Dulbecco’s </w:t>
      </w:r>
      <w:r w:rsidR="00210C4B" w:rsidRPr="007F69E4">
        <w:rPr>
          <w:rFonts w:asciiTheme="minorHAnsi" w:hAnsiTheme="minorHAnsi" w:cstheme="minorHAnsi"/>
          <w:color w:val="000000" w:themeColor="text1"/>
        </w:rPr>
        <w:t>m</w:t>
      </w:r>
      <w:r w:rsidRPr="007F69E4">
        <w:rPr>
          <w:rFonts w:asciiTheme="minorHAnsi" w:hAnsiTheme="minorHAnsi" w:cstheme="minorHAnsi"/>
          <w:color w:val="000000" w:themeColor="text1"/>
        </w:rPr>
        <w:t xml:space="preserve">odified Eagle’s </w:t>
      </w:r>
      <w:r w:rsidR="00210C4B" w:rsidRPr="007F69E4">
        <w:rPr>
          <w:rFonts w:asciiTheme="minorHAnsi" w:hAnsiTheme="minorHAnsi" w:cstheme="minorHAnsi"/>
          <w:color w:val="000000" w:themeColor="text1"/>
        </w:rPr>
        <w:t>m</w:t>
      </w:r>
      <w:r w:rsidRPr="007F69E4">
        <w:rPr>
          <w:rFonts w:asciiTheme="minorHAnsi" w:hAnsiTheme="minorHAnsi" w:cstheme="minorHAnsi"/>
          <w:color w:val="000000" w:themeColor="text1"/>
        </w:rPr>
        <w:t>edium (DMEM) with 4.5 g/L D-glucose and L-glutamine (1</w:t>
      </w:r>
      <w:r w:rsidR="000C251A" w:rsidRPr="007F69E4">
        <w:rPr>
          <w:rFonts w:asciiTheme="minorHAnsi" w:hAnsiTheme="minorHAnsi" w:cstheme="minorHAnsi"/>
          <w:color w:val="000000" w:themeColor="text1"/>
        </w:rPr>
        <w:t>x</w:t>
      </w:r>
      <w:r w:rsidRPr="007F69E4">
        <w:rPr>
          <w:rFonts w:asciiTheme="minorHAnsi" w:hAnsiTheme="minorHAnsi" w:cstheme="minorHAnsi"/>
          <w:color w:val="000000" w:themeColor="text1"/>
        </w:rPr>
        <w:t xml:space="preserve">) and supplemented with 1 mM sodium pyruvate and 10% heat-inactivated fetal bovine serum (FBS) in tissue culture-treated flasks </w:t>
      </w:r>
      <w:r w:rsidR="0097394B" w:rsidRPr="007F69E4">
        <w:rPr>
          <w:rFonts w:asciiTheme="minorHAnsi" w:hAnsiTheme="minorHAnsi" w:cstheme="minorHAnsi"/>
          <w:color w:val="000000" w:themeColor="text1"/>
        </w:rPr>
        <w:t>at</w:t>
      </w:r>
      <w:r w:rsidRPr="007F69E4">
        <w:rPr>
          <w:rFonts w:asciiTheme="minorHAnsi" w:hAnsiTheme="minorHAnsi" w:cstheme="minorHAnsi"/>
          <w:color w:val="000000" w:themeColor="text1"/>
        </w:rPr>
        <w:t xml:space="preserve"> 37</w:t>
      </w:r>
      <w:r w:rsidR="0097394B" w:rsidRPr="007F69E4">
        <w:rPr>
          <w:rFonts w:asciiTheme="minorHAnsi" w:hAnsiTheme="minorHAnsi" w:cstheme="minorHAnsi"/>
          <w:color w:val="000000" w:themeColor="text1"/>
        </w:rPr>
        <w:t xml:space="preserve"> </w:t>
      </w:r>
      <w:r w:rsidR="000752A0" w:rsidRPr="007F69E4">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C </w:t>
      </w:r>
      <w:r w:rsidR="0097394B" w:rsidRPr="007F69E4">
        <w:rPr>
          <w:rFonts w:asciiTheme="minorHAnsi" w:hAnsiTheme="minorHAnsi" w:cstheme="minorHAnsi"/>
          <w:color w:val="000000" w:themeColor="text1"/>
        </w:rPr>
        <w:t xml:space="preserve">in </w:t>
      </w:r>
      <w:r w:rsidRPr="007F69E4">
        <w:rPr>
          <w:rFonts w:asciiTheme="minorHAnsi" w:hAnsiTheme="minorHAnsi" w:cstheme="minorHAnsi"/>
          <w:color w:val="000000" w:themeColor="text1"/>
        </w:rPr>
        <w:t>humidified atmosphere containing 10% CO</w:t>
      </w:r>
      <w:r w:rsidRPr="007F69E4">
        <w:rPr>
          <w:rFonts w:asciiTheme="minorHAnsi" w:hAnsiTheme="minorHAnsi" w:cstheme="minorHAnsi"/>
          <w:color w:val="000000" w:themeColor="text1"/>
          <w:vertAlign w:val="subscript"/>
        </w:rPr>
        <w:t>2</w:t>
      </w:r>
      <w:r w:rsidRPr="007F69E4">
        <w:rPr>
          <w:rFonts w:asciiTheme="minorHAnsi" w:hAnsiTheme="minorHAnsi" w:cstheme="minorHAnsi"/>
          <w:color w:val="000000" w:themeColor="text1"/>
        </w:rPr>
        <w:t>.</w:t>
      </w:r>
      <w:r w:rsidRPr="007F69E4">
        <w:rPr>
          <w:rFonts w:asciiTheme="minorHAnsi" w:hAnsiTheme="minorHAnsi" w:cstheme="minorHAnsi"/>
          <w:color w:val="000000" w:themeColor="text1"/>
          <w:highlight w:val="yellow"/>
        </w:rPr>
        <w:t xml:space="preserve"> </w:t>
      </w:r>
    </w:p>
    <w:p w14:paraId="78EB81C9"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7DDEE3A4"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1.2. Once the cells become fully confluent or slightly overconfluent, gently remove and discard the medium and rinse the monolayer with pre-warmed sterile phosphate-buffered saline (PBS).</w:t>
      </w:r>
    </w:p>
    <w:p w14:paraId="6AD012DF"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4B70DE6F" w14:textId="07616AC4" w:rsidR="00016D51" w:rsidRPr="007F69E4" w:rsidRDefault="00205B2E"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NOTE</w:t>
      </w:r>
      <w:r w:rsidR="00016D51" w:rsidRPr="007F69E4">
        <w:rPr>
          <w:rFonts w:asciiTheme="minorHAnsi" w:hAnsiTheme="minorHAnsi" w:cstheme="minorHAnsi"/>
          <w:color w:val="000000" w:themeColor="text1"/>
        </w:rPr>
        <w:t>: Maximal T Ag expression is achieved when T Ag</w:t>
      </w:r>
      <w:r w:rsidR="00016D51" w:rsidRPr="007F69E4">
        <w:rPr>
          <w:rFonts w:asciiTheme="minorHAnsi" w:hAnsiTheme="minorHAnsi" w:cstheme="minorHAnsi"/>
          <w:color w:val="000000" w:themeColor="text1"/>
          <w:vertAlign w:val="superscript"/>
        </w:rPr>
        <w:t>+</w:t>
      </w:r>
      <w:r w:rsidR="00016D51" w:rsidRPr="007F69E4">
        <w:rPr>
          <w:rFonts w:asciiTheme="minorHAnsi" w:hAnsiTheme="minorHAnsi" w:cstheme="minorHAnsi"/>
          <w:color w:val="000000" w:themeColor="text1"/>
        </w:rPr>
        <w:t xml:space="preserve"> cells reach 100% confluency.  </w:t>
      </w:r>
    </w:p>
    <w:p w14:paraId="4412380B"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47164613" w14:textId="77777777" w:rsidR="00001987"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 xml:space="preserve">1.3. </w:t>
      </w:r>
      <w:r w:rsidR="00B365C1" w:rsidRPr="007F69E4">
        <w:rPr>
          <w:rFonts w:asciiTheme="minorHAnsi" w:hAnsiTheme="minorHAnsi" w:cstheme="minorHAnsi"/>
          <w:color w:val="000000" w:themeColor="text1"/>
          <w:highlight w:val="yellow"/>
        </w:rPr>
        <w:t>Inside a biological safety cabinet, a</w:t>
      </w:r>
      <w:r w:rsidRPr="007F69E4">
        <w:rPr>
          <w:rFonts w:asciiTheme="minorHAnsi" w:hAnsiTheme="minorHAnsi" w:cstheme="minorHAnsi"/>
          <w:color w:val="000000" w:themeColor="text1"/>
          <w:highlight w:val="yellow"/>
        </w:rPr>
        <w:t xml:space="preserve">dd pre-warmed </w:t>
      </w:r>
      <w:r w:rsidR="00F73198" w:rsidRPr="007F69E4">
        <w:rPr>
          <w:rFonts w:asciiTheme="minorHAnsi" w:hAnsiTheme="minorHAnsi" w:cstheme="minorHAnsi"/>
          <w:color w:val="000000" w:themeColor="text1"/>
          <w:highlight w:val="yellow"/>
        </w:rPr>
        <w:t>t</w:t>
      </w:r>
      <w:r w:rsidRPr="007F69E4">
        <w:rPr>
          <w:rFonts w:asciiTheme="minorHAnsi" w:hAnsiTheme="minorHAnsi" w:cstheme="minorHAnsi"/>
          <w:color w:val="000000" w:themeColor="text1"/>
          <w:highlight w:val="yellow"/>
        </w:rPr>
        <w:t xml:space="preserve">rypsin-EDTA (0.25%) to cover the monolayer </w:t>
      </w:r>
      <w:r w:rsidR="001844D2" w:rsidRPr="007F69E4">
        <w:rPr>
          <w:rFonts w:asciiTheme="minorHAnsi" w:hAnsiTheme="minorHAnsi" w:cstheme="minorHAnsi"/>
          <w:color w:val="000000" w:themeColor="text1"/>
          <w:highlight w:val="yellow"/>
        </w:rPr>
        <w:t xml:space="preserve">at room temperature </w:t>
      </w:r>
      <w:r w:rsidRPr="007F69E4">
        <w:rPr>
          <w:rFonts w:asciiTheme="minorHAnsi" w:hAnsiTheme="minorHAnsi" w:cstheme="minorHAnsi"/>
          <w:color w:val="000000" w:themeColor="text1"/>
          <w:highlight w:val="yellow"/>
        </w:rPr>
        <w:t>until the cells are dislodged in patches. Tap the sides of the culture flask(s) several times to release the remaining adherent cells.</w:t>
      </w:r>
      <w:r w:rsidRPr="007F69E4">
        <w:rPr>
          <w:rFonts w:asciiTheme="minorHAnsi" w:hAnsiTheme="minorHAnsi" w:cstheme="minorHAnsi"/>
          <w:color w:val="000000" w:themeColor="text1"/>
        </w:rPr>
        <w:t xml:space="preserve"> </w:t>
      </w:r>
    </w:p>
    <w:p w14:paraId="3F5D2E3E" w14:textId="77777777" w:rsidR="00001987" w:rsidRPr="007F69E4" w:rsidRDefault="00001987" w:rsidP="00655DD5">
      <w:pPr>
        <w:pStyle w:val="ListParagraph"/>
        <w:widowControl/>
        <w:autoSpaceDE/>
        <w:autoSpaceDN/>
        <w:adjustRightInd/>
        <w:ind w:left="0"/>
        <w:rPr>
          <w:rFonts w:asciiTheme="minorHAnsi" w:hAnsiTheme="minorHAnsi" w:cstheme="minorHAnsi"/>
          <w:color w:val="000000" w:themeColor="text1"/>
        </w:rPr>
      </w:pPr>
    </w:p>
    <w:p w14:paraId="09FCD12C" w14:textId="3CFF0946" w:rsidR="00016D51" w:rsidRPr="007F69E4" w:rsidRDefault="00001987"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 xml:space="preserve">NOTE: </w:t>
      </w:r>
      <w:r w:rsidR="00016D51" w:rsidRPr="007F69E4">
        <w:rPr>
          <w:rFonts w:asciiTheme="minorHAnsi" w:hAnsiTheme="minorHAnsi" w:cstheme="minorHAnsi"/>
          <w:color w:val="000000" w:themeColor="text1"/>
        </w:rPr>
        <w:t>If necessary and to expedite the trypsinization process, transfer the flask(s) into a 37</w:t>
      </w:r>
      <w:r w:rsidR="0000486B"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°C incubator. Dislodged cells will quickly adopt a rounded shape under a light microscope. This step should last approximately 5 min.</w:t>
      </w:r>
    </w:p>
    <w:p w14:paraId="42F129ED"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38E231A1" w14:textId="0F8E6DDA"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1.4. Add 5 mL of DMEM medium and dissociate clumps to prepare a single-cell suspension by pipetting </w:t>
      </w:r>
      <w:r w:rsidR="00380EEC" w:rsidRPr="007F69E4">
        <w:rPr>
          <w:rFonts w:asciiTheme="minorHAnsi" w:hAnsiTheme="minorHAnsi" w:cstheme="minorHAnsi"/>
          <w:color w:val="000000" w:themeColor="text1"/>
          <w:highlight w:val="yellow"/>
        </w:rPr>
        <w:t xml:space="preserve">the content of each flask </w:t>
      </w:r>
      <w:r w:rsidRPr="007F69E4">
        <w:rPr>
          <w:rFonts w:asciiTheme="minorHAnsi" w:hAnsiTheme="minorHAnsi" w:cstheme="minorHAnsi"/>
          <w:color w:val="000000" w:themeColor="text1"/>
          <w:highlight w:val="yellow"/>
        </w:rPr>
        <w:t>up and down.</w:t>
      </w:r>
    </w:p>
    <w:p w14:paraId="5896C0BC"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2A6CBE92" w14:textId="162C7B24"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1.5. Transfer the cell suspension through a cell strainer with 70-µm pores into a tube. </w:t>
      </w:r>
    </w:p>
    <w:p w14:paraId="28D7AB73"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74D92E65" w14:textId="6E4DE2A3"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1.6. Spin down the tube at 400 x </w:t>
      </w:r>
      <w:r w:rsidRPr="007F69E4">
        <w:rPr>
          <w:rFonts w:asciiTheme="minorHAnsi" w:hAnsiTheme="minorHAnsi" w:cstheme="minorHAnsi"/>
          <w:i/>
          <w:color w:val="000000" w:themeColor="text1"/>
          <w:highlight w:val="yellow"/>
        </w:rPr>
        <w:t>g</w:t>
      </w:r>
      <w:r w:rsidRPr="007F69E4">
        <w:rPr>
          <w:rFonts w:asciiTheme="minorHAnsi" w:hAnsiTheme="minorHAnsi" w:cstheme="minorHAnsi"/>
          <w:color w:val="000000" w:themeColor="text1"/>
          <w:highlight w:val="yellow"/>
        </w:rPr>
        <w:t xml:space="preserve"> for 5 min at 4</w:t>
      </w:r>
      <w:r w:rsidR="00231BD8"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 xml:space="preserve">C. </w:t>
      </w:r>
    </w:p>
    <w:p w14:paraId="4A3AE0F9" w14:textId="77777777" w:rsidR="00B34B48" w:rsidRPr="007F69E4" w:rsidRDefault="00B34B48" w:rsidP="00655DD5">
      <w:pPr>
        <w:pStyle w:val="ListParagraph"/>
        <w:widowControl/>
        <w:autoSpaceDE/>
        <w:autoSpaceDN/>
        <w:adjustRightInd/>
        <w:ind w:left="0"/>
        <w:rPr>
          <w:rFonts w:asciiTheme="minorHAnsi" w:hAnsiTheme="minorHAnsi" w:cstheme="minorHAnsi"/>
          <w:color w:val="000000" w:themeColor="text1"/>
          <w:highlight w:val="yellow"/>
        </w:rPr>
      </w:pPr>
    </w:p>
    <w:p w14:paraId="07452E15" w14:textId="4FD59BD4"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1.7. Discard the supernatant. Resuspend pelleted cells in </w:t>
      </w:r>
      <w:r w:rsidR="00B34B48" w:rsidRPr="007F69E4">
        <w:rPr>
          <w:rFonts w:asciiTheme="minorHAnsi" w:hAnsiTheme="minorHAnsi" w:cstheme="minorHAnsi"/>
          <w:color w:val="000000" w:themeColor="text1"/>
          <w:highlight w:val="yellow"/>
        </w:rPr>
        <w:t xml:space="preserve">10 mL of </w:t>
      </w:r>
      <w:r w:rsidRPr="007F69E4">
        <w:rPr>
          <w:rFonts w:asciiTheme="minorHAnsi" w:hAnsiTheme="minorHAnsi" w:cstheme="minorHAnsi"/>
          <w:color w:val="000000" w:themeColor="text1"/>
          <w:highlight w:val="yellow"/>
        </w:rPr>
        <w:t>sterile cold PBS.</w:t>
      </w:r>
    </w:p>
    <w:p w14:paraId="040591BB"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64B46BF4"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 xml:space="preserve">1.8. Repeat steps 1.6 and 1.7 twice.   </w:t>
      </w:r>
    </w:p>
    <w:p w14:paraId="789E523E"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6CC61639" w14:textId="34A1124C"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lastRenderedPageBreak/>
        <w:t xml:space="preserve">1.9. </w:t>
      </w:r>
      <w:r w:rsidR="008C0A45" w:rsidRPr="007F69E4">
        <w:rPr>
          <w:rFonts w:asciiTheme="minorHAnsi" w:hAnsiTheme="minorHAnsi" w:cstheme="minorHAnsi"/>
          <w:color w:val="000000" w:themeColor="text1"/>
          <w:highlight w:val="yellow"/>
        </w:rPr>
        <w:t xml:space="preserve">Count cells using a hemocytometer. </w:t>
      </w:r>
      <w:r w:rsidRPr="007F69E4">
        <w:rPr>
          <w:rFonts w:asciiTheme="minorHAnsi" w:hAnsiTheme="minorHAnsi" w:cstheme="minorHAnsi"/>
          <w:color w:val="000000" w:themeColor="text1"/>
          <w:highlight w:val="yellow"/>
        </w:rPr>
        <w:t xml:space="preserve">Prepare a uniform suspension containing 4 </w:t>
      </w:r>
      <w:r w:rsidR="00BA4476" w:rsidRPr="007F69E4">
        <w:rPr>
          <w:rFonts w:asciiTheme="minorHAnsi" w:hAnsiTheme="minorHAnsi" w:cstheme="minorHAnsi"/>
          <w:color w:val="000000" w:themeColor="text1"/>
          <w:highlight w:val="yellow"/>
        </w:rPr>
        <w:t>x</w:t>
      </w:r>
      <w:r w:rsidRPr="007F69E4">
        <w:rPr>
          <w:rFonts w:asciiTheme="minorHAnsi" w:hAnsiTheme="minorHAnsi" w:cstheme="minorHAnsi"/>
          <w:color w:val="000000" w:themeColor="text1"/>
          <w:highlight w:val="yellow"/>
        </w:rPr>
        <w:t xml:space="preserve"> 10</w:t>
      </w:r>
      <w:r w:rsidRPr="007F69E4">
        <w:rPr>
          <w:rFonts w:asciiTheme="minorHAnsi" w:hAnsiTheme="minorHAnsi" w:cstheme="minorHAnsi"/>
          <w:color w:val="000000" w:themeColor="text1"/>
          <w:highlight w:val="yellow"/>
          <w:vertAlign w:val="superscript"/>
        </w:rPr>
        <w:t>7</w:t>
      </w:r>
      <w:r w:rsidRPr="007F69E4">
        <w:rPr>
          <w:rFonts w:asciiTheme="minorHAnsi" w:hAnsiTheme="minorHAnsi" w:cstheme="minorHAnsi"/>
          <w:color w:val="000000" w:themeColor="text1"/>
          <w:highlight w:val="yellow"/>
        </w:rPr>
        <w:t xml:space="preserve"> cells/mL sterile PBS.</w:t>
      </w:r>
    </w:p>
    <w:p w14:paraId="064F72BC"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7AC59E05" w14:textId="64B3C448"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 xml:space="preserve">1.10. Inject 500 µL of the above suspension intraperitoneally (i.p.) into each </w:t>
      </w:r>
      <w:r w:rsidR="00717E38" w:rsidRPr="007F69E4">
        <w:rPr>
          <w:rFonts w:asciiTheme="minorHAnsi" w:hAnsiTheme="minorHAnsi" w:cstheme="minorHAnsi"/>
          <w:color w:val="000000" w:themeColor="text1"/>
          <w:highlight w:val="yellow"/>
        </w:rPr>
        <w:t>adult (</w:t>
      </w:r>
      <w:r w:rsidR="00D56F2B" w:rsidRPr="007F69E4">
        <w:rPr>
          <w:rFonts w:asciiTheme="minorHAnsi" w:hAnsiTheme="minorHAnsi" w:cstheme="minorHAnsi"/>
          <w:color w:val="000000" w:themeColor="text1"/>
          <w:highlight w:val="yellow"/>
        </w:rPr>
        <w:t xml:space="preserve">6-12-week-old) </w:t>
      </w:r>
      <w:r w:rsidR="00451503" w:rsidRPr="007F69E4">
        <w:rPr>
          <w:rFonts w:asciiTheme="minorHAnsi" w:hAnsiTheme="minorHAnsi" w:cstheme="minorHAnsi"/>
          <w:color w:val="000000" w:themeColor="text1"/>
          <w:highlight w:val="yellow"/>
        </w:rPr>
        <w:t xml:space="preserve">male or female </w:t>
      </w:r>
      <w:r w:rsidRPr="007F69E4">
        <w:rPr>
          <w:rFonts w:asciiTheme="minorHAnsi" w:hAnsiTheme="minorHAnsi" w:cstheme="minorHAnsi"/>
          <w:color w:val="000000" w:themeColor="text1"/>
          <w:highlight w:val="yellow"/>
        </w:rPr>
        <w:t>C57BL/6 mouse.</w:t>
      </w:r>
      <w:bookmarkStart w:id="2" w:name="_Hlk507596413"/>
      <w:bookmarkEnd w:id="1"/>
    </w:p>
    <w:p w14:paraId="0A4C1EE7" w14:textId="77777777" w:rsidR="00016D51" w:rsidRPr="007F69E4" w:rsidRDefault="00016D51" w:rsidP="00655DD5">
      <w:pPr>
        <w:rPr>
          <w:rFonts w:asciiTheme="minorHAnsi" w:hAnsiTheme="minorHAnsi" w:cstheme="minorHAnsi"/>
          <w:b/>
          <w:color w:val="000000" w:themeColor="text1"/>
          <w:highlight w:val="yellow"/>
        </w:rPr>
      </w:pPr>
    </w:p>
    <w:p w14:paraId="254A4BC7" w14:textId="5BC4B9CF"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b/>
          <w:color w:val="000000" w:themeColor="text1"/>
        </w:rPr>
        <w:t xml:space="preserve">2. Treatment </w:t>
      </w:r>
      <w:r w:rsidR="00C55128" w:rsidRPr="007F69E4">
        <w:rPr>
          <w:rFonts w:asciiTheme="minorHAnsi" w:hAnsiTheme="minorHAnsi" w:cstheme="minorHAnsi"/>
          <w:b/>
          <w:color w:val="000000" w:themeColor="text1"/>
        </w:rPr>
        <w:t>R</w:t>
      </w:r>
      <w:r w:rsidRPr="007F69E4">
        <w:rPr>
          <w:rFonts w:asciiTheme="minorHAnsi" w:hAnsiTheme="minorHAnsi" w:cstheme="minorHAnsi"/>
          <w:b/>
          <w:color w:val="000000" w:themeColor="text1"/>
        </w:rPr>
        <w:t>egimens</w:t>
      </w:r>
      <w:r w:rsidRPr="007F69E4">
        <w:rPr>
          <w:rFonts w:asciiTheme="minorHAnsi" w:hAnsiTheme="minorHAnsi" w:cstheme="minorHAnsi"/>
          <w:b/>
          <w:color w:val="000000" w:themeColor="text1"/>
          <w:highlight w:val="yellow"/>
        </w:rPr>
        <w:t xml:space="preserve"> </w:t>
      </w:r>
    </w:p>
    <w:p w14:paraId="2E49CC30"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602B1E6F" w14:textId="28759123"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b/>
          <w:color w:val="000000" w:themeColor="text1"/>
        </w:rPr>
        <w:t xml:space="preserve">2.1. </w:t>
      </w:r>
      <w:r w:rsidR="00B52DF7" w:rsidRPr="007F69E4">
        <w:rPr>
          <w:rFonts w:asciiTheme="minorHAnsi" w:hAnsiTheme="minorHAnsi" w:cstheme="minorHAnsi"/>
          <w:b/>
          <w:color w:val="000000" w:themeColor="text1"/>
        </w:rPr>
        <w:t>T</w:t>
      </w:r>
      <w:r w:rsidRPr="007F69E4">
        <w:rPr>
          <w:rFonts w:asciiTheme="minorHAnsi" w:hAnsiTheme="minorHAnsi" w:cstheme="minorHAnsi"/>
          <w:b/>
          <w:color w:val="000000" w:themeColor="text1"/>
        </w:rPr>
        <w:t xml:space="preserve">reatment </w:t>
      </w:r>
      <w:r w:rsidR="00F727E3" w:rsidRPr="007F69E4">
        <w:rPr>
          <w:rFonts w:asciiTheme="minorHAnsi" w:hAnsiTheme="minorHAnsi" w:cstheme="minorHAnsi"/>
          <w:b/>
          <w:color w:val="000000" w:themeColor="text1"/>
        </w:rPr>
        <w:t>R</w:t>
      </w:r>
      <w:r w:rsidRPr="007F69E4">
        <w:rPr>
          <w:rFonts w:asciiTheme="minorHAnsi" w:hAnsiTheme="minorHAnsi" w:cstheme="minorHAnsi"/>
          <w:b/>
          <w:color w:val="000000" w:themeColor="text1"/>
        </w:rPr>
        <w:t xml:space="preserve">egimen to </w:t>
      </w:r>
      <w:r w:rsidR="00F727E3" w:rsidRPr="007F69E4">
        <w:rPr>
          <w:rFonts w:asciiTheme="minorHAnsi" w:hAnsiTheme="minorHAnsi" w:cstheme="minorHAnsi"/>
          <w:b/>
          <w:color w:val="000000" w:themeColor="text1"/>
        </w:rPr>
        <w:t>E</w:t>
      </w:r>
      <w:r w:rsidRPr="007F69E4">
        <w:rPr>
          <w:rFonts w:asciiTheme="minorHAnsi" w:hAnsiTheme="minorHAnsi" w:cstheme="minorHAnsi"/>
          <w:b/>
          <w:color w:val="000000" w:themeColor="text1"/>
        </w:rPr>
        <w:t xml:space="preserve">xamine the </w:t>
      </w:r>
      <w:r w:rsidR="00F727E3" w:rsidRPr="007F69E4">
        <w:rPr>
          <w:rFonts w:asciiTheme="minorHAnsi" w:hAnsiTheme="minorHAnsi" w:cstheme="minorHAnsi"/>
          <w:b/>
          <w:color w:val="000000" w:themeColor="text1"/>
        </w:rPr>
        <w:t>C</w:t>
      </w:r>
      <w:r w:rsidRPr="007F69E4">
        <w:rPr>
          <w:rFonts w:asciiTheme="minorHAnsi" w:hAnsiTheme="minorHAnsi" w:cstheme="minorHAnsi"/>
          <w:b/>
          <w:color w:val="000000" w:themeColor="text1"/>
        </w:rPr>
        <w:t xml:space="preserve">ontribution of </w:t>
      </w:r>
      <w:proofErr w:type="spellStart"/>
      <w:r w:rsidRPr="007F69E4">
        <w:rPr>
          <w:rFonts w:asciiTheme="minorHAnsi" w:hAnsiTheme="minorHAnsi" w:cstheme="minorHAnsi"/>
          <w:b/>
          <w:color w:val="000000" w:themeColor="text1"/>
        </w:rPr>
        <w:t>nTreg</w:t>
      </w:r>
      <w:proofErr w:type="spellEnd"/>
      <w:r w:rsidRPr="007F69E4">
        <w:rPr>
          <w:rFonts w:asciiTheme="minorHAnsi" w:hAnsiTheme="minorHAnsi" w:cstheme="minorHAnsi"/>
          <w:b/>
          <w:color w:val="000000" w:themeColor="text1"/>
        </w:rPr>
        <w:t xml:space="preserve"> </w:t>
      </w:r>
      <w:r w:rsidR="00F727E3" w:rsidRPr="007F69E4">
        <w:rPr>
          <w:rFonts w:asciiTheme="minorHAnsi" w:hAnsiTheme="minorHAnsi" w:cstheme="minorHAnsi"/>
          <w:b/>
          <w:color w:val="000000" w:themeColor="text1"/>
        </w:rPr>
        <w:t>C</w:t>
      </w:r>
      <w:r w:rsidRPr="007F69E4">
        <w:rPr>
          <w:rFonts w:asciiTheme="minorHAnsi" w:hAnsiTheme="minorHAnsi" w:cstheme="minorHAnsi"/>
          <w:b/>
          <w:color w:val="000000" w:themeColor="text1"/>
        </w:rPr>
        <w:t>ells to T</w:t>
      </w:r>
      <w:r w:rsidRPr="007F69E4">
        <w:rPr>
          <w:rFonts w:asciiTheme="minorHAnsi" w:hAnsiTheme="minorHAnsi" w:cstheme="minorHAnsi"/>
          <w:b/>
          <w:color w:val="000000" w:themeColor="text1"/>
          <w:vertAlign w:val="subscript"/>
        </w:rPr>
        <w:t>CD8</w:t>
      </w:r>
      <w:r w:rsidRPr="007F69E4">
        <w:rPr>
          <w:rFonts w:asciiTheme="minorHAnsi" w:hAnsiTheme="minorHAnsi" w:cstheme="minorHAnsi"/>
          <w:b/>
          <w:color w:val="000000" w:themeColor="text1"/>
        </w:rPr>
        <w:t xml:space="preserve"> </w:t>
      </w:r>
      <w:r w:rsidR="00F727E3" w:rsidRPr="007F69E4">
        <w:rPr>
          <w:rFonts w:asciiTheme="minorHAnsi" w:hAnsiTheme="minorHAnsi" w:cstheme="minorHAnsi"/>
          <w:b/>
          <w:color w:val="000000" w:themeColor="text1"/>
        </w:rPr>
        <w:t>I</w:t>
      </w:r>
      <w:r w:rsidRPr="007F69E4">
        <w:rPr>
          <w:rFonts w:asciiTheme="minorHAnsi" w:hAnsiTheme="minorHAnsi" w:cstheme="minorHAnsi"/>
          <w:b/>
          <w:color w:val="000000" w:themeColor="text1"/>
        </w:rPr>
        <w:t>mmunodominance</w:t>
      </w:r>
      <w:r w:rsidRPr="007F69E4">
        <w:rPr>
          <w:rFonts w:asciiTheme="minorHAnsi" w:hAnsiTheme="minorHAnsi" w:cstheme="minorHAnsi"/>
          <w:b/>
          <w:color w:val="000000" w:themeColor="text1"/>
          <w:highlight w:val="yellow"/>
        </w:rPr>
        <w:t xml:space="preserve"> </w:t>
      </w:r>
    </w:p>
    <w:p w14:paraId="2B62FA71" w14:textId="77777777" w:rsidR="00E44D96" w:rsidRPr="007F69E4" w:rsidRDefault="00E44D96" w:rsidP="00655DD5">
      <w:pPr>
        <w:widowControl/>
        <w:autoSpaceDE/>
        <w:autoSpaceDN/>
        <w:adjustRightInd/>
        <w:rPr>
          <w:rFonts w:asciiTheme="minorHAnsi" w:hAnsiTheme="minorHAnsi" w:cstheme="minorHAnsi"/>
          <w:color w:val="000000" w:themeColor="text1"/>
        </w:rPr>
      </w:pPr>
    </w:p>
    <w:p w14:paraId="713B6FB9" w14:textId="281E77F8" w:rsidR="00016D51" w:rsidRPr="007F69E4" w:rsidRDefault="00016D51" w:rsidP="00655DD5">
      <w:pPr>
        <w:widowControl/>
        <w:autoSpaceDE/>
        <w:autoSpaceDN/>
        <w:adjustRightInd/>
        <w:rPr>
          <w:rFonts w:asciiTheme="minorHAnsi" w:hAnsiTheme="minorHAnsi" w:cstheme="minorHAnsi"/>
          <w:color w:val="000000" w:themeColor="text1"/>
        </w:rPr>
      </w:pPr>
      <w:r w:rsidRPr="007F69E4">
        <w:rPr>
          <w:rFonts w:asciiTheme="minorHAnsi" w:hAnsiTheme="minorHAnsi" w:cstheme="minorHAnsi"/>
          <w:color w:val="000000" w:themeColor="text1"/>
        </w:rPr>
        <w:t>2.1.1. Four days before in vivo priming of C57BL/6 mice with C57SV cells (step 1.10), inject each animal once i.p. with 0.5 mg of a low-endotoxin, azide-free anti-CD25 monoclonal antibody (mAb) (clone PC-61.5.3), which depletes nTreg cells, or with a rat IgG1 isotype control (e.g., clone KLH/G1-2-2, clone HRPN</w:t>
      </w:r>
      <w:r w:rsidR="00CF7384" w:rsidRPr="007F69E4">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or clone TNP6A7).</w:t>
      </w:r>
    </w:p>
    <w:p w14:paraId="33ED1F04" w14:textId="77777777" w:rsidR="00B65A6F" w:rsidRPr="007F69E4" w:rsidRDefault="00B65A6F" w:rsidP="00655DD5">
      <w:pPr>
        <w:widowControl/>
        <w:autoSpaceDE/>
        <w:autoSpaceDN/>
        <w:adjustRightInd/>
        <w:rPr>
          <w:rFonts w:asciiTheme="minorHAnsi" w:hAnsiTheme="minorHAnsi" w:cstheme="minorHAnsi"/>
          <w:color w:val="000000" w:themeColor="text1"/>
          <w:u w:val="single"/>
        </w:rPr>
      </w:pPr>
    </w:p>
    <w:p w14:paraId="1039FF86" w14:textId="7BA144E0"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b/>
          <w:color w:val="000000" w:themeColor="text1"/>
        </w:rPr>
        <w:t xml:space="preserve">2.2. </w:t>
      </w:r>
      <w:r w:rsidR="00B65A6F" w:rsidRPr="007F69E4">
        <w:rPr>
          <w:rFonts w:asciiTheme="minorHAnsi" w:hAnsiTheme="minorHAnsi" w:cstheme="minorHAnsi"/>
          <w:b/>
          <w:color w:val="000000" w:themeColor="text1"/>
        </w:rPr>
        <w:t>Treatment Regimen to T</w:t>
      </w:r>
      <w:r w:rsidRPr="007F69E4">
        <w:rPr>
          <w:rFonts w:asciiTheme="minorHAnsi" w:hAnsiTheme="minorHAnsi" w:cstheme="minorHAnsi"/>
          <w:b/>
          <w:color w:val="000000" w:themeColor="text1"/>
        </w:rPr>
        <w:t xml:space="preserve">est the </w:t>
      </w:r>
      <w:r w:rsidR="00B65A6F" w:rsidRPr="007F69E4">
        <w:rPr>
          <w:rFonts w:asciiTheme="minorHAnsi" w:hAnsiTheme="minorHAnsi" w:cstheme="minorHAnsi"/>
          <w:b/>
          <w:color w:val="000000" w:themeColor="text1"/>
        </w:rPr>
        <w:t xml:space="preserve">In Vivo Significance </w:t>
      </w:r>
      <w:r w:rsidRPr="007F69E4">
        <w:rPr>
          <w:rFonts w:asciiTheme="minorHAnsi" w:hAnsiTheme="minorHAnsi" w:cstheme="minorHAnsi"/>
          <w:b/>
          <w:color w:val="000000" w:themeColor="text1"/>
        </w:rPr>
        <w:t xml:space="preserve">of PD-1-PD-L1(2) </w:t>
      </w:r>
      <w:r w:rsidR="00B65A6F" w:rsidRPr="007F69E4">
        <w:rPr>
          <w:rFonts w:asciiTheme="minorHAnsi" w:hAnsiTheme="minorHAnsi" w:cstheme="minorHAnsi"/>
          <w:b/>
          <w:color w:val="000000" w:themeColor="text1"/>
        </w:rPr>
        <w:t>I</w:t>
      </w:r>
      <w:r w:rsidRPr="007F69E4">
        <w:rPr>
          <w:rFonts w:asciiTheme="minorHAnsi" w:hAnsiTheme="minorHAnsi" w:cstheme="minorHAnsi"/>
          <w:b/>
          <w:color w:val="000000" w:themeColor="text1"/>
        </w:rPr>
        <w:t xml:space="preserve">nteractions in </w:t>
      </w:r>
      <w:r w:rsidR="00B65A6F" w:rsidRPr="007F69E4">
        <w:rPr>
          <w:rFonts w:asciiTheme="minorHAnsi" w:hAnsiTheme="minorHAnsi" w:cstheme="minorHAnsi"/>
          <w:b/>
          <w:color w:val="000000" w:themeColor="text1"/>
        </w:rPr>
        <w:t>S</w:t>
      </w:r>
      <w:r w:rsidRPr="007F69E4">
        <w:rPr>
          <w:rFonts w:asciiTheme="minorHAnsi" w:hAnsiTheme="minorHAnsi" w:cstheme="minorHAnsi"/>
          <w:b/>
          <w:color w:val="000000" w:themeColor="text1"/>
        </w:rPr>
        <w:t>haping T</w:t>
      </w:r>
      <w:r w:rsidRPr="007F69E4">
        <w:rPr>
          <w:rFonts w:asciiTheme="minorHAnsi" w:hAnsiTheme="minorHAnsi" w:cstheme="minorHAnsi"/>
          <w:b/>
          <w:color w:val="000000" w:themeColor="text1"/>
          <w:vertAlign w:val="subscript"/>
        </w:rPr>
        <w:t>CD8</w:t>
      </w:r>
      <w:r w:rsidRPr="007F69E4">
        <w:rPr>
          <w:rFonts w:asciiTheme="minorHAnsi" w:hAnsiTheme="minorHAnsi" w:cstheme="minorHAnsi"/>
          <w:b/>
          <w:color w:val="000000" w:themeColor="text1"/>
        </w:rPr>
        <w:t xml:space="preserve"> </w:t>
      </w:r>
      <w:r w:rsidR="00B65A6F" w:rsidRPr="007F69E4">
        <w:rPr>
          <w:rFonts w:asciiTheme="minorHAnsi" w:hAnsiTheme="minorHAnsi" w:cstheme="minorHAnsi"/>
          <w:b/>
          <w:color w:val="000000" w:themeColor="text1"/>
        </w:rPr>
        <w:t>I</w:t>
      </w:r>
      <w:r w:rsidRPr="007F69E4">
        <w:rPr>
          <w:rFonts w:asciiTheme="minorHAnsi" w:hAnsiTheme="minorHAnsi" w:cstheme="minorHAnsi"/>
          <w:b/>
          <w:color w:val="000000" w:themeColor="text1"/>
        </w:rPr>
        <w:t>mmunodominance</w:t>
      </w:r>
    </w:p>
    <w:p w14:paraId="1C0C8023"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p>
    <w:p w14:paraId="269C8AFE" w14:textId="48E6BE0A"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color w:val="000000" w:themeColor="text1"/>
        </w:rPr>
        <w:t>2.2.1.</w:t>
      </w:r>
      <w:r w:rsidRPr="007F69E4">
        <w:rPr>
          <w:rFonts w:asciiTheme="minorHAnsi" w:hAnsiTheme="minorHAnsi" w:cstheme="minorHAnsi"/>
          <w:b/>
          <w:color w:val="000000" w:themeColor="text1"/>
        </w:rPr>
        <w:t xml:space="preserve"> </w:t>
      </w:r>
      <w:r w:rsidRPr="007F69E4">
        <w:rPr>
          <w:rFonts w:asciiTheme="minorHAnsi" w:hAnsiTheme="minorHAnsi" w:cstheme="minorHAnsi"/>
          <w:color w:val="000000" w:themeColor="text1"/>
        </w:rPr>
        <w:t xml:space="preserve">Inject C57BL/6 mice i.p. with 100 </w:t>
      </w:r>
      <w:r w:rsidR="00592AE8" w:rsidRPr="007F69E4">
        <w:rPr>
          <w:rFonts w:asciiTheme="minorHAnsi" w:hAnsiTheme="minorHAnsi" w:cstheme="minorHAnsi"/>
          <w:color w:val="000000" w:themeColor="text1"/>
        </w:rPr>
        <w:t>µ</w:t>
      </w:r>
      <w:r w:rsidRPr="007F69E4">
        <w:rPr>
          <w:rFonts w:asciiTheme="minorHAnsi" w:hAnsiTheme="minorHAnsi" w:cstheme="minorHAnsi"/>
          <w:color w:val="000000" w:themeColor="text1"/>
        </w:rPr>
        <w:t xml:space="preserve">g of the PD-1-blocking </w:t>
      </w:r>
      <w:proofErr w:type="spellStart"/>
      <w:r w:rsidRPr="007F69E4">
        <w:rPr>
          <w:rFonts w:asciiTheme="minorHAnsi" w:hAnsiTheme="minorHAnsi" w:cstheme="minorHAnsi"/>
          <w:color w:val="000000" w:themeColor="text1"/>
        </w:rPr>
        <w:t>mAb</w:t>
      </w:r>
      <w:proofErr w:type="spellEnd"/>
      <w:r w:rsidRPr="007F69E4">
        <w:rPr>
          <w:rFonts w:asciiTheme="minorHAnsi" w:hAnsiTheme="minorHAnsi" w:cstheme="minorHAnsi"/>
          <w:color w:val="000000" w:themeColor="text1"/>
        </w:rPr>
        <w:t xml:space="preserve"> (clone RMP1-14) </w:t>
      </w:r>
      <w:r w:rsidR="00592AE8" w:rsidRPr="007F69E4">
        <w:rPr>
          <w:rFonts w:asciiTheme="minorHAnsi" w:hAnsiTheme="minorHAnsi" w:cstheme="minorHAnsi"/>
          <w:color w:val="000000" w:themeColor="text1"/>
        </w:rPr>
        <w:t xml:space="preserve">2 </w:t>
      </w:r>
      <w:r w:rsidRPr="007F69E4">
        <w:rPr>
          <w:rFonts w:asciiTheme="minorHAnsi" w:hAnsiTheme="minorHAnsi" w:cstheme="minorHAnsi"/>
          <w:color w:val="000000" w:themeColor="text1"/>
        </w:rPr>
        <w:t>h before as well as 3 and 6 days after inoculation of mice with C57SV cells (step 1.10). Follow the same timeline to inject control animals with a rat IgG2a isotype control (e.g., clone 2A3).</w:t>
      </w:r>
      <w:r w:rsidRPr="007F69E4">
        <w:rPr>
          <w:rFonts w:asciiTheme="minorHAnsi" w:hAnsiTheme="minorHAnsi" w:cstheme="minorHAnsi"/>
          <w:color w:val="000000" w:themeColor="text1"/>
          <w:highlight w:val="yellow"/>
        </w:rPr>
        <w:t xml:space="preserve"> </w:t>
      </w:r>
    </w:p>
    <w:bookmarkEnd w:id="2"/>
    <w:p w14:paraId="779AEB8F" w14:textId="77777777" w:rsidR="00592AE8" w:rsidRPr="007F69E4" w:rsidRDefault="00592AE8" w:rsidP="00655DD5">
      <w:pPr>
        <w:rPr>
          <w:rFonts w:asciiTheme="minorHAnsi" w:hAnsiTheme="minorHAnsi" w:cstheme="minorHAnsi"/>
          <w:b/>
          <w:color w:val="000000" w:themeColor="text1"/>
        </w:rPr>
      </w:pPr>
    </w:p>
    <w:p w14:paraId="5E8D08AA" w14:textId="40CA3AFF" w:rsidR="00016D51" w:rsidRPr="007F69E4" w:rsidRDefault="00121174"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NOTE: </w:t>
      </w:r>
      <w:r w:rsidR="00016D51" w:rsidRPr="007F69E4">
        <w:rPr>
          <w:rFonts w:asciiTheme="minorHAnsi" w:hAnsiTheme="minorHAnsi" w:cstheme="minorHAnsi"/>
          <w:color w:val="000000" w:themeColor="text1"/>
        </w:rPr>
        <w:t>The engagement of PD-1 by PD-L1 often, but not always, mediates the co-inhibition and/or exhaustion of Ag-specific T</w:t>
      </w:r>
      <w:r w:rsidR="00016D51" w:rsidRPr="007F69E4">
        <w:rPr>
          <w:rFonts w:asciiTheme="minorHAnsi" w:hAnsiTheme="minorHAnsi" w:cstheme="minorHAnsi"/>
          <w:color w:val="000000" w:themeColor="text1"/>
          <w:vertAlign w:val="subscript"/>
        </w:rPr>
        <w:t>CD8</w:t>
      </w:r>
      <w:r w:rsidR="00016D51" w:rsidRPr="007F69E4">
        <w:rPr>
          <w:rFonts w:asciiTheme="minorHAnsi" w:hAnsiTheme="minorHAnsi" w:cstheme="minorHAnsi"/>
          <w:color w:val="000000" w:themeColor="text1"/>
        </w:rPr>
        <w:t xml:space="preserve">. Therefore, treatment with anti-PD-1 can be performed in parallel with administration of anti-PD-L1 and anti-PD-L2 mAbs to reveal the exact intercellular interaction involved in a biological phenomenon. </w:t>
      </w:r>
    </w:p>
    <w:p w14:paraId="63924C27" w14:textId="77777777" w:rsidR="00016D51" w:rsidRPr="007F69E4" w:rsidRDefault="00016D51" w:rsidP="00655DD5">
      <w:pPr>
        <w:pStyle w:val="ListParagraph"/>
        <w:widowControl/>
        <w:numPr>
          <w:ilvl w:val="0"/>
          <w:numId w:val="31"/>
        </w:numPr>
        <w:autoSpaceDE/>
        <w:autoSpaceDN/>
        <w:adjustRightInd/>
        <w:rPr>
          <w:rFonts w:asciiTheme="minorHAnsi" w:hAnsiTheme="minorHAnsi" w:cstheme="minorHAnsi"/>
          <w:vanish/>
          <w:color w:val="000000" w:themeColor="text1"/>
          <w:highlight w:val="yellow"/>
          <w:u w:val="single"/>
        </w:rPr>
      </w:pPr>
    </w:p>
    <w:p w14:paraId="7E8071AB" w14:textId="77777777" w:rsidR="00016D51" w:rsidRPr="007F69E4" w:rsidRDefault="00016D51" w:rsidP="00655DD5">
      <w:pPr>
        <w:pStyle w:val="ListParagraph"/>
        <w:widowControl/>
        <w:numPr>
          <w:ilvl w:val="1"/>
          <w:numId w:val="31"/>
        </w:numPr>
        <w:autoSpaceDE/>
        <w:autoSpaceDN/>
        <w:adjustRightInd/>
        <w:rPr>
          <w:rFonts w:asciiTheme="minorHAnsi" w:hAnsiTheme="minorHAnsi" w:cstheme="minorHAnsi"/>
          <w:vanish/>
          <w:color w:val="000000" w:themeColor="text1"/>
          <w:highlight w:val="yellow"/>
          <w:u w:val="single"/>
        </w:rPr>
      </w:pPr>
    </w:p>
    <w:p w14:paraId="2095B6D7"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bookmarkStart w:id="3" w:name="_Hlk507596406"/>
    </w:p>
    <w:p w14:paraId="2A942A8D" w14:textId="0F59555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b/>
          <w:color w:val="000000" w:themeColor="text1"/>
          <w:highlight w:val="yellow"/>
        </w:rPr>
        <w:t xml:space="preserve">3. Preparation of </w:t>
      </w:r>
      <w:r w:rsidR="00121174" w:rsidRPr="007F69E4">
        <w:rPr>
          <w:rFonts w:asciiTheme="minorHAnsi" w:hAnsiTheme="minorHAnsi" w:cstheme="minorHAnsi"/>
          <w:b/>
          <w:color w:val="000000" w:themeColor="text1"/>
          <w:highlight w:val="yellow"/>
        </w:rPr>
        <w:t xml:space="preserve">Target Splenocytes </w:t>
      </w:r>
    </w:p>
    <w:p w14:paraId="113131E7" w14:textId="77777777" w:rsidR="00016D51" w:rsidRPr="007F69E4" w:rsidRDefault="00016D51" w:rsidP="00655DD5">
      <w:pPr>
        <w:pStyle w:val="ListParagraph"/>
        <w:ind w:left="0"/>
        <w:rPr>
          <w:rFonts w:asciiTheme="minorHAnsi" w:hAnsiTheme="minorHAnsi" w:cstheme="minorHAnsi"/>
          <w:b/>
          <w:color w:val="000000" w:themeColor="text1"/>
          <w:highlight w:val="yellow"/>
        </w:rPr>
      </w:pPr>
      <w:bookmarkStart w:id="4" w:name="_Hlk507596399"/>
      <w:bookmarkEnd w:id="3"/>
    </w:p>
    <w:p w14:paraId="275413C1" w14:textId="230DDFDC"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bookmarkStart w:id="5" w:name="_Hlk507596394"/>
      <w:bookmarkEnd w:id="4"/>
      <w:r w:rsidRPr="007F69E4">
        <w:rPr>
          <w:rFonts w:asciiTheme="minorHAnsi" w:hAnsiTheme="minorHAnsi" w:cstheme="minorHAnsi"/>
          <w:color w:val="000000" w:themeColor="text1"/>
        </w:rPr>
        <w:t>3.1. Euthanize sex-matched naïve C57BL/6 mice</w:t>
      </w:r>
      <w:r w:rsidR="00083E15" w:rsidRPr="007F69E4">
        <w:rPr>
          <w:rFonts w:asciiTheme="minorHAnsi" w:hAnsiTheme="minorHAnsi" w:cstheme="minorHAnsi"/>
          <w:color w:val="000000" w:themeColor="text1"/>
        </w:rPr>
        <w:t xml:space="preserve"> (</w:t>
      </w:r>
      <w:r w:rsidR="00634054" w:rsidRPr="007F69E4">
        <w:rPr>
          <w:rFonts w:asciiTheme="minorHAnsi" w:hAnsiTheme="minorHAnsi" w:cstheme="minorHAnsi"/>
          <w:color w:val="000000" w:themeColor="text1"/>
        </w:rPr>
        <w:t>6-12 weeks of age</w:t>
      </w:r>
      <w:r w:rsidR="00083E15" w:rsidRPr="007F69E4">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that will serve as splenocyte donors</w:t>
      </w:r>
      <w:r w:rsidR="00467D5D" w:rsidRPr="007F69E4">
        <w:rPr>
          <w:rFonts w:asciiTheme="minorHAnsi" w:hAnsiTheme="minorHAnsi" w:cstheme="minorHAnsi"/>
          <w:color w:val="000000" w:themeColor="text1"/>
        </w:rPr>
        <w:t xml:space="preserve"> by cervical dislocation</w:t>
      </w:r>
      <w:r w:rsidRPr="007F69E4">
        <w:rPr>
          <w:rFonts w:asciiTheme="minorHAnsi" w:hAnsiTheme="minorHAnsi" w:cstheme="minorHAnsi"/>
          <w:color w:val="000000" w:themeColor="text1"/>
        </w:rPr>
        <w:t xml:space="preserve">. </w:t>
      </w:r>
      <w:r w:rsidRPr="007F69E4">
        <w:rPr>
          <w:rFonts w:asciiTheme="minorHAnsi" w:hAnsiTheme="minorHAnsi" w:cstheme="minorHAnsi"/>
          <w:color w:val="000000" w:themeColor="text1"/>
          <w:highlight w:val="yellow"/>
        </w:rPr>
        <w:t xml:space="preserve"> </w:t>
      </w:r>
    </w:p>
    <w:p w14:paraId="5F86ACBA"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4C9D3EB3"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3.2. Position each mouse with its abdomen facing up inside a biological safety cabinet. Spray the skin with 70% (v/v) EtOH. Using sterile forceps and scissors, lift the skin and make a small ventral midline incision. Then, cut the skin in a cross-like fashion to expose the peritoneum. </w:t>
      </w:r>
    </w:p>
    <w:p w14:paraId="477B3EC8"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5E244BC2"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3.3. Using forceps, pull up the peritoneum in a tent-like fashion without snatching any of the internal organs. Cut the peritoneum open to expose the peritoneal cavity and gently remove the spleen.</w:t>
      </w:r>
    </w:p>
    <w:p w14:paraId="317B27CC"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5CB27A2D" w14:textId="37B3DC94"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3.4. Place the spleen(s) inside a 15</w:t>
      </w:r>
      <w:r w:rsidR="00121174"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mL Dounce tissue grinder containing 5 mL of sterile PBS. Apply manual pressure using the grinder’s glass plunger until the splenic tissue dissipates into a red homogenous cell suspension.</w:t>
      </w:r>
      <w:r w:rsidRPr="007F69E4">
        <w:rPr>
          <w:rFonts w:asciiTheme="minorHAnsi" w:hAnsiTheme="minorHAnsi" w:cstheme="minorHAnsi"/>
          <w:color w:val="000000" w:themeColor="text1"/>
        </w:rPr>
        <w:t xml:space="preserve"> </w:t>
      </w:r>
    </w:p>
    <w:p w14:paraId="4605EB9C"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6C2CA2A6" w14:textId="5E6E69B9" w:rsidR="00016D51" w:rsidRPr="007F69E4" w:rsidRDefault="008F3DDF"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lastRenderedPageBreak/>
        <w:t>NOTE</w:t>
      </w:r>
      <w:r w:rsidR="00016D51" w:rsidRPr="007F69E4">
        <w:rPr>
          <w:rFonts w:asciiTheme="minorHAnsi" w:hAnsiTheme="minorHAnsi" w:cstheme="minorHAnsi"/>
          <w:color w:val="000000" w:themeColor="text1"/>
        </w:rPr>
        <w:t>: Depending on the number of recipient animals per experimental group, several donor mouse spleens may be needed for target cell preparation. Up to 3 spleens can be homogenized together inside a 15</w:t>
      </w:r>
      <w:r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mL grinder.</w:t>
      </w:r>
    </w:p>
    <w:p w14:paraId="19242DCB" w14:textId="77777777" w:rsidR="00042076" w:rsidRPr="007F69E4" w:rsidRDefault="00042076" w:rsidP="00655DD5">
      <w:pPr>
        <w:pStyle w:val="ListParagraph"/>
        <w:widowControl/>
        <w:autoSpaceDE/>
        <w:autoSpaceDN/>
        <w:adjustRightInd/>
        <w:ind w:left="0"/>
        <w:rPr>
          <w:rFonts w:asciiTheme="minorHAnsi" w:hAnsiTheme="minorHAnsi" w:cstheme="minorHAnsi"/>
          <w:color w:val="000000" w:themeColor="text1"/>
          <w:highlight w:val="yellow"/>
        </w:rPr>
      </w:pPr>
    </w:p>
    <w:p w14:paraId="0768B87D" w14:textId="365D3614"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3.5. Transfer the homogenate into a 15</w:t>
      </w:r>
      <w:r w:rsidR="00924A2D"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 xml:space="preserve">mL tube. Spin down the tube at 400 x </w:t>
      </w:r>
      <w:r w:rsidRPr="007F69E4">
        <w:rPr>
          <w:rFonts w:asciiTheme="minorHAnsi" w:hAnsiTheme="minorHAnsi" w:cstheme="minorHAnsi"/>
          <w:i/>
          <w:color w:val="000000" w:themeColor="text1"/>
          <w:highlight w:val="yellow"/>
        </w:rPr>
        <w:t>g</w:t>
      </w:r>
      <w:r w:rsidRPr="007F69E4">
        <w:rPr>
          <w:rFonts w:asciiTheme="minorHAnsi" w:hAnsiTheme="minorHAnsi" w:cstheme="minorHAnsi"/>
          <w:color w:val="000000" w:themeColor="text1"/>
          <w:highlight w:val="yellow"/>
        </w:rPr>
        <w:t xml:space="preserve"> for 5 min at 4</w:t>
      </w:r>
      <w:r w:rsidR="005474A2"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C.</w:t>
      </w:r>
    </w:p>
    <w:p w14:paraId="577A4264"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0851CBE6" w14:textId="4766F239"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 xml:space="preserve">3.6. Discard the supernatant. Resuspend pelleted cells </w:t>
      </w:r>
      <w:bookmarkStart w:id="6" w:name="_Hlk507596386"/>
      <w:bookmarkEnd w:id="5"/>
      <w:r w:rsidRPr="007F69E4">
        <w:rPr>
          <w:rFonts w:asciiTheme="minorHAnsi" w:hAnsiTheme="minorHAnsi" w:cstheme="minorHAnsi"/>
          <w:color w:val="000000" w:themeColor="text1"/>
          <w:highlight w:val="yellow"/>
        </w:rPr>
        <w:t xml:space="preserve">in 4 mL of </w:t>
      </w:r>
      <w:r w:rsidR="00063298" w:rsidRPr="007F69E4">
        <w:rPr>
          <w:rFonts w:asciiTheme="minorHAnsi" w:hAnsiTheme="minorHAnsi" w:cstheme="minorHAnsi"/>
          <w:color w:val="000000" w:themeColor="text1"/>
          <w:highlight w:val="yellow"/>
        </w:rPr>
        <w:t xml:space="preserve">ammonium-chloride-potassium </w:t>
      </w:r>
      <w:r w:rsidRPr="007F69E4">
        <w:rPr>
          <w:rFonts w:asciiTheme="minorHAnsi" w:hAnsiTheme="minorHAnsi" w:cstheme="minorHAnsi"/>
          <w:color w:val="000000" w:themeColor="text1"/>
          <w:highlight w:val="yellow"/>
        </w:rPr>
        <w:t xml:space="preserve">(ACK) </w:t>
      </w:r>
      <w:r w:rsidR="00063298" w:rsidRPr="007F69E4">
        <w:rPr>
          <w:rFonts w:asciiTheme="minorHAnsi" w:hAnsiTheme="minorHAnsi" w:cstheme="minorHAnsi"/>
          <w:color w:val="000000" w:themeColor="text1"/>
          <w:highlight w:val="yellow"/>
        </w:rPr>
        <w:t>l</w:t>
      </w:r>
      <w:r w:rsidRPr="007F69E4">
        <w:rPr>
          <w:rFonts w:asciiTheme="minorHAnsi" w:hAnsiTheme="minorHAnsi" w:cstheme="minorHAnsi"/>
          <w:color w:val="000000" w:themeColor="text1"/>
          <w:highlight w:val="yellow"/>
        </w:rPr>
        <w:t xml:space="preserve">ysing </w:t>
      </w:r>
      <w:r w:rsidR="00063298" w:rsidRPr="007F69E4">
        <w:rPr>
          <w:rFonts w:asciiTheme="minorHAnsi" w:hAnsiTheme="minorHAnsi" w:cstheme="minorHAnsi"/>
          <w:color w:val="000000" w:themeColor="text1"/>
          <w:highlight w:val="yellow"/>
        </w:rPr>
        <w:t>b</w:t>
      </w:r>
      <w:r w:rsidRPr="007F69E4">
        <w:rPr>
          <w:rFonts w:asciiTheme="minorHAnsi" w:hAnsiTheme="minorHAnsi" w:cstheme="minorHAnsi"/>
          <w:color w:val="000000" w:themeColor="text1"/>
          <w:highlight w:val="yellow"/>
        </w:rPr>
        <w:t>uffer for 4 min to eliminate erythrocytes.</w:t>
      </w:r>
    </w:p>
    <w:p w14:paraId="4507FAAA"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5E2829DE" w14:textId="366ED939" w:rsidR="00016D51" w:rsidRPr="007F69E4" w:rsidRDefault="000B3778"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NOTE:</w:t>
      </w:r>
      <w:r w:rsidR="00016D51" w:rsidRPr="007F69E4">
        <w:rPr>
          <w:rFonts w:asciiTheme="minorHAnsi" w:hAnsiTheme="minorHAnsi" w:cstheme="minorHAnsi"/>
          <w:color w:val="000000" w:themeColor="text1"/>
        </w:rPr>
        <w:t xml:space="preserve"> This is a time-sensitive step. Overexposing splenocytes to ACK </w:t>
      </w:r>
      <w:r w:rsidR="00236B03" w:rsidRPr="007F69E4">
        <w:rPr>
          <w:rFonts w:asciiTheme="minorHAnsi" w:hAnsiTheme="minorHAnsi" w:cstheme="minorHAnsi"/>
          <w:color w:val="000000" w:themeColor="text1"/>
        </w:rPr>
        <w:t xml:space="preserve">lysing buffer </w:t>
      </w:r>
      <w:r w:rsidR="00016D51" w:rsidRPr="007F69E4">
        <w:rPr>
          <w:rFonts w:asciiTheme="minorHAnsi" w:hAnsiTheme="minorHAnsi" w:cstheme="minorHAnsi"/>
          <w:color w:val="000000" w:themeColor="text1"/>
        </w:rPr>
        <w:t xml:space="preserve">will increase their fragility and render them susceptible to non-specific cell death.  </w:t>
      </w:r>
    </w:p>
    <w:p w14:paraId="45DB08E2"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7EF09AC4" w14:textId="68856754"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3.7. To each tube, add 8 mL of</w:t>
      </w:r>
      <w:r w:rsidRPr="007F69E4">
        <w:rPr>
          <w:rFonts w:asciiTheme="minorHAnsi" w:hAnsiTheme="minorHAnsi" w:cstheme="minorHAnsi"/>
          <w:color w:val="000000" w:themeColor="text1"/>
        </w:rPr>
        <w:t xml:space="preserve"> RPMI 1640 medium containing 10% heat-inactivated FBS, </w:t>
      </w:r>
      <w:r w:rsidR="00AA77A0" w:rsidRPr="007F69E4">
        <w:rPr>
          <w:rFonts w:asciiTheme="minorHAnsi" w:hAnsiTheme="minorHAnsi" w:cstheme="minorHAnsi"/>
          <w:color w:val="000000" w:themeColor="text1"/>
        </w:rPr>
        <w:t xml:space="preserve">L-alanyl-L-glutamine, </w:t>
      </w:r>
      <w:r w:rsidRPr="007F69E4">
        <w:rPr>
          <w:rFonts w:asciiTheme="minorHAnsi" w:hAnsiTheme="minorHAnsi" w:cstheme="minorHAnsi"/>
          <w:color w:val="000000" w:themeColor="text1"/>
        </w:rPr>
        <w:t xml:space="preserve">0.1 mM </w:t>
      </w:r>
      <w:r w:rsidR="00B95E09" w:rsidRPr="007F69E4">
        <w:rPr>
          <w:rFonts w:asciiTheme="minorHAnsi" w:hAnsiTheme="minorHAnsi" w:cstheme="minorHAnsi"/>
          <w:color w:val="000000" w:themeColor="text1"/>
        </w:rPr>
        <w:t>minimum essential media (MEM)</w:t>
      </w:r>
      <w:r w:rsidR="003724AC" w:rsidRPr="007F69E4">
        <w:rPr>
          <w:rFonts w:asciiTheme="minorHAnsi" w:hAnsiTheme="minorHAnsi" w:cstheme="minorHAnsi"/>
          <w:color w:val="000000" w:themeColor="text1"/>
        </w:rPr>
        <w:t xml:space="preserve"> </w:t>
      </w:r>
      <w:r w:rsidRPr="007F69E4">
        <w:rPr>
          <w:rFonts w:asciiTheme="minorHAnsi" w:hAnsiTheme="minorHAnsi" w:cstheme="minorHAnsi"/>
          <w:color w:val="000000" w:themeColor="text1"/>
        </w:rPr>
        <w:t>nonessential amino acids, 1 mM sodium pyruvate, 10 mM HEPES, and 1</w:t>
      </w:r>
      <w:r w:rsidR="00E9093C" w:rsidRPr="007F69E4">
        <w:rPr>
          <w:rFonts w:asciiTheme="minorHAnsi" w:hAnsiTheme="minorHAnsi" w:cstheme="minorHAnsi"/>
          <w:color w:val="000000" w:themeColor="text1"/>
        </w:rPr>
        <w:t>x</w:t>
      </w:r>
      <w:r w:rsidRPr="007F69E4">
        <w:rPr>
          <w:rFonts w:asciiTheme="minorHAnsi" w:hAnsiTheme="minorHAnsi" w:cstheme="minorHAnsi"/>
          <w:color w:val="000000" w:themeColor="text1"/>
        </w:rPr>
        <w:t xml:space="preserve"> </w:t>
      </w:r>
      <w:r w:rsidR="00E9093C" w:rsidRPr="007F69E4">
        <w:rPr>
          <w:rFonts w:asciiTheme="minorHAnsi" w:hAnsiTheme="minorHAnsi" w:cstheme="minorHAnsi"/>
          <w:color w:val="000000" w:themeColor="text1"/>
        </w:rPr>
        <w:t>p</w:t>
      </w:r>
      <w:r w:rsidRPr="007F69E4">
        <w:rPr>
          <w:rFonts w:asciiTheme="minorHAnsi" w:hAnsiTheme="minorHAnsi" w:cstheme="minorHAnsi"/>
          <w:color w:val="000000" w:themeColor="text1"/>
        </w:rPr>
        <w:t>enicillin/</w:t>
      </w:r>
      <w:r w:rsidR="00E9093C" w:rsidRPr="007F69E4">
        <w:rPr>
          <w:rFonts w:asciiTheme="minorHAnsi" w:hAnsiTheme="minorHAnsi" w:cstheme="minorHAnsi"/>
          <w:color w:val="000000" w:themeColor="text1"/>
        </w:rPr>
        <w:t>s</w:t>
      </w:r>
      <w:r w:rsidRPr="007F69E4">
        <w:rPr>
          <w:rFonts w:asciiTheme="minorHAnsi" w:hAnsiTheme="minorHAnsi" w:cstheme="minorHAnsi"/>
          <w:color w:val="000000" w:themeColor="text1"/>
        </w:rPr>
        <w:t xml:space="preserve">treptomycin, which will hereafter be referred to as </w:t>
      </w:r>
      <w:r w:rsidRPr="007F69E4">
        <w:rPr>
          <w:rFonts w:asciiTheme="minorHAnsi" w:hAnsiTheme="minorHAnsi" w:cstheme="minorHAnsi"/>
          <w:color w:val="000000" w:themeColor="text1"/>
          <w:highlight w:val="yellow"/>
        </w:rPr>
        <w:t>complete RPMI</w:t>
      </w:r>
      <w:r w:rsidR="00386E30" w:rsidRPr="007F69E4">
        <w:rPr>
          <w:rFonts w:asciiTheme="minorHAnsi" w:hAnsiTheme="minorHAnsi" w:cstheme="minorHAnsi"/>
          <w:color w:val="000000" w:themeColor="text1"/>
          <w:highlight w:val="yellow"/>
        </w:rPr>
        <w:t xml:space="preserve"> medium</w:t>
      </w:r>
      <w:r w:rsidRPr="007F69E4">
        <w:rPr>
          <w:rFonts w:asciiTheme="minorHAnsi" w:hAnsiTheme="minorHAnsi" w:cstheme="minorHAnsi"/>
          <w:color w:val="000000" w:themeColor="text1"/>
        </w:rPr>
        <w:t xml:space="preserve"> (</w:t>
      </w:r>
      <w:r w:rsidRPr="007F69E4">
        <w:rPr>
          <w:rFonts w:asciiTheme="minorHAnsi" w:hAnsiTheme="minorHAnsi" w:cstheme="minorHAnsi"/>
          <w:b/>
          <w:color w:val="000000" w:themeColor="text1"/>
        </w:rPr>
        <w:t>Table of Materials</w:t>
      </w:r>
      <w:r w:rsidRPr="007F69E4">
        <w:rPr>
          <w:rFonts w:asciiTheme="minorHAnsi" w:hAnsiTheme="minorHAnsi" w:cstheme="minorHAnsi"/>
          <w:color w:val="000000" w:themeColor="text1"/>
        </w:rPr>
        <w:t xml:space="preserve">).  </w:t>
      </w:r>
    </w:p>
    <w:p w14:paraId="6F6E5B25"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77AB83B6" w14:textId="440397EE"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3.8. Transfer the content through 70</w:t>
      </w:r>
      <w:r w:rsidR="00CE5502"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µm pores of a cell strainer into a new 15</w:t>
      </w:r>
      <w:r w:rsidR="00DA7AF2"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mL tube.</w:t>
      </w:r>
      <w:r w:rsidRPr="007F69E4">
        <w:rPr>
          <w:rFonts w:asciiTheme="minorHAnsi" w:hAnsiTheme="minorHAnsi" w:cstheme="minorHAnsi"/>
          <w:color w:val="000000" w:themeColor="text1"/>
        </w:rPr>
        <w:t xml:space="preserve">  </w:t>
      </w:r>
    </w:p>
    <w:p w14:paraId="09E8E544"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46B016D4" w14:textId="37AEBF3F"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3.9. Spin down the tube at 400 x </w:t>
      </w:r>
      <w:r w:rsidRPr="007F69E4">
        <w:rPr>
          <w:rFonts w:asciiTheme="minorHAnsi" w:hAnsiTheme="minorHAnsi" w:cstheme="minorHAnsi"/>
          <w:i/>
          <w:color w:val="000000" w:themeColor="text1"/>
          <w:highlight w:val="yellow"/>
        </w:rPr>
        <w:t>g</w:t>
      </w:r>
      <w:r w:rsidRPr="007F69E4">
        <w:rPr>
          <w:rFonts w:asciiTheme="minorHAnsi" w:hAnsiTheme="minorHAnsi" w:cstheme="minorHAnsi"/>
          <w:color w:val="000000" w:themeColor="text1"/>
          <w:highlight w:val="yellow"/>
        </w:rPr>
        <w:t xml:space="preserve"> for 5 min at 4</w:t>
      </w:r>
      <w:r w:rsidR="00A32384" w:rsidRPr="007F69E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 xml:space="preserve">C. </w:t>
      </w:r>
    </w:p>
    <w:p w14:paraId="6C689489"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03173D97"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3.10. Discard the supernatant. Resuspend pelleted cells in 12 mL of complete RPMI. </w:t>
      </w:r>
    </w:p>
    <w:p w14:paraId="2DA27A09"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4D307D3E"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3.11. Split the splenocyte suspension into 3 equal portions (4 mL each) in 3 separate tubes. </w:t>
      </w:r>
    </w:p>
    <w:p w14:paraId="5841996D"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67A7C5A2" w14:textId="7FD9C93B" w:rsidR="00016D51" w:rsidRPr="00520415"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520415">
        <w:rPr>
          <w:rFonts w:asciiTheme="minorHAnsi" w:hAnsiTheme="minorHAnsi" w:cstheme="minorHAnsi"/>
          <w:b/>
          <w:color w:val="000000" w:themeColor="text1"/>
          <w:highlight w:val="yellow"/>
        </w:rPr>
        <w:t xml:space="preserve">4. Coating </w:t>
      </w:r>
      <w:r w:rsidR="009558ED" w:rsidRPr="00520415">
        <w:rPr>
          <w:rFonts w:asciiTheme="minorHAnsi" w:hAnsiTheme="minorHAnsi" w:cstheme="minorHAnsi"/>
          <w:b/>
          <w:color w:val="000000" w:themeColor="text1"/>
          <w:highlight w:val="yellow"/>
        </w:rPr>
        <w:t xml:space="preserve">Target Splenocytes with Irrelevant and Cognate Peptides </w:t>
      </w:r>
    </w:p>
    <w:p w14:paraId="2A55CC4B"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p>
    <w:p w14:paraId="388B1710"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4.1. Label the tubes according to the peptides that will be used to pulse target splenocytes. Control splenocytes will be pulsed with an irrelevant peptide, and each population of cognate target splenocytes will be pulsed with a synthetic peptide corresponding to the T Ag-derived immunodominant epitope (site IV) or a subdominant T Ag epitope (site I or site II/III) (</w:t>
      </w:r>
      <w:r w:rsidRPr="007F69E4">
        <w:rPr>
          <w:rFonts w:asciiTheme="minorHAnsi" w:hAnsiTheme="minorHAnsi" w:cstheme="minorHAnsi"/>
          <w:b/>
          <w:color w:val="000000" w:themeColor="text1"/>
        </w:rPr>
        <w:t>Table 1</w:t>
      </w:r>
      <w:r w:rsidRPr="007F69E4">
        <w:rPr>
          <w:rFonts w:asciiTheme="minorHAnsi" w:hAnsiTheme="minorHAnsi" w:cstheme="minorHAnsi"/>
          <w:color w:val="000000" w:themeColor="text1"/>
        </w:rPr>
        <w:t>).</w:t>
      </w:r>
    </w:p>
    <w:p w14:paraId="4B009508"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1A4C39CF" w14:textId="598CE94E" w:rsidR="00016D51" w:rsidRPr="007F69E4" w:rsidRDefault="002544C6" w:rsidP="00655DD5">
      <w:pPr>
        <w:pStyle w:val="ListParagraph"/>
        <w:widowControl/>
        <w:autoSpaceDE/>
        <w:autoSpaceDN/>
        <w:adjustRightInd/>
        <w:ind w:left="0"/>
        <w:rPr>
          <w:rFonts w:asciiTheme="minorHAnsi" w:hAnsiTheme="minorHAnsi" w:cstheme="minorHAnsi"/>
          <w:color w:val="000000" w:themeColor="text1"/>
        </w:rPr>
      </w:pPr>
      <w:r w:rsidRPr="007F69E4">
        <w:rPr>
          <w:rFonts w:asciiTheme="minorHAnsi" w:hAnsiTheme="minorHAnsi" w:cstheme="minorHAnsi"/>
          <w:color w:val="000000" w:themeColor="text1"/>
        </w:rPr>
        <w:t xml:space="preserve">NOTE: </w:t>
      </w:r>
      <w:r w:rsidR="00016D51" w:rsidRPr="007F69E4">
        <w:rPr>
          <w:rFonts w:asciiTheme="minorHAnsi" w:hAnsiTheme="minorHAnsi" w:cstheme="minorHAnsi"/>
          <w:color w:val="000000" w:themeColor="text1"/>
        </w:rPr>
        <w:t xml:space="preserve">The choice of irrelevant peptides depends on the experimental set-up and the mouse strain used in each investigation. </w:t>
      </w:r>
      <w:r w:rsidR="003B5B12" w:rsidRPr="007F69E4">
        <w:rPr>
          <w:rFonts w:asciiTheme="minorHAnsi" w:hAnsiTheme="minorHAnsi" w:cstheme="minorHAnsi"/>
          <w:color w:val="000000" w:themeColor="text1"/>
        </w:rPr>
        <w:t xml:space="preserve">The authors </w:t>
      </w:r>
      <w:r w:rsidR="00016D51" w:rsidRPr="007F69E4">
        <w:rPr>
          <w:rFonts w:asciiTheme="minorHAnsi" w:hAnsiTheme="minorHAnsi" w:cstheme="minorHAnsi"/>
          <w:color w:val="000000" w:themeColor="text1"/>
        </w:rPr>
        <w:t>often use gB</w:t>
      </w:r>
      <w:r w:rsidR="00016D51" w:rsidRPr="007F69E4">
        <w:rPr>
          <w:rFonts w:asciiTheme="minorHAnsi" w:hAnsiTheme="minorHAnsi" w:cstheme="minorHAnsi"/>
          <w:color w:val="000000" w:themeColor="text1"/>
          <w:vertAlign w:val="subscript"/>
        </w:rPr>
        <w:t>498-505</w:t>
      </w:r>
      <w:r w:rsidR="00016D51" w:rsidRPr="007F69E4">
        <w:rPr>
          <w:rFonts w:asciiTheme="minorHAnsi" w:hAnsiTheme="minorHAnsi" w:cstheme="minorHAnsi"/>
          <w:color w:val="000000" w:themeColor="text1"/>
        </w:rPr>
        <w:t xml:space="preserve"> </w:t>
      </w:r>
      <w:r w:rsidR="001F1AF6"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an H-2K</w:t>
      </w:r>
      <w:r w:rsidR="00016D51" w:rsidRPr="007F69E4">
        <w:rPr>
          <w:rFonts w:asciiTheme="minorHAnsi" w:hAnsiTheme="minorHAnsi" w:cstheme="minorHAnsi"/>
          <w:color w:val="000000" w:themeColor="text1"/>
          <w:vertAlign w:val="superscript"/>
        </w:rPr>
        <w:t>b</w:t>
      </w:r>
      <w:r w:rsidR="00016D51" w:rsidRPr="007F69E4">
        <w:rPr>
          <w:rFonts w:asciiTheme="minorHAnsi" w:hAnsiTheme="minorHAnsi" w:cstheme="minorHAnsi"/>
          <w:color w:val="000000" w:themeColor="text1"/>
        </w:rPr>
        <w:t xml:space="preserve">-restricted immunodominant peptide epitope of herpes simplex virus </w:t>
      </w:r>
      <w:r w:rsidR="001F1AF6"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HSV</w:t>
      </w:r>
      <w:r w:rsidR="001F1AF6"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-1</w:t>
      </w:r>
      <w:r w:rsidR="001F1AF6"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 xml:space="preserve"> and/or GP</w:t>
      </w:r>
      <w:r w:rsidR="00016D51" w:rsidRPr="007F69E4">
        <w:rPr>
          <w:rFonts w:asciiTheme="minorHAnsi" w:hAnsiTheme="minorHAnsi" w:cstheme="minorHAnsi"/>
          <w:color w:val="000000" w:themeColor="text1"/>
          <w:vertAlign w:val="subscript"/>
        </w:rPr>
        <w:t>33-41</w:t>
      </w:r>
      <w:r w:rsidR="00016D51" w:rsidRPr="007F69E4">
        <w:rPr>
          <w:rFonts w:asciiTheme="minorHAnsi" w:hAnsiTheme="minorHAnsi" w:cstheme="minorHAnsi"/>
          <w:color w:val="000000" w:themeColor="text1"/>
        </w:rPr>
        <w:t xml:space="preserve"> </w:t>
      </w:r>
      <w:r w:rsidR="00AD7F41"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an H-2D</w:t>
      </w:r>
      <w:r w:rsidR="00016D51" w:rsidRPr="007F69E4">
        <w:rPr>
          <w:rFonts w:asciiTheme="minorHAnsi" w:hAnsiTheme="minorHAnsi" w:cstheme="minorHAnsi"/>
          <w:color w:val="000000" w:themeColor="text1"/>
          <w:vertAlign w:val="superscript"/>
        </w:rPr>
        <w:t>b</w:t>
      </w:r>
      <w:r w:rsidR="00016D51" w:rsidRPr="007F69E4">
        <w:rPr>
          <w:rFonts w:asciiTheme="minorHAnsi" w:hAnsiTheme="minorHAnsi" w:cstheme="minorHAnsi"/>
          <w:color w:val="000000" w:themeColor="text1"/>
        </w:rPr>
        <w:t xml:space="preserve">-restricted immunodominant peptide epitope of lymphocytic choriomeningitis virus </w:t>
      </w:r>
      <w:r w:rsidR="007D2FF4">
        <w:rPr>
          <w:rFonts w:asciiTheme="minorHAnsi" w:hAnsiTheme="minorHAnsi" w:cstheme="minorHAnsi"/>
          <w:color w:val="000000" w:themeColor="text1"/>
        </w:rPr>
        <w:t>(</w:t>
      </w:r>
      <w:r w:rsidR="00AD7F41"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LCMV]</w:t>
      </w:r>
      <w:r w:rsidR="00AD7F41"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 xml:space="preserve"> in C57BL/6 mice (</w:t>
      </w:r>
      <w:r w:rsidR="00016D51" w:rsidRPr="007F69E4">
        <w:rPr>
          <w:rFonts w:asciiTheme="minorHAnsi" w:hAnsiTheme="minorHAnsi" w:cstheme="minorHAnsi"/>
          <w:b/>
          <w:color w:val="000000" w:themeColor="text1"/>
        </w:rPr>
        <w:t>Table 1</w:t>
      </w:r>
      <w:r w:rsidR="00016D51" w:rsidRPr="007F69E4">
        <w:rPr>
          <w:rFonts w:asciiTheme="minorHAnsi" w:hAnsiTheme="minorHAnsi" w:cstheme="minorHAnsi"/>
          <w:color w:val="000000" w:themeColor="text1"/>
        </w:rPr>
        <w:t xml:space="preserve">). These peptides are optimal choices because: </w:t>
      </w:r>
      <w:r w:rsidR="00BE15BA" w:rsidRPr="007F69E4">
        <w:rPr>
          <w:rFonts w:asciiTheme="minorHAnsi" w:hAnsiTheme="minorHAnsi" w:cstheme="minorHAnsi"/>
          <w:color w:val="000000" w:themeColor="text1"/>
        </w:rPr>
        <w:t>(</w:t>
      </w:r>
      <w:proofErr w:type="spellStart"/>
      <w:r w:rsidR="00016D51" w:rsidRPr="007F69E4">
        <w:rPr>
          <w:rFonts w:asciiTheme="minorHAnsi" w:hAnsiTheme="minorHAnsi" w:cstheme="minorHAnsi"/>
          <w:color w:val="000000" w:themeColor="text1"/>
        </w:rPr>
        <w:t>i</w:t>
      </w:r>
      <w:proofErr w:type="spellEnd"/>
      <w:r w:rsidR="00016D51" w:rsidRPr="007F69E4">
        <w:rPr>
          <w:rFonts w:asciiTheme="minorHAnsi" w:hAnsiTheme="minorHAnsi" w:cstheme="minorHAnsi"/>
          <w:color w:val="000000" w:themeColor="text1"/>
        </w:rPr>
        <w:t xml:space="preserve">) they are derived from pathogens not previously encountered in the mouse model described here; </w:t>
      </w:r>
      <w:r w:rsidR="00BE15BA" w:rsidRPr="007F69E4">
        <w:rPr>
          <w:rFonts w:asciiTheme="minorHAnsi" w:hAnsiTheme="minorHAnsi" w:cstheme="minorHAnsi"/>
          <w:color w:val="000000" w:themeColor="text1"/>
        </w:rPr>
        <w:t>(</w:t>
      </w:r>
      <w:r w:rsidR="00016D51" w:rsidRPr="007F69E4">
        <w:rPr>
          <w:rFonts w:asciiTheme="minorHAnsi" w:hAnsiTheme="minorHAnsi" w:cstheme="minorHAnsi"/>
          <w:color w:val="000000" w:themeColor="text1"/>
        </w:rPr>
        <w:t xml:space="preserve">ii) </w:t>
      </w:r>
      <w:proofErr w:type="gramStart"/>
      <w:r w:rsidR="00016D51" w:rsidRPr="007F69E4">
        <w:rPr>
          <w:rFonts w:asciiTheme="minorHAnsi" w:hAnsiTheme="minorHAnsi" w:cstheme="minorHAnsi"/>
          <w:color w:val="000000" w:themeColor="text1"/>
        </w:rPr>
        <w:t>similar to</w:t>
      </w:r>
      <w:proofErr w:type="gramEnd"/>
      <w:r w:rsidR="00016D51" w:rsidRPr="007F69E4">
        <w:rPr>
          <w:rFonts w:asciiTheme="minorHAnsi" w:hAnsiTheme="minorHAnsi" w:cstheme="minorHAnsi"/>
          <w:color w:val="000000" w:themeColor="text1"/>
        </w:rPr>
        <w:t xml:space="preserve"> T Ag-derived peptides, gB</w:t>
      </w:r>
      <w:r w:rsidR="00016D51" w:rsidRPr="007F69E4">
        <w:rPr>
          <w:rFonts w:asciiTheme="minorHAnsi" w:hAnsiTheme="minorHAnsi" w:cstheme="minorHAnsi"/>
          <w:color w:val="000000" w:themeColor="text1"/>
          <w:vertAlign w:val="subscript"/>
        </w:rPr>
        <w:t>498-505</w:t>
      </w:r>
      <w:r w:rsidR="00016D51" w:rsidRPr="007F69E4">
        <w:rPr>
          <w:rFonts w:asciiTheme="minorHAnsi" w:hAnsiTheme="minorHAnsi" w:cstheme="minorHAnsi"/>
          <w:color w:val="000000" w:themeColor="text1"/>
        </w:rPr>
        <w:t xml:space="preserve"> and GP</w:t>
      </w:r>
      <w:r w:rsidR="00016D51" w:rsidRPr="007F69E4">
        <w:rPr>
          <w:rFonts w:asciiTheme="minorHAnsi" w:hAnsiTheme="minorHAnsi" w:cstheme="minorHAnsi"/>
          <w:color w:val="000000" w:themeColor="text1"/>
          <w:vertAlign w:val="subscript"/>
        </w:rPr>
        <w:t>33-41</w:t>
      </w:r>
      <w:r w:rsidR="00016D51" w:rsidRPr="007F69E4">
        <w:rPr>
          <w:rFonts w:asciiTheme="minorHAnsi" w:hAnsiTheme="minorHAnsi" w:cstheme="minorHAnsi"/>
          <w:color w:val="000000" w:themeColor="text1"/>
        </w:rPr>
        <w:t xml:space="preserve"> are restricted by and binds to H-2</w:t>
      </w:r>
      <w:r w:rsidR="00016D51" w:rsidRPr="007F69E4">
        <w:rPr>
          <w:rFonts w:asciiTheme="minorHAnsi" w:hAnsiTheme="minorHAnsi" w:cstheme="minorHAnsi"/>
          <w:color w:val="000000" w:themeColor="text1"/>
          <w:vertAlign w:val="superscript"/>
        </w:rPr>
        <w:t xml:space="preserve">b </w:t>
      </w:r>
      <w:r w:rsidR="00016D51" w:rsidRPr="007F69E4">
        <w:rPr>
          <w:rFonts w:asciiTheme="minorHAnsi" w:hAnsiTheme="minorHAnsi" w:cstheme="minorHAnsi"/>
          <w:color w:val="000000" w:themeColor="text1"/>
        </w:rPr>
        <w:t xml:space="preserve">molecules. In ‘three-peak’ </w:t>
      </w:r>
      <w:r w:rsidR="00164210" w:rsidRPr="00164210">
        <w:rPr>
          <w:rFonts w:asciiTheme="minorHAnsi" w:hAnsiTheme="minorHAnsi" w:cstheme="minorHAnsi"/>
          <w:color w:val="000000" w:themeColor="text1"/>
        </w:rPr>
        <w:t>in vivo</w:t>
      </w:r>
      <w:r w:rsidR="00016D51" w:rsidRPr="007F69E4">
        <w:rPr>
          <w:rFonts w:asciiTheme="minorHAnsi" w:hAnsiTheme="minorHAnsi" w:cstheme="minorHAnsi"/>
          <w:color w:val="000000" w:themeColor="text1"/>
        </w:rPr>
        <w:t xml:space="preserve"> killing assays, each of the two peaks that correspond to cognate target cells may represent splenocytes pulsed with an immunodominant or subdominant peptide. The choice of each peptide set varies according to the objectives of each experiment. See Figure 1 and </w:t>
      </w:r>
      <w:r w:rsidR="003900B6" w:rsidRPr="007F69E4">
        <w:rPr>
          <w:rFonts w:asciiTheme="minorHAnsi" w:hAnsiTheme="minorHAnsi" w:cstheme="minorHAnsi"/>
          <w:color w:val="000000" w:themeColor="text1"/>
        </w:rPr>
        <w:t xml:space="preserve">Figure </w:t>
      </w:r>
      <w:r w:rsidR="00016D51" w:rsidRPr="007F69E4">
        <w:rPr>
          <w:rFonts w:asciiTheme="minorHAnsi" w:hAnsiTheme="minorHAnsi" w:cstheme="minorHAnsi"/>
          <w:color w:val="000000" w:themeColor="text1"/>
        </w:rPr>
        <w:t xml:space="preserve">2 as examples of such variation. For the remainder of this protocol, T Ag-derived sites I and IV will represent subdominant and immunodominant peptides, respectively.            </w:t>
      </w:r>
    </w:p>
    <w:p w14:paraId="24FFE10A" w14:textId="77777777" w:rsidR="00E31C19" w:rsidRPr="007F69E4" w:rsidRDefault="00E31C19" w:rsidP="00655DD5">
      <w:pPr>
        <w:pStyle w:val="ListParagraph"/>
        <w:widowControl/>
        <w:autoSpaceDE/>
        <w:autoSpaceDN/>
        <w:adjustRightInd/>
        <w:ind w:left="0"/>
        <w:rPr>
          <w:rFonts w:asciiTheme="minorHAnsi" w:hAnsiTheme="minorHAnsi" w:cstheme="minorHAnsi"/>
          <w:color w:val="000000" w:themeColor="text1"/>
          <w:highlight w:val="yellow"/>
        </w:rPr>
      </w:pPr>
    </w:p>
    <w:p w14:paraId="7952691A" w14:textId="1F3C6B95"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4.2. Pulse the content of each </w:t>
      </w:r>
      <w:r w:rsidR="00A83426" w:rsidRPr="007F69E4">
        <w:rPr>
          <w:rFonts w:asciiTheme="minorHAnsi" w:hAnsiTheme="minorHAnsi" w:cstheme="minorHAnsi"/>
          <w:color w:val="000000" w:themeColor="text1"/>
          <w:highlight w:val="yellow"/>
        </w:rPr>
        <w:t xml:space="preserve">labeled </w:t>
      </w:r>
      <w:r w:rsidRPr="007F69E4">
        <w:rPr>
          <w:rFonts w:asciiTheme="minorHAnsi" w:hAnsiTheme="minorHAnsi" w:cstheme="minorHAnsi"/>
          <w:color w:val="000000" w:themeColor="text1"/>
          <w:highlight w:val="yellow"/>
        </w:rPr>
        <w:t xml:space="preserve">tube with 1 </w:t>
      </w:r>
      <w:r w:rsidR="007F69E4" w:rsidRPr="007F69E4">
        <w:rPr>
          <w:rFonts w:asciiTheme="minorHAnsi" w:hAnsiTheme="minorHAnsi" w:cstheme="minorHAnsi"/>
          <w:color w:val="000000" w:themeColor="text1"/>
          <w:highlight w:val="yellow"/>
        </w:rPr>
        <w:t>µ</w:t>
      </w:r>
      <w:r w:rsidRPr="007F69E4">
        <w:rPr>
          <w:rFonts w:asciiTheme="minorHAnsi" w:hAnsiTheme="minorHAnsi" w:cstheme="minorHAnsi"/>
          <w:color w:val="000000" w:themeColor="text1"/>
          <w:highlight w:val="yellow"/>
        </w:rPr>
        <w:t>M of the respective peptide for 1 h at 37</w:t>
      </w:r>
      <w:r w:rsidR="00403CA1">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C and 5% CO</w:t>
      </w:r>
      <w:r w:rsidRPr="007F69E4">
        <w:rPr>
          <w:rFonts w:asciiTheme="minorHAnsi" w:hAnsiTheme="minorHAnsi" w:cstheme="minorHAnsi"/>
          <w:color w:val="000000" w:themeColor="text1"/>
          <w:highlight w:val="yellow"/>
          <w:vertAlign w:val="subscript"/>
        </w:rPr>
        <w:t>2</w:t>
      </w:r>
      <w:r w:rsidRPr="007F69E4">
        <w:rPr>
          <w:rFonts w:asciiTheme="minorHAnsi" w:hAnsiTheme="minorHAnsi" w:cstheme="minorHAnsi"/>
          <w:color w:val="000000" w:themeColor="text1"/>
          <w:highlight w:val="yellow"/>
        </w:rPr>
        <w:t>.</w:t>
      </w:r>
    </w:p>
    <w:p w14:paraId="69971669"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64439FAC" w14:textId="58B54691"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color w:val="000000" w:themeColor="text1"/>
        </w:rPr>
        <w:t xml:space="preserve">4.3. Use a separate cell strainer </w:t>
      </w:r>
      <w:r w:rsidR="001C767E" w:rsidRPr="007F69E4">
        <w:rPr>
          <w:rFonts w:asciiTheme="minorHAnsi" w:hAnsiTheme="minorHAnsi" w:cstheme="minorHAnsi"/>
          <w:color w:val="000000" w:themeColor="text1"/>
        </w:rPr>
        <w:t xml:space="preserve">(with 70-μm pores) </w:t>
      </w:r>
      <w:r w:rsidRPr="007F69E4">
        <w:rPr>
          <w:rFonts w:asciiTheme="minorHAnsi" w:hAnsiTheme="minorHAnsi" w:cstheme="minorHAnsi"/>
          <w:color w:val="000000" w:themeColor="text1"/>
        </w:rPr>
        <w:t>for each tube to remove clumps and debris if necessary.</w:t>
      </w:r>
      <w:r w:rsidRPr="007F69E4">
        <w:rPr>
          <w:rFonts w:asciiTheme="minorHAnsi" w:hAnsiTheme="minorHAnsi" w:cstheme="minorHAnsi"/>
          <w:color w:val="000000" w:themeColor="text1"/>
          <w:highlight w:val="yellow"/>
        </w:rPr>
        <w:t xml:space="preserve">     </w:t>
      </w:r>
    </w:p>
    <w:bookmarkEnd w:id="6"/>
    <w:p w14:paraId="1151680C"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7B1150AC" w14:textId="2E0D3A2E"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4.4. Spin down the tube at 400 x </w:t>
      </w:r>
      <w:r w:rsidRPr="007F69E4">
        <w:rPr>
          <w:rFonts w:asciiTheme="minorHAnsi" w:hAnsiTheme="minorHAnsi" w:cstheme="minorHAnsi"/>
          <w:i/>
          <w:color w:val="000000" w:themeColor="text1"/>
          <w:highlight w:val="yellow"/>
        </w:rPr>
        <w:t>g</w:t>
      </w:r>
      <w:r w:rsidRPr="007F69E4">
        <w:rPr>
          <w:rFonts w:asciiTheme="minorHAnsi" w:hAnsiTheme="minorHAnsi" w:cstheme="minorHAnsi"/>
          <w:color w:val="000000" w:themeColor="text1"/>
          <w:highlight w:val="yellow"/>
        </w:rPr>
        <w:t xml:space="preserve"> for 5 min at 4</w:t>
      </w:r>
      <w:r w:rsidR="009D79D6">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C</w:t>
      </w:r>
      <w:r w:rsidR="00520415">
        <w:rPr>
          <w:rFonts w:asciiTheme="minorHAnsi" w:hAnsiTheme="minorHAnsi" w:cstheme="minorHAnsi"/>
          <w:color w:val="000000" w:themeColor="text1"/>
          <w:highlight w:val="yellow"/>
        </w:rPr>
        <w:t xml:space="preserve">. </w:t>
      </w:r>
      <w:r w:rsidR="00520415" w:rsidRPr="007F69E4">
        <w:rPr>
          <w:rFonts w:asciiTheme="minorHAnsi" w:hAnsiTheme="minorHAnsi" w:cstheme="minorHAnsi"/>
          <w:color w:val="000000" w:themeColor="text1"/>
          <w:highlight w:val="yellow"/>
        </w:rPr>
        <w:t>Discard the supernatant.</w:t>
      </w:r>
      <w:r w:rsidRPr="007F69E4">
        <w:rPr>
          <w:rFonts w:asciiTheme="minorHAnsi" w:hAnsiTheme="minorHAnsi" w:cstheme="minorHAnsi"/>
          <w:color w:val="000000" w:themeColor="text1"/>
          <w:highlight w:val="yellow"/>
        </w:rPr>
        <w:t xml:space="preserve"> </w:t>
      </w:r>
    </w:p>
    <w:p w14:paraId="6250DF27"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113A53F4" w14:textId="4C7C4DAF"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rPr>
      </w:pPr>
      <w:r w:rsidRPr="00A44243">
        <w:rPr>
          <w:rFonts w:asciiTheme="minorHAnsi" w:hAnsiTheme="minorHAnsi" w:cstheme="minorHAnsi"/>
          <w:color w:val="000000" w:themeColor="text1"/>
          <w:highlight w:val="yellow"/>
        </w:rPr>
        <w:t>4.5. Resuspend pelleted cells in 12 mL of sterile cold PBS</w:t>
      </w:r>
      <w:r w:rsidR="00A44243" w:rsidRPr="00A44243">
        <w:rPr>
          <w:rFonts w:asciiTheme="minorHAnsi" w:hAnsiTheme="minorHAnsi" w:cstheme="minorHAnsi"/>
          <w:color w:val="000000" w:themeColor="text1"/>
          <w:highlight w:val="yellow"/>
        </w:rPr>
        <w:t xml:space="preserve"> and r</w:t>
      </w:r>
      <w:r w:rsidRPr="00A44243">
        <w:rPr>
          <w:rFonts w:asciiTheme="minorHAnsi" w:hAnsiTheme="minorHAnsi" w:cstheme="minorHAnsi"/>
          <w:color w:val="000000" w:themeColor="text1"/>
          <w:highlight w:val="yellow"/>
        </w:rPr>
        <w:t>epeat step 4.4 once more.</w:t>
      </w:r>
      <w:r w:rsidRPr="007F69E4">
        <w:rPr>
          <w:rFonts w:asciiTheme="minorHAnsi" w:hAnsiTheme="minorHAnsi" w:cstheme="minorHAnsi"/>
          <w:color w:val="000000" w:themeColor="text1"/>
        </w:rPr>
        <w:t xml:space="preserve"> </w:t>
      </w:r>
    </w:p>
    <w:p w14:paraId="05B37516"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509F8CBD" w14:textId="367B9BD9" w:rsidR="00016D51" w:rsidRPr="007F69E4" w:rsidRDefault="000E3730" w:rsidP="00655DD5">
      <w:pPr>
        <w:pStyle w:val="ListParagraph"/>
        <w:ind w:left="0"/>
        <w:rPr>
          <w:rFonts w:asciiTheme="minorHAnsi" w:hAnsiTheme="minorHAnsi" w:cstheme="minorHAnsi"/>
          <w:color w:val="000000" w:themeColor="text1"/>
        </w:rPr>
      </w:pPr>
      <w:r w:rsidRPr="000E3730">
        <w:rPr>
          <w:rFonts w:asciiTheme="minorHAnsi" w:hAnsiTheme="minorHAnsi" w:cstheme="minorHAnsi"/>
          <w:color w:val="000000" w:themeColor="text1"/>
        </w:rPr>
        <w:t>NOTE:</w:t>
      </w:r>
      <w:r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It is important to remove as much FBS as possible because FBS can bind CFSE in the next step.</w:t>
      </w:r>
    </w:p>
    <w:p w14:paraId="13E70017"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1FFB3EB6" w14:textId="77777777" w:rsidR="00016D51" w:rsidRPr="009065BA"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bookmarkStart w:id="7" w:name="_Hlk507596355"/>
      <w:r w:rsidRPr="009065BA">
        <w:rPr>
          <w:rFonts w:asciiTheme="minorHAnsi" w:hAnsiTheme="minorHAnsi" w:cstheme="minorHAnsi"/>
          <w:b/>
          <w:color w:val="000000" w:themeColor="text1"/>
          <w:highlight w:val="yellow"/>
        </w:rPr>
        <w:t>5. Labeling target splenocytes with CFSE</w:t>
      </w:r>
    </w:p>
    <w:p w14:paraId="04A1831E"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p>
    <w:p w14:paraId="432FD5D0"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rPr>
      </w:pPr>
      <w:r w:rsidRPr="00520415">
        <w:rPr>
          <w:rFonts w:asciiTheme="minorHAnsi" w:hAnsiTheme="minorHAnsi" w:cstheme="minorHAnsi"/>
          <w:color w:val="000000" w:themeColor="text1"/>
          <w:highlight w:val="yellow"/>
        </w:rPr>
        <w:t>5.1. Resuspend peptide-pulsed splenocytes in 4 mL of sterile PBS.</w:t>
      </w:r>
    </w:p>
    <w:p w14:paraId="1D2A6415"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7E4E3318" w14:textId="5FDF2259"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7F69E4">
        <w:rPr>
          <w:rFonts w:asciiTheme="minorHAnsi" w:hAnsiTheme="minorHAnsi" w:cstheme="minorHAnsi"/>
          <w:color w:val="000000" w:themeColor="text1"/>
          <w:highlight w:val="yellow"/>
        </w:rPr>
        <w:t xml:space="preserve">5.2. Add CFSE at 0.025 </w:t>
      </w:r>
      <w:proofErr w:type="spellStart"/>
      <w:r w:rsidRPr="007F69E4">
        <w:rPr>
          <w:rFonts w:asciiTheme="minorHAnsi" w:hAnsiTheme="minorHAnsi" w:cstheme="minorHAnsi"/>
          <w:color w:val="000000" w:themeColor="text1"/>
          <w:highlight w:val="yellow"/>
        </w:rPr>
        <w:t>μM</w:t>
      </w:r>
      <w:proofErr w:type="spellEnd"/>
      <w:r w:rsidRPr="007F69E4">
        <w:rPr>
          <w:rFonts w:asciiTheme="minorHAnsi" w:hAnsiTheme="minorHAnsi" w:cstheme="minorHAnsi"/>
          <w:color w:val="000000" w:themeColor="text1"/>
          <w:highlight w:val="yellow"/>
        </w:rPr>
        <w:t xml:space="preserve">, 0.25 </w:t>
      </w:r>
      <w:proofErr w:type="spellStart"/>
      <w:r w:rsidRPr="007F69E4">
        <w:rPr>
          <w:rFonts w:asciiTheme="minorHAnsi" w:hAnsiTheme="minorHAnsi" w:cstheme="minorHAnsi"/>
          <w:color w:val="000000" w:themeColor="text1"/>
          <w:highlight w:val="yellow"/>
        </w:rPr>
        <w:t>μM</w:t>
      </w:r>
      <w:proofErr w:type="spellEnd"/>
      <w:r w:rsidR="008C27D9">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and 2 </w:t>
      </w:r>
      <w:proofErr w:type="spellStart"/>
      <w:r w:rsidRPr="007F69E4">
        <w:rPr>
          <w:rFonts w:asciiTheme="minorHAnsi" w:hAnsiTheme="minorHAnsi" w:cstheme="minorHAnsi"/>
          <w:color w:val="000000" w:themeColor="text1"/>
          <w:highlight w:val="yellow"/>
        </w:rPr>
        <w:t>μM</w:t>
      </w:r>
      <w:proofErr w:type="spellEnd"/>
      <w:r w:rsidRPr="007F69E4">
        <w:rPr>
          <w:rFonts w:asciiTheme="minorHAnsi" w:hAnsiTheme="minorHAnsi" w:cstheme="minorHAnsi"/>
          <w:color w:val="000000" w:themeColor="text1"/>
          <w:highlight w:val="yellow"/>
        </w:rPr>
        <w:t xml:space="preserve"> into the tubes containing irrelevant peptide-, site I-</w:t>
      </w:r>
      <w:r w:rsidR="00985FAD">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and site IV-pulsed splenocytes, respectively.</w:t>
      </w:r>
    </w:p>
    <w:bookmarkEnd w:id="7"/>
    <w:p w14:paraId="190B2C23" w14:textId="77777777" w:rsidR="00016D51" w:rsidRPr="007F69E4" w:rsidRDefault="00016D51" w:rsidP="00655DD5">
      <w:pPr>
        <w:rPr>
          <w:rFonts w:asciiTheme="minorHAnsi" w:hAnsiTheme="minorHAnsi" w:cstheme="minorHAnsi"/>
          <w:color w:val="000000" w:themeColor="text1"/>
        </w:rPr>
      </w:pPr>
    </w:p>
    <w:p w14:paraId="5CA8FD79" w14:textId="366DD5B9" w:rsidR="00016D51" w:rsidRPr="007F69E4" w:rsidRDefault="0039162A" w:rsidP="00655DD5">
      <w:pPr>
        <w:rPr>
          <w:rFonts w:asciiTheme="minorHAnsi" w:hAnsiTheme="minorHAnsi" w:cstheme="minorHAnsi"/>
          <w:color w:val="000000" w:themeColor="text1"/>
        </w:rPr>
      </w:pPr>
      <w:r w:rsidRPr="000E3730">
        <w:rPr>
          <w:rFonts w:asciiTheme="minorHAnsi" w:hAnsiTheme="minorHAnsi" w:cstheme="minorHAnsi"/>
          <w:color w:val="000000" w:themeColor="text1"/>
        </w:rPr>
        <w:t>NOTE:</w:t>
      </w:r>
      <w:r w:rsidR="00016D51" w:rsidRPr="007F69E4">
        <w:rPr>
          <w:rFonts w:asciiTheme="minorHAnsi" w:hAnsiTheme="minorHAnsi" w:cstheme="minorHAnsi"/>
          <w:color w:val="000000" w:themeColor="text1"/>
        </w:rPr>
        <w:t xml:space="preserve"> To achieve uniform CFSE labeling, hold each tube at a 45</w:t>
      </w:r>
      <w:r>
        <w:rPr>
          <w:rFonts w:asciiTheme="minorHAnsi" w:hAnsiTheme="minorHAnsi" w:cstheme="minorHAnsi"/>
          <w:color w:val="000000" w:themeColor="text1"/>
        </w:rPr>
        <w:t>°</w:t>
      </w:r>
      <w:r w:rsidR="00016D51" w:rsidRPr="007F69E4">
        <w:rPr>
          <w:rFonts w:asciiTheme="minorHAnsi" w:hAnsiTheme="minorHAnsi" w:cstheme="minorHAnsi"/>
          <w:color w:val="000000" w:themeColor="text1"/>
        </w:rPr>
        <w:t xml:space="preserve"> angle before adding CFSE to the side slightly above the cell suspension followed immediately by gentle vortexing. This will ensure the appearance of smooth histograms at the end. </w:t>
      </w:r>
      <w:r w:rsidRPr="007F69E4">
        <w:rPr>
          <w:rFonts w:asciiTheme="minorHAnsi" w:hAnsiTheme="minorHAnsi" w:cstheme="minorHAnsi"/>
          <w:color w:val="000000" w:themeColor="text1"/>
        </w:rPr>
        <w:t>Batch-to-batch and age-dependent variations in CFSE intensities are not uncommon. Therefore, one may need to experiment with differential CFSE doses before deciding on optimal concentrations to be used.</w:t>
      </w:r>
    </w:p>
    <w:p w14:paraId="5A110517" w14:textId="77777777" w:rsidR="00016D51" w:rsidRPr="007F69E4" w:rsidRDefault="00016D51" w:rsidP="00655DD5">
      <w:pPr>
        <w:rPr>
          <w:rFonts w:asciiTheme="minorHAnsi" w:hAnsiTheme="minorHAnsi" w:cstheme="minorHAnsi"/>
          <w:color w:val="000000" w:themeColor="text1"/>
        </w:rPr>
      </w:pPr>
    </w:p>
    <w:p w14:paraId="59FD200A" w14:textId="65FD98A3" w:rsidR="00016D51" w:rsidRPr="007F69E4" w:rsidRDefault="008C19EA" w:rsidP="00655DD5">
      <w:pPr>
        <w:rPr>
          <w:rFonts w:asciiTheme="minorHAnsi" w:hAnsiTheme="minorHAnsi" w:cstheme="minorHAnsi"/>
          <w:color w:val="000000" w:themeColor="text1"/>
        </w:rPr>
      </w:pPr>
      <w:r>
        <w:rPr>
          <w:rFonts w:asciiTheme="minorHAnsi" w:hAnsiTheme="minorHAnsi" w:cstheme="minorHAnsi"/>
          <w:color w:val="000000" w:themeColor="text1"/>
        </w:rPr>
        <w:t xml:space="preserve">CAUTION: </w:t>
      </w:r>
      <w:r w:rsidR="00016D51" w:rsidRPr="007F69E4">
        <w:rPr>
          <w:rFonts w:asciiTheme="minorHAnsi" w:hAnsiTheme="minorHAnsi" w:cstheme="minorHAnsi"/>
          <w:color w:val="000000" w:themeColor="text1"/>
        </w:rPr>
        <w:t>CFSE is toxic at concentrations that are higher than 5 μM.</w:t>
      </w:r>
    </w:p>
    <w:p w14:paraId="3C77C548"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bookmarkStart w:id="8" w:name="_Hlk507596349"/>
    </w:p>
    <w:p w14:paraId="59D83AB0" w14:textId="0867FB86" w:rsidR="00016D51" w:rsidRPr="00DE22CB" w:rsidRDefault="00016D51" w:rsidP="00655DD5">
      <w:pPr>
        <w:pStyle w:val="ListParagraph"/>
        <w:widowControl/>
        <w:autoSpaceDE/>
        <w:autoSpaceDN/>
        <w:adjustRightInd/>
        <w:ind w:left="0"/>
        <w:rPr>
          <w:rFonts w:asciiTheme="minorHAnsi" w:hAnsiTheme="minorHAnsi" w:cstheme="minorHAnsi"/>
          <w:b/>
          <w:color w:val="000000" w:themeColor="text1"/>
          <w:highlight w:val="yellow"/>
        </w:rPr>
      </w:pPr>
      <w:r w:rsidRPr="00DE22CB">
        <w:rPr>
          <w:rFonts w:asciiTheme="minorHAnsi" w:hAnsiTheme="minorHAnsi" w:cstheme="minorHAnsi"/>
          <w:color w:val="000000" w:themeColor="text1"/>
          <w:highlight w:val="yellow"/>
        </w:rPr>
        <w:t>5.3. Place the tubes inside a 37</w:t>
      </w:r>
      <w:r w:rsidR="008F031D" w:rsidRPr="00DE22CB">
        <w:rPr>
          <w:rFonts w:asciiTheme="minorHAnsi" w:hAnsiTheme="minorHAnsi" w:cstheme="minorHAnsi"/>
          <w:color w:val="000000" w:themeColor="text1"/>
          <w:highlight w:val="yellow"/>
        </w:rPr>
        <w:t xml:space="preserve"> °</w:t>
      </w:r>
      <w:r w:rsidRPr="00DE22CB">
        <w:rPr>
          <w:rFonts w:asciiTheme="minorHAnsi" w:hAnsiTheme="minorHAnsi" w:cstheme="minorHAnsi"/>
          <w:color w:val="000000" w:themeColor="text1"/>
          <w:highlight w:val="yellow"/>
        </w:rPr>
        <w:t xml:space="preserve">C incubator for 15 min and invert them once every 5 min.  </w:t>
      </w:r>
    </w:p>
    <w:p w14:paraId="5750627B"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764A1BEC" w14:textId="15DD6E3E"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r w:rsidRPr="00DE22CB">
        <w:rPr>
          <w:rFonts w:asciiTheme="minorHAnsi" w:hAnsiTheme="minorHAnsi" w:cstheme="minorHAnsi"/>
          <w:color w:val="000000" w:themeColor="text1"/>
          <w:highlight w:val="yellow"/>
        </w:rPr>
        <w:t>5.4. Add 3 mL of heat-inactivated FBS to each tube to stop the CFSE reaction. Top up the content with sterile PBS.</w:t>
      </w:r>
    </w:p>
    <w:p w14:paraId="141E25F9"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p>
    <w:p w14:paraId="63A37109" w14:textId="7FCD17FE" w:rsidR="00016D51" w:rsidRPr="00DE22CB"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DE22CB">
        <w:rPr>
          <w:rFonts w:asciiTheme="minorHAnsi" w:hAnsiTheme="minorHAnsi" w:cstheme="minorHAnsi"/>
          <w:color w:val="000000" w:themeColor="text1"/>
          <w:highlight w:val="yellow"/>
        </w:rPr>
        <w:t>5.</w:t>
      </w:r>
      <w:r w:rsidR="00DE22CB">
        <w:rPr>
          <w:rFonts w:asciiTheme="minorHAnsi" w:hAnsiTheme="minorHAnsi" w:cstheme="minorHAnsi"/>
          <w:color w:val="000000" w:themeColor="text1"/>
          <w:highlight w:val="yellow"/>
        </w:rPr>
        <w:t>5</w:t>
      </w:r>
      <w:r w:rsidRPr="00DE22CB">
        <w:rPr>
          <w:rFonts w:asciiTheme="minorHAnsi" w:hAnsiTheme="minorHAnsi" w:cstheme="minorHAnsi"/>
          <w:color w:val="000000" w:themeColor="text1"/>
          <w:highlight w:val="yellow"/>
        </w:rPr>
        <w:t xml:space="preserve">. Spin down the tube at 400 x </w:t>
      </w:r>
      <w:r w:rsidRPr="00DE22CB">
        <w:rPr>
          <w:rFonts w:asciiTheme="minorHAnsi" w:hAnsiTheme="minorHAnsi" w:cstheme="minorHAnsi"/>
          <w:i/>
          <w:color w:val="000000" w:themeColor="text1"/>
          <w:highlight w:val="yellow"/>
        </w:rPr>
        <w:t>g</w:t>
      </w:r>
      <w:r w:rsidRPr="00DE22CB">
        <w:rPr>
          <w:rFonts w:asciiTheme="minorHAnsi" w:hAnsiTheme="minorHAnsi" w:cstheme="minorHAnsi"/>
          <w:color w:val="000000" w:themeColor="text1"/>
          <w:highlight w:val="yellow"/>
        </w:rPr>
        <w:t xml:space="preserve"> for 5 min at 4</w:t>
      </w:r>
      <w:r w:rsidR="00004871" w:rsidRPr="00DE22CB">
        <w:rPr>
          <w:rFonts w:asciiTheme="minorHAnsi" w:hAnsiTheme="minorHAnsi" w:cstheme="minorHAnsi"/>
          <w:color w:val="000000" w:themeColor="text1"/>
          <w:highlight w:val="yellow"/>
        </w:rPr>
        <w:t xml:space="preserve"> °</w:t>
      </w:r>
      <w:r w:rsidRPr="00DE22CB">
        <w:rPr>
          <w:rFonts w:asciiTheme="minorHAnsi" w:hAnsiTheme="minorHAnsi" w:cstheme="minorHAnsi"/>
          <w:color w:val="000000" w:themeColor="text1"/>
          <w:highlight w:val="yellow"/>
        </w:rPr>
        <w:t xml:space="preserve">C. </w:t>
      </w:r>
      <w:r w:rsidR="00DE22CB" w:rsidRPr="00DE22CB">
        <w:rPr>
          <w:rFonts w:asciiTheme="minorHAnsi" w:hAnsiTheme="minorHAnsi" w:cstheme="minorHAnsi"/>
          <w:color w:val="000000" w:themeColor="text1"/>
          <w:highlight w:val="yellow"/>
        </w:rPr>
        <w:t>Discard the supernatant.</w:t>
      </w:r>
    </w:p>
    <w:p w14:paraId="10344D39"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6535F1B9" w14:textId="28EC9F95"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rPr>
      </w:pPr>
      <w:r w:rsidRPr="00B90A10">
        <w:rPr>
          <w:rFonts w:asciiTheme="minorHAnsi" w:hAnsiTheme="minorHAnsi" w:cstheme="minorHAnsi"/>
          <w:color w:val="000000" w:themeColor="text1"/>
          <w:highlight w:val="yellow"/>
        </w:rPr>
        <w:t>5.</w:t>
      </w:r>
      <w:r w:rsidR="008F7D5A" w:rsidRPr="00B90A10">
        <w:rPr>
          <w:rFonts w:asciiTheme="minorHAnsi" w:hAnsiTheme="minorHAnsi" w:cstheme="minorHAnsi"/>
          <w:color w:val="000000" w:themeColor="text1"/>
          <w:highlight w:val="yellow"/>
        </w:rPr>
        <w:t>6</w:t>
      </w:r>
      <w:r w:rsidRPr="00B90A10">
        <w:rPr>
          <w:rFonts w:asciiTheme="minorHAnsi" w:hAnsiTheme="minorHAnsi" w:cstheme="minorHAnsi"/>
          <w:color w:val="000000" w:themeColor="text1"/>
          <w:highlight w:val="yellow"/>
        </w:rPr>
        <w:t>. Resuspend pelleted cells in 12 mL of sterile PBS</w:t>
      </w:r>
      <w:r w:rsidR="008F7D5A" w:rsidRPr="00B90A10">
        <w:rPr>
          <w:rFonts w:asciiTheme="minorHAnsi" w:hAnsiTheme="minorHAnsi" w:cstheme="minorHAnsi"/>
          <w:color w:val="000000" w:themeColor="text1"/>
          <w:highlight w:val="yellow"/>
        </w:rPr>
        <w:t xml:space="preserve"> and</w:t>
      </w:r>
      <w:r w:rsidRPr="00B90A10">
        <w:rPr>
          <w:rFonts w:asciiTheme="minorHAnsi" w:hAnsiTheme="minorHAnsi" w:cstheme="minorHAnsi"/>
          <w:color w:val="000000" w:themeColor="text1"/>
          <w:highlight w:val="yellow"/>
        </w:rPr>
        <w:t xml:space="preserve"> </w:t>
      </w:r>
      <w:r w:rsidR="008F7D5A" w:rsidRPr="00B90A10">
        <w:rPr>
          <w:rFonts w:asciiTheme="minorHAnsi" w:hAnsiTheme="minorHAnsi" w:cstheme="minorHAnsi"/>
          <w:color w:val="000000" w:themeColor="text1"/>
          <w:highlight w:val="yellow"/>
        </w:rPr>
        <w:t>r</w:t>
      </w:r>
      <w:r w:rsidRPr="00B90A10">
        <w:rPr>
          <w:rFonts w:asciiTheme="minorHAnsi" w:hAnsiTheme="minorHAnsi" w:cstheme="minorHAnsi"/>
          <w:color w:val="000000" w:themeColor="text1"/>
          <w:highlight w:val="yellow"/>
        </w:rPr>
        <w:t>epeat step 5.</w:t>
      </w:r>
      <w:r w:rsidR="008F7D5A" w:rsidRPr="00B90A10">
        <w:rPr>
          <w:rFonts w:asciiTheme="minorHAnsi" w:hAnsiTheme="minorHAnsi" w:cstheme="minorHAnsi"/>
          <w:color w:val="000000" w:themeColor="text1"/>
          <w:highlight w:val="yellow"/>
        </w:rPr>
        <w:t>5</w:t>
      </w:r>
      <w:r w:rsidR="00EB4017" w:rsidRPr="00B90A10">
        <w:rPr>
          <w:rFonts w:asciiTheme="minorHAnsi" w:hAnsiTheme="minorHAnsi" w:cstheme="minorHAnsi"/>
          <w:color w:val="000000" w:themeColor="text1"/>
          <w:highlight w:val="yellow"/>
        </w:rPr>
        <w:t>.</w:t>
      </w:r>
      <w:r w:rsidR="00EB4017" w:rsidRPr="007F69E4">
        <w:rPr>
          <w:rFonts w:asciiTheme="minorHAnsi" w:hAnsiTheme="minorHAnsi" w:cstheme="minorHAnsi"/>
          <w:color w:val="000000" w:themeColor="text1"/>
        </w:rPr>
        <w:t xml:space="preserve"> </w:t>
      </w:r>
      <w:r w:rsidRPr="007F69E4">
        <w:rPr>
          <w:rFonts w:asciiTheme="minorHAnsi" w:hAnsiTheme="minorHAnsi" w:cstheme="minorHAnsi"/>
          <w:color w:val="000000" w:themeColor="text1"/>
        </w:rPr>
        <w:t xml:space="preserve"> </w:t>
      </w:r>
    </w:p>
    <w:p w14:paraId="61872FA1"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rPr>
      </w:pPr>
    </w:p>
    <w:p w14:paraId="1A3B2322" w14:textId="7C131F53" w:rsidR="00016D51" w:rsidRPr="007F69E4" w:rsidRDefault="007D0FD0" w:rsidP="00655DD5">
      <w:pPr>
        <w:pStyle w:val="ListParagraph"/>
        <w:widowControl/>
        <w:autoSpaceDE/>
        <w:autoSpaceDN/>
        <w:adjustRightInd/>
        <w:ind w:left="0"/>
        <w:rPr>
          <w:rFonts w:asciiTheme="minorHAnsi" w:hAnsiTheme="minorHAnsi" w:cstheme="minorHAnsi"/>
          <w:b/>
          <w:color w:val="000000" w:themeColor="text1"/>
        </w:rPr>
      </w:pPr>
      <w:r w:rsidRPr="00BA0488">
        <w:rPr>
          <w:rFonts w:asciiTheme="minorHAnsi" w:hAnsiTheme="minorHAnsi" w:cstheme="minorHAnsi"/>
          <w:b/>
          <w:color w:val="000000" w:themeColor="text1"/>
          <w:highlight w:val="yellow"/>
        </w:rPr>
        <w:t xml:space="preserve">6. </w:t>
      </w:r>
      <w:r w:rsidR="00016D51" w:rsidRPr="00BA0488">
        <w:rPr>
          <w:rFonts w:asciiTheme="minorHAnsi" w:hAnsiTheme="minorHAnsi" w:cstheme="minorHAnsi"/>
          <w:b/>
          <w:color w:val="000000" w:themeColor="text1"/>
          <w:highlight w:val="yellow"/>
        </w:rPr>
        <w:t xml:space="preserve">Examination </w:t>
      </w:r>
      <w:r w:rsidRPr="00BA0488">
        <w:rPr>
          <w:rFonts w:asciiTheme="minorHAnsi" w:hAnsiTheme="minorHAnsi" w:cstheme="minorHAnsi"/>
          <w:b/>
          <w:color w:val="000000" w:themeColor="text1"/>
          <w:highlight w:val="yellow"/>
        </w:rPr>
        <w:t xml:space="preserve">of Adequate/Equal </w:t>
      </w:r>
      <w:r w:rsidR="00016D51" w:rsidRPr="00BA0488">
        <w:rPr>
          <w:rFonts w:asciiTheme="minorHAnsi" w:hAnsiTheme="minorHAnsi" w:cstheme="minorHAnsi"/>
          <w:b/>
          <w:color w:val="000000" w:themeColor="text1"/>
          <w:highlight w:val="yellow"/>
        </w:rPr>
        <w:t xml:space="preserve">CFSE </w:t>
      </w:r>
      <w:r w:rsidRPr="00BA0488">
        <w:rPr>
          <w:rFonts w:asciiTheme="minorHAnsi" w:hAnsiTheme="minorHAnsi" w:cstheme="minorHAnsi"/>
          <w:b/>
          <w:color w:val="000000" w:themeColor="text1"/>
          <w:highlight w:val="yellow"/>
        </w:rPr>
        <w:t xml:space="preserve">Labeling </w:t>
      </w:r>
      <w:r w:rsidR="00B6433F">
        <w:rPr>
          <w:rFonts w:asciiTheme="minorHAnsi" w:hAnsiTheme="minorHAnsi" w:cstheme="minorHAnsi"/>
          <w:b/>
          <w:color w:val="000000" w:themeColor="text1"/>
          <w:highlight w:val="yellow"/>
        </w:rPr>
        <w:t>o</w:t>
      </w:r>
      <w:r w:rsidRPr="00BA0488">
        <w:rPr>
          <w:rFonts w:asciiTheme="minorHAnsi" w:hAnsiTheme="minorHAnsi" w:cstheme="minorHAnsi"/>
          <w:b/>
          <w:color w:val="000000" w:themeColor="text1"/>
          <w:highlight w:val="yellow"/>
        </w:rPr>
        <w:t>f Target Splenocyte Populations</w:t>
      </w:r>
      <w:r w:rsidRPr="007F69E4">
        <w:rPr>
          <w:rFonts w:asciiTheme="minorHAnsi" w:hAnsiTheme="minorHAnsi" w:cstheme="minorHAnsi"/>
          <w:b/>
          <w:color w:val="000000" w:themeColor="text1"/>
        </w:rPr>
        <w:t xml:space="preserve"> </w:t>
      </w:r>
    </w:p>
    <w:p w14:paraId="69BF9B8D" w14:textId="77777777" w:rsidR="00016D51" w:rsidRPr="007F69E4" w:rsidRDefault="00016D51" w:rsidP="00655DD5">
      <w:pPr>
        <w:pStyle w:val="ListParagraph"/>
        <w:widowControl/>
        <w:autoSpaceDE/>
        <w:autoSpaceDN/>
        <w:adjustRightInd/>
        <w:ind w:left="0"/>
        <w:rPr>
          <w:rFonts w:asciiTheme="minorHAnsi" w:hAnsiTheme="minorHAnsi" w:cstheme="minorHAnsi"/>
          <w:b/>
          <w:color w:val="000000" w:themeColor="text1"/>
        </w:rPr>
      </w:pPr>
      <w:r w:rsidRPr="007F69E4">
        <w:rPr>
          <w:rFonts w:asciiTheme="minorHAnsi" w:hAnsiTheme="minorHAnsi" w:cstheme="minorHAnsi"/>
          <w:color w:val="000000" w:themeColor="text1"/>
        </w:rPr>
        <w:t xml:space="preserve"> </w:t>
      </w:r>
    </w:p>
    <w:p w14:paraId="76BF6602"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rPr>
      </w:pPr>
      <w:bookmarkStart w:id="9" w:name="_Hlk507596341"/>
      <w:bookmarkEnd w:id="8"/>
      <w:r w:rsidRPr="00B90A10">
        <w:rPr>
          <w:rFonts w:asciiTheme="minorHAnsi" w:hAnsiTheme="minorHAnsi" w:cstheme="minorHAnsi"/>
          <w:color w:val="000000" w:themeColor="text1"/>
          <w:highlight w:val="yellow"/>
        </w:rPr>
        <w:t>6.1. Resuspend pelleted cells in 3 mL of PBS.</w:t>
      </w:r>
    </w:p>
    <w:p w14:paraId="27B9493F"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0A3BCCBB" w14:textId="4F7372EF" w:rsidR="00016D51" w:rsidRPr="007F69E4" w:rsidRDefault="00016D51" w:rsidP="00655DD5">
      <w:pPr>
        <w:widowControl/>
        <w:autoSpaceDE/>
        <w:autoSpaceDN/>
        <w:adjustRightInd/>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lastRenderedPageBreak/>
        <w:t xml:space="preserve">6.2. Vortex the tubes gently. </w:t>
      </w:r>
      <w:r w:rsidR="00E12932" w:rsidRPr="007F69E4">
        <w:rPr>
          <w:rFonts w:asciiTheme="minorHAnsi" w:hAnsiTheme="minorHAnsi" w:cstheme="minorHAnsi"/>
          <w:color w:val="000000" w:themeColor="text1"/>
          <w:highlight w:val="yellow"/>
        </w:rPr>
        <w:t>Transfer</w:t>
      </w:r>
      <w:r w:rsidRPr="007F69E4">
        <w:rPr>
          <w:rFonts w:asciiTheme="minorHAnsi" w:hAnsiTheme="minorHAnsi" w:cstheme="minorHAnsi"/>
          <w:color w:val="000000" w:themeColor="text1"/>
          <w:highlight w:val="yellow"/>
        </w:rPr>
        <w:t xml:space="preserve"> 10 </w:t>
      </w:r>
      <w:proofErr w:type="spellStart"/>
      <w:r w:rsidRPr="007F69E4">
        <w:rPr>
          <w:rFonts w:asciiTheme="minorHAnsi" w:hAnsiTheme="minorHAnsi" w:cstheme="minorHAnsi"/>
          <w:color w:val="000000" w:themeColor="text1"/>
          <w:highlight w:val="yellow"/>
        </w:rPr>
        <w:t>μL</w:t>
      </w:r>
      <w:proofErr w:type="spellEnd"/>
      <w:r w:rsidRPr="007F69E4">
        <w:rPr>
          <w:rFonts w:asciiTheme="minorHAnsi" w:hAnsiTheme="minorHAnsi" w:cstheme="minorHAnsi"/>
          <w:color w:val="000000" w:themeColor="text1"/>
          <w:highlight w:val="yellow"/>
        </w:rPr>
        <w:t xml:space="preserve">, each, of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low</w:t>
      </w:r>
      <w:proofErr w:type="spellEnd"/>
      <w:r w:rsidRPr="007F69E4">
        <w:rPr>
          <w:rFonts w:asciiTheme="minorHAnsi" w:hAnsiTheme="minorHAnsi" w:cstheme="minorHAnsi"/>
          <w:color w:val="000000" w:themeColor="text1"/>
          <w:highlight w:val="yellow"/>
        </w:rPr>
        <w:t xml:space="preserve">,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intermediate</w:t>
      </w:r>
      <w:proofErr w:type="spellEnd"/>
      <w:r w:rsidRPr="007F69E4">
        <w:rPr>
          <w:rFonts w:asciiTheme="minorHAnsi" w:hAnsiTheme="minorHAnsi" w:cstheme="minorHAnsi"/>
          <w:color w:val="000000" w:themeColor="text1"/>
          <w:highlight w:val="yellow"/>
          <w:vertAlign w:val="superscript"/>
        </w:rPr>
        <w:t xml:space="preserve"> (int)</w:t>
      </w:r>
      <w:r w:rsidR="00793CFC">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and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high</w:t>
      </w:r>
      <w:proofErr w:type="spellEnd"/>
      <w:r w:rsidRPr="007F69E4">
        <w:rPr>
          <w:rFonts w:asciiTheme="minorHAnsi" w:hAnsiTheme="minorHAnsi" w:cstheme="minorHAnsi"/>
          <w:color w:val="000000" w:themeColor="text1"/>
          <w:highlight w:val="yellow"/>
        </w:rPr>
        <w:t xml:space="preserve"> cell suspensions </w:t>
      </w:r>
      <w:r w:rsidR="00E12932" w:rsidRPr="007F69E4">
        <w:rPr>
          <w:rFonts w:asciiTheme="minorHAnsi" w:hAnsiTheme="minorHAnsi" w:cstheme="minorHAnsi"/>
          <w:color w:val="000000" w:themeColor="text1"/>
          <w:highlight w:val="yellow"/>
        </w:rPr>
        <w:t xml:space="preserve">into </w:t>
      </w:r>
      <w:r w:rsidRPr="007F69E4">
        <w:rPr>
          <w:rFonts w:asciiTheme="minorHAnsi" w:hAnsiTheme="minorHAnsi" w:cstheme="minorHAnsi"/>
          <w:color w:val="000000" w:themeColor="text1"/>
          <w:highlight w:val="yellow"/>
        </w:rPr>
        <w:t>a 5</w:t>
      </w:r>
      <w:r w:rsidR="00AF5609">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 xml:space="preserve">mL round-bottom polystyrene </w:t>
      </w:r>
      <w:r w:rsidR="00A67035" w:rsidRPr="00A67035">
        <w:rPr>
          <w:rFonts w:asciiTheme="minorHAnsi" w:hAnsiTheme="minorHAnsi" w:cstheme="minorHAnsi"/>
          <w:color w:val="000000" w:themeColor="text1"/>
        </w:rPr>
        <w:t>fluorescence-activated cell sorting</w:t>
      </w:r>
      <w:r w:rsidR="00A67035" w:rsidRPr="00A67035">
        <w:rPr>
          <w:rFonts w:asciiTheme="minorHAnsi" w:hAnsiTheme="minorHAnsi" w:cstheme="minorHAnsi"/>
          <w:color w:val="000000" w:themeColor="text1"/>
          <w:highlight w:val="yellow"/>
        </w:rPr>
        <w:t xml:space="preserve"> </w:t>
      </w:r>
      <w:r w:rsidR="00A67035">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FACS</w:t>
      </w:r>
      <w:r w:rsidR="00A67035">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tube</w:t>
      </w:r>
      <w:r w:rsidR="00E12932" w:rsidRPr="007F69E4">
        <w:rPr>
          <w:rFonts w:asciiTheme="minorHAnsi" w:hAnsiTheme="minorHAnsi" w:cstheme="minorHAnsi"/>
          <w:color w:val="000000" w:themeColor="text1"/>
          <w:highlight w:val="yellow"/>
        </w:rPr>
        <w:t xml:space="preserve"> containing 200 </w:t>
      </w:r>
      <w:proofErr w:type="spellStart"/>
      <w:r w:rsidR="00E12932" w:rsidRPr="007F69E4">
        <w:rPr>
          <w:rFonts w:asciiTheme="minorHAnsi" w:hAnsiTheme="minorHAnsi" w:cstheme="minorHAnsi"/>
          <w:color w:val="000000" w:themeColor="text1"/>
          <w:highlight w:val="yellow"/>
        </w:rPr>
        <w:t>μL</w:t>
      </w:r>
      <w:proofErr w:type="spellEnd"/>
      <w:r w:rsidR="00E12932" w:rsidRPr="007F69E4">
        <w:rPr>
          <w:rFonts w:asciiTheme="minorHAnsi" w:hAnsiTheme="minorHAnsi" w:cstheme="minorHAnsi"/>
          <w:color w:val="000000" w:themeColor="text1"/>
          <w:highlight w:val="yellow"/>
        </w:rPr>
        <w:t xml:space="preserve"> </w:t>
      </w:r>
      <w:r w:rsidR="008F7C3E">
        <w:rPr>
          <w:rFonts w:asciiTheme="minorHAnsi" w:hAnsiTheme="minorHAnsi" w:cstheme="minorHAnsi"/>
          <w:color w:val="000000" w:themeColor="text1"/>
          <w:highlight w:val="yellow"/>
        </w:rPr>
        <w:t xml:space="preserve">OF </w:t>
      </w:r>
      <w:r w:rsidR="00E12932" w:rsidRPr="007F69E4">
        <w:rPr>
          <w:rFonts w:asciiTheme="minorHAnsi" w:hAnsiTheme="minorHAnsi" w:cstheme="minorHAnsi"/>
          <w:color w:val="000000" w:themeColor="text1"/>
          <w:highlight w:val="yellow"/>
        </w:rPr>
        <w:t>PBS</w:t>
      </w:r>
      <w:r w:rsidRPr="007F69E4">
        <w:rPr>
          <w:rFonts w:asciiTheme="minorHAnsi" w:hAnsiTheme="minorHAnsi" w:cstheme="minorHAnsi"/>
          <w:color w:val="000000" w:themeColor="text1"/>
          <w:highlight w:val="yellow"/>
        </w:rPr>
        <w:t xml:space="preserve">. </w:t>
      </w:r>
    </w:p>
    <w:bookmarkEnd w:id="9"/>
    <w:p w14:paraId="3329E96B"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69EC6C49" w14:textId="6E2D30CB" w:rsidR="00016D51" w:rsidRPr="007F69E4" w:rsidRDefault="00016D51" w:rsidP="00655DD5">
      <w:pPr>
        <w:pStyle w:val="ListParagraph"/>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6.3. Interrogate cells using a flow cytometer equipped with a 488</w:t>
      </w:r>
      <w:r w:rsidR="00AF497A">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 xml:space="preserve">nm laser. Draw a lymphocyte gate based on forward scatter (FSC) and side scatter (SSC) properties of the cells before acquiring 5000 events falling within the lymphocyte gate in the FL-1 channel.  </w:t>
      </w:r>
    </w:p>
    <w:p w14:paraId="2E031220" w14:textId="77777777" w:rsidR="00016D51" w:rsidRPr="007F69E4" w:rsidRDefault="00016D51" w:rsidP="00655DD5">
      <w:pPr>
        <w:rPr>
          <w:rFonts w:asciiTheme="minorHAnsi" w:hAnsiTheme="minorHAnsi" w:cstheme="minorHAnsi"/>
          <w:color w:val="000000" w:themeColor="text1"/>
        </w:rPr>
      </w:pPr>
    </w:p>
    <w:p w14:paraId="46DB14CA" w14:textId="2C4A43C1"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6.4. Within the </w:t>
      </w:r>
      <w:r w:rsidR="00BB784F">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parent’ CFSE</w:t>
      </w:r>
      <w:r w:rsidRPr="007F69E4">
        <w:rPr>
          <w:rFonts w:asciiTheme="minorHAnsi" w:hAnsiTheme="minorHAnsi" w:cstheme="minorHAnsi"/>
          <w:color w:val="000000" w:themeColor="text1"/>
          <w:highlight w:val="yellow"/>
          <w:vertAlign w:val="superscript"/>
        </w:rPr>
        <w:t>+</w:t>
      </w:r>
      <w:r w:rsidRPr="007F69E4">
        <w:rPr>
          <w:rFonts w:asciiTheme="minorHAnsi" w:hAnsiTheme="minorHAnsi" w:cstheme="minorHAnsi"/>
          <w:color w:val="000000" w:themeColor="text1"/>
          <w:highlight w:val="yellow"/>
        </w:rPr>
        <w:t xml:space="preserve"> population, draw additional histogram gates to identify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low</w:t>
      </w:r>
      <w:proofErr w:type="spellEnd"/>
      <w:r w:rsidRPr="007F69E4">
        <w:rPr>
          <w:rFonts w:asciiTheme="minorHAnsi" w:hAnsiTheme="minorHAnsi" w:cstheme="minorHAnsi"/>
          <w:color w:val="000000" w:themeColor="text1"/>
          <w:highlight w:val="yellow"/>
        </w:rPr>
        <w:t xml:space="preserve">,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int</w:t>
      </w:r>
      <w:proofErr w:type="spellEnd"/>
      <w:r w:rsidR="00B87A6A">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and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high</w:t>
      </w:r>
      <w:proofErr w:type="spellEnd"/>
      <w:r w:rsidRPr="007F69E4">
        <w:rPr>
          <w:rFonts w:asciiTheme="minorHAnsi" w:hAnsiTheme="minorHAnsi" w:cstheme="minorHAnsi"/>
          <w:color w:val="000000" w:themeColor="text1"/>
          <w:highlight w:val="yellow"/>
        </w:rPr>
        <w:t xml:space="preserve"> subpopulations</w:t>
      </w:r>
      <w:bookmarkStart w:id="10" w:name="_Hlk507596320"/>
      <w:r w:rsidRPr="007F69E4">
        <w:rPr>
          <w:rFonts w:asciiTheme="minorHAnsi" w:hAnsiTheme="minorHAnsi" w:cstheme="minorHAnsi"/>
          <w:color w:val="000000" w:themeColor="text1"/>
          <w:highlight w:val="yellow"/>
        </w:rPr>
        <w:t>.</w:t>
      </w:r>
    </w:p>
    <w:p w14:paraId="5DB967F1" w14:textId="77777777"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p>
    <w:p w14:paraId="2CD56B3C" w14:textId="525CB273" w:rsidR="00016D51" w:rsidRPr="007F69E4" w:rsidRDefault="00016D51" w:rsidP="00655DD5">
      <w:pPr>
        <w:pStyle w:val="ListParagraph"/>
        <w:widowControl/>
        <w:autoSpaceDE/>
        <w:autoSpaceDN/>
        <w:adjustRightInd/>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6.5. Confirm equal or near-equal event numbers within the three gates.</w:t>
      </w:r>
      <w:r w:rsidRPr="007F69E4">
        <w:rPr>
          <w:rFonts w:asciiTheme="minorHAnsi" w:hAnsiTheme="minorHAnsi" w:cstheme="minorHAnsi"/>
          <w:color w:val="000000" w:themeColor="text1"/>
        </w:rPr>
        <w:t xml:space="preserve"> If necessary, adjust cell numbers in the ‘source’ tubes </w:t>
      </w:r>
      <w:r w:rsidR="00962FD6" w:rsidRPr="007F69E4">
        <w:rPr>
          <w:rFonts w:asciiTheme="minorHAnsi" w:hAnsiTheme="minorHAnsi" w:cstheme="minorHAnsi"/>
          <w:color w:val="000000" w:themeColor="text1"/>
        </w:rPr>
        <w:t xml:space="preserve">(step 6.1) </w:t>
      </w:r>
      <w:r w:rsidRPr="007F69E4">
        <w:rPr>
          <w:rFonts w:asciiTheme="minorHAnsi" w:hAnsiTheme="minorHAnsi" w:cstheme="minorHAnsi"/>
          <w:color w:val="000000" w:themeColor="text1"/>
        </w:rPr>
        <w:t xml:space="preserve">before mixing and injecting target splenocytes into naïve and primed mice in </w:t>
      </w:r>
      <w:r w:rsidR="00AA2321">
        <w:rPr>
          <w:rFonts w:asciiTheme="minorHAnsi" w:hAnsiTheme="minorHAnsi" w:cstheme="minorHAnsi"/>
          <w:color w:val="000000" w:themeColor="text1"/>
        </w:rPr>
        <w:t>section</w:t>
      </w:r>
      <w:r w:rsidRPr="007F69E4">
        <w:rPr>
          <w:rFonts w:asciiTheme="minorHAnsi" w:hAnsiTheme="minorHAnsi" w:cstheme="minorHAnsi"/>
          <w:color w:val="000000" w:themeColor="text1"/>
        </w:rPr>
        <w:t xml:space="preserve"> 7.</w:t>
      </w:r>
      <w:r w:rsidRPr="007F69E4">
        <w:rPr>
          <w:rFonts w:asciiTheme="minorHAnsi" w:hAnsiTheme="minorHAnsi" w:cstheme="minorHAnsi"/>
          <w:color w:val="000000" w:themeColor="text1"/>
          <w:highlight w:val="yellow"/>
        </w:rPr>
        <w:t xml:space="preserve">  </w:t>
      </w:r>
      <w:bookmarkEnd w:id="10"/>
    </w:p>
    <w:p w14:paraId="127F98BE" w14:textId="77777777" w:rsidR="00016D51" w:rsidRPr="007F69E4" w:rsidRDefault="00016D51" w:rsidP="00655DD5">
      <w:pPr>
        <w:widowControl/>
        <w:autoSpaceDE/>
        <w:autoSpaceDN/>
        <w:adjustRightInd/>
        <w:rPr>
          <w:rFonts w:asciiTheme="minorHAnsi" w:hAnsiTheme="minorHAnsi" w:cstheme="minorHAnsi"/>
          <w:b/>
          <w:color w:val="000000" w:themeColor="text1"/>
          <w:highlight w:val="yellow"/>
        </w:rPr>
      </w:pPr>
      <w:bookmarkStart w:id="11" w:name="_Hlk507596311"/>
    </w:p>
    <w:p w14:paraId="4413707D" w14:textId="1099F2F5" w:rsidR="00016D51" w:rsidRPr="009C7B27" w:rsidRDefault="00016D51" w:rsidP="00655DD5">
      <w:pPr>
        <w:widowControl/>
        <w:autoSpaceDE/>
        <w:autoSpaceDN/>
        <w:adjustRightInd/>
        <w:rPr>
          <w:rFonts w:asciiTheme="minorHAnsi" w:hAnsiTheme="minorHAnsi" w:cstheme="minorHAnsi"/>
          <w:b/>
          <w:color w:val="000000" w:themeColor="text1"/>
          <w:highlight w:val="yellow"/>
        </w:rPr>
      </w:pPr>
      <w:r w:rsidRPr="009C7B27">
        <w:rPr>
          <w:rFonts w:asciiTheme="minorHAnsi" w:hAnsiTheme="minorHAnsi" w:cstheme="minorHAnsi"/>
          <w:b/>
          <w:color w:val="000000" w:themeColor="text1"/>
          <w:highlight w:val="yellow"/>
        </w:rPr>
        <w:t xml:space="preserve">7. Injection of CFSE-labelled </w:t>
      </w:r>
      <w:r w:rsidR="009C7B27">
        <w:rPr>
          <w:rFonts w:asciiTheme="minorHAnsi" w:hAnsiTheme="minorHAnsi" w:cstheme="minorHAnsi"/>
          <w:b/>
          <w:color w:val="000000" w:themeColor="text1"/>
          <w:highlight w:val="yellow"/>
        </w:rPr>
        <w:t>T</w:t>
      </w:r>
      <w:r w:rsidRPr="009C7B27">
        <w:rPr>
          <w:rFonts w:asciiTheme="minorHAnsi" w:hAnsiTheme="minorHAnsi" w:cstheme="minorHAnsi"/>
          <w:b/>
          <w:color w:val="000000" w:themeColor="text1"/>
          <w:highlight w:val="yellow"/>
        </w:rPr>
        <w:t xml:space="preserve">arget </w:t>
      </w:r>
      <w:r w:rsidR="009C7B27">
        <w:rPr>
          <w:rFonts w:asciiTheme="minorHAnsi" w:hAnsiTheme="minorHAnsi" w:cstheme="minorHAnsi"/>
          <w:b/>
          <w:color w:val="000000" w:themeColor="text1"/>
          <w:highlight w:val="yellow"/>
        </w:rPr>
        <w:t>C</w:t>
      </w:r>
      <w:r w:rsidRPr="009C7B27">
        <w:rPr>
          <w:rFonts w:asciiTheme="minorHAnsi" w:hAnsiTheme="minorHAnsi" w:cstheme="minorHAnsi"/>
          <w:b/>
          <w:color w:val="000000" w:themeColor="text1"/>
          <w:highlight w:val="yellow"/>
        </w:rPr>
        <w:t xml:space="preserve">ells into </w:t>
      </w:r>
      <w:r w:rsidR="009C7B27">
        <w:rPr>
          <w:rFonts w:asciiTheme="minorHAnsi" w:hAnsiTheme="minorHAnsi" w:cstheme="minorHAnsi"/>
          <w:b/>
          <w:color w:val="000000" w:themeColor="text1"/>
          <w:highlight w:val="yellow"/>
        </w:rPr>
        <w:t>N</w:t>
      </w:r>
      <w:r w:rsidRPr="009C7B27">
        <w:rPr>
          <w:rFonts w:asciiTheme="minorHAnsi" w:hAnsiTheme="minorHAnsi" w:cstheme="minorHAnsi"/>
          <w:b/>
          <w:color w:val="000000" w:themeColor="text1"/>
          <w:highlight w:val="yellow"/>
        </w:rPr>
        <w:t xml:space="preserve">aïve and T-Ag-primed </w:t>
      </w:r>
      <w:r w:rsidR="009C7B27">
        <w:rPr>
          <w:rFonts w:asciiTheme="minorHAnsi" w:hAnsiTheme="minorHAnsi" w:cstheme="minorHAnsi"/>
          <w:b/>
          <w:color w:val="000000" w:themeColor="text1"/>
          <w:highlight w:val="yellow"/>
        </w:rPr>
        <w:t>R</w:t>
      </w:r>
      <w:r w:rsidRPr="009C7B27">
        <w:rPr>
          <w:rFonts w:asciiTheme="minorHAnsi" w:hAnsiTheme="minorHAnsi" w:cstheme="minorHAnsi"/>
          <w:b/>
          <w:color w:val="000000" w:themeColor="text1"/>
          <w:highlight w:val="yellow"/>
        </w:rPr>
        <w:t>ecipients</w:t>
      </w:r>
    </w:p>
    <w:p w14:paraId="38CF3F7B" w14:textId="77777777" w:rsidR="00016D51" w:rsidRPr="007F69E4" w:rsidRDefault="00016D51" w:rsidP="00655DD5">
      <w:pPr>
        <w:widowControl/>
        <w:autoSpaceDE/>
        <w:autoSpaceDN/>
        <w:adjustRightInd/>
        <w:rPr>
          <w:rFonts w:asciiTheme="minorHAnsi" w:hAnsiTheme="minorHAnsi" w:cstheme="minorHAnsi"/>
          <w:b/>
          <w:color w:val="000000" w:themeColor="text1"/>
          <w:highlight w:val="yellow"/>
        </w:rPr>
      </w:pPr>
    </w:p>
    <w:p w14:paraId="01C323E2" w14:textId="77777777" w:rsidR="00016D51" w:rsidRPr="007F69E4" w:rsidRDefault="00016D51" w:rsidP="00655DD5">
      <w:pPr>
        <w:widowControl/>
        <w:autoSpaceDE/>
        <w:autoSpaceDN/>
        <w:adjustRightInd/>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7.1. Gently vortex the source tubes. Transfer the three CFSE-labeled cell suspensions in equal ratios into a new tube. </w:t>
      </w:r>
    </w:p>
    <w:p w14:paraId="3644528B"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761F763D" w14:textId="77777777" w:rsidR="00016D51" w:rsidRPr="007F69E4" w:rsidRDefault="00016D51" w:rsidP="00655DD5">
      <w:pPr>
        <w:widowControl/>
        <w:autoSpaceDE/>
        <w:autoSpaceDN/>
        <w:adjustRightInd/>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7.2. Top up the content with sterile PBS. </w:t>
      </w:r>
    </w:p>
    <w:p w14:paraId="3007E78A" w14:textId="77777777" w:rsidR="00016D51" w:rsidRPr="007F69E4" w:rsidRDefault="00016D51" w:rsidP="00655DD5">
      <w:pPr>
        <w:widowControl/>
        <w:autoSpaceDE/>
        <w:autoSpaceDN/>
        <w:adjustRightInd/>
        <w:rPr>
          <w:rFonts w:asciiTheme="minorHAnsi" w:hAnsiTheme="minorHAnsi" w:cstheme="minorHAnsi"/>
          <w:color w:val="000000" w:themeColor="text1"/>
          <w:highlight w:val="yellow"/>
        </w:rPr>
      </w:pPr>
    </w:p>
    <w:p w14:paraId="286330B8" w14:textId="2F555B81" w:rsidR="00016D51" w:rsidRPr="007F69E4" w:rsidRDefault="00016D51" w:rsidP="00655DD5">
      <w:pPr>
        <w:widowControl/>
        <w:autoSpaceDE/>
        <w:autoSpaceDN/>
        <w:adjustRightInd/>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 xml:space="preserve">7.3. Spin down the tube at 400 x </w:t>
      </w:r>
      <w:r w:rsidRPr="007F69E4">
        <w:rPr>
          <w:rFonts w:asciiTheme="minorHAnsi" w:hAnsiTheme="minorHAnsi" w:cstheme="minorHAnsi"/>
          <w:i/>
          <w:color w:val="000000" w:themeColor="text1"/>
          <w:highlight w:val="yellow"/>
        </w:rPr>
        <w:t>g</w:t>
      </w:r>
      <w:r w:rsidRPr="007F69E4">
        <w:rPr>
          <w:rFonts w:asciiTheme="minorHAnsi" w:hAnsiTheme="minorHAnsi" w:cstheme="minorHAnsi"/>
          <w:color w:val="000000" w:themeColor="text1"/>
          <w:highlight w:val="yellow"/>
        </w:rPr>
        <w:t xml:space="preserve"> for 5 min at 4</w:t>
      </w:r>
      <w:r w:rsidR="00FA3B64">
        <w:rPr>
          <w:rFonts w:asciiTheme="minorHAnsi" w:hAnsiTheme="minorHAnsi" w:cstheme="minorHAnsi"/>
          <w:color w:val="000000" w:themeColor="text1"/>
          <w:highlight w:val="yellow"/>
        </w:rPr>
        <w:t xml:space="preserve"> °</w:t>
      </w:r>
      <w:r w:rsidRPr="007F69E4">
        <w:rPr>
          <w:rFonts w:asciiTheme="minorHAnsi" w:hAnsiTheme="minorHAnsi" w:cstheme="minorHAnsi"/>
          <w:color w:val="000000" w:themeColor="text1"/>
          <w:highlight w:val="yellow"/>
        </w:rPr>
        <w:t>C.</w:t>
      </w:r>
      <w:r w:rsidR="00FA3B64">
        <w:rPr>
          <w:rFonts w:asciiTheme="minorHAnsi" w:hAnsiTheme="minorHAnsi" w:cstheme="minorHAnsi"/>
          <w:color w:val="000000" w:themeColor="text1"/>
          <w:highlight w:val="yellow"/>
        </w:rPr>
        <w:t xml:space="preserve"> </w:t>
      </w:r>
      <w:bookmarkEnd w:id="11"/>
      <w:r w:rsidRPr="007F69E4">
        <w:rPr>
          <w:rFonts w:asciiTheme="minorHAnsi" w:hAnsiTheme="minorHAnsi" w:cstheme="minorHAnsi"/>
          <w:color w:val="000000" w:themeColor="text1"/>
          <w:highlight w:val="yellow"/>
        </w:rPr>
        <w:t>Resuspend pelleted cells with sterile PBS.</w:t>
      </w:r>
      <w:r w:rsidRPr="007F69E4">
        <w:rPr>
          <w:rFonts w:asciiTheme="minorHAnsi" w:hAnsiTheme="minorHAnsi" w:cstheme="minorHAnsi"/>
          <w:color w:val="000000" w:themeColor="text1"/>
        </w:rPr>
        <w:t xml:space="preserve">  </w:t>
      </w:r>
    </w:p>
    <w:p w14:paraId="1BFD7F31" w14:textId="77777777" w:rsidR="00042076" w:rsidRPr="007F69E4" w:rsidRDefault="00042076" w:rsidP="00655DD5">
      <w:pPr>
        <w:widowControl/>
        <w:autoSpaceDE/>
        <w:autoSpaceDN/>
        <w:adjustRightInd/>
        <w:rPr>
          <w:rFonts w:asciiTheme="minorHAnsi" w:hAnsiTheme="minorHAnsi" w:cstheme="minorHAnsi"/>
          <w:color w:val="000000" w:themeColor="text1"/>
          <w:highlight w:val="yellow"/>
        </w:rPr>
      </w:pPr>
      <w:bookmarkStart w:id="12" w:name="_Hlk507596305"/>
    </w:p>
    <w:p w14:paraId="3657B7F7" w14:textId="77777777" w:rsidR="00016D51" w:rsidRPr="00586999" w:rsidRDefault="00016D51" w:rsidP="00655DD5">
      <w:pPr>
        <w:widowControl/>
        <w:autoSpaceDE/>
        <w:autoSpaceDN/>
        <w:adjustRightInd/>
        <w:rPr>
          <w:rFonts w:asciiTheme="minorHAnsi" w:hAnsiTheme="minorHAnsi" w:cstheme="minorHAnsi"/>
          <w:color w:val="000000" w:themeColor="text1"/>
          <w:highlight w:val="yellow"/>
        </w:rPr>
      </w:pPr>
      <w:r w:rsidRPr="00586999">
        <w:rPr>
          <w:rFonts w:asciiTheme="minorHAnsi" w:hAnsiTheme="minorHAnsi" w:cstheme="minorHAnsi"/>
          <w:color w:val="000000" w:themeColor="text1"/>
          <w:highlight w:val="yellow"/>
        </w:rPr>
        <w:t xml:space="preserve">7.5. Count cells in trypan blue by a hemocytometer to ensure cellular viability of at least 95%. </w:t>
      </w:r>
    </w:p>
    <w:p w14:paraId="5E395EF0" w14:textId="77777777" w:rsidR="00016D51" w:rsidRPr="007F69E4" w:rsidRDefault="00016D51" w:rsidP="00655DD5">
      <w:pPr>
        <w:widowControl/>
        <w:autoSpaceDE/>
        <w:autoSpaceDN/>
        <w:adjustRightInd/>
        <w:rPr>
          <w:rFonts w:asciiTheme="minorHAnsi" w:hAnsiTheme="minorHAnsi" w:cstheme="minorHAnsi"/>
          <w:color w:val="000000" w:themeColor="text1"/>
          <w:highlight w:val="yellow"/>
        </w:rPr>
      </w:pPr>
    </w:p>
    <w:p w14:paraId="59FC0E1A" w14:textId="117311A1" w:rsidR="00016D51" w:rsidRPr="007F69E4" w:rsidRDefault="00016D51" w:rsidP="00655DD5">
      <w:pPr>
        <w:widowControl/>
        <w:autoSpaceDE/>
        <w:autoSpaceDN/>
        <w:adjustRightInd/>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7.6. Adjust the volume in order to inject 1 </w:t>
      </w:r>
      <w:r w:rsidR="00586999">
        <w:rPr>
          <w:rFonts w:asciiTheme="minorHAnsi" w:hAnsiTheme="minorHAnsi" w:cstheme="minorHAnsi"/>
          <w:color w:val="000000" w:themeColor="text1"/>
          <w:highlight w:val="yellow"/>
        </w:rPr>
        <w:t>x</w:t>
      </w:r>
      <w:r w:rsidRPr="007F69E4">
        <w:rPr>
          <w:rFonts w:asciiTheme="minorHAnsi" w:hAnsiTheme="minorHAnsi" w:cstheme="minorHAnsi"/>
          <w:color w:val="000000" w:themeColor="text1"/>
          <w:highlight w:val="yellow"/>
        </w:rPr>
        <w:t xml:space="preserve"> 10</w:t>
      </w:r>
      <w:r w:rsidRPr="007F69E4">
        <w:rPr>
          <w:rFonts w:asciiTheme="minorHAnsi" w:hAnsiTheme="minorHAnsi" w:cstheme="minorHAnsi"/>
          <w:color w:val="000000" w:themeColor="text1"/>
          <w:highlight w:val="yellow"/>
          <w:vertAlign w:val="superscript"/>
        </w:rPr>
        <w:t>7</w:t>
      </w:r>
      <w:r w:rsidRPr="007F69E4">
        <w:rPr>
          <w:rFonts w:asciiTheme="minorHAnsi" w:hAnsiTheme="minorHAnsi" w:cstheme="minorHAnsi"/>
          <w:color w:val="000000" w:themeColor="text1"/>
          <w:highlight w:val="yellow"/>
        </w:rPr>
        <w:t xml:space="preserve"> mixed target cells/200 μL PBS intravenously (</w:t>
      </w:r>
      <w:r w:rsidRPr="00586999">
        <w:rPr>
          <w:rFonts w:asciiTheme="minorHAnsi" w:hAnsiTheme="minorHAnsi" w:cstheme="minorHAnsi"/>
          <w:color w:val="000000" w:themeColor="text1"/>
          <w:highlight w:val="yellow"/>
        </w:rPr>
        <w:t>i.v.</w:t>
      </w:r>
      <w:r w:rsidRPr="007F69E4">
        <w:rPr>
          <w:rFonts w:asciiTheme="minorHAnsi" w:hAnsiTheme="minorHAnsi" w:cstheme="minorHAnsi"/>
          <w:color w:val="000000" w:themeColor="text1"/>
          <w:highlight w:val="yellow"/>
        </w:rPr>
        <w:t xml:space="preserve">), via tail vein, into each recipient C57BL/6 mouse. </w:t>
      </w:r>
    </w:p>
    <w:p w14:paraId="35B5F162" w14:textId="77777777" w:rsidR="00016D51" w:rsidRPr="007F69E4" w:rsidRDefault="00016D51" w:rsidP="00655DD5">
      <w:pPr>
        <w:rPr>
          <w:rFonts w:asciiTheme="minorHAnsi" w:hAnsiTheme="minorHAnsi" w:cstheme="minorHAnsi"/>
          <w:color w:val="000000" w:themeColor="text1"/>
          <w:highlight w:val="yellow"/>
        </w:rPr>
      </w:pPr>
    </w:p>
    <w:p w14:paraId="0B7E8B2A" w14:textId="22E76FA7" w:rsidR="007005C5" w:rsidRPr="007F69E4" w:rsidRDefault="0086754B" w:rsidP="00655DD5">
      <w:pPr>
        <w:widowControl/>
        <w:autoSpaceDE/>
        <w:autoSpaceDN/>
        <w:adjustRightInd/>
        <w:rPr>
          <w:rFonts w:asciiTheme="minorHAnsi" w:hAnsiTheme="minorHAnsi" w:cstheme="minorHAnsi"/>
          <w:b/>
          <w:color w:val="000000" w:themeColor="text1"/>
        </w:rPr>
      </w:pPr>
      <w:r w:rsidRPr="0086754B">
        <w:rPr>
          <w:rFonts w:asciiTheme="minorHAnsi" w:hAnsiTheme="minorHAnsi" w:cstheme="minorHAnsi"/>
          <w:color w:val="000000" w:themeColor="text1"/>
        </w:rPr>
        <w:t>NOTE:</w:t>
      </w:r>
      <w:r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Store the cells on ice in between injections.</w:t>
      </w:r>
      <w:r w:rsidR="007005C5" w:rsidRPr="007F69E4">
        <w:rPr>
          <w:rFonts w:asciiTheme="minorHAnsi" w:hAnsiTheme="minorHAnsi" w:cstheme="minorHAnsi"/>
          <w:color w:val="000000" w:themeColor="text1"/>
        </w:rPr>
        <w:t xml:space="preserve"> Gently mix target cells prior to each injection. Record the exact time of injection for each mouse, which will determine when the animal will </w:t>
      </w:r>
      <w:r w:rsidR="007005C5" w:rsidRPr="00EE0F08">
        <w:rPr>
          <w:rFonts w:asciiTheme="minorHAnsi" w:hAnsiTheme="minorHAnsi" w:cstheme="minorHAnsi"/>
          <w:color w:val="000000" w:themeColor="text1"/>
        </w:rPr>
        <w:t>need to be euthanized. It is important to keep the duration of in vivo cytotoxicity consistent</w:t>
      </w:r>
      <w:r w:rsidR="007005C5" w:rsidRPr="007F69E4">
        <w:rPr>
          <w:rFonts w:asciiTheme="minorHAnsi" w:hAnsiTheme="minorHAnsi" w:cstheme="minorHAnsi"/>
          <w:color w:val="000000" w:themeColor="text1"/>
        </w:rPr>
        <w:t xml:space="preserve"> among all animals in the same experiment.</w:t>
      </w:r>
    </w:p>
    <w:p w14:paraId="7D4FEA0F" w14:textId="698CEE87" w:rsidR="00016D51" w:rsidRPr="007F69E4" w:rsidRDefault="00016D51" w:rsidP="00655DD5">
      <w:pPr>
        <w:widowControl/>
        <w:autoSpaceDE/>
        <w:autoSpaceDN/>
        <w:adjustRightInd/>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 xml:space="preserve">  </w:t>
      </w:r>
    </w:p>
    <w:p w14:paraId="7DD349AA" w14:textId="514499D2" w:rsidR="00016D51" w:rsidRPr="007F69E4" w:rsidRDefault="00016D51" w:rsidP="00655DD5">
      <w:pPr>
        <w:widowControl/>
        <w:autoSpaceDE/>
        <w:autoSpaceDN/>
        <w:adjustRightInd/>
        <w:rPr>
          <w:rFonts w:asciiTheme="minorHAnsi" w:hAnsiTheme="minorHAnsi" w:cstheme="minorHAnsi"/>
          <w:b/>
          <w:color w:val="000000" w:themeColor="text1"/>
        </w:rPr>
      </w:pPr>
      <w:r w:rsidRPr="00EE50A0">
        <w:rPr>
          <w:rFonts w:asciiTheme="minorHAnsi" w:hAnsiTheme="minorHAnsi" w:cstheme="minorHAnsi"/>
          <w:b/>
          <w:color w:val="000000" w:themeColor="text1"/>
          <w:highlight w:val="yellow"/>
        </w:rPr>
        <w:t xml:space="preserve">8. Data </w:t>
      </w:r>
      <w:r w:rsidR="00E072A0" w:rsidRPr="00EE50A0">
        <w:rPr>
          <w:rFonts w:asciiTheme="minorHAnsi" w:hAnsiTheme="minorHAnsi" w:cstheme="minorHAnsi"/>
          <w:b/>
          <w:color w:val="000000" w:themeColor="text1"/>
          <w:highlight w:val="yellow"/>
        </w:rPr>
        <w:t>A</w:t>
      </w:r>
      <w:r w:rsidRPr="00EE50A0">
        <w:rPr>
          <w:rFonts w:asciiTheme="minorHAnsi" w:hAnsiTheme="minorHAnsi" w:cstheme="minorHAnsi"/>
          <w:b/>
          <w:color w:val="000000" w:themeColor="text1"/>
          <w:highlight w:val="yellow"/>
        </w:rPr>
        <w:t>cquisition</w:t>
      </w:r>
    </w:p>
    <w:p w14:paraId="2DBE07A7" w14:textId="77777777" w:rsidR="00016D51" w:rsidRPr="007F69E4" w:rsidRDefault="00016D51" w:rsidP="00655DD5">
      <w:pPr>
        <w:widowControl/>
        <w:autoSpaceDE/>
        <w:autoSpaceDN/>
        <w:adjustRightInd/>
        <w:rPr>
          <w:rFonts w:asciiTheme="minorHAnsi" w:hAnsiTheme="minorHAnsi" w:cstheme="minorHAnsi"/>
          <w:color w:val="000000" w:themeColor="text1"/>
        </w:rPr>
      </w:pPr>
    </w:p>
    <w:p w14:paraId="6E38661C" w14:textId="1893C3B9" w:rsidR="00016D51" w:rsidRPr="007F69E4" w:rsidRDefault="00016D51" w:rsidP="00655DD5">
      <w:pPr>
        <w:widowControl/>
        <w:autoSpaceDE/>
        <w:autoSpaceDN/>
        <w:adjustRightInd/>
        <w:rPr>
          <w:rFonts w:asciiTheme="minorHAnsi" w:hAnsiTheme="minorHAnsi" w:cstheme="minorHAnsi"/>
          <w:color w:val="000000" w:themeColor="text1"/>
        </w:rPr>
      </w:pPr>
      <w:r w:rsidRPr="007F69E4">
        <w:rPr>
          <w:rFonts w:asciiTheme="minorHAnsi" w:hAnsiTheme="minorHAnsi" w:cstheme="minorHAnsi"/>
          <w:color w:val="000000" w:themeColor="text1"/>
        </w:rPr>
        <w:t>8.1. Two or four hours after the injection of CFSE-labeled target cells, euthanize the recipient mice</w:t>
      </w:r>
      <w:r w:rsidR="00C15727" w:rsidRPr="007F69E4">
        <w:rPr>
          <w:rFonts w:asciiTheme="minorHAnsi" w:hAnsiTheme="minorHAnsi" w:cstheme="minorHAnsi"/>
          <w:color w:val="000000" w:themeColor="text1"/>
        </w:rPr>
        <w:t xml:space="preserve"> by cervical dislocation</w:t>
      </w:r>
      <w:r w:rsidRPr="007F69E4">
        <w:rPr>
          <w:rFonts w:asciiTheme="minorHAnsi" w:hAnsiTheme="minorHAnsi" w:cstheme="minorHAnsi"/>
          <w:color w:val="000000" w:themeColor="text1"/>
        </w:rPr>
        <w:t>.</w:t>
      </w:r>
    </w:p>
    <w:p w14:paraId="04B23537" w14:textId="77777777" w:rsidR="00016D51" w:rsidRPr="007F69E4" w:rsidRDefault="00016D51" w:rsidP="00655DD5">
      <w:pPr>
        <w:widowControl/>
        <w:autoSpaceDE/>
        <w:autoSpaceDN/>
        <w:adjustRightInd/>
        <w:rPr>
          <w:rFonts w:asciiTheme="minorHAnsi" w:hAnsiTheme="minorHAnsi" w:cstheme="minorHAnsi"/>
          <w:color w:val="000000" w:themeColor="text1"/>
        </w:rPr>
      </w:pPr>
    </w:p>
    <w:p w14:paraId="43B027F7" w14:textId="2FAEC512" w:rsidR="00016D51" w:rsidRPr="007F69E4" w:rsidRDefault="00EE50A0" w:rsidP="00655DD5">
      <w:pPr>
        <w:widowControl/>
        <w:autoSpaceDE/>
        <w:autoSpaceDN/>
        <w:adjustRightInd/>
        <w:rPr>
          <w:rFonts w:asciiTheme="minorHAnsi" w:hAnsiTheme="minorHAnsi" w:cstheme="minorHAnsi"/>
          <w:color w:val="000000" w:themeColor="text1"/>
        </w:rPr>
      </w:pPr>
      <w:r w:rsidRPr="0086754B">
        <w:rPr>
          <w:rFonts w:asciiTheme="minorHAnsi" w:hAnsiTheme="minorHAnsi" w:cstheme="minorHAnsi"/>
          <w:color w:val="000000" w:themeColor="text1"/>
        </w:rPr>
        <w:t>NOTE:</w:t>
      </w:r>
      <w:r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 xml:space="preserve">The duration of </w:t>
      </w:r>
      <w:r w:rsidR="00164210" w:rsidRPr="00164210">
        <w:rPr>
          <w:rFonts w:asciiTheme="minorHAnsi" w:hAnsiTheme="minorHAnsi" w:cstheme="minorHAnsi"/>
          <w:color w:val="000000" w:themeColor="text1"/>
        </w:rPr>
        <w:t>in vivo</w:t>
      </w:r>
      <w:r w:rsidR="00016D51" w:rsidRPr="007F69E4">
        <w:rPr>
          <w:rFonts w:asciiTheme="minorHAnsi" w:hAnsiTheme="minorHAnsi" w:cstheme="minorHAnsi"/>
          <w:color w:val="000000" w:themeColor="text1"/>
        </w:rPr>
        <w:t xml:space="preserve"> cytotoxicity can vary depending on the experimental system employed, the immunogenicity of target Ags, the anticipated abundance of peptide antigen-specific T</w:t>
      </w:r>
      <w:r w:rsidR="00016D51" w:rsidRPr="007F69E4">
        <w:rPr>
          <w:rFonts w:asciiTheme="minorHAnsi" w:hAnsiTheme="minorHAnsi" w:cstheme="minorHAnsi"/>
          <w:color w:val="000000" w:themeColor="text1"/>
          <w:vertAlign w:val="subscript"/>
        </w:rPr>
        <w:t>CD8</w:t>
      </w:r>
      <w:r w:rsidR="00016D51" w:rsidRPr="007F69E4">
        <w:rPr>
          <w:rFonts w:asciiTheme="minorHAnsi" w:hAnsiTheme="minorHAnsi" w:cstheme="minorHAnsi"/>
          <w:color w:val="000000" w:themeColor="text1"/>
        </w:rPr>
        <w:t xml:space="preserve"> in the spleen, and the robustness of their lytic function among other factors.    </w:t>
      </w:r>
    </w:p>
    <w:p w14:paraId="57FA1648" w14:textId="77777777" w:rsidR="00016D51" w:rsidRPr="007F69E4" w:rsidRDefault="00016D51" w:rsidP="00655DD5">
      <w:pPr>
        <w:widowControl/>
        <w:autoSpaceDE/>
        <w:autoSpaceDN/>
        <w:adjustRightInd/>
        <w:rPr>
          <w:rFonts w:asciiTheme="minorHAnsi" w:hAnsiTheme="minorHAnsi" w:cstheme="minorHAnsi"/>
          <w:color w:val="000000" w:themeColor="text1"/>
        </w:rPr>
      </w:pPr>
    </w:p>
    <w:p w14:paraId="3035A30C" w14:textId="2021D9A3" w:rsidR="00016D51" w:rsidRPr="007F69E4" w:rsidRDefault="00016D51" w:rsidP="00655DD5">
      <w:pPr>
        <w:widowControl/>
        <w:autoSpaceDE/>
        <w:autoSpaceDN/>
        <w:adjustRightInd/>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8.2. Remove and process each spleen separately as in steps 3.2</w:t>
      </w:r>
      <w:r w:rsidR="00EE50A0">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3.9</w:t>
      </w:r>
      <w:r w:rsidRPr="007F69E4">
        <w:rPr>
          <w:rFonts w:asciiTheme="minorHAnsi" w:hAnsiTheme="minorHAnsi" w:cstheme="minorHAnsi"/>
          <w:color w:val="000000" w:themeColor="text1"/>
        </w:rPr>
        <w:t>.</w:t>
      </w:r>
    </w:p>
    <w:p w14:paraId="14BCC380" w14:textId="77777777" w:rsidR="00016D51" w:rsidRPr="007F69E4" w:rsidRDefault="00016D51" w:rsidP="00655DD5">
      <w:pPr>
        <w:widowControl/>
        <w:autoSpaceDE/>
        <w:autoSpaceDN/>
        <w:adjustRightInd/>
        <w:rPr>
          <w:rFonts w:asciiTheme="minorHAnsi" w:hAnsiTheme="minorHAnsi" w:cstheme="minorHAnsi"/>
          <w:color w:val="000000" w:themeColor="text1"/>
        </w:rPr>
      </w:pPr>
    </w:p>
    <w:p w14:paraId="28A4CB8F" w14:textId="77777777" w:rsidR="00016D51" w:rsidRPr="007F69E4" w:rsidRDefault="00016D51" w:rsidP="00655DD5">
      <w:pPr>
        <w:widowControl/>
        <w:autoSpaceDE/>
        <w:autoSpaceDN/>
        <w:adjustRightInd/>
        <w:rPr>
          <w:rFonts w:asciiTheme="minorHAnsi" w:hAnsiTheme="minorHAnsi" w:cstheme="minorHAnsi"/>
          <w:b/>
          <w:color w:val="000000" w:themeColor="text1"/>
        </w:rPr>
      </w:pPr>
      <w:r w:rsidRPr="007F69E4">
        <w:rPr>
          <w:rFonts w:asciiTheme="minorHAnsi" w:hAnsiTheme="minorHAnsi" w:cstheme="minorHAnsi"/>
          <w:color w:val="000000" w:themeColor="text1"/>
          <w:highlight w:val="yellow"/>
        </w:rPr>
        <w:t>8.3. Discard the supernatant and resuspend the pelleted cells in 3 mL of PBS</w:t>
      </w:r>
      <w:r w:rsidRPr="007F69E4">
        <w:rPr>
          <w:rFonts w:asciiTheme="minorHAnsi" w:hAnsiTheme="minorHAnsi" w:cstheme="minorHAnsi"/>
          <w:color w:val="000000" w:themeColor="text1"/>
        </w:rPr>
        <w:t xml:space="preserve">.      </w:t>
      </w:r>
    </w:p>
    <w:p w14:paraId="5522006B" w14:textId="77777777" w:rsidR="00016D51" w:rsidRPr="007F69E4" w:rsidRDefault="00016D51" w:rsidP="00655DD5">
      <w:pPr>
        <w:pStyle w:val="ListParagraph"/>
        <w:ind w:left="0"/>
        <w:rPr>
          <w:rFonts w:asciiTheme="minorHAnsi" w:hAnsiTheme="minorHAnsi" w:cstheme="minorHAnsi"/>
          <w:b/>
          <w:color w:val="000000" w:themeColor="text1"/>
          <w:highlight w:val="yellow"/>
        </w:rPr>
      </w:pPr>
    </w:p>
    <w:p w14:paraId="1476F00D" w14:textId="2BFB475B" w:rsidR="00016D51" w:rsidRPr="007206BA" w:rsidRDefault="00536A3C" w:rsidP="00655DD5">
      <w:pPr>
        <w:rPr>
          <w:rFonts w:asciiTheme="minorHAnsi" w:hAnsiTheme="minorHAnsi" w:cstheme="minorHAnsi"/>
          <w:color w:val="000000" w:themeColor="text1"/>
        </w:rPr>
      </w:pPr>
      <w:r w:rsidRPr="0086754B">
        <w:rPr>
          <w:rFonts w:asciiTheme="minorHAnsi" w:hAnsiTheme="minorHAnsi" w:cstheme="minorHAnsi"/>
          <w:color w:val="000000" w:themeColor="text1"/>
        </w:rPr>
        <w:t>NOTE:</w:t>
      </w:r>
      <w:r w:rsidRPr="007F69E4">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Take extra care to handle the splenic tissue and cell preparations at 4</w:t>
      </w:r>
      <w:r w:rsidR="007206BA">
        <w:rPr>
          <w:rFonts w:asciiTheme="minorHAnsi" w:hAnsiTheme="minorHAnsi" w:cstheme="minorHAnsi"/>
          <w:color w:val="000000" w:themeColor="text1"/>
        </w:rPr>
        <w:t xml:space="preserve"> °</w:t>
      </w:r>
      <w:r w:rsidR="00016D51" w:rsidRPr="007F69E4">
        <w:rPr>
          <w:rFonts w:asciiTheme="minorHAnsi" w:hAnsiTheme="minorHAnsi" w:cstheme="minorHAnsi"/>
          <w:color w:val="000000" w:themeColor="text1"/>
        </w:rPr>
        <w:t xml:space="preserve">C or on ice before </w:t>
      </w:r>
      <w:r w:rsidR="00016D51" w:rsidRPr="007206BA">
        <w:rPr>
          <w:rFonts w:asciiTheme="minorHAnsi" w:hAnsiTheme="minorHAnsi" w:cstheme="minorHAnsi"/>
          <w:color w:val="000000" w:themeColor="text1"/>
        </w:rPr>
        <w:t>cytofluorimetric analyses. This is to prevent continued cytotoxicity ex vivo.</w:t>
      </w:r>
    </w:p>
    <w:p w14:paraId="31E3DAC5" w14:textId="77777777" w:rsidR="00016D51" w:rsidRPr="007F69E4" w:rsidRDefault="00016D51" w:rsidP="00655DD5">
      <w:pPr>
        <w:rPr>
          <w:rFonts w:asciiTheme="minorHAnsi" w:hAnsiTheme="minorHAnsi" w:cstheme="minorHAnsi"/>
          <w:color w:val="000000" w:themeColor="text1"/>
        </w:rPr>
      </w:pPr>
    </w:p>
    <w:p w14:paraId="0D4C8C50" w14:textId="093373DB"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highlight w:val="yellow"/>
        </w:rPr>
        <w:t xml:space="preserve">8.4. Transfer approximately </w:t>
      </w:r>
      <w:r w:rsidRPr="007F69E4">
        <w:rPr>
          <w:rFonts w:asciiTheme="minorHAnsi" w:hAnsiTheme="minorHAnsi" w:cstheme="minorHAnsi"/>
          <w:color w:val="auto"/>
          <w:highlight w:val="yellow"/>
        </w:rPr>
        <w:t xml:space="preserve">1 </w:t>
      </w:r>
      <w:r w:rsidR="0033468A">
        <w:rPr>
          <w:rFonts w:asciiTheme="minorHAnsi" w:hAnsiTheme="minorHAnsi" w:cstheme="minorHAnsi"/>
          <w:color w:val="auto"/>
          <w:highlight w:val="yellow"/>
        </w:rPr>
        <w:t>x</w:t>
      </w:r>
      <w:r w:rsidRPr="007F69E4">
        <w:rPr>
          <w:rFonts w:asciiTheme="minorHAnsi" w:hAnsiTheme="minorHAnsi" w:cstheme="minorHAnsi"/>
          <w:color w:val="auto"/>
          <w:highlight w:val="yellow"/>
        </w:rPr>
        <w:t xml:space="preserve"> 10</w:t>
      </w:r>
      <w:r w:rsidRPr="007F69E4">
        <w:rPr>
          <w:rFonts w:asciiTheme="minorHAnsi" w:hAnsiTheme="minorHAnsi" w:cstheme="minorHAnsi"/>
          <w:color w:val="auto"/>
          <w:highlight w:val="yellow"/>
          <w:vertAlign w:val="superscript"/>
        </w:rPr>
        <w:t>7</w:t>
      </w:r>
      <w:r w:rsidRPr="007F69E4">
        <w:rPr>
          <w:rFonts w:asciiTheme="minorHAnsi" w:hAnsiTheme="minorHAnsi" w:cstheme="minorHAnsi"/>
          <w:color w:val="000000" w:themeColor="text1"/>
          <w:highlight w:val="yellow"/>
          <w:vertAlign w:val="superscript"/>
        </w:rPr>
        <w:t xml:space="preserve"> </w:t>
      </w:r>
      <w:r w:rsidRPr="007F69E4">
        <w:rPr>
          <w:rFonts w:asciiTheme="minorHAnsi" w:hAnsiTheme="minorHAnsi" w:cstheme="minorHAnsi"/>
          <w:color w:val="000000" w:themeColor="text1"/>
          <w:highlight w:val="yellow"/>
        </w:rPr>
        <w:t xml:space="preserve">cells from each processed spleen into a clean FACS tube.  </w:t>
      </w:r>
    </w:p>
    <w:p w14:paraId="4CAF9D3F" w14:textId="77777777" w:rsidR="00016D51" w:rsidRPr="007F69E4" w:rsidRDefault="00016D51" w:rsidP="00655DD5">
      <w:pPr>
        <w:rPr>
          <w:rFonts w:asciiTheme="minorHAnsi" w:hAnsiTheme="minorHAnsi" w:cstheme="minorHAnsi"/>
          <w:color w:val="000000" w:themeColor="text1"/>
        </w:rPr>
      </w:pPr>
    </w:p>
    <w:p w14:paraId="08305EF8" w14:textId="3DAEA73E" w:rsidR="00016D51" w:rsidRPr="007F69E4" w:rsidRDefault="00016D51" w:rsidP="00655DD5">
      <w:pPr>
        <w:pStyle w:val="ListParagraph"/>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8.5. Interrogate cells immediately using a flow cytometer equipped with a 488-nm laser. Draw a lymphocyte gate based on FSC and SSC properties of the cells.</w:t>
      </w:r>
    </w:p>
    <w:p w14:paraId="42B804D8"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289EA784" w14:textId="1D826E0B" w:rsidR="00016D51" w:rsidRPr="007F69E4" w:rsidRDefault="00016D51" w:rsidP="00655DD5">
      <w:pPr>
        <w:pStyle w:val="ListParagraph"/>
        <w:ind w:left="0"/>
        <w:rPr>
          <w:rFonts w:asciiTheme="minorHAnsi" w:hAnsiTheme="minorHAnsi" w:cstheme="minorHAnsi"/>
          <w:color w:val="000000" w:themeColor="text1"/>
          <w:highlight w:val="yellow"/>
        </w:rPr>
      </w:pPr>
      <w:r w:rsidRPr="007F69E4">
        <w:rPr>
          <w:rFonts w:asciiTheme="minorHAnsi" w:hAnsiTheme="minorHAnsi" w:cstheme="minorHAnsi"/>
          <w:color w:val="000000" w:themeColor="text1"/>
          <w:highlight w:val="yellow"/>
        </w:rPr>
        <w:t>8.6. Identify CFSE</w:t>
      </w:r>
      <w:r w:rsidRPr="007F69E4">
        <w:rPr>
          <w:rFonts w:asciiTheme="minorHAnsi" w:hAnsiTheme="minorHAnsi" w:cstheme="minorHAnsi"/>
          <w:color w:val="000000" w:themeColor="text1"/>
          <w:highlight w:val="yellow"/>
          <w:vertAlign w:val="superscript"/>
        </w:rPr>
        <w:t>-</w:t>
      </w:r>
      <w:r w:rsidRPr="007F69E4">
        <w:rPr>
          <w:rFonts w:asciiTheme="minorHAnsi" w:hAnsiTheme="minorHAnsi" w:cstheme="minorHAnsi"/>
          <w:color w:val="000000" w:themeColor="text1"/>
          <w:highlight w:val="yellow"/>
        </w:rPr>
        <w:t xml:space="preserve"> recipient’s splenocytes and CFSE</w:t>
      </w:r>
      <w:r w:rsidRPr="007F69E4">
        <w:rPr>
          <w:rFonts w:asciiTheme="minorHAnsi" w:hAnsiTheme="minorHAnsi" w:cstheme="minorHAnsi"/>
          <w:color w:val="000000" w:themeColor="text1"/>
          <w:highlight w:val="yellow"/>
          <w:vertAlign w:val="superscript"/>
        </w:rPr>
        <w:t>+</w:t>
      </w:r>
      <w:r w:rsidRPr="007F69E4">
        <w:rPr>
          <w:rFonts w:asciiTheme="minorHAnsi" w:hAnsiTheme="minorHAnsi" w:cstheme="minorHAnsi"/>
          <w:color w:val="000000" w:themeColor="text1"/>
          <w:highlight w:val="yellow"/>
        </w:rPr>
        <w:t xml:space="preserve"> transferred target cells. Draw additional gates accommodating distinct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low</w:t>
      </w:r>
      <w:proofErr w:type="spellEnd"/>
      <w:r w:rsidRPr="007F69E4">
        <w:rPr>
          <w:rFonts w:asciiTheme="minorHAnsi" w:hAnsiTheme="minorHAnsi" w:cstheme="minorHAnsi"/>
          <w:color w:val="000000" w:themeColor="text1"/>
          <w:highlight w:val="yellow"/>
        </w:rPr>
        <w:t xml:space="preserve">,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int</w:t>
      </w:r>
      <w:proofErr w:type="spellEnd"/>
      <w:r w:rsidR="00AA66C9" w:rsidRPr="007F69E4">
        <w:rPr>
          <w:rFonts w:asciiTheme="minorHAnsi" w:hAnsiTheme="minorHAnsi" w:cstheme="minorHAnsi"/>
          <w:color w:val="000000" w:themeColor="text1"/>
          <w:highlight w:val="yellow"/>
        </w:rPr>
        <w:t>,</w:t>
      </w:r>
      <w:r w:rsidRPr="007F69E4">
        <w:rPr>
          <w:rFonts w:asciiTheme="minorHAnsi" w:hAnsiTheme="minorHAnsi" w:cstheme="minorHAnsi"/>
          <w:color w:val="000000" w:themeColor="text1"/>
          <w:highlight w:val="yellow"/>
        </w:rPr>
        <w:t xml:space="preserve"> and </w:t>
      </w:r>
      <w:proofErr w:type="spellStart"/>
      <w:r w:rsidRPr="007F69E4">
        <w:rPr>
          <w:rFonts w:asciiTheme="minorHAnsi" w:hAnsiTheme="minorHAnsi" w:cstheme="minorHAnsi"/>
          <w:color w:val="000000" w:themeColor="text1"/>
          <w:highlight w:val="yellow"/>
        </w:rPr>
        <w:t>CFSE</w:t>
      </w:r>
      <w:r w:rsidRPr="007F69E4">
        <w:rPr>
          <w:rFonts w:asciiTheme="minorHAnsi" w:hAnsiTheme="minorHAnsi" w:cstheme="minorHAnsi"/>
          <w:color w:val="000000" w:themeColor="text1"/>
          <w:highlight w:val="yellow"/>
          <w:vertAlign w:val="superscript"/>
        </w:rPr>
        <w:t>high</w:t>
      </w:r>
      <w:proofErr w:type="spellEnd"/>
      <w:r w:rsidRPr="007F69E4">
        <w:rPr>
          <w:rFonts w:asciiTheme="minorHAnsi" w:hAnsiTheme="minorHAnsi" w:cstheme="minorHAnsi"/>
          <w:color w:val="000000" w:themeColor="text1"/>
          <w:highlight w:val="yellow"/>
        </w:rPr>
        <w:t xml:space="preserve"> target cell populations. </w:t>
      </w:r>
    </w:p>
    <w:p w14:paraId="698D2CA5"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67F6B0E6" w14:textId="77777777" w:rsidR="00016D51" w:rsidRPr="00A917EB" w:rsidRDefault="00016D51" w:rsidP="00655DD5">
      <w:pPr>
        <w:pStyle w:val="ListParagraph"/>
        <w:ind w:left="0"/>
        <w:rPr>
          <w:rFonts w:asciiTheme="minorHAnsi" w:hAnsiTheme="minorHAnsi" w:cstheme="minorHAnsi"/>
          <w:color w:val="000000" w:themeColor="text1"/>
          <w:highlight w:val="yellow"/>
        </w:rPr>
      </w:pPr>
      <w:r w:rsidRPr="00A917EB">
        <w:rPr>
          <w:rFonts w:asciiTheme="minorHAnsi" w:hAnsiTheme="minorHAnsi" w:cstheme="minorHAnsi"/>
          <w:color w:val="000000" w:themeColor="text1"/>
          <w:highlight w:val="yellow"/>
        </w:rPr>
        <w:t>8.7. Acquire a total of 2000 CFSE</w:t>
      </w:r>
      <w:r w:rsidRPr="00A917EB">
        <w:rPr>
          <w:rFonts w:asciiTheme="minorHAnsi" w:hAnsiTheme="minorHAnsi" w:cstheme="minorHAnsi"/>
          <w:color w:val="000000" w:themeColor="text1"/>
          <w:highlight w:val="yellow"/>
          <w:vertAlign w:val="superscript"/>
        </w:rPr>
        <w:t>low</w:t>
      </w:r>
      <w:r w:rsidRPr="00A917EB">
        <w:rPr>
          <w:rFonts w:asciiTheme="minorHAnsi" w:hAnsiTheme="minorHAnsi" w:cstheme="minorHAnsi"/>
          <w:color w:val="000000" w:themeColor="text1"/>
          <w:highlight w:val="yellow"/>
        </w:rPr>
        <w:t xml:space="preserve"> events in the FL-1 channel. </w:t>
      </w:r>
    </w:p>
    <w:p w14:paraId="7DED442A" w14:textId="77777777" w:rsidR="00016D51" w:rsidRPr="007F69E4" w:rsidRDefault="00016D51" w:rsidP="00655DD5">
      <w:pPr>
        <w:pStyle w:val="ListParagraph"/>
        <w:ind w:left="0"/>
        <w:rPr>
          <w:rFonts w:asciiTheme="minorHAnsi" w:hAnsiTheme="minorHAnsi" w:cstheme="minorHAnsi"/>
          <w:color w:val="000000" w:themeColor="text1"/>
          <w:highlight w:val="yellow"/>
        </w:rPr>
      </w:pPr>
    </w:p>
    <w:p w14:paraId="125CEC95" w14:textId="20672C02" w:rsidR="00016D51" w:rsidRPr="007F69E4" w:rsidRDefault="00A917EB" w:rsidP="00655DD5">
      <w:pPr>
        <w:pStyle w:val="ListParagraph"/>
        <w:ind w:left="0"/>
        <w:rPr>
          <w:rFonts w:asciiTheme="minorHAnsi" w:hAnsiTheme="minorHAnsi" w:cstheme="minorHAnsi"/>
          <w:color w:val="000000" w:themeColor="text1"/>
          <w:highlight w:val="yellow"/>
        </w:rPr>
      </w:pPr>
      <w:r w:rsidRPr="0086754B">
        <w:rPr>
          <w:rFonts w:asciiTheme="minorHAnsi" w:hAnsiTheme="minorHAnsi" w:cstheme="minorHAnsi"/>
          <w:color w:val="000000" w:themeColor="text1"/>
        </w:rPr>
        <w:t>NOTE:</w:t>
      </w:r>
      <w:r w:rsidR="00016D51" w:rsidRPr="007F69E4">
        <w:rPr>
          <w:rFonts w:asciiTheme="minorHAnsi" w:hAnsiTheme="minorHAnsi" w:cstheme="minorHAnsi"/>
          <w:b/>
          <w:color w:val="000000" w:themeColor="text1"/>
        </w:rPr>
        <w:t xml:space="preserve"> </w:t>
      </w:r>
      <w:r w:rsidR="00016D51" w:rsidRPr="007F69E4">
        <w:rPr>
          <w:rFonts w:asciiTheme="minorHAnsi" w:hAnsiTheme="minorHAnsi" w:cstheme="minorHAnsi"/>
          <w:color w:val="000000" w:themeColor="text1"/>
        </w:rPr>
        <w:t>Acquiring a constant number of CFSE</w:t>
      </w:r>
      <w:r w:rsidR="00016D51" w:rsidRPr="007F69E4">
        <w:rPr>
          <w:rFonts w:asciiTheme="minorHAnsi" w:hAnsiTheme="minorHAnsi" w:cstheme="minorHAnsi"/>
          <w:color w:val="000000" w:themeColor="text1"/>
          <w:vertAlign w:val="superscript"/>
        </w:rPr>
        <w:t>low</w:t>
      </w:r>
      <w:r w:rsidR="00016D51" w:rsidRPr="007F69E4">
        <w:rPr>
          <w:rFonts w:asciiTheme="minorHAnsi" w:hAnsiTheme="minorHAnsi" w:cstheme="minorHAnsi"/>
          <w:color w:val="000000" w:themeColor="text1"/>
        </w:rPr>
        <w:t xml:space="preserve"> target cells, as opposed to a constant number of total CFSE</w:t>
      </w:r>
      <w:r w:rsidR="00016D51" w:rsidRPr="007F69E4">
        <w:rPr>
          <w:rFonts w:asciiTheme="minorHAnsi" w:hAnsiTheme="minorHAnsi" w:cstheme="minorHAnsi"/>
          <w:color w:val="000000" w:themeColor="text1"/>
          <w:vertAlign w:val="superscript"/>
        </w:rPr>
        <w:t>+</w:t>
      </w:r>
      <w:r w:rsidR="00016D51" w:rsidRPr="007F69E4">
        <w:rPr>
          <w:rFonts w:asciiTheme="minorHAnsi" w:hAnsiTheme="minorHAnsi" w:cstheme="minorHAnsi"/>
          <w:color w:val="000000" w:themeColor="text1"/>
        </w:rPr>
        <w:t xml:space="preserve"> cells, will help avoid inconsistencies in shapes</w:t>
      </w:r>
      <w:r w:rsidR="00982528" w:rsidRPr="007F69E4">
        <w:rPr>
          <w:rFonts w:asciiTheme="minorHAnsi" w:hAnsiTheme="minorHAnsi" w:cstheme="minorHAnsi"/>
          <w:color w:val="000000" w:themeColor="text1"/>
        </w:rPr>
        <w:t xml:space="preserve"> and heights of control histograms</w:t>
      </w:r>
      <w:r w:rsidR="00016D51" w:rsidRPr="007F69E4">
        <w:rPr>
          <w:rFonts w:asciiTheme="minorHAnsi" w:hAnsiTheme="minorHAnsi" w:cstheme="minorHAnsi"/>
          <w:color w:val="000000" w:themeColor="text1"/>
        </w:rPr>
        <w:t>. Therefore, naïve and T Ag-primed mice shall have similar histograms corresponding to irrelevant peptide-pulsed target cells regardless of whether and to what extent cognate (CFSE</w:t>
      </w:r>
      <w:r w:rsidR="00016D51" w:rsidRPr="007F69E4">
        <w:rPr>
          <w:rFonts w:asciiTheme="minorHAnsi" w:hAnsiTheme="minorHAnsi" w:cstheme="minorHAnsi"/>
          <w:color w:val="000000" w:themeColor="text1"/>
          <w:vertAlign w:val="superscript"/>
        </w:rPr>
        <w:t>int/high</w:t>
      </w:r>
      <w:r w:rsidR="00016D51" w:rsidRPr="007F69E4">
        <w:rPr>
          <w:rFonts w:asciiTheme="minorHAnsi" w:hAnsiTheme="minorHAnsi" w:cstheme="minorHAnsi"/>
          <w:color w:val="000000" w:themeColor="text1"/>
        </w:rPr>
        <w:t xml:space="preserve">) target cells may have been destroyed.     </w:t>
      </w:r>
      <w:r w:rsidR="00016D51" w:rsidRPr="007F69E4">
        <w:rPr>
          <w:rFonts w:asciiTheme="minorHAnsi" w:hAnsiTheme="minorHAnsi" w:cstheme="minorHAnsi"/>
          <w:color w:val="000000" w:themeColor="text1"/>
          <w:highlight w:val="yellow"/>
        </w:rPr>
        <w:t xml:space="preserve">   </w:t>
      </w:r>
    </w:p>
    <w:p w14:paraId="162A6805" w14:textId="77777777" w:rsidR="00F21B9D" w:rsidRPr="007F69E4" w:rsidRDefault="00F21B9D" w:rsidP="00655DD5">
      <w:pPr>
        <w:widowControl/>
        <w:autoSpaceDE/>
        <w:autoSpaceDN/>
        <w:adjustRightInd/>
        <w:rPr>
          <w:rFonts w:asciiTheme="minorHAnsi" w:hAnsiTheme="minorHAnsi" w:cstheme="minorHAnsi"/>
          <w:b/>
          <w:color w:val="000000" w:themeColor="text1"/>
        </w:rPr>
      </w:pPr>
    </w:p>
    <w:p w14:paraId="432FE1F2" w14:textId="1CA1080D" w:rsidR="00016D51" w:rsidRPr="00CE66BA" w:rsidRDefault="00016D51" w:rsidP="00655DD5">
      <w:pPr>
        <w:widowControl/>
        <w:autoSpaceDE/>
        <w:autoSpaceDN/>
        <w:adjustRightInd/>
        <w:rPr>
          <w:rFonts w:asciiTheme="minorHAnsi" w:hAnsiTheme="minorHAnsi" w:cstheme="minorHAnsi"/>
          <w:b/>
          <w:color w:val="000000" w:themeColor="text1"/>
          <w:highlight w:val="yellow"/>
        </w:rPr>
      </w:pPr>
      <w:r w:rsidRPr="00CE66BA">
        <w:rPr>
          <w:rFonts w:asciiTheme="minorHAnsi" w:hAnsiTheme="minorHAnsi" w:cstheme="minorHAnsi"/>
          <w:b/>
          <w:color w:val="000000" w:themeColor="text1"/>
          <w:highlight w:val="yellow"/>
        </w:rPr>
        <w:t xml:space="preserve">9. Data </w:t>
      </w:r>
      <w:r w:rsidR="00EB63BF" w:rsidRPr="00CE66BA">
        <w:rPr>
          <w:rFonts w:asciiTheme="minorHAnsi" w:hAnsiTheme="minorHAnsi" w:cstheme="minorHAnsi"/>
          <w:b/>
          <w:color w:val="000000" w:themeColor="text1"/>
          <w:highlight w:val="yellow"/>
        </w:rPr>
        <w:t>A</w:t>
      </w:r>
      <w:r w:rsidRPr="00CE66BA">
        <w:rPr>
          <w:rFonts w:asciiTheme="minorHAnsi" w:hAnsiTheme="minorHAnsi" w:cstheme="minorHAnsi"/>
          <w:b/>
          <w:color w:val="000000" w:themeColor="text1"/>
          <w:highlight w:val="yellow"/>
        </w:rPr>
        <w:t>nalysis</w:t>
      </w:r>
    </w:p>
    <w:p w14:paraId="1EFBDFB3" w14:textId="77777777" w:rsidR="00016D51" w:rsidRPr="007F69E4" w:rsidRDefault="00016D51" w:rsidP="00655DD5">
      <w:pPr>
        <w:widowControl/>
        <w:autoSpaceDE/>
        <w:autoSpaceDN/>
        <w:adjustRightInd/>
        <w:rPr>
          <w:rFonts w:asciiTheme="minorHAnsi" w:hAnsiTheme="minorHAnsi" w:cstheme="minorHAnsi"/>
          <w:color w:val="000000" w:themeColor="text1"/>
          <w:highlight w:val="yellow"/>
        </w:rPr>
      </w:pPr>
    </w:p>
    <w:p w14:paraId="3FC1A740" w14:textId="77777777" w:rsidR="00016D51" w:rsidRPr="007F69E4" w:rsidRDefault="00016D51" w:rsidP="00655DD5">
      <w:pPr>
        <w:widowControl/>
        <w:autoSpaceDE/>
        <w:autoSpaceDN/>
        <w:adjustRightInd/>
        <w:rPr>
          <w:rFonts w:asciiTheme="minorHAnsi" w:hAnsiTheme="minorHAnsi" w:cstheme="minorHAnsi"/>
          <w:b/>
          <w:color w:val="000000" w:themeColor="text1"/>
          <w:highlight w:val="yellow"/>
        </w:rPr>
      </w:pPr>
      <w:r w:rsidRPr="007F69E4">
        <w:rPr>
          <w:rFonts w:asciiTheme="minorHAnsi" w:hAnsiTheme="minorHAnsi" w:cstheme="minorHAnsi"/>
          <w:color w:val="000000" w:themeColor="text1"/>
          <w:highlight w:val="yellow"/>
        </w:rPr>
        <w:t>9.1. Calculate the specific lysis of each cognate target cell population using the following formula:</w:t>
      </w:r>
    </w:p>
    <w:p w14:paraId="033A1832" w14:textId="77777777" w:rsidR="00016D51" w:rsidRPr="007F69E4" w:rsidRDefault="00016D51" w:rsidP="00655DD5">
      <w:pPr>
        <w:rPr>
          <w:rFonts w:asciiTheme="minorHAnsi" w:hAnsiTheme="minorHAnsi" w:cstheme="minorHAnsi"/>
          <w:color w:val="000000" w:themeColor="text1"/>
          <w:highlight w:val="yellow"/>
        </w:rPr>
      </w:pPr>
    </w:p>
    <w:p w14:paraId="66BEF6C0" w14:textId="6485C710" w:rsidR="00016D51" w:rsidRDefault="00016D51" w:rsidP="00655DD5">
      <w:pPr>
        <w:rPr>
          <w:rFonts w:asciiTheme="minorHAnsi" w:hAnsiTheme="minorHAnsi" w:cstheme="minorHAnsi"/>
          <w:szCs w:val="28"/>
        </w:rPr>
      </w:pPr>
      <w:r w:rsidRPr="00F06C85">
        <w:rPr>
          <w:rFonts w:asciiTheme="minorHAnsi" w:hAnsiTheme="minorHAnsi" w:cstheme="minorHAnsi"/>
          <w:highlight w:val="yellow"/>
        </w:rPr>
        <w:t xml:space="preserve">% Specific </w:t>
      </w:r>
      <w:r w:rsidR="00812A4E" w:rsidRPr="00F06C85">
        <w:rPr>
          <w:rFonts w:asciiTheme="minorHAnsi" w:hAnsiTheme="minorHAnsi" w:cstheme="minorHAnsi"/>
          <w:highlight w:val="yellow"/>
        </w:rPr>
        <w:t>c</w:t>
      </w:r>
      <w:r w:rsidRPr="00F06C85">
        <w:rPr>
          <w:rFonts w:asciiTheme="minorHAnsi" w:hAnsiTheme="minorHAnsi" w:cstheme="minorHAnsi"/>
          <w:highlight w:val="yellow"/>
        </w:rPr>
        <w:t xml:space="preserve">ytotoxicity </w:t>
      </w:r>
      <w:r w:rsidRPr="00F06C85">
        <w:rPr>
          <w:rFonts w:asciiTheme="minorHAnsi" w:hAnsiTheme="minorHAnsi" w:cstheme="minorHAnsi"/>
          <w:highlight w:val="yellow"/>
        </w:rPr>
        <w:sym w:font="Symbol" w:char="F03D"/>
      </w:r>
      <w:r w:rsidRPr="00F06C85">
        <w:rPr>
          <w:rFonts w:asciiTheme="minorHAnsi" w:hAnsiTheme="minorHAnsi" w:cstheme="minorHAnsi"/>
          <w:highlight w:val="yellow"/>
        </w:rPr>
        <w:t xml:space="preserve"> </w:t>
      </w:r>
      <m:oMath>
        <m:d>
          <m:dPr>
            <m:begChr m:val="["/>
            <m:endChr m:val="]"/>
            <m:ctrlPr>
              <w:rPr>
                <w:rFonts w:ascii="Cambria Math" w:hAnsi="Cambria Math" w:cstheme="minorHAnsi"/>
                <w:i/>
                <w:szCs w:val="28"/>
                <w:highlight w:val="yellow"/>
              </w:rPr>
            </m:ctrlPr>
          </m:dPr>
          <m:e>
            <m:r>
              <w:rPr>
                <w:rFonts w:ascii="Cambria Math" w:hAnsi="Cambria Math" w:cstheme="minorHAnsi"/>
                <w:szCs w:val="28"/>
                <w:highlight w:val="yellow"/>
              </w:rPr>
              <m:t>1-</m:t>
            </m:r>
            <m:d>
              <m:dPr>
                <m:begChr m:val="{"/>
                <m:endChr m:val="}"/>
                <m:ctrlPr>
                  <w:rPr>
                    <w:rFonts w:ascii="Cambria Math" w:hAnsi="Cambria Math" w:cstheme="minorHAnsi"/>
                    <w:i/>
                    <w:szCs w:val="28"/>
                    <w:highlight w:val="yellow"/>
                  </w:rPr>
                </m:ctrlPr>
              </m:dPr>
              <m:e>
                <m:d>
                  <m:dPr>
                    <m:ctrlPr>
                      <w:rPr>
                        <w:rFonts w:ascii="Cambria Math" w:hAnsi="Cambria Math" w:cstheme="minorHAnsi"/>
                        <w:i/>
                        <w:szCs w:val="28"/>
                        <w:highlight w:val="yellow"/>
                      </w:rPr>
                    </m:ctrlPr>
                  </m:dPr>
                  <m:e>
                    <m:d>
                      <m:dPr>
                        <m:ctrlPr>
                          <w:rPr>
                            <w:rFonts w:ascii="Cambria Math" w:hAnsi="Cambria Math" w:cstheme="minorHAnsi"/>
                            <w:i/>
                            <w:szCs w:val="28"/>
                            <w:highlight w:val="yellow"/>
                          </w:rPr>
                        </m:ctrlPr>
                      </m:dPr>
                      <m:e>
                        <m:r>
                          <w:rPr>
                            <w:rFonts w:ascii="Cambria Math" w:hAnsi="Cambria Math" w:cstheme="minorHAnsi"/>
                            <w:szCs w:val="28"/>
                            <w:highlight w:val="yellow"/>
                          </w:rPr>
                          <m:t>x∕y</m:t>
                        </m:r>
                      </m:e>
                    </m:d>
                    <m:r>
                      <w:rPr>
                        <w:rFonts w:ascii="Cambria Math" w:hAnsi="Cambria Math" w:cstheme="minorHAnsi"/>
                        <w:szCs w:val="28"/>
                        <w:highlight w:val="yellow"/>
                      </w:rPr>
                      <m:t>∕</m:t>
                    </m:r>
                    <m:d>
                      <m:dPr>
                        <m:ctrlPr>
                          <w:rPr>
                            <w:rFonts w:ascii="Cambria Math" w:hAnsi="Cambria Math" w:cstheme="minorHAnsi"/>
                            <w:i/>
                            <w:szCs w:val="28"/>
                            <w:highlight w:val="yellow"/>
                          </w:rPr>
                        </m:ctrlPr>
                      </m:dPr>
                      <m:e>
                        <m:f>
                          <m:fPr>
                            <m:type m:val="skw"/>
                            <m:ctrlPr>
                              <w:rPr>
                                <w:rFonts w:ascii="Cambria Math" w:hAnsi="Cambria Math" w:cstheme="minorHAnsi"/>
                                <w:i/>
                                <w:szCs w:val="28"/>
                                <w:highlight w:val="yellow"/>
                              </w:rPr>
                            </m:ctrlPr>
                          </m:fPr>
                          <m:num>
                            <m:r>
                              <w:rPr>
                                <w:rFonts w:ascii="Cambria Math" w:hAnsi="Cambria Math" w:cstheme="minorHAnsi"/>
                                <w:szCs w:val="28"/>
                                <w:highlight w:val="yellow"/>
                              </w:rPr>
                              <m:t>a</m:t>
                            </m:r>
                          </m:num>
                          <m:den>
                            <m:r>
                              <w:rPr>
                                <w:rFonts w:ascii="Cambria Math" w:hAnsi="Cambria Math" w:cstheme="minorHAnsi"/>
                                <w:szCs w:val="28"/>
                                <w:highlight w:val="yellow"/>
                              </w:rPr>
                              <m:t>b</m:t>
                            </m:r>
                          </m:den>
                        </m:f>
                      </m:e>
                    </m:d>
                  </m:e>
                </m:d>
              </m:e>
            </m:d>
            <m:r>
              <m:rPr>
                <m:sty m:val="p"/>
              </m:rPr>
              <w:rPr>
                <w:rFonts w:ascii="Cambria Math" w:hAnsi="Cambria Math" w:cstheme="minorHAnsi"/>
                <w:szCs w:val="28"/>
                <w:highlight w:val="yellow"/>
              </w:rPr>
              <m:t xml:space="preserve"> </m:t>
            </m:r>
          </m:e>
        </m:d>
        <m:r>
          <w:rPr>
            <w:rFonts w:ascii="Cambria Math" w:hAnsi="Cambria Math" w:cstheme="minorHAnsi"/>
            <w:szCs w:val="28"/>
            <w:highlight w:val="yellow"/>
          </w:rPr>
          <m:t>×100</m:t>
        </m:r>
      </m:oMath>
    </w:p>
    <w:p w14:paraId="7B32A0FA" w14:textId="77777777" w:rsidR="00B72F50" w:rsidRPr="007F69E4" w:rsidRDefault="00B72F50" w:rsidP="00655DD5">
      <w:pPr>
        <w:rPr>
          <w:rFonts w:asciiTheme="minorHAnsi" w:hAnsiTheme="minorHAnsi" w:cstheme="minorHAnsi"/>
        </w:rPr>
      </w:pPr>
    </w:p>
    <w:p w14:paraId="7F163F98" w14:textId="10F64952" w:rsidR="00016D51" w:rsidRPr="007F69E4" w:rsidRDefault="00B72F50" w:rsidP="00655DD5">
      <w:pPr>
        <w:rPr>
          <w:rFonts w:asciiTheme="minorHAnsi" w:hAnsiTheme="minorHAnsi" w:cstheme="minorHAnsi"/>
          <w:i/>
        </w:rPr>
      </w:pPr>
      <w:r>
        <w:rPr>
          <w:rFonts w:asciiTheme="minorHAnsi" w:hAnsiTheme="minorHAnsi" w:cstheme="minorHAnsi"/>
        </w:rPr>
        <w:t xml:space="preserve">where </w:t>
      </w:r>
      <w:r w:rsidR="00016D51" w:rsidRPr="007F69E4">
        <w:rPr>
          <w:rFonts w:asciiTheme="minorHAnsi" w:hAnsiTheme="minorHAnsi" w:cstheme="minorHAnsi"/>
          <w:i/>
        </w:rPr>
        <w:t xml:space="preserve">x </w:t>
      </w:r>
      <w:r w:rsidR="00016D51" w:rsidRPr="007F69E4">
        <w:rPr>
          <w:rFonts w:asciiTheme="minorHAnsi" w:hAnsiTheme="minorHAnsi" w:cstheme="minorHAnsi"/>
          <w:i/>
        </w:rPr>
        <w:sym w:font="Symbol" w:char="F03D"/>
      </w:r>
      <w:r w:rsidR="00016D51" w:rsidRPr="007F69E4">
        <w:rPr>
          <w:rFonts w:asciiTheme="minorHAnsi" w:hAnsiTheme="minorHAnsi" w:cstheme="minorHAnsi"/>
        </w:rPr>
        <w:t xml:space="preserve"> </w:t>
      </w:r>
      <w:proofErr w:type="spellStart"/>
      <w:r w:rsidR="00016D51" w:rsidRPr="007F69E4">
        <w:rPr>
          <w:rFonts w:asciiTheme="minorHAnsi" w:hAnsiTheme="minorHAnsi" w:cstheme="minorHAnsi"/>
        </w:rPr>
        <w:t>CFSE</w:t>
      </w:r>
      <w:r w:rsidR="00016D51" w:rsidRPr="007F69E4">
        <w:rPr>
          <w:rFonts w:asciiTheme="minorHAnsi" w:hAnsiTheme="minorHAnsi" w:cstheme="minorHAnsi"/>
          <w:vertAlign w:val="superscript"/>
        </w:rPr>
        <w:t>int</w:t>
      </w:r>
      <w:proofErr w:type="spellEnd"/>
      <w:r w:rsidR="00016D51" w:rsidRPr="007F69E4">
        <w:rPr>
          <w:rFonts w:asciiTheme="minorHAnsi" w:hAnsiTheme="minorHAnsi" w:cstheme="minorHAnsi"/>
          <w:vertAlign w:val="superscript"/>
        </w:rPr>
        <w:t>/high</w:t>
      </w:r>
      <w:r w:rsidR="00016D51" w:rsidRPr="007F69E4">
        <w:rPr>
          <w:rFonts w:asciiTheme="minorHAnsi" w:hAnsiTheme="minorHAnsi" w:cstheme="minorHAnsi"/>
        </w:rPr>
        <w:t xml:space="preserve"> event number in T Ag-primed mouse</w:t>
      </w:r>
      <w:r>
        <w:rPr>
          <w:rFonts w:asciiTheme="minorHAnsi" w:hAnsiTheme="minorHAnsi" w:cstheme="minorHAnsi"/>
        </w:rPr>
        <w:t xml:space="preserve">, </w:t>
      </w:r>
      <w:r w:rsidR="00016D51" w:rsidRPr="007F69E4">
        <w:rPr>
          <w:rFonts w:asciiTheme="minorHAnsi" w:hAnsiTheme="minorHAnsi" w:cstheme="minorHAnsi"/>
          <w:i/>
        </w:rPr>
        <w:t xml:space="preserve">y </w:t>
      </w:r>
      <w:r w:rsidR="00016D51" w:rsidRPr="007F69E4">
        <w:rPr>
          <w:rFonts w:asciiTheme="minorHAnsi" w:hAnsiTheme="minorHAnsi" w:cstheme="minorHAnsi"/>
        </w:rPr>
        <w:sym w:font="Symbol" w:char="F03D"/>
      </w:r>
      <w:r w:rsidR="00016D51" w:rsidRPr="007F69E4">
        <w:rPr>
          <w:rFonts w:asciiTheme="minorHAnsi" w:hAnsiTheme="minorHAnsi" w:cstheme="minorHAnsi"/>
          <w:i/>
        </w:rPr>
        <w:t xml:space="preserve"> </w:t>
      </w:r>
      <w:r w:rsidR="00016D51" w:rsidRPr="007F69E4">
        <w:rPr>
          <w:rFonts w:asciiTheme="minorHAnsi" w:hAnsiTheme="minorHAnsi" w:cstheme="minorHAnsi"/>
        </w:rPr>
        <w:t>CFSE</w:t>
      </w:r>
      <w:r w:rsidR="00016D51" w:rsidRPr="007F69E4">
        <w:rPr>
          <w:rFonts w:asciiTheme="minorHAnsi" w:hAnsiTheme="minorHAnsi" w:cstheme="minorHAnsi"/>
          <w:vertAlign w:val="superscript"/>
        </w:rPr>
        <w:t>low</w:t>
      </w:r>
      <w:r w:rsidR="00016D51" w:rsidRPr="007F69E4">
        <w:rPr>
          <w:rFonts w:asciiTheme="minorHAnsi" w:hAnsiTheme="minorHAnsi" w:cstheme="minorHAnsi"/>
        </w:rPr>
        <w:t xml:space="preserve"> event number in T Ag-primed mouse</w:t>
      </w:r>
      <w:r>
        <w:rPr>
          <w:rFonts w:asciiTheme="minorHAnsi" w:hAnsiTheme="minorHAnsi" w:cstheme="minorHAnsi"/>
        </w:rPr>
        <w:t xml:space="preserve">, </w:t>
      </w:r>
      <w:r w:rsidR="00016D51" w:rsidRPr="007F69E4">
        <w:rPr>
          <w:rFonts w:asciiTheme="minorHAnsi" w:hAnsiTheme="minorHAnsi" w:cstheme="minorHAnsi"/>
          <w:i/>
        </w:rPr>
        <w:t xml:space="preserve">a </w:t>
      </w:r>
      <w:r w:rsidR="00016D51" w:rsidRPr="007F69E4">
        <w:rPr>
          <w:rFonts w:asciiTheme="minorHAnsi" w:hAnsiTheme="minorHAnsi" w:cstheme="minorHAnsi"/>
        </w:rPr>
        <w:sym w:font="Symbol" w:char="F03D"/>
      </w:r>
      <w:r w:rsidR="00016D51" w:rsidRPr="007F69E4">
        <w:rPr>
          <w:rFonts w:asciiTheme="minorHAnsi" w:hAnsiTheme="minorHAnsi" w:cstheme="minorHAnsi"/>
          <w:i/>
        </w:rPr>
        <w:t xml:space="preserve"> </w:t>
      </w:r>
      <w:r w:rsidR="00016D51" w:rsidRPr="007F69E4">
        <w:rPr>
          <w:rFonts w:asciiTheme="minorHAnsi" w:hAnsiTheme="minorHAnsi" w:cstheme="minorHAnsi"/>
        </w:rPr>
        <w:t>CFSE</w:t>
      </w:r>
      <w:r w:rsidR="00016D51" w:rsidRPr="007F69E4">
        <w:rPr>
          <w:rFonts w:asciiTheme="minorHAnsi" w:hAnsiTheme="minorHAnsi" w:cstheme="minorHAnsi"/>
          <w:vertAlign w:val="superscript"/>
        </w:rPr>
        <w:t>int/high</w:t>
      </w:r>
      <w:r w:rsidR="00016D51" w:rsidRPr="007F69E4">
        <w:rPr>
          <w:rFonts w:asciiTheme="minorHAnsi" w:hAnsiTheme="minorHAnsi" w:cstheme="minorHAnsi"/>
        </w:rPr>
        <w:t xml:space="preserve"> event number in naïve mouse</w:t>
      </w:r>
      <w:r>
        <w:rPr>
          <w:rFonts w:asciiTheme="minorHAnsi" w:hAnsiTheme="minorHAnsi" w:cstheme="minorHAnsi"/>
        </w:rPr>
        <w:t xml:space="preserve">, and </w:t>
      </w:r>
      <w:r w:rsidR="00016D51" w:rsidRPr="007F69E4">
        <w:rPr>
          <w:rFonts w:asciiTheme="minorHAnsi" w:hAnsiTheme="minorHAnsi" w:cstheme="minorHAnsi"/>
          <w:i/>
        </w:rPr>
        <w:t xml:space="preserve">b </w:t>
      </w:r>
      <w:r w:rsidR="00016D51" w:rsidRPr="007F69E4">
        <w:rPr>
          <w:rFonts w:asciiTheme="minorHAnsi" w:hAnsiTheme="minorHAnsi" w:cstheme="minorHAnsi"/>
        </w:rPr>
        <w:sym w:font="Symbol" w:char="F03D"/>
      </w:r>
      <w:r w:rsidR="00016D51" w:rsidRPr="007F69E4">
        <w:rPr>
          <w:rFonts w:asciiTheme="minorHAnsi" w:hAnsiTheme="minorHAnsi" w:cstheme="minorHAnsi"/>
          <w:i/>
        </w:rPr>
        <w:t xml:space="preserve"> </w:t>
      </w:r>
      <w:r w:rsidR="00016D51" w:rsidRPr="007F69E4">
        <w:rPr>
          <w:rFonts w:asciiTheme="minorHAnsi" w:hAnsiTheme="minorHAnsi" w:cstheme="minorHAnsi"/>
        </w:rPr>
        <w:t>CFSE</w:t>
      </w:r>
      <w:r w:rsidR="00016D51" w:rsidRPr="007F69E4">
        <w:rPr>
          <w:rFonts w:asciiTheme="minorHAnsi" w:hAnsiTheme="minorHAnsi" w:cstheme="minorHAnsi"/>
          <w:vertAlign w:val="superscript"/>
        </w:rPr>
        <w:t>low</w:t>
      </w:r>
      <w:r w:rsidR="00016D51" w:rsidRPr="007F69E4">
        <w:rPr>
          <w:rFonts w:asciiTheme="minorHAnsi" w:hAnsiTheme="minorHAnsi" w:cstheme="minorHAnsi"/>
        </w:rPr>
        <w:t xml:space="preserve"> event number in naive mouse</w:t>
      </w:r>
      <w:r>
        <w:rPr>
          <w:rFonts w:asciiTheme="minorHAnsi" w:hAnsiTheme="minorHAnsi" w:cstheme="minorHAnsi"/>
        </w:rPr>
        <w:t>.</w:t>
      </w:r>
    </w:p>
    <w:p w14:paraId="13929CB6" w14:textId="77777777" w:rsidR="00016D51" w:rsidRPr="007F69E4" w:rsidRDefault="00016D51" w:rsidP="00655DD5">
      <w:pPr>
        <w:rPr>
          <w:rFonts w:asciiTheme="minorHAnsi" w:hAnsiTheme="minorHAnsi" w:cstheme="minorHAnsi"/>
          <w:color w:val="000000" w:themeColor="text1"/>
          <w:highlight w:val="yellow"/>
        </w:rPr>
      </w:pPr>
    </w:p>
    <w:bookmarkEnd w:id="12"/>
    <w:p w14:paraId="7A92BA92" w14:textId="0CD62553" w:rsidR="00016D51" w:rsidRPr="007F69E4" w:rsidRDefault="00F73EB4" w:rsidP="00655DD5">
      <w:pPr>
        <w:rPr>
          <w:rFonts w:asciiTheme="minorHAnsi" w:hAnsiTheme="minorHAnsi" w:cstheme="minorHAnsi"/>
          <w:color w:val="000000" w:themeColor="text1"/>
        </w:rPr>
      </w:pPr>
      <w:r w:rsidRPr="0086754B">
        <w:rPr>
          <w:rFonts w:asciiTheme="minorHAnsi" w:hAnsiTheme="minorHAnsi" w:cstheme="minorHAnsi"/>
          <w:color w:val="000000" w:themeColor="text1"/>
        </w:rPr>
        <w:t>NOTE:</w:t>
      </w:r>
      <w:r w:rsidR="00016D51" w:rsidRPr="007F69E4">
        <w:rPr>
          <w:rFonts w:asciiTheme="minorHAnsi" w:hAnsiTheme="minorHAnsi" w:cstheme="minorHAnsi"/>
          <w:color w:val="000000" w:themeColor="text1"/>
        </w:rPr>
        <w:t xml:space="preserve"> In ‘three-peak’ cytotoxicity assays in which the specific lysis of more than one cognate target population is evaluated, it is not appropriate to use target cell frequencies. This is simply because the frequency of a cognate target cell population is influenced not only by the percentage of the irrelevant controls but also by that of the other cognate target splenocytes. </w:t>
      </w:r>
      <w:r w:rsidR="00016D51" w:rsidRPr="00D60CAA">
        <w:rPr>
          <w:rFonts w:asciiTheme="minorHAnsi" w:hAnsiTheme="minorHAnsi" w:cstheme="minorHAnsi"/>
          <w:color w:val="000000" w:themeColor="text1"/>
        </w:rPr>
        <w:t>Therefore, event numbers within each gate should be used in the above formula to accurately calculate the lysis of each cognate target cell population (either CFSE</w:t>
      </w:r>
      <w:r w:rsidR="00016D51" w:rsidRPr="00D60CAA">
        <w:rPr>
          <w:rFonts w:asciiTheme="minorHAnsi" w:hAnsiTheme="minorHAnsi" w:cstheme="minorHAnsi"/>
          <w:color w:val="000000" w:themeColor="text1"/>
          <w:vertAlign w:val="superscript"/>
        </w:rPr>
        <w:t>int</w:t>
      </w:r>
      <w:r w:rsidR="00016D51" w:rsidRPr="00D60CAA">
        <w:rPr>
          <w:rFonts w:asciiTheme="minorHAnsi" w:hAnsiTheme="minorHAnsi" w:cstheme="minorHAnsi"/>
          <w:color w:val="000000" w:themeColor="text1"/>
        </w:rPr>
        <w:t xml:space="preserve"> or CFSE</w:t>
      </w:r>
      <w:r w:rsidR="00016D51" w:rsidRPr="00D60CAA">
        <w:rPr>
          <w:rFonts w:asciiTheme="minorHAnsi" w:hAnsiTheme="minorHAnsi" w:cstheme="minorHAnsi"/>
          <w:color w:val="000000" w:themeColor="text1"/>
          <w:vertAlign w:val="superscript"/>
        </w:rPr>
        <w:t>high</w:t>
      </w:r>
      <w:r w:rsidR="00016D51" w:rsidRPr="00D60CAA">
        <w:rPr>
          <w:rFonts w:asciiTheme="minorHAnsi" w:hAnsiTheme="minorHAnsi" w:cstheme="minorHAnsi"/>
          <w:color w:val="000000" w:themeColor="text1"/>
        </w:rPr>
        <w:t xml:space="preserve"> cells) against</w:t>
      </w:r>
      <w:r w:rsidR="00016D51" w:rsidRPr="007F69E4">
        <w:rPr>
          <w:rFonts w:asciiTheme="minorHAnsi" w:hAnsiTheme="minorHAnsi" w:cstheme="minorHAnsi"/>
          <w:color w:val="000000" w:themeColor="text1"/>
        </w:rPr>
        <w:t xml:space="preserve"> CFSE</w:t>
      </w:r>
      <w:r w:rsidR="00016D51" w:rsidRPr="007F69E4">
        <w:rPr>
          <w:rFonts w:asciiTheme="minorHAnsi" w:hAnsiTheme="minorHAnsi" w:cstheme="minorHAnsi"/>
          <w:color w:val="000000" w:themeColor="text1"/>
          <w:vertAlign w:val="superscript"/>
        </w:rPr>
        <w:t>low</w:t>
      </w:r>
      <w:r w:rsidR="00016D51" w:rsidRPr="007F69E4">
        <w:rPr>
          <w:rFonts w:asciiTheme="minorHAnsi" w:hAnsiTheme="minorHAnsi" w:cstheme="minorHAnsi"/>
          <w:color w:val="000000" w:themeColor="text1"/>
        </w:rPr>
        <w:t xml:space="preserve"> controls. </w:t>
      </w:r>
    </w:p>
    <w:p w14:paraId="6A0C65AD" w14:textId="77777777" w:rsidR="00016D51" w:rsidRPr="007F69E4" w:rsidRDefault="00016D51" w:rsidP="00655DD5">
      <w:pPr>
        <w:pStyle w:val="NormalWeb"/>
        <w:spacing w:before="0" w:beforeAutospacing="0" w:after="0" w:afterAutospacing="0"/>
        <w:rPr>
          <w:rFonts w:asciiTheme="minorHAnsi" w:hAnsiTheme="minorHAnsi" w:cstheme="minorHAnsi"/>
          <w:b/>
        </w:rPr>
      </w:pPr>
    </w:p>
    <w:p w14:paraId="78A59AC0" w14:textId="77777777" w:rsidR="00016D51" w:rsidRPr="007F69E4" w:rsidRDefault="00016D51" w:rsidP="00655DD5">
      <w:pPr>
        <w:pStyle w:val="NormalWeb"/>
        <w:spacing w:before="0" w:beforeAutospacing="0" w:after="0" w:afterAutospacing="0"/>
        <w:rPr>
          <w:rFonts w:asciiTheme="minorHAnsi" w:hAnsiTheme="minorHAnsi" w:cstheme="minorHAnsi"/>
          <w:color w:val="808080"/>
        </w:rPr>
      </w:pPr>
      <w:r w:rsidRPr="007F69E4">
        <w:rPr>
          <w:rFonts w:asciiTheme="minorHAnsi" w:hAnsiTheme="minorHAnsi" w:cstheme="minorHAnsi"/>
          <w:b/>
        </w:rPr>
        <w:t>REPRESENTATIVE RESULTS:</w:t>
      </w:r>
      <w:r w:rsidRPr="007F69E4">
        <w:rPr>
          <w:rFonts w:asciiTheme="minorHAnsi" w:hAnsiTheme="minorHAnsi" w:cstheme="minorHAnsi"/>
          <w:b/>
          <w:bCs/>
        </w:rPr>
        <w:t xml:space="preserve"> </w:t>
      </w:r>
    </w:p>
    <w:p w14:paraId="0E260B0B" w14:textId="57AFB9F9"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auto"/>
        </w:rPr>
        <w:t xml:space="preserve">The goal of the experiment whose results are depicted in </w:t>
      </w:r>
      <w:r w:rsidRPr="007F69E4">
        <w:rPr>
          <w:rFonts w:asciiTheme="minorHAnsi" w:hAnsiTheme="minorHAnsi" w:cstheme="minorHAnsi"/>
          <w:b/>
          <w:color w:val="auto"/>
        </w:rPr>
        <w:t>Figure 1</w:t>
      </w:r>
      <w:r w:rsidRPr="007F69E4">
        <w:rPr>
          <w:rFonts w:asciiTheme="minorHAnsi" w:hAnsiTheme="minorHAnsi" w:cstheme="minorHAnsi"/>
          <w:color w:val="auto"/>
        </w:rPr>
        <w:t xml:space="preserve"> was to determine whether </w:t>
      </w:r>
      <w:r w:rsidR="00081959">
        <w:rPr>
          <w:rFonts w:asciiTheme="minorHAnsi" w:hAnsiTheme="minorHAnsi" w:cstheme="minorHAnsi"/>
          <w:color w:val="auto"/>
        </w:rPr>
        <w:t xml:space="preserve">the presence and functions of </w:t>
      </w:r>
      <w:proofErr w:type="spellStart"/>
      <w:r w:rsidRPr="007F69E4">
        <w:rPr>
          <w:rFonts w:asciiTheme="minorHAnsi" w:hAnsiTheme="minorHAnsi" w:cstheme="minorHAnsi"/>
          <w:color w:val="auto"/>
        </w:rPr>
        <w:t>nTreg</w:t>
      </w:r>
      <w:proofErr w:type="spellEnd"/>
      <w:r w:rsidRPr="007F69E4">
        <w:rPr>
          <w:rFonts w:asciiTheme="minorHAnsi" w:hAnsiTheme="minorHAnsi" w:cstheme="minorHAnsi"/>
          <w:color w:val="auto"/>
        </w:rPr>
        <w:t xml:space="preserve"> cells shape or alter the immunodominance hierarchy of T Ag-</w:t>
      </w:r>
      <w:r w:rsidRPr="007F69E4">
        <w:rPr>
          <w:rFonts w:asciiTheme="minorHAnsi" w:hAnsiTheme="minorHAnsi" w:cstheme="minorHAnsi"/>
          <w:color w:val="auto"/>
        </w:rPr>
        <w:lastRenderedPageBreak/>
        <w:t>specific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C57BL/6 mice were injected </w:t>
      </w:r>
      <w:r w:rsidRPr="002E78C4">
        <w:rPr>
          <w:rFonts w:asciiTheme="minorHAnsi" w:hAnsiTheme="minorHAnsi" w:cstheme="minorHAnsi"/>
          <w:color w:val="auto"/>
        </w:rPr>
        <w:t>i.p.</w:t>
      </w:r>
      <w:r w:rsidRPr="007F69E4">
        <w:rPr>
          <w:rFonts w:asciiTheme="minorHAnsi" w:hAnsiTheme="minorHAnsi" w:cstheme="minorHAnsi"/>
          <w:color w:val="auto"/>
        </w:rPr>
        <w:t xml:space="preserve"> with PBS or with 0.5 mg of an anti-CD25 </w:t>
      </w:r>
      <w:proofErr w:type="spellStart"/>
      <w:r w:rsidRPr="007F69E4">
        <w:rPr>
          <w:rFonts w:asciiTheme="minorHAnsi" w:hAnsiTheme="minorHAnsi" w:cstheme="minorHAnsi"/>
          <w:color w:val="auto"/>
        </w:rPr>
        <w:t>mAb</w:t>
      </w:r>
      <w:proofErr w:type="spellEnd"/>
      <w:r w:rsidRPr="007F69E4">
        <w:rPr>
          <w:rFonts w:asciiTheme="minorHAnsi" w:hAnsiTheme="minorHAnsi" w:cstheme="minorHAnsi"/>
          <w:color w:val="auto"/>
        </w:rPr>
        <w:t xml:space="preserve"> </w:t>
      </w:r>
      <w:r w:rsidR="00281677">
        <w:rPr>
          <w:rFonts w:asciiTheme="minorHAnsi" w:hAnsiTheme="minorHAnsi" w:cstheme="minorHAnsi"/>
          <w:color w:val="auto"/>
        </w:rPr>
        <w:t>(</w:t>
      </w:r>
      <w:r w:rsidRPr="007F69E4">
        <w:rPr>
          <w:rFonts w:asciiTheme="minorHAnsi" w:hAnsiTheme="minorHAnsi" w:cstheme="minorHAnsi"/>
          <w:color w:val="auto"/>
        </w:rPr>
        <w:t xml:space="preserve">clone </w:t>
      </w:r>
      <w:r w:rsidRPr="007F69E4">
        <w:rPr>
          <w:rFonts w:asciiTheme="minorHAnsi" w:hAnsiTheme="minorHAnsi" w:cstheme="minorHAnsi"/>
          <w:color w:val="000000" w:themeColor="text1"/>
        </w:rPr>
        <w:t xml:space="preserve">PC-61.5.3 </w:t>
      </w:r>
      <w:r w:rsidR="00281677">
        <w:rPr>
          <w:rFonts w:asciiTheme="minorHAnsi" w:hAnsiTheme="minorHAnsi" w:cstheme="minorHAnsi"/>
          <w:color w:val="000000" w:themeColor="text1"/>
        </w:rPr>
        <w:t>[</w:t>
      </w:r>
      <w:r w:rsidRPr="007F69E4">
        <w:rPr>
          <w:rFonts w:asciiTheme="minorHAnsi" w:hAnsiTheme="minorHAnsi" w:cstheme="minorHAnsi"/>
          <w:color w:val="000000" w:themeColor="text1"/>
        </w:rPr>
        <w:t>PC61</w:t>
      </w:r>
      <w:r w:rsidR="00281677">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four d</w:t>
      </w:r>
      <w:r w:rsidR="00284840">
        <w:rPr>
          <w:rFonts w:asciiTheme="minorHAnsi" w:hAnsiTheme="minorHAnsi" w:cstheme="minorHAnsi"/>
          <w:color w:val="000000" w:themeColor="text1"/>
        </w:rPr>
        <w:t>ays</w:t>
      </w:r>
      <w:r w:rsidRPr="007F69E4">
        <w:rPr>
          <w:rFonts w:asciiTheme="minorHAnsi" w:hAnsiTheme="minorHAnsi" w:cstheme="minorHAnsi"/>
          <w:color w:val="000000" w:themeColor="text1"/>
        </w:rPr>
        <w:t xml:space="preserve"> before they received 2 </w:t>
      </w:r>
      <w:r w:rsidR="00D74873">
        <w:rPr>
          <w:rFonts w:asciiTheme="minorHAnsi" w:hAnsiTheme="minorHAnsi" w:cstheme="minorHAnsi"/>
          <w:color w:val="000000" w:themeColor="text1"/>
        </w:rPr>
        <w:t>x</w:t>
      </w:r>
      <w:r w:rsidRPr="007F69E4">
        <w:rPr>
          <w:rFonts w:asciiTheme="minorHAnsi" w:hAnsiTheme="minorHAnsi" w:cstheme="minorHAnsi"/>
          <w:color w:val="000000" w:themeColor="text1"/>
        </w:rPr>
        <w:t xml:space="preserve"> 10</w:t>
      </w:r>
      <w:r w:rsidRPr="007F69E4">
        <w:rPr>
          <w:rFonts w:asciiTheme="minorHAnsi" w:hAnsiTheme="minorHAnsi" w:cstheme="minorHAnsi"/>
          <w:color w:val="000000" w:themeColor="text1"/>
          <w:vertAlign w:val="superscript"/>
        </w:rPr>
        <w:t>7</w:t>
      </w:r>
      <w:r w:rsidRPr="007F69E4">
        <w:rPr>
          <w:rFonts w:asciiTheme="minorHAnsi" w:hAnsiTheme="minorHAnsi" w:cstheme="minorHAnsi"/>
          <w:color w:val="000000" w:themeColor="text1"/>
        </w:rPr>
        <w:t xml:space="preserve"> C57SV tumor cells </w:t>
      </w:r>
      <w:r w:rsidRPr="003307D9">
        <w:rPr>
          <w:rFonts w:asciiTheme="minorHAnsi" w:hAnsiTheme="minorHAnsi" w:cstheme="minorHAnsi"/>
          <w:color w:val="000000" w:themeColor="text1"/>
        </w:rPr>
        <w:t>i.p.</w:t>
      </w:r>
      <w:r w:rsidRPr="007F69E4">
        <w:rPr>
          <w:rFonts w:asciiTheme="minorHAnsi" w:hAnsiTheme="minorHAnsi" w:cstheme="minorHAnsi"/>
          <w:color w:val="000000" w:themeColor="text1"/>
        </w:rPr>
        <w:t xml:space="preserve"> In separate experiments, a rat IgG1 isotype control was used in lieu of PBS. Successful nTreg cell depletion by PC61 was confirmed by flow cytometry</w:t>
      </w:r>
      <w:r w:rsidRPr="007F69E4">
        <w:rPr>
          <w:rFonts w:asciiTheme="minorHAnsi" w:hAnsiTheme="minorHAnsi" w:cstheme="minorHAnsi"/>
          <w:noProof/>
          <w:vertAlign w:val="superscript"/>
        </w:rPr>
        <w:t>17</w:t>
      </w:r>
      <w:r w:rsidRPr="007F69E4">
        <w:rPr>
          <w:rFonts w:asciiTheme="minorHAnsi" w:hAnsiTheme="minorHAnsi" w:cstheme="minorHAnsi"/>
          <w:color w:val="000000" w:themeColor="text1"/>
        </w:rPr>
        <w:t xml:space="preserve">. </w:t>
      </w:r>
    </w:p>
    <w:p w14:paraId="648270AC" w14:textId="77777777" w:rsidR="00016D51" w:rsidRPr="007F69E4" w:rsidRDefault="00016D51" w:rsidP="00655DD5">
      <w:pPr>
        <w:rPr>
          <w:rFonts w:asciiTheme="minorHAnsi" w:hAnsiTheme="minorHAnsi" w:cstheme="minorHAnsi"/>
          <w:color w:val="000000" w:themeColor="text1"/>
        </w:rPr>
      </w:pPr>
    </w:p>
    <w:p w14:paraId="7B2961DA" w14:textId="128E1498"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Nine days after C57SV cell inoculation, a time point at which T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responses reach their maximum</w:t>
      </w:r>
      <w:r w:rsidRPr="007F69E4">
        <w:rPr>
          <w:rFonts w:asciiTheme="minorHAnsi" w:hAnsiTheme="minorHAnsi" w:cstheme="minorHAnsi"/>
          <w:noProof/>
          <w:color w:val="000000" w:themeColor="text1"/>
          <w:vertAlign w:val="superscript"/>
        </w:rPr>
        <w:t>23</w:t>
      </w:r>
      <w:r w:rsidRPr="007F69E4">
        <w:rPr>
          <w:rFonts w:asciiTheme="minorHAnsi" w:hAnsiTheme="minorHAnsi" w:cstheme="minorHAnsi"/>
          <w:color w:val="000000" w:themeColor="text1"/>
        </w:rPr>
        <w:t xml:space="preserve">, each animal received an </w:t>
      </w:r>
      <w:r w:rsidRPr="002E78C4">
        <w:rPr>
          <w:rFonts w:asciiTheme="minorHAnsi" w:hAnsiTheme="minorHAnsi" w:cstheme="minorHAnsi"/>
          <w:color w:val="000000" w:themeColor="text1"/>
        </w:rPr>
        <w:t xml:space="preserve">i.v. </w:t>
      </w:r>
      <w:r w:rsidRPr="007F69E4">
        <w:rPr>
          <w:rFonts w:asciiTheme="minorHAnsi" w:hAnsiTheme="minorHAnsi" w:cstheme="minorHAnsi"/>
          <w:color w:val="000000" w:themeColor="text1"/>
        </w:rPr>
        <w:t>injection of a cell suspension containing 3 distinct populations of CFSE-labeled target cells. Control target cells were syngeneic naïve splenocytes concomitantly pulsed with two irrelevant peptides (GP</w:t>
      </w:r>
      <w:r w:rsidRPr="007F69E4">
        <w:rPr>
          <w:rFonts w:asciiTheme="minorHAnsi" w:hAnsiTheme="minorHAnsi" w:cstheme="minorHAnsi"/>
          <w:color w:val="000000" w:themeColor="text1"/>
          <w:vertAlign w:val="subscript"/>
        </w:rPr>
        <w:t>33-41</w:t>
      </w:r>
      <w:r w:rsidRPr="007F69E4">
        <w:rPr>
          <w:rFonts w:asciiTheme="minorHAnsi" w:hAnsiTheme="minorHAnsi" w:cstheme="minorHAnsi"/>
          <w:color w:val="000000" w:themeColor="text1"/>
        </w:rPr>
        <w:t xml:space="preserve"> and gB</w:t>
      </w:r>
      <w:r w:rsidRPr="007F69E4">
        <w:rPr>
          <w:rFonts w:asciiTheme="minorHAnsi" w:hAnsiTheme="minorHAnsi" w:cstheme="minorHAnsi"/>
          <w:color w:val="000000" w:themeColor="text1"/>
          <w:vertAlign w:val="subscript"/>
        </w:rPr>
        <w:t>498-505</w:t>
      </w:r>
      <w:r w:rsidRPr="007F69E4">
        <w:rPr>
          <w:rFonts w:asciiTheme="minorHAnsi" w:hAnsiTheme="minorHAnsi" w:cstheme="minorHAnsi"/>
          <w:color w:val="000000" w:themeColor="text1"/>
        </w:rPr>
        <w:t>) and labeled with a low dose of CFSE (0.02 μM). To prepare cognate target cells, syngeneic naïve splenocytes were pulsed with either T Ag-derived site I peptide or site IV peptide (</w:t>
      </w:r>
      <w:r w:rsidRPr="00825A9C">
        <w:rPr>
          <w:rFonts w:asciiTheme="minorHAnsi" w:hAnsiTheme="minorHAnsi" w:cstheme="minorHAnsi"/>
          <w:b/>
          <w:color w:val="000000" w:themeColor="text1"/>
        </w:rPr>
        <w:t>Table 1</w:t>
      </w:r>
      <w:r w:rsidRPr="007F69E4">
        <w:rPr>
          <w:rFonts w:asciiTheme="minorHAnsi" w:hAnsiTheme="minorHAnsi" w:cstheme="minorHAnsi"/>
          <w:color w:val="000000" w:themeColor="text1"/>
        </w:rPr>
        <w:t>), and subsequently labeled with CFSE at 0.2 μM and 2 μM, respectively. Control and cognate target cells were washed and mixed in equal numbers (at a 1:1:1 ratio) before they were injected into naïve (control) and T Ag-primed C57BL/6 mice. Two h</w:t>
      </w:r>
      <w:r w:rsidR="00825A9C">
        <w:rPr>
          <w:rFonts w:asciiTheme="minorHAnsi" w:hAnsiTheme="minorHAnsi" w:cstheme="minorHAnsi"/>
          <w:color w:val="000000" w:themeColor="text1"/>
        </w:rPr>
        <w:t>ours</w:t>
      </w:r>
      <w:r w:rsidRPr="007F69E4">
        <w:rPr>
          <w:rFonts w:asciiTheme="minorHAnsi" w:hAnsiTheme="minorHAnsi" w:cstheme="minorHAnsi"/>
          <w:color w:val="000000" w:themeColor="text1"/>
        </w:rPr>
        <w:t xml:space="preserve"> after target cell injection, mice were sacrificed for their spleen in which the presence/absence of CFSE-labeled target cells was determined by flow cytometry. Target cells were distinguished based on their differential CFSE staining intensities. </w:t>
      </w:r>
    </w:p>
    <w:p w14:paraId="7D9BF38F" w14:textId="77777777" w:rsidR="00016D51" w:rsidRPr="007F69E4" w:rsidRDefault="00016D51" w:rsidP="00655DD5">
      <w:pPr>
        <w:rPr>
          <w:rFonts w:asciiTheme="minorHAnsi" w:hAnsiTheme="minorHAnsi" w:cstheme="minorHAnsi"/>
          <w:color w:val="000000" w:themeColor="text1"/>
        </w:rPr>
      </w:pPr>
    </w:p>
    <w:p w14:paraId="62DBAF75" w14:textId="1DE30026"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As expected, near-equal peaks corresponding to </w:t>
      </w:r>
      <w:proofErr w:type="gramStart"/>
      <w:r w:rsidRPr="007F69E4">
        <w:rPr>
          <w:rFonts w:asciiTheme="minorHAnsi" w:hAnsiTheme="minorHAnsi" w:cstheme="minorHAnsi"/>
          <w:color w:val="000000" w:themeColor="text1"/>
        </w:rPr>
        <w:t>control</w:t>
      </w:r>
      <w:proofErr w:type="gramEnd"/>
      <w:r w:rsidRPr="007F69E4">
        <w:rPr>
          <w:rFonts w:asciiTheme="minorHAnsi" w:hAnsiTheme="minorHAnsi" w:cstheme="minorHAnsi"/>
          <w:color w:val="000000" w:themeColor="text1"/>
        </w:rPr>
        <w:t xml:space="preserve"> and cognate target cells were detectable in naïve mice (</w:t>
      </w:r>
      <w:r w:rsidRPr="007B53A6">
        <w:rPr>
          <w:rFonts w:asciiTheme="minorHAnsi" w:hAnsiTheme="minorHAnsi" w:cstheme="minorHAnsi"/>
          <w:b/>
          <w:color w:val="000000" w:themeColor="text1"/>
        </w:rPr>
        <w:t>Figure 1</w:t>
      </w:r>
      <w:r w:rsidRPr="007F69E4">
        <w:rPr>
          <w:rFonts w:asciiTheme="minorHAnsi" w:hAnsiTheme="minorHAnsi" w:cstheme="minorHAnsi"/>
          <w:color w:val="000000" w:themeColor="text1"/>
        </w:rPr>
        <w:t>, left panel). In contrast, site IV-displaying target cells were almost completely absent in T Ag-primed mice regardless of their prior treatment with PC61 or PBS</w:t>
      </w:r>
      <w:r w:rsidR="007B53A6">
        <w:rPr>
          <w:rFonts w:asciiTheme="minorHAnsi" w:hAnsiTheme="minorHAnsi" w:cstheme="minorHAnsi"/>
          <w:color w:val="000000" w:themeColor="text1"/>
        </w:rPr>
        <w:t xml:space="preserve"> (</w:t>
      </w:r>
      <w:r w:rsidR="007B53A6" w:rsidRPr="007B53A6">
        <w:rPr>
          <w:rFonts w:asciiTheme="minorHAnsi" w:hAnsiTheme="minorHAnsi" w:cstheme="minorHAnsi"/>
          <w:b/>
          <w:color w:val="000000" w:themeColor="text1"/>
        </w:rPr>
        <w:t>Figure 1</w:t>
      </w:r>
      <w:r w:rsidR="007B53A6">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Interestingly, nTreg cell depletion by PC61 augmented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CTL-mediated lysis of site I-pulsed target cells</w:t>
      </w:r>
      <w:r w:rsidRPr="007F69E4">
        <w:rPr>
          <w:rFonts w:asciiTheme="minorHAnsi" w:hAnsiTheme="minorHAnsi" w:cstheme="minorHAnsi"/>
          <w:noProof/>
          <w:vertAlign w:val="superscript"/>
        </w:rPr>
        <w:t>17</w:t>
      </w:r>
      <w:r w:rsidRPr="007F69E4">
        <w:rPr>
          <w:rFonts w:asciiTheme="minorHAnsi" w:hAnsiTheme="minorHAnsi" w:cstheme="minorHAnsi"/>
          <w:color w:val="000000" w:themeColor="text1"/>
        </w:rPr>
        <w:t xml:space="preserve">. These results prompted us to conclude that nTreg cells selectively inhibit site I-specific cytotoxicity. Therefore, nTreg cell-depleting/inactivating agents may enhance the cytolytic effector function of CTLs recognizing certain tumor-derived epitopes. </w:t>
      </w:r>
    </w:p>
    <w:p w14:paraId="20E6F4BF" w14:textId="77777777" w:rsidR="00016D51" w:rsidRPr="007F69E4" w:rsidRDefault="00016D51" w:rsidP="00655DD5">
      <w:pPr>
        <w:rPr>
          <w:rFonts w:asciiTheme="minorHAnsi" w:hAnsiTheme="minorHAnsi" w:cstheme="minorHAnsi"/>
          <w:color w:val="000000" w:themeColor="text1"/>
        </w:rPr>
      </w:pPr>
    </w:p>
    <w:p w14:paraId="574803AD" w14:textId="620FE7BC"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The above set-up provides an example of how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can be employed to simultaneously test the lytic function of ID and SD CTL clones in the same animal.           </w:t>
      </w:r>
    </w:p>
    <w:p w14:paraId="00C1D7D9" w14:textId="77777777" w:rsidR="00016D51" w:rsidRPr="007F69E4" w:rsidRDefault="00016D51" w:rsidP="00655DD5">
      <w:pPr>
        <w:rPr>
          <w:rFonts w:asciiTheme="minorHAnsi" w:hAnsiTheme="minorHAnsi" w:cstheme="minorHAnsi"/>
          <w:color w:val="808080"/>
        </w:rPr>
      </w:pPr>
    </w:p>
    <w:p w14:paraId="278244B3" w14:textId="77777777"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auto"/>
        </w:rPr>
        <w:t xml:space="preserve">[Insert Figure 1 here]. </w:t>
      </w:r>
    </w:p>
    <w:p w14:paraId="4B924897" w14:textId="77777777" w:rsidR="00016D51" w:rsidRPr="007F69E4" w:rsidRDefault="00016D51" w:rsidP="00655DD5">
      <w:pPr>
        <w:rPr>
          <w:rFonts w:asciiTheme="minorHAnsi" w:hAnsiTheme="minorHAnsi" w:cstheme="minorHAnsi"/>
          <w:color w:val="auto"/>
        </w:rPr>
      </w:pPr>
    </w:p>
    <w:p w14:paraId="45F7ABB9" w14:textId="5856FC56"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auto"/>
        </w:rPr>
        <w:t>In a more recent investigation, we asked whether blocking PD-1 affects the ‘breadth’ of the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response to T Ag</w:t>
      </w:r>
      <w:r w:rsidRPr="007F69E4">
        <w:rPr>
          <w:rFonts w:asciiTheme="minorHAnsi" w:hAnsiTheme="minorHAnsi" w:cstheme="minorHAnsi"/>
          <w:noProof/>
          <w:vertAlign w:val="superscript"/>
        </w:rPr>
        <w:t>16</w:t>
      </w:r>
      <w:r w:rsidRPr="007F69E4">
        <w:rPr>
          <w:rFonts w:asciiTheme="minorHAnsi" w:hAnsiTheme="minorHAnsi" w:cstheme="minorHAnsi"/>
          <w:color w:val="auto"/>
        </w:rPr>
        <w:t xml:space="preserve"> (</w:t>
      </w:r>
      <w:r w:rsidRPr="007F69E4">
        <w:rPr>
          <w:rFonts w:asciiTheme="minorHAnsi" w:hAnsiTheme="minorHAnsi" w:cstheme="minorHAnsi"/>
          <w:b/>
          <w:color w:val="auto"/>
        </w:rPr>
        <w:t>Figure 2</w:t>
      </w:r>
      <w:r w:rsidRPr="007F69E4">
        <w:rPr>
          <w:rFonts w:asciiTheme="minorHAnsi" w:hAnsiTheme="minorHAnsi" w:cstheme="minorHAnsi"/>
          <w:color w:val="auto"/>
        </w:rPr>
        <w:t>). This was a clinically relevant question in light of the observed therapeutic benefits of PD-1-based ‘checkpoint inhibitors’ in several malignancies. Although such inhibitors are thought to work primarily by reversing T cell exhaustion, we were curious to know whether interfering with PD-1-PD-L1 interactions may additionally widen (or narrow) anticancer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responses. In our T Ag recognition model, intracellular cytokine staining (ICS) experiments revealed that treatment with either anti-PD-1 or anti-PD-L-1 selectively expands IFN-γ-producing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recognizing sites I and II/III</w:t>
      </w:r>
      <w:r w:rsidRPr="007F69E4">
        <w:rPr>
          <w:rFonts w:asciiTheme="minorHAnsi" w:hAnsiTheme="minorHAnsi" w:cstheme="minorHAnsi"/>
          <w:noProof/>
          <w:vertAlign w:val="superscript"/>
        </w:rPr>
        <w:t>16</w:t>
      </w:r>
      <w:r w:rsidRPr="007F69E4">
        <w:rPr>
          <w:rFonts w:asciiTheme="minorHAnsi" w:hAnsiTheme="minorHAnsi" w:cstheme="minorHAnsi"/>
          <w:color w:val="auto"/>
        </w:rPr>
        <w:t xml:space="preserve">. We then extended our study to examine the </w:t>
      </w:r>
      <w:r w:rsidR="00164210" w:rsidRPr="00164210">
        <w:rPr>
          <w:rFonts w:asciiTheme="minorHAnsi" w:hAnsiTheme="minorHAnsi" w:cstheme="minorHAnsi"/>
          <w:color w:val="auto"/>
        </w:rPr>
        <w:t>in vivo</w:t>
      </w:r>
      <w:r w:rsidRPr="007F69E4">
        <w:rPr>
          <w:rFonts w:asciiTheme="minorHAnsi" w:hAnsiTheme="minorHAnsi" w:cstheme="minorHAnsi"/>
          <w:color w:val="auto"/>
        </w:rPr>
        <w:t xml:space="preserve"> cytolytic effector function of these SD CTLs. C57BL/6 mice were injected </w:t>
      </w:r>
      <w:r w:rsidRPr="002E78C4">
        <w:rPr>
          <w:rFonts w:asciiTheme="minorHAnsi" w:hAnsiTheme="minorHAnsi" w:cstheme="minorHAnsi"/>
          <w:color w:val="auto"/>
        </w:rPr>
        <w:t>i.p.</w:t>
      </w:r>
      <w:r w:rsidRPr="007F69E4">
        <w:rPr>
          <w:rFonts w:asciiTheme="minorHAnsi" w:hAnsiTheme="minorHAnsi" w:cstheme="minorHAnsi"/>
          <w:color w:val="auto"/>
        </w:rPr>
        <w:t xml:space="preserve"> with 100 μg of an anti-PD-1 mAb (clone RMP1-14) or a rat IgG2a isotype control (clone 2A3) two h</w:t>
      </w:r>
      <w:r w:rsidR="001F53C8">
        <w:rPr>
          <w:rFonts w:asciiTheme="minorHAnsi" w:hAnsiTheme="minorHAnsi" w:cstheme="minorHAnsi"/>
          <w:color w:val="auto"/>
        </w:rPr>
        <w:t>ours</w:t>
      </w:r>
      <w:r w:rsidRPr="007F69E4">
        <w:rPr>
          <w:rFonts w:asciiTheme="minorHAnsi" w:hAnsiTheme="minorHAnsi" w:cstheme="minorHAnsi"/>
          <w:color w:val="auto"/>
        </w:rPr>
        <w:t xml:space="preserve"> before C57SV cell inoculation. Mice received two additional doses of anti-PD-1 or isotype three and six d</w:t>
      </w:r>
      <w:r w:rsidR="00AD4652">
        <w:rPr>
          <w:rFonts w:asciiTheme="minorHAnsi" w:hAnsiTheme="minorHAnsi" w:cstheme="minorHAnsi"/>
          <w:color w:val="auto"/>
        </w:rPr>
        <w:t>ays</w:t>
      </w:r>
      <w:r w:rsidRPr="007F69E4">
        <w:rPr>
          <w:rFonts w:asciiTheme="minorHAnsi" w:hAnsiTheme="minorHAnsi" w:cstheme="minorHAnsi"/>
          <w:color w:val="auto"/>
        </w:rPr>
        <w:t xml:space="preserve"> after tumor cell injection. </w:t>
      </w:r>
      <w:r w:rsidRPr="007F69E4">
        <w:rPr>
          <w:rFonts w:asciiTheme="minorHAnsi" w:hAnsiTheme="minorHAnsi" w:cstheme="minorHAnsi"/>
          <w:color w:val="000000" w:themeColor="text1"/>
        </w:rPr>
        <w:t>On day 9 post-priming, cohorts of naïve and primed mice were given, via lateral tail veins, a cell mixture containing equal numbers of CFSE</w:t>
      </w:r>
      <w:r w:rsidRPr="007F69E4">
        <w:rPr>
          <w:rFonts w:asciiTheme="minorHAnsi" w:hAnsiTheme="minorHAnsi" w:cstheme="minorHAnsi"/>
          <w:color w:val="000000" w:themeColor="text1"/>
          <w:vertAlign w:val="superscript"/>
        </w:rPr>
        <w:t xml:space="preserve">low </w:t>
      </w:r>
      <w:r w:rsidRPr="007F69E4">
        <w:rPr>
          <w:rFonts w:asciiTheme="minorHAnsi" w:hAnsiTheme="minorHAnsi" w:cstheme="minorHAnsi"/>
          <w:color w:val="000000" w:themeColor="text1"/>
        </w:rPr>
        <w:t>(CFSE labeling dose: 0.025 μM), CFSE</w:t>
      </w:r>
      <w:r w:rsidRPr="007F69E4">
        <w:rPr>
          <w:rFonts w:asciiTheme="minorHAnsi" w:hAnsiTheme="minorHAnsi" w:cstheme="minorHAnsi"/>
          <w:color w:val="000000" w:themeColor="text1"/>
          <w:vertAlign w:val="superscript"/>
        </w:rPr>
        <w:t>int</w:t>
      </w:r>
      <w:r w:rsidRPr="007F69E4">
        <w:rPr>
          <w:rFonts w:asciiTheme="minorHAnsi" w:hAnsiTheme="minorHAnsi" w:cstheme="minorHAnsi"/>
          <w:color w:val="000000" w:themeColor="text1"/>
        </w:rPr>
        <w:t xml:space="preserve"> (CFSE labeling dose: 0.25 μM)</w:t>
      </w:r>
      <w:r w:rsidR="003F2787">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and CFSE</w:t>
      </w:r>
      <w:r w:rsidRPr="007F69E4">
        <w:rPr>
          <w:rFonts w:asciiTheme="minorHAnsi" w:hAnsiTheme="minorHAnsi" w:cstheme="minorHAnsi"/>
          <w:color w:val="000000" w:themeColor="text1"/>
          <w:vertAlign w:val="superscript"/>
        </w:rPr>
        <w:t>hi</w:t>
      </w:r>
      <w:r w:rsidRPr="007F69E4">
        <w:rPr>
          <w:rFonts w:asciiTheme="minorHAnsi" w:hAnsiTheme="minorHAnsi" w:cstheme="minorHAnsi"/>
          <w:color w:val="000000" w:themeColor="text1"/>
        </w:rPr>
        <w:t xml:space="preserve"> (CFSE labeling dose: 2 μM) syngeneic naïve </w:t>
      </w:r>
      <w:r w:rsidRPr="007F69E4">
        <w:rPr>
          <w:rFonts w:asciiTheme="minorHAnsi" w:hAnsiTheme="minorHAnsi" w:cstheme="minorHAnsi"/>
          <w:color w:val="000000" w:themeColor="text1"/>
        </w:rPr>
        <w:lastRenderedPageBreak/>
        <w:t>splenocytes pulsed with gB</w:t>
      </w:r>
      <w:r w:rsidRPr="007F69E4">
        <w:rPr>
          <w:rFonts w:asciiTheme="minorHAnsi" w:hAnsiTheme="minorHAnsi" w:cstheme="minorHAnsi"/>
          <w:color w:val="000000" w:themeColor="text1"/>
          <w:vertAlign w:val="subscript"/>
        </w:rPr>
        <w:t>498-505</w:t>
      </w:r>
      <w:r w:rsidRPr="007F69E4">
        <w:rPr>
          <w:rFonts w:asciiTheme="minorHAnsi" w:hAnsiTheme="minorHAnsi" w:cstheme="minorHAnsi"/>
          <w:color w:val="000000" w:themeColor="text1"/>
        </w:rPr>
        <w:t>, site II/III</w:t>
      </w:r>
      <w:r w:rsidR="003F2787">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and site I, respectively. Four h</w:t>
      </w:r>
      <w:r w:rsidR="003F2787">
        <w:rPr>
          <w:rFonts w:asciiTheme="minorHAnsi" w:hAnsiTheme="minorHAnsi" w:cstheme="minorHAnsi"/>
          <w:color w:val="000000" w:themeColor="text1"/>
        </w:rPr>
        <w:t>ours</w:t>
      </w:r>
      <w:r w:rsidRPr="007F69E4">
        <w:rPr>
          <w:rFonts w:asciiTheme="minorHAnsi" w:hAnsiTheme="minorHAnsi" w:cstheme="minorHAnsi"/>
          <w:color w:val="000000" w:themeColor="text1"/>
        </w:rPr>
        <w:t xml:space="preserve"> later, animals were euthanized, and CFSE-labeled target cells were tracked cytofluorimetrically in their spleen. Representative FACS plot</w:t>
      </w:r>
      <w:r w:rsidR="001A44FD">
        <w:rPr>
          <w:rFonts w:asciiTheme="minorHAnsi" w:hAnsiTheme="minorHAnsi" w:cstheme="minorHAnsi"/>
          <w:color w:val="000000" w:themeColor="text1"/>
        </w:rPr>
        <w:t>s</w:t>
      </w:r>
      <w:r w:rsidRPr="007F69E4">
        <w:rPr>
          <w:rFonts w:asciiTheme="minorHAnsi" w:hAnsiTheme="minorHAnsi" w:cstheme="minorHAnsi"/>
          <w:color w:val="000000" w:themeColor="text1"/>
        </w:rPr>
        <w:t xml:space="preserve"> (</w:t>
      </w:r>
      <w:r w:rsidR="006414E9" w:rsidRPr="007F69E4">
        <w:rPr>
          <w:rFonts w:asciiTheme="minorHAnsi" w:hAnsiTheme="minorHAnsi" w:cstheme="minorHAnsi"/>
          <w:b/>
          <w:color w:val="auto"/>
        </w:rPr>
        <w:t>Figure 2</w:t>
      </w:r>
      <w:r w:rsidR="006414E9">
        <w:rPr>
          <w:rFonts w:asciiTheme="minorHAnsi" w:hAnsiTheme="minorHAnsi" w:cstheme="minorHAnsi"/>
          <w:b/>
          <w:color w:val="auto"/>
        </w:rPr>
        <w:t>A</w:t>
      </w:r>
      <w:r w:rsidRPr="007F69E4">
        <w:rPr>
          <w:rFonts w:asciiTheme="minorHAnsi" w:hAnsiTheme="minorHAnsi" w:cstheme="minorHAnsi"/>
          <w:color w:val="000000" w:themeColor="text1"/>
        </w:rPr>
        <w:t>) and data from 3 animals per cohort (</w:t>
      </w:r>
      <w:r w:rsidR="006414E9" w:rsidRPr="007F69E4">
        <w:rPr>
          <w:rFonts w:asciiTheme="minorHAnsi" w:hAnsiTheme="minorHAnsi" w:cstheme="minorHAnsi"/>
          <w:b/>
          <w:color w:val="auto"/>
        </w:rPr>
        <w:t>Figure 2</w:t>
      </w:r>
      <w:r w:rsidR="006414E9">
        <w:rPr>
          <w:rFonts w:asciiTheme="minorHAnsi" w:hAnsiTheme="minorHAnsi" w:cstheme="minorHAnsi"/>
          <w:b/>
          <w:color w:val="auto"/>
        </w:rPr>
        <w:t>B</w:t>
      </w:r>
      <w:r w:rsidRPr="007F69E4">
        <w:rPr>
          <w:rFonts w:asciiTheme="minorHAnsi" w:hAnsiTheme="minorHAnsi" w:cstheme="minorHAnsi"/>
          <w:color w:val="000000" w:themeColor="text1"/>
        </w:rPr>
        <w:t>) are illustrated. While PD-1 blockade did not affect the ID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response against site IV</w:t>
      </w:r>
      <w:r w:rsidRPr="007F69E4">
        <w:rPr>
          <w:rFonts w:asciiTheme="minorHAnsi" w:hAnsiTheme="minorHAnsi" w:cstheme="minorHAnsi"/>
          <w:noProof/>
          <w:vertAlign w:val="superscript"/>
        </w:rPr>
        <w:t>16</w:t>
      </w:r>
      <w:r w:rsidRPr="007F69E4">
        <w:rPr>
          <w:rFonts w:asciiTheme="minorHAnsi" w:hAnsiTheme="minorHAnsi" w:cstheme="minorHAnsi"/>
          <w:color w:val="000000" w:themeColor="text1"/>
        </w:rPr>
        <w:t>, sites I- and II/III-specific SD responses were invigorated. We thus concluded that interfering with PD-1-PD-L1 interactions may induce ‘epitope spreading’ in anticancer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responses.</w:t>
      </w:r>
    </w:p>
    <w:p w14:paraId="4983B8B7" w14:textId="77777777" w:rsidR="00016D51" w:rsidRPr="007F69E4" w:rsidRDefault="00016D51" w:rsidP="00655DD5">
      <w:pPr>
        <w:rPr>
          <w:rFonts w:asciiTheme="minorHAnsi" w:hAnsiTheme="minorHAnsi" w:cstheme="minorHAnsi"/>
          <w:color w:val="000000" w:themeColor="text1"/>
        </w:rPr>
      </w:pPr>
    </w:p>
    <w:p w14:paraId="5D521C85" w14:textId="78F8B106"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000000" w:themeColor="text1"/>
        </w:rPr>
        <w:t xml:space="preserve">The above set-up represents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killing assays that enable quantitation of cytotoxicity elicited by two SD CTL clones in the same animal.              </w:t>
      </w:r>
    </w:p>
    <w:p w14:paraId="321D0491" w14:textId="77777777" w:rsidR="00016D51" w:rsidRPr="007F69E4" w:rsidRDefault="00016D51" w:rsidP="00655DD5">
      <w:pPr>
        <w:rPr>
          <w:rFonts w:asciiTheme="minorHAnsi" w:hAnsiTheme="minorHAnsi" w:cstheme="minorHAnsi"/>
          <w:color w:val="808080"/>
        </w:rPr>
      </w:pPr>
    </w:p>
    <w:p w14:paraId="1E44F7E2" w14:textId="77777777"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auto"/>
        </w:rPr>
        <w:t xml:space="preserve">[Insert Figure 2 here]. </w:t>
      </w:r>
    </w:p>
    <w:p w14:paraId="56E65E56" w14:textId="77777777" w:rsidR="00016D51" w:rsidRPr="007F69E4" w:rsidRDefault="00016D51" w:rsidP="00655DD5">
      <w:pPr>
        <w:rPr>
          <w:rFonts w:asciiTheme="minorHAnsi" w:hAnsiTheme="minorHAnsi" w:cstheme="minorHAnsi"/>
          <w:color w:val="808080"/>
        </w:rPr>
      </w:pPr>
    </w:p>
    <w:p w14:paraId="5EBDDCC9" w14:textId="77777777" w:rsidR="00016D51" w:rsidRPr="007F69E4" w:rsidRDefault="00016D51" w:rsidP="00655DD5">
      <w:pPr>
        <w:rPr>
          <w:rFonts w:asciiTheme="minorHAnsi" w:hAnsiTheme="minorHAnsi" w:cstheme="minorHAnsi"/>
          <w:bCs/>
          <w:color w:val="808080"/>
        </w:rPr>
      </w:pPr>
      <w:r w:rsidRPr="007F69E4">
        <w:rPr>
          <w:rFonts w:asciiTheme="minorHAnsi" w:hAnsiTheme="minorHAnsi" w:cstheme="minorHAnsi"/>
          <w:b/>
        </w:rPr>
        <w:t>FIGURE AND TABLE LEGENDS:</w:t>
      </w:r>
      <w:r w:rsidRPr="007F69E4">
        <w:rPr>
          <w:rFonts w:asciiTheme="minorHAnsi" w:hAnsiTheme="minorHAnsi" w:cstheme="minorHAnsi"/>
          <w:color w:val="808080"/>
        </w:rPr>
        <w:t xml:space="preserve"> </w:t>
      </w:r>
    </w:p>
    <w:p w14:paraId="34CBF92A" w14:textId="77777777" w:rsidR="00016D51" w:rsidRPr="007F69E4" w:rsidRDefault="00016D51" w:rsidP="00655DD5">
      <w:pPr>
        <w:rPr>
          <w:rFonts w:asciiTheme="minorHAnsi" w:hAnsiTheme="minorHAnsi" w:cstheme="minorHAnsi"/>
          <w:color w:val="808080"/>
        </w:rPr>
      </w:pPr>
    </w:p>
    <w:p w14:paraId="10229A8D" w14:textId="702250BA" w:rsidR="00016D51" w:rsidRPr="009042B3" w:rsidRDefault="00016D51" w:rsidP="00655DD5">
      <w:pPr>
        <w:rPr>
          <w:rFonts w:asciiTheme="minorHAnsi" w:hAnsiTheme="minorHAnsi" w:cstheme="minorHAnsi"/>
        </w:rPr>
      </w:pPr>
      <w:r w:rsidRPr="007F69E4">
        <w:rPr>
          <w:rFonts w:asciiTheme="minorHAnsi" w:hAnsiTheme="minorHAnsi" w:cstheme="minorHAnsi"/>
          <w:b/>
          <w:color w:val="auto"/>
        </w:rPr>
        <w:t>Figure 1: Representative cytofluorimetric analysis of T</w:t>
      </w:r>
      <w:r w:rsidRPr="007F69E4">
        <w:rPr>
          <w:rFonts w:asciiTheme="minorHAnsi" w:hAnsiTheme="minorHAnsi" w:cstheme="minorHAnsi"/>
          <w:b/>
          <w:color w:val="auto"/>
          <w:vertAlign w:val="subscript"/>
        </w:rPr>
        <w:t>CD8</w:t>
      </w:r>
      <w:r w:rsidRPr="007F69E4">
        <w:rPr>
          <w:rFonts w:asciiTheme="minorHAnsi" w:hAnsiTheme="minorHAnsi" w:cstheme="minorHAnsi"/>
          <w:b/>
          <w:color w:val="auto"/>
        </w:rPr>
        <w:t xml:space="preserve">-mediated cytotoxicity against T Ag-derived epitopes in the presence or absence of nTreg cells. </w:t>
      </w:r>
      <w:r w:rsidRPr="007F69E4">
        <w:rPr>
          <w:rFonts w:asciiTheme="minorHAnsi" w:hAnsiTheme="minorHAnsi" w:cstheme="minorHAnsi"/>
          <w:color w:val="auto"/>
        </w:rPr>
        <w:t xml:space="preserve">Target splenocytes pulsed with control peptides, site I or site IV, which were differentially labeled with CFSE, were tracked by flow cytometry in the spleen of a naïve mouse (left panel), a PBS-injected T Ag-primed mouse (middle panel), and a PC61 (nti-CD25)-injected (nTreg-depleted) T Ag-primed mouse (right panel). Percent specific killing of target cells was calculated using the formula described in the </w:t>
      </w:r>
      <w:r w:rsidR="009042B3">
        <w:rPr>
          <w:rFonts w:asciiTheme="minorHAnsi" w:hAnsiTheme="minorHAnsi" w:cstheme="minorHAnsi"/>
          <w:color w:val="auto"/>
        </w:rPr>
        <w:t>p</w:t>
      </w:r>
      <w:r w:rsidRPr="007F69E4">
        <w:rPr>
          <w:rFonts w:asciiTheme="minorHAnsi" w:hAnsiTheme="minorHAnsi" w:cstheme="minorHAnsi"/>
          <w:color w:val="auto"/>
        </w:rPr>
        <w:t xml:space="preserve">rotocol, and representative numbers are shown. This figure is adopted, with permission, from </w:t>
      </w:r>
      <w:proofErr w:type="spellStart"/>
      <w:r w:rsidRPr="007F69E4">
        <w:rPr>
          <w:rFonts w:asciiTheme="minorHAnsi" w:hAnsiTheme="minorHAnsi" w:cstheme="minorHAnsi"/>
          <w:color w:val="auto"/>
        </w:rPr>
        <w:t>Haeryfar</w:t>
      </w:r>
      <w:proofErr w:type="spellEnd"/>
      <w:r w:rsidRPr="007F69E4">
        <w:rPr>
          <w:rFonts w:asciiTheme="minorHAnsi" w:hAnsiTheme="minorHAnsi" w:cstheme="minorHAnsi"/>
          <w:color w:val="auto"/>
        </w:rPr>
        <w:t xml:space="preserve"> et al</w:t>
      </w:r>
      <w:r w:rsidR="009042B3">
        <w:rPr>
          <w:rFonts w:asciiTheme="minorHAnsi" w:hAnsiTheme="minorHAnsi" w:cstheme="minorHAnsi"/>
          <w:color w:val="auto"/>
        </w:rPr>
        <w:t>.</w:t>
      </w:r>
      <w:r w:rsidRPr="007F69E4">
        <w:rPr>
          <w:rFonts w:asciiTheme="minorHAnsi" w:hAnsiTheme="minorHAnsi" w:cstheme="minorHAnsi"/>
          <w:noProof/>
          <w:vertAlign w:val="superscript"/>
        </w:rPr>
        <w:t>17</w:t>
      </w:r>
      <w:r w:rsidRPr="007F69E4">
        <w:rPr>
          <w:rFonts w:asciiTheme="minorHAnsi" w:hAnsiTheme="minorHAnsi" w:cstheme="minorHAnsi"/>
        </w:rPr>
        <w:t xml:space="preserve">. </w:t>
      </w:r>
      <w:r w:rsidRPr="009042B3">
        <w:rPr>
          <w:rFonts w:asciiTheme="minorHAnsi" w:hAnsiTheme="minorHAnsi" w:cstheme="minorHAnsi"/>
        </w:rPr>
        <w:t xml:space="preserve">Copyright 2005. The American Association of Immunologists, Inc.        </w:t>
      </w:r>
    </w:p>
    <w:p w14:paraId="1A8FC1FB" w14:textId="77777777" w:rsidR="00016D51" w:rsidRPr="007F69E4" w:rsidRDefault="00016D51" w:rsidP="00655DD5">
      <w:pPr>
        <w:rPr>
          <w:rFonts w:asciiTheme="minorHAnsi" w:hAnsiTheme="minorHAnsi" w:cstheme="minorHAnsi"/>
          <w:b/>
          <w:color w:val="808080" w:themeColor="background1" w:themeShade="80"/>
        </w:rPr>
      </w:pPr>
      <w:r w:rsidRPr="007F69E4">
        <w:rPr>
          <w:rFonts w:asciiTheme="minorHAnsi" w:hAnsiTheme="minorHAnsi" w:cstheme="minorHAnsi"/>
        </w:rPr>
        <w:t xml:space="preserve">  </w:t>
      </w:r>
      <w:r w:rsidRPr="007F69E4">
        <w:rPr>
          <w:rFonts w:asciiTheme="minorHAnsi" w:hAnsiTheme="minorHAnsi" w:cstheme="minorHAnsi"/>
          <w:color w:val="auto"/>
        </w:rPr>
        <w:t xml:space="preserve">   </w:t>
      </w:r>
      <w:r w:rsidRPr="007F69E4">
        <w:rPr>
          <w:rFonts w:asciiTheme="minorHAnsi" w:hAnsiTheme="minorHAnsi" w:cstheme="minorHAnsi"/>
          <w:b/>
          <w:color w:val="auto"/>
        </w:rPr>
        <w:t xml:space="preserve">    </w:t>
      </w:r>
    </w:p>
    <w:p w14:paraId="18117AD9" w14:textId="34D79237" w:rsidR="00016D51" w:rsidRPr="007F69E4" w:rsidRDefault="00016D51" w:rsidP="00655DD5">
      <w:pPr>
        <w:rPr>
          <w:rFonts w:asciiTheme="minorHAnsi" w:hAnsiTheme="minorHAnsi" w:cstheme="minorHAnsi"/>
          <w:b/>
          <w:i/>
        </w:rPr>
      </w:pPr>
      <w:r w:rsidRPr="007F69E4">
        <w:rPr>
          <w:rFonts w:asciiTheme="minorHAnsi" w:hAnsiTheme="minorHAnsi" w:cstheme="minorHAnsi"/>
          <w:b/>
        </w:rPr>
        <w:t>Figure 2</w:t>
      </w:r>
      <w:r w:rsidRPr="004E79CE">
        <w:rPr>
          <w:rFonts w:asciiTheme="minorHAnsi" w:hAnsiTheme="minorHAnsi" w:cstheme="minorHAnsi"/>
          <w:b/>
        </w:rPr>
        <w:t xml:space="preserve">: </w:t>
      </w:r>
      <w:r w:rsidR="00164210" w:rsidRPr="004E79CE">
        <w:rPr>
          <w:rFonts w:asciiTheme="minorHAnsi" w:hAnsiTheme="minorHAnsi" w:cstheme="minorHAnsi"/>
          <w:b/>
        </w:rPr>
        <w:t>In vivo</w:t>
      </w:r>
      <w:r w:rsidRPr="007F69E4">
        <w:rPr>
          <w:rFonts w:asciiTheme="minorHAnsi" w:hAnsiTheme="minorHAnsi" w:cstheme="minorHAnsi"/>
          <w:b/>
        </w:rPr>
        <w:t xml:space="preserve"> cytotoxicity of T Ag-specific T</w:t>
      </w:r>
      <w:r w:rsidRPr="007F69E4">
        <w:rPr>
          <w:rFonts w:asciiTheme="minorHAnsi" w:hAnsiTheme="minorHAnsi" w:cstheme="minorHAnsi"/>
          <w:b/>
          <w:vertAlign w:val="subscript"/>
        </w:rPr>
        <w:t>CD8</w:t>
      </w:r>
      <w:r w:rsidRPr="007F69E4">
        <w:rPr>
          <w:rFonts w:asciiTheme="minorHAnsi" w:hAnsiTheme="minorHAnsi" w:cstheme="minorHAnsi"/>
          <w:b/>
        </w:rPr>
        <w:t xml:space="preserve"> in anti-PD-1-treated mice. </w:t>
      </w:r>
      <w:r w:rsidR="004E79CE">
        <w:rPr>
          <w:rFonts w:asciiTheme="minorHAnsi" w:hAnsiTheme="minorHAnsi" w:cstheme="minorHAnsi"/>
        </w:rPr>
        <w:t>(</w:t>
      </w:r>
      <w:r w:rsidRPr="007F69E4">
        <w:rPr>
          <w:rFonts w:asciiTheme="minorHAnsi" w:hAnsiTheme="minorHAnsi" w:cstheme="minorHAnsi"/>
          <w:b/>
        </w:rPr>
        <w:t>A</w:t>
      </w:r>
      <w:r w:rsidR="004E79CE">
        <w:rPr>
          <w:rFonts w:asciiTheme="minorHAnsi" w:hAnsiTheme="minorHAnsi" w:cstheme="minorHAnsi"/>
        </w:rPr>
        <w:t>)</w:t>
      </w:r>
      <w:r w:rsidRPr="007F69E4">
        <w:rPr>
          <w:rFonts w:asciiTheme="minorHAnsi" w:hAnsiTheme="minorHAnsi" w:cstheme="minorHAnsi"/>
        </w:rPr>
        <w:t xml:space="preserve"> Representative histogram plots demonstrate CFSE peaks corresponding to target splenocytes pulsed with an irrelevant peptide (CFSE</w:t>
      </w:r>
      <w:r w:rsidRPr="007F69E4">
        <w:rPr>
          <w:rFonts w:asciiTheme="minorHAnsi" w:hAnsiTheme="minorHAnsi" w:cstheme="minorHAnsi"/>
          <w:vertAlign w:val="superscript"/>
        </w:rPr>
        <w:t>low</w:t>
      </w:r>
      <w:r w:rsidRPr="007F69E4">
        <w:rPr>
          <w:rFonts w:asciiTheme="minorHAnsi" w:hAnsiTheme="minorHAnsi" w:cstheme="minorHAnsi"/>
        </w:rPr>
        <w:t>), site II/III (CFSE</w:t>
      </w:r>
      <w:r w:rsidRPr="007F69E4">
        <w:rPr>
          <w:rFonts w:asciiTheme="minorHAnsi" w:hAnsiTheme="minorHAnsi" w:cstheme="minorHAnsi"/>
          <w:vertAlign w:val="superscript"/>
        </w:rPr>
        <w:t>int</w:t>
      </w:r>
      <w:r w:rsidRPr="007F69E4">
        <w:rPr>
          <w:rFonts w:asciiTheme="minorHAnsi" w:hAnsiTheme="minorHAnsi" w:cstheme="minorHAnsi"/>
        </w:rPr>
        <w:t>)</w:t>
      </w:r>
      <w:r w:rsidR="005C00B7">
        <w:rPr>
          <w:rFonts w:asciiTheme="minorHAnsi" w:hAnsiTheme="minorHAnsi" w:cstheme="minorHAnsi"/>
        </w:rPr>
        <w:t>,</w:t>
      </w:r>
      <w:r w:rsidRPr="007F69E4">
        <w:rPr>
          <w:rFonts w:asciiTheme="minorHAnsi" w:hAnsiTheme="minorHAnsi" w:cstheme="minorHAnsi"/>
        </w:rPr>
        <w:t xml:space="preserve"> and site I (CFSE</w:t>
      </w:r>
      <w:r w:rsidRPr="007F69E4">
        <w:rPr>
          <w:rFonts w:asciiTheme="minorHAnsi" w:hAnsiTheme="minorHAnsi" w:cstheme="minorHAnsi"/>
          <w:vertAlign w:val="superscript"/>
        </w:rPr>
        <w:t>high</w:t>
      </w:r>
      <w:r w:rsidRPr="007F69E4">
        <w:rPr>
          <w:rFonts w:asciiTheme="minorHAnsi" w:hAnsiTheme="minorHAnsi" w:cstheme="minorHAnsi"/>
        </w:rPr>
        <w:t xml:space="preserve">) in T Ag-primed mice that received an isotype (left panel) or a PD-1-blocking mAb (right panel). </w:t>
      </w:r>
      <w:r w:rsidR="005C00B7">
        <w:rPr>
          <w:rFonts w:asciiTheme="minorHAnsi" w:hAnsiTheme="minorHAnsi" w:cstheme="minorHAnsi"/>
        </w:rPr>
        <w:t>(</w:t>
      </w:r>
      <w:r w:rsidRPr="007F69E4">
        <w:rPr>
          <w:rFonts w:asciiTheme="minorHAnsi" w:hAnsiTheme="minorHAnsi" w:cstheme="minorHAnsi"/>
          <w:b/>
        </w:rPr>
        <w:t>B</w:t>
      </w:r>
      <w:r w:rsidR="005C00B7">
        <w:rPr>
          <w:rFonts w:asciiTheme="minorHAnsi" w:hAnsiTheme="minorHAnsi" w:cstheme="minorHAnsi"/>
        </w:rPr>
        <w:t>)</w:t>
      </w:r>
      <w:r w:rsidRPr="007F69E4">
        <w:rPr>
          <w:rFonts w:asciiTheme="minorHAnsi" w:hAnsiTheme="minorHAnsi" w:cstheme="minorHAnsi"/>
        </w:rPr>
        <w:t xml:space="preserve"> </w:t>
      </w:r>
      <w:r w:rsidRPr="007F69E4">
        <w:rPr>
          <w:rFonts w:asciiTheme="minorHAnsi" w:hAnsiTheme="minorHAnsi" w:cstheme="minorHAnsi"/>
          <w:color w:val="auto"/>
        </w:rPr>
        <w:t>Percent specific killing of each cognate target cell population was calculated using CFSE</w:t>
      </w:r>
      <w:r w:rsidRPr="007F69E4">
        <w:rPr>
          <w:rFonts w:asciiTheme="minorHAnsi" w:hAnsiTheme="minorHAnsi" w:cstheme="minorHAnsi"/>
          <w:color w:val="auto"/>
          <w:vertAlign w:val="superscript"/>
        </w:rPr>
        <w:t>+</w:t>
      </w:r>
      <w:r w:rsidRPr="007F69E4">
        <w:rPr>
          <w:rFonts w:asciiTheme="minorHAnsi" w:hAnsiTheme="minorHAnsi" w:cstheme="minorHAnsi"/>
          <w:color w:val="auto"/>
        </w:rPr>
        <w:t xml:space="preserve"> event numbers in T Ag-primed mice (n</w:t>
      </w:r>
      <w:r w:rsidR="006C0D44">
        <w:rPr>
          <w:rFonts w:asciiTheme="minorHAnsi" w:hAnsiTheme="minorHAnsi" w:cstheme="minorHAnsi"/>
          <w:color w:val="auto"/>
        </w:rPr>
        <w:t xml:space="preserve"> </w:t>
      </w:r>
      <w:r w:rsidRPr="007F69E4">
        <w:rPr>
          <w:rFonts w:asciiTheme="minorHAnsi" w:hAnsiTheme="minorHAnsi" w:cstheme="minorHAnsi"/>
          <w:color w:val="auto"/>
        </w:rPr>
        <w:t>=</w:t>
      </w:r>
      <w:r w:rsidR="006C0D44">
        <w:rPr>
          <w:rFonts w:asciiTheme="minorHAnsi" w:hAnsiTheme="minorHAnsi" w:cstheme="minorHAnsi"/>
          <w:color w:val="auto"/>
        </w:rPr>
        <w:t xml:space="preserve"> </w:t>
      </w:r>
      <w:r w:rsidRPr="007F69E4">
        <w:rPr>
          <w:rFonts w:asciiTheme="minorHAnsi" w:hAnsiTheme="minorHAnsi" w:cstheme="minorHAnsi"/>
          <w:color w:val="auto"/>
        </w:rPr>
        <w:t>3</w:t>
      </w:r>
      <w:r w:rsidR="006C0D44">
        <w:rPr>
          <w:rFonts w:asciiTheme="minorHAnsi" w:hAnsiTheme="minorHAnsi" w:cstheme="minorHAnsi"/>
          <w:color w:val="auto"/>
        </w:rPr>
        <w:t xml:space="preserve"> per </w:t>
      </w:r>
      <w:r w:rsidRPr="007F69E4">
        <w:rPr>
          <w:rFonts w:asciiTheme="minorHAnsi" w:hAnsiTheme="minorHAnsi" w:cstheme="minorHAnsi"/>
          <w:color w:val="auto"/>
        </w:rPr>
        <w:t xml:space="preserve">group) and naïve recipients (not shown) and the formula described in the </w:t>
      </w:r>
      <w:r w:rsidR="000B57EC">
        <w:rPr>
          <w:rFonts w:asciiTheme="minorHAnsi" w:hAnsiTheme="minorHAnsi" w:cstheme="minorHAnsi"/>
          <w:color w:val="auto"/>
        </w:rPr>
        <w:t>p</w:t>
      </w:r>
      <w:r w:rsidRPr="007F69E4">
        <w:rPr>
          <w:rFonts w:asciiTheme="minorHAnsi" w:hAnsiTheme="minorHAnsi" w:cstheme="minorHAnsi"/>
          <w:color w:val="auto"/>
        </w:rPr>
        <w:t xml:space="preserve">rotocol. Error bars represent standard errors of the mean (SEM), and ** denotes a statistical difference with </w:t>
      </w:r>
      <w:r w:rsidRPr="007F69E4">
        <w:rPr>
          <w:rFonts w:asciiTheme="minorHAnsi" w:hAnsiTheme="minorHAnsi" w:cstheme="minorHAnsi"/>
          <w:i/>
          <w:color w:val="auto"/>
        </w:rPr>
        <w:t>p</w:t>
      </w:r>
      <w:r w:rsidRPr="007F69E4">
        <w:rPr>
          <w:rFonts w:asciiTheme="minorHAnsi" w:hAnsiTheme="minorHAnsi" w:cstheme="minorHAnsi"/>
          <w:color w:val="auto"/>
        </w:rPr>
        <w:t xml:space="preserve"> &lt; 0.01 by unpaired Student’s </w:t>
      </w:r>
      <w:r w:rsidRPr="007F69E4">
        <w:rPr>
          <w:rFonts w:asciiTheme="minorHAnsi" w:hAnsiTheme="minorHAnsi" w:cstheme="minorHAnsi"/>
          <w:i/>
          <w:color w:val="auto"/>
        </w:rPr>
        <w:t>t</w:t>
      </w:r>
      <w:r w:rsidRPr="007F69E4">
        <w:rPr>
          <w:rFonts w:asciiTheme="minorHAnsi" w:hAnsiTheme="minorHAnsi" w:cstheme="minorHAnsi"/>
          <w:color w:val="auto"/>
        </w:rPr>
        <w:t xml:space="preserve">-tests. This figure is adopted, with permission, from </w:t>
      </w:r>
      <w:proofErr w:type="spellStart"/>
      <w:r w:rsidRPr="007F69E4">
        <w:rPr>
          <w:rFonts w:asciiTheme="minorHAnsi" w:hAnsiTheme="minorHAnsi" w:cstheme="minorHAnsi"/>
          <w:color w:val="auto"/>
        </w:rPr>
        <w:t>Memarnejadian</w:t>
      </w:r>
      <w:proofErr w:type="spellEnd"/>
      <w:r w:rsidRPr="007F69E4">
        <w:rPr>
          <w:rFonts w:asciiTheme="minorHAnsi" w:hAnsiTheme="minorHAnsi" w:cstheme="minorHAnsi"/>
          <w:color w:val="auto"/>
        </w:rPr>
        <w:t xml:space="preserve"> et al</w:t>
      </w:r>
      <w:r w:rsidR="00853D40">
        <w:rPr>
          <w:rFonts w:asciiTheme="minorHAnsi" w:hAnsiTheme="minorHAnsi" w:cstheme="minorHAnsi"/>
          <w:color w:val="auto"/>
        </w:rPr>
        <w:t>.</w:t>
      </w:r>
      <w:r w:rsidRPr="007F69E4">
        <w:rPr>
          <w:rFonts w:asciiTheme="minorHAnsi" w:hAnsiTheme="minorHAnsi" w:cstheme="minorHAnsi"/>
          <w:noProof/>
          <w:vertAlign w:val="superscript"/>
        </w:rPr>
        <w:t>16</w:t>
      </w:r>
      <w:r w:rsidRPr="00853D40">
        <w:rPr>
          <w:rFonts w:asciiTheme="minorHAnsi" w:hAnsiTheme="minorHAnsi" w:cstheme="minorHAnsi"/>
        </w:rPr>
        <w:t>. Copyright 2017. The American Association of Immunologists, Inc</w:t>
      </w:r>
      <w:r w:rsidR="00853D40">
        <w:rPr>
          <w:rFonts w:asciiTheme="minorHAnsi" w:hAnsiTheme="minorHAnsi" w:cstheme="minorHAnsi"/>
        </w:rPr>
        <w:t>.</w:t>
      </w:r>
      <w:r w:rsidRPr="007F69E4">
        <w:rPr>
          <w:rFonts w:asciiTheme="minorHAnsi" w:hAnsiTheme="minorHAnsi" w:cstheme="minorHAnsi"/>
          <w:b/>
          <w:i/>
        </w:rPr>
        <w:t xml:space="preserve">     </w:t>
      </w:r>
    </w:p>
    <w:p w14:paraId="71A2A74D" w14:textId="77777777" w:rsidR="00016D51" w:rsidRPr="007F69E4" w:rsidRDefault="00016D51" w:rsidP="00655DD5">
      <w:pPr>
        <w:rPr>
          <w:rFonts w:asciiTheme="minorHAnsi" w:hAnsiTheme="minorHAnsi" w:cstheme="minorHAnsi"/>
          <w:b/>
        </w:rPr>
      </w:pPr>
    </w:p>
    <w:p w14:paraId="07F93853" w14:textId="77777777" w:rsidR="00016D51" w:rsidRPr="007F69E4" w:rsidRDefault="00016D51" w:rsidP="00655DD5">
      <w:pPr>
        <w:rPr>
          <w:rFonts w:asciiTheme="minorHAnsi" w:hAnsiTheme="minorHAnsi" w:cstheme="minorHAnsi"/>
          <w:b/>
        </w:rPr>
      </w:pPr>
      <w:r w:rsidRPr="007F69E4">
        <w:rPr>
          <w:rFonts w:asciiTheme="minorHAnsi" w:hAnsiTheme="minorHAnsi" w:cstheme="minorHAnsi"/>
          <w:b/>
        </w:rPr>
        <w:t>DISCUSSION</w:t>
      </w:r>
      <w:r w:rsidRPr="007F69E4">
        <w:rPr>
          <w:rFonts w:asciiTheme="minorHAnsi" w:hAnsiTheme="minorHAnsi" w:cstheme="minorHAnsi"/>
          <w:b/>
          <w:bCs/>
        </w:rPr>
        <w:t xml:space="preserve">: </w:t>
      </w:r>
    </w:p>
    <w:p w14:paraId="39E4C57C" w14:textId="35E470F8"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CFSE-based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offer several advantages over traditional killing assays</w:t>
      </w:r>
      <w:r w:rsidR="007D3FF7" w:rsidRPr="007F69E4">
        <w:rPr>
          <w:rFonts w:asciiTheme="minorHAnsi" w:hAnsiTheme="minorHAnsi" w:cstheme="minorHAnsi"/>
          <w:color w:val="000000" w:themeColor="text1"/>
        </w:rPr>
        <w:t xml:space="preserve"> such as radioactive chromium (</w:t>
      </w:r>
      <w:r w:rsidR="007D3FF7" w:rsidRPr="007F69E4">
        <w:rPr>
          <w:rFonts w:asciiTheme="minorHAnsi" w:hAnsiTheme="minorHAnsi" w:cstheme="minorHAnsi"/>
          <w:color w:val="000000" w:themeColor="text1"/>
          <w:vertAlign w:val="superscript"/>
        </w:rPr>
        <w:t>51</w:t>
      </w:r>
      <w:r w:rsidR="007D3FF7" w:rsidRPr="007F69E4">
        <w:rPr>
          <w:rFonts w:asciiTheme="minorHAnsi" w:hAnsiTheme="minorHAnsi" w:cstheme="minorHAnsi"/>
          <w:color w:val="000000" w:themeColor="text1"/>
        </w:rPr>
        <w:t>Cr) release and colorimetric lactate dehydrogenase (LDH) release assays</w:t>
      </w:r>
      <w:r w:rsidRPr="007F69E4">
        <w:rPr>
          <w:rFonts w:asciiTheme="minorHAnsi" w:hAnsiTheme="minorHAnsi" w:cstheme="minorHAnsi"/>
          <w:color w:val="000000" w:themeColor="text1"/>
        </w:rPr>
        <w:t xml:space="preserve">. First, they permit the monitoring of CTL function within an architecturally intact secondary lymphoid organ. </w:t>
      </w:r>
    </w:p>
    <w:p w14:paraId="1878FFE3" w14:textId="77777777" w:rsidR="00016D51" w:rsidRPr="007F69E4" w:rsidRDefault="00016D51" w:rsidP="00655DD5">
      <w:pPr>
        <w:rPr>
          <w:rFonts w:asciiTheme="minorHAnsi" w:hAnsiTheme="minorHAnsi" w:cstheme="minorHAnsi"/>
          <w:color w:val="000000" w:themeColor="text1"/>
        </w:rPr>
      </w:pPr>
    </w:p>
    <w:p w14:paraId="74FD7922" w14:textId="6815FC46"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Second, the specific killing of target cells in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reflects the absolute number of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which is usually, but not always, a function of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frequencies present in the spleen. This is in contrast with </w:t>
      </w:r>
      <w:r w:rsidRPr="007F69E4">
        <w:rPr>
          <w:rFonts w:asciiTheme="minorHAnsi" w:hAnsiTheme="minorHAnsi" w:cstheme="minorHAnsi"/>
          <w:color w:val="000000" w:themeColor="text1"/>
          <w:vertAlign w:val="superscript"/>
        </w:rPr>
        <w:t>51</w:t>
      </w:r>
      <w:r w:rsidRPr="007F69E4">
        <w:rPr>
          <w:rFonts w:asciiTheme="minorHAnsi" w:hAnsiTheme="minorHAnsi" w:cstheme="minorHAnsi"/>
          <w:color w:val="000000" w:themeColor="text1"/>
        </w:rPr>
        <w:t>Cr</w:t>
      </w:r>
      <w:r w:rsidR="0064766F" w:rsidRPr="007F69E4">
        <w:rPr>
          <w:rFonts w:asciiTheme="minorHAnsi" w:hAnsiTheme="minorHAnsi" w:cstheme="minorHAnsi"/>
          <w:color w:val="000000" w:themeColor="text1"/>
        </w:rPr>
        <w:t>/LDH</w:t>
      </w:r>
      <w:r w:rsidR="00843E51">
        <w:rPr>
          <w:rFonts w:asciiTheme="minorHAnsi" w:hAnsiTheme="minorHAnsi" w:cstheme="minorHAnsi"/>
          <w:color w:val="000000" w:themeColor="text1"/>
        </w:rPr>
        <w:t xml:space="preserve"> </w:t>
      </w:r>
      <w:r w:rsidRPr="007F69E4">
        <w:rPr>
          <w:rFonts w:asciiTheme="minorHAnsi" w:hAnsiTheme="minorHAnsi" w:cstheme="minorHAnsi"/>
          <w:color w:val="000000" w:themeColor="text1"/>
        </w:rPr>
        <w:t>release assays in which a constant number of cells are employed as a source of effector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Consequently, </w:t>
      </w:r>
      <w:r w:rsidRPr="007F69E4">
        <w:rPr>
          <w:rFonts w:asciiTheme="minorHAnsi" w:hAnsiTheme="minorHAnsi" w:cstheme="minorHAnsi"/>
          <w:color w:val="000000" w:themeColor="text1"/>
          <w:vertAlign w:val="superscript"/>
        </w:rPr>
        <w:t>51</w:t>
      </w:r>
      <w:r w:rsidRPr="007F69E4">
        <w:rPr>
          <w:rFonts w:asciiTheme="minorHAnsi" w:hAnsiTheme="minorHAnsi" w:cstheme="minorHAnsi"/>
          <w:color w:val="000000" w:themeColor="text1"/>
        </w:rPr>
        <w:t>Cr</w:t>
      </w:r>
      <w:r w:rsidR="0064766F" w:rsidRPr="007F69E4">
        <w:rPr>
          <w:rFonts w:asciiTheme="minorHAnsi" w:hAnsiTheme="minorHAnsi" w:cstheme="minorHAnsi"/>
          <w:color w:val="000000" w:themeColor="text1"/>
        </w:rPr>
        <w:t>/LDH</w:t>
      </w:r>
      <w:r w:rsidRPr="007F69E4">
        <w:rPr>
          <w:rFonts w:asciiTheme="minorHAnsi" w:hAnsiTheme="minorHAnsi" w:cstheme="minorHAnsi"/>
          <w:color w:val="000000" w:themeColor="text1"/>
        </w:rPr>
        <w:t xml:space="preserve"> release assays fail to reliably estimate the total number of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that may be available to the host to eliminate tumor </w:t>
      </w:r>
      <w:r w:rsidRPr="007F69E4">
        <w:rPr>
          <w:rFonts w:asciiTheme="minorHAnsi" w:hAnsiTheme="minorHAnsi" w:cstheme="minorHAnsi"/>
          <w:color w:val="000000" w:themeColor="text1"/>
        </w:rPr>
        <w:lastRenderedPageBreak/>
        <w:t>cells or to combat infections. This is important since in many cases and conditions, the size and the cellularity of secondary lymphoid organs/tissues that accommodate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are altered. For instance, a hypothetical scenario can be envisaged in which a viral infection elevates the total number of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specific for peptide X while also expanding multiple other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clones harboring other specificities. As a result, the frequency of X-specific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among total splenic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may not increase, in which case a </w:t>
      </w:r>
      <w:r w:rsidRPr="007F69E4">
        <w:rPr>
          <w:rFonts w:asciiTheme="minorHAnsi" w:hAnsiTheme="minorHAnsi" w:cstheme="minorHAnsi"/>
          <w:color w:val="000000" w:themeColor="text1"/>
          <w:vertAlign w:val="superscript"/>
        </w:rPr>
        <w:t>51</w:t>
      </w:r>
      <w:r w:rsidRPr="007F69E4">
        <w:rPr>
          <w:rFonts w:asciiTheme="minorHAnsi" w:hAnsiTheme="minorHAnsi" w:cstheme="minorHAnsi"/>
          <w:color w:val="000000" w:themeColor="text1"/>
        </w:rPr>
        <w:t>Cr</w:t>
      </w:r>
      <w:r w:rsidR="009026F4" w:rsidRPr="007F69E4">
        <w:rPr>
          <w:rFonts w:asciiTheme="minorHAnsi" w:hAnsiTheme="minorHAnsi" w:cstheme="minorHAnsi"/>
          <w:color w:val="000000" w:themeColor="text1"/>
        </w:rPr>
        <w:t>/LDH</w:t>
      </w:r>
      <w:r w:rsidRPr="007F69E4">
        <w:rPr>
          <w:rFonts w:asciiTheme="minorHAnsi" w:hAnsiTheme="minorHAnsi" w:cstheme="minorHAnsi"/>
          <w:color w:val="000000" w:themeColor="text1"/>
        </w:rPr>
        <w:t xml:space="preserve"> release assay will not be helpful. As another example, we recently demonstrated that certain bacterial superantigens expand memory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specific for NP</w:t>
      </w:r>
      <w:r w:rsidRPr="007F69E4">
        <w:rPr>
          <w:rFonts w:asciiTheme="minorHAnsi" w:hAnsiTheme="minorHAnsi" w:cstheme="minorHAnsi"/>
          <w:color w:val="000000" w:themeColor="text1"/>
          <w:vertAlign w:val="subscript"/>
        </w:rPr>
        <w:t>147-155</w:t>
      </w:r>
      <w:r w:rsidRPr="007F69E4">
        <w:rPr>
          <w:rFonts w:asciiTheme="minorHAnsi" w:hAnsiTheme="minorHAnsi" w:cstheme="minorHAnsi"/>
          <w:color w:val="000000" w:themeColor="text1"/>
        </w:rPr>
        <w:t xml:space="preserve">, an immunodominant peptide epitope of influenza A viruses in BALB/c mice, which correlated well with increased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lysis of NP</w:t>
      </w:r>
      <w:r w:rsidRPr="007F69E4">
        <w:rPr>
          <w:rFonts w:asciiTheme="minorHAnsi" w:hAnsiTheme="minorHAnsi" w:cstheme="minorHAnsi"/>
          <w:color w:val="000000" w:themeColor="text1"/>
          <w:vertAlign w:val="subscript"/>
        </w:rPr>
        <w:t>147-155</w:t>
      </w:r>
      <w:r w:rsidRPr="007F69E4">
        <w:rPr>
          <w:rFonts w:asciiTheme="minorHAnsi" w:hAnsiTheme="minorHAnsi" w:cstheme="minorHAnsi"/>
          <w:color w:val="000000" w:themeColor="text1"/>
        </w:rPr>
        <w:t>-pulsed target cells</w:t>
      </w:r>
      <w:r w:rsidRPr="007F69E4">
        <w:rPr>
          <w:rFonts w:asciiTheme="minorHAnsi" w:hAnsiTheme="minorHAnsi" w:cstheme="minorHAnsi"/>
          <w:noProof/>
          <w:color w:val="000000" w:themeColor="text1"/>
          <w:vertAlign w:val="superscript"/>
        </w:rPr>
        <w:t>31</w:t>
      </w:r>
      <w:r w:rsidRPr="007F69E4">
        <w:rPr>
          <w:rFonts w:asciiTheme="minorHAnsi" w:hAnsiTheme="minorHAnsi" w:cstheme="minorHAnsi"/>
          <w:color w:val="000000" w:themeColor="text1"/>
        </w:rPr>
        <w:t>. Since exposure to superantigens provokes T cell proliferation non-specifically, it would have been highly unlikely to demonstrate substantial NP</w:t>
      </w:r>
      <w:r w:rsidRPr="007F69E4">
        <w:rPr>
          <w:rFonts w:asciiTheme="minorHAnsi" w:hAnsiTheme="minorHAnsi" w:cstheme="minorHAnsi"/>
          <w:color w:val="000000" w:themeColor="text1"/>
          <w:vertAlign w:val="subscript"/>
        </w:rPr>
        <w:t>147-155</w:t>
      </w:r>
      <w:r w:rsidRPr="007F69E4">
        <w:rPr>
          <w:rFonts w:asciiTheme="minorHAnsi" w:hAnsiTheme="minorHAnsi" w:cstheme="minorHAnsi"/>
          <w:color w:val="000000" w:themeColor="text1"/>
        </w:rPr>
        <w:t xml:space="preserve">-specific cytotoxicity using </w:t>
      </w:r>
      <w:r w:rsidRPr="007F69E4">
        <w:rPr>
          <w:rFonts w:asciiTheme="minorHAnsi" w:hAnsiTheme="minorHAnsi" w:cstheme="minorHAnsi"/>
          <w:color w:val="000000" w:themeColor="text1"/>
          <w:vertAlign w:val="superscript"/>
        </w:rPr>
        <w:t>51</w:t>
      </w:r>
      <w:r w:rsidRPr="007F69E4">
        <w:rPr>
          <w:rFonts w:asciiTheme="minorHAnsi" w:hAnsiTheme="minorHAnsi" w:cstheme="minorHAnsi"/>
          <w:color w:val="000000" w:themeColor="text1"/>
        </w:rPr>
        <w:t>Cr</w:t>
      </w:r>
      <w:r w:rsidR="003D449B" w:rsidRPr="007F69E4">
        <w:rPr>
          <w:rFonts w:asciiTheme="minorHAnsi" w:hAnsiTheme="minorHAnsi" w:cstheme="minorHAnsi"/>
          <w:color w:val="000000" w:themeColor="text1"/>
        </w:rPr>
        <w:t>/LDH</w:t>
      </w:r>
      <w:r w:rsidRPr="007F69E4">
        <w:rPr>
          <w:rFonts w:asciiTheme="minorHAnsi" w:hAnsiTheme="minorHAnsi" w:cstheme="minorHAnsi"/>
          <w:color w:val="000000" w:themeColor="text1"/>
        </w:rPr>
        <w:t xml:space="preserve"> release assays. </w:t>
      </w:r>
    </w:p>
    <w:p w14:paraId="3B1D0D1B" w14:textId="77777777" w:rsidR="00016D51" w:rsidRPr="007F69E4" w:rsidRDefault="00016D51" w:rsidP="00655DD5">
      <w:pPr>
        <w:rPr>
          <w:rFonts w:asciiTheme="minorHAnsi" w:hAnsiTheme="minorHAnsi" w:cstheme="minorHAnsi"/>
          <w:color w:val="000000" w:themeColor="text1"/>
        </w:rPr>
      </w:pPr>
    </w:p>
    <w:p w14:paraId="648C931B" w14:textId="08F0267B"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Third, target cells pulsed with peptides that bind to the same MHC class I molecule can be labeled with different doses of CFSE, mixed and used in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The concomitant analysis of CTL functions towards such peptides is not an option in </w:t>
      </w:r>
      <w:r w:rsidRPr="007F69E4">
        <w:rPr>
          <w:rFonts w:asciiTheme="minorHAnsi" w:hAnsiTheme="minorHAnsi" w:cstheme="minorHAnsi"/>
          <w:color w:val="000000" w:themeColor="text1"/>
          <w:vertAlign w:val="superscript"/>
        </w:rPr>
        <w:t>51</w:t>
      </w:r>
      <w:r w:rsidRPr="007F69E4">
        <w:rPr>
          <w:rFonts w:asciiTheme="minorHAnsi" w:hAnsiTheme="minorHAnsi" w:cstheme="minorHAnsi"/>
          <w:color w:val="000000" w:themeColor="text1"/>
        </w:rPr>
        <w:t>Cr</w:t>
      </w:r>
      <w:r w:rsidR="009A1982" w:rsidRPr="007F69E4">
        <w:rPr>
          <w:rFonts w:asciiTheme="minorHAnsi" w:hAnsiTheme="minorHAnsi" w:cstheme="minorHAnsi"/>
          <w:color w:val="000000" w:themeColor="text1"/>
        </w:rPr>
        <w:t>/LDH</w:t>
      </w:r>
      <w:r w:rsidRPr="007F69E4">
        <w:rPr>
          <w:rFonts w:asciiTheme="minorHAnsi" w:hAnsiTheme="minorHAnsi" w:cstheme="minorHAnsi"/>
          <w:color w:val="000000" w:themeColor="text1"/>
        </w:rPr>
        <w:t xml:space="preserve"> release assays.        </w:t>
      </w:r>
    </w:p>
    <w:p w14:paraId="7FF46BE4" w14:textId="77777777" w:rsidR="00016D51" w:rsidRPr="007F69E4" w:rsidRDefault="00016D51" w:rsidP="00655DD5">
      <w:pPr>
        <w:rPr>
          <w:rFonts w:asciiTheme="minorHAnsi" w:hAnsiTheme="minorHAnsi" w:cstheme="minorHAnsi"/>
          <w:color w:val="000000" w:themeColor="text1"/>
        </w:rPr>
      </w:pPr>
    </w:p>
    <w:p w14:paraId="5EDBF80C" w14:textId="63A8817F"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Fourth,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allow for mechanistic studies during priming, effector and recall phases of CTL responses. For example, tumor cell inoculation or antitumor vaccination can be conducted in genetically altered mice for the assessment of CTL induction. Moreover, splenocytes from gene knock-in and knock-out mice can be used as target cells during the effector phase. Finally, various agents (</w:t>
      </w:r>
      <w:r w:rsidRPr="00691382">
        <w:rPr>
          <w:rFonts w:asciiTheme="minorHAnsi" w:hAnsiTheme="minorHAnsi" w:cstheme="minorHAnsi"/>
          <w:color w:val="000000" w:themeColor="text1"/>
        </w:rPr>
        <w:t>e.g.,</w:t>
      </w:r>
      <w:r w:rsidRPr="007F69E4">
        <w:rPr>
          <w:rFonts w:asciiTheme="minorHAnsi" w:hAnsiTheme="minorHAnsi" w:cstheme="minorHAnsi"/>
          <w:color w:val="000000" w:themeColor="text1"/>
        </w:rPr>
        <w:t xml:space="preserve"> pharmacological inhibitors and drug candidates) can be administered before priming, during the effector phase, or both. Therefore,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provide a powerful platform for drug/vaccine efficacy testing in a truly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setting. In this body of work, we have provided examples of immunological interventions that boost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CTL responses (</w:t>
      </w:r>
      <w:r w:rsidRPr="00691382">
        <w:rPr>
          <w:rFonts w:asciiTheme="minorHAnsi" w:hAnsiTheme="minorHAnsi" w:cstheme="minorHAnsi"/>
          <w:b/>
          <w:color w:val="000000" w:themeColor="text1"/>
        </w:rPr>
        <w:t>Figure 1 and Figure 2</w:t>
      </w:r>
      <w:r w:rsidRPr="007F69E4">
        <w:rPr>
          <w:rFonts w:asciiTheme="minorHAnsi" w:hAnsiTheme="minorHAnsi" w:cstheme="minorHAnsi"/>
          <w:color w:val="000000" w:themeColor="text1"/>
        </w:rPr>
        <w:t>).</w:t>
      </w:r>
    </w:p>
    <w:p w14:paraId="37C7C5B1" w14:textId="77777777" w:rsidR="00016D51" w:rsidRPr="007F69E4" w:rsidRDefault="00016D51" w:rsidP="00655DD5">
      <w:pPr>
        <w:rPr>
          <w:rFonts w:asciiTheme="minorHAnsi" w:hAnsiTheme="minorHAnsi" w:cstheme="minorHAnsi"/>
          <w:color w:val="000000" w:themeColor="text1"/>
        </w:rPr>
      </w:pPr>
    </w:p>
    <w:p w14:paraId="05F7EF45" w14:textId="7F9F0214"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000000" w:themeColor="text1"/>
        </w:rPr>
        <w:t xml:space="preserve">Like other routinely used killing assays,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do not provide any direct information regarding the ability of CTLs to recycle from one target to another before they become exhausted. In addition, we have tested several tumor cell types as potential target cells in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albeit to no avail so far. This is simply because tumor cells do not reach the spleen at least in detectable numbers after they are injected </w:t>
      </w:r>
      <w:r w:rsidRPr="002E78C4">
        <w:rPr>
          <w:rFonts w:asciiTheme="minorHAnsi" w:hAnsiTheme="minorHAnsi" w:cstheme="minorHAnsi"/>
          <w:color w:val="000000" w:themeColor="text1"/>
        </w:rPr>
        <w:t xml:space="preserve">i.v. </w:t>
      </w:r>
      <w:r w:rsidRPr="007F69E4">
        <w:rPr>
          <w:rFonts w:asciiTheme="minorHAnsi" w:hAnsiTheme="minorHAnsi" w:cstheme="minorHAnsi"/>
          <w:color w:val="000000" w:themeColor="text1"/>
        </w:rPr>
        <w:t xml:space="preserve">Therefore, relying on mouse splenocytes as target cells may be considered an inherent limitation of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It is noteworthy, however, that adoptively transferred target splenocytes can be easily found in </w:t>
      </w:r>
      <w:r w:rsidR="00921602" w:rsidRPr="007F69E4">
        <w:rPr>
          <w:rFonts w:asciiTheme="minorHAnsi" w:hAnsiTheme="minorHAnsi" w:cstheme="minorHAnsi"/>
          <w:color w:val="000000" w:themeColor="text1"/>
        </w:rPr>
        <w:t xml:space="preserve">several other </w:t>
      </w:r>
      <w:r w:rsidRPr="007F69E4">
        <w:rPr>
          <w:rFonts w:asciiTheme="minorHAnsi" w:hAnsiTheme="minorHAnsi" w:cstheme="minorHAnsi"/>
          <w:color w:val="000000" w:themeColor="text1"/>
        </w:rPr>
        <w:t xml:space="preserve">organs </w:t>
      </w:r>
      <w:r w:rsidR="00921602" w:rsidRPr="007F69E4">
        <w:rPr>
          <w:rFonts w:asciiTheme="minorHAnsi" w:hAnsiTheme="minorHAnsi" w:cstheme="minorHAnsi"/>
          <w:color w:val="000000" w:themeColor="text1"/>
        </w:rPr>
        <w:t xml:space="preserve">(in addition to </w:t>
      </w:r>
      <w:r w:rsidRPr="007F69E4">
        <w:rPr>
          <w:rFonts w:asciiTheme="minorHAnsi" w:hAnsiTheme="minorHAnsi" w:cstheme="minorHAnsi"/>
          <w:color w:val="000000" w:themeColor="text1"/>
        </w:rPr>
        <w:t>the spleen</w:t>
      </w:r>
      <w:r w:rsidR="00921602" w:rsidRPr="007F69E4">
        <w:rPr>
          <w:rFonts w:asciiTheme="minorHAnsi" w:hAnsiTheme="minorHAnsi" w:cstheme="minorHAnsi"/>
          <w:color w:val="000000" w:themeColor="text1"/>
        </w:rPr>
        <w:t>)</w:t>
      </w:r>
      <w:r w:rsidRPr="007F69E4">
        <w:rPr>
          <w:rFonts w:asciiTheme="minorHAnsi" w:hAnsiTheme="minorHAnsi" w:cstheme="minorHAnsi"/>
          <w:color w:val="000000" w:themeColor="text1"/>
        </w:rPr>
        <w:t xml:space="preserve">, for instance in the liver. Therefore, Ag-specific CTL function can be assessed in multiple organs or tissues.          </w:t>
      </w:r>
    </w:p>
    <w:p w14:paraId="13A2E6FC" w14:textId="77777777" w:rsidR="00016D51" w:rsidRPr="007F69E4" w:rsidRDefault="00016D51" w:rsidP="00655DD5">
      <w:pPr>
        <w:rPr>
          <w:rFonts w:asciiTheme="minorHAnsi" w:hAnsiTheme="minorHAnsi" w:cstheme="minorHAnsi"/>
          <w:color w:val="000000" w:themeColor="text1"/>
        </w:rPr>
      </w:pPr>
    </w:p>
    <w:p w14:paraId="6B841EDF" w14:textId="1D2BE870"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000000" w:themeColor="text1"/>
        </w:rPr>
        <w:t xml:space="preserve">We have optimized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cytotoxicity assays for the examination of immunodominance in T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responses</w:t>
      </w:r>
      <w:r w:rsidRPr="007F69E4">
        <w:rPr>
          <w:rFonts w:asciiTheme="minorHAnsi" w:hAnsiTheme="minorHAnsi" w:cstheme="minorHAnsi"/>
          <w:noProof/>
          <w:vertAlign w:val="superscript"/>
        </w:rPr>
        <w:t>16,17</w:t>
      </w:r>
      <w:hyperlink w:anchor="_ENREF_16" w:tooltip="Memarnejadian, 2017 #44" w:history="1"/>
      <w:r w:rsidRPr="007F69E4">
        <w:rPr>
          <w:rFonts w:asciiTheme="minorHAnsi" w:hAnsiTheme="minorHAnsi" w:cstheme="minorHAnsi"/>
          <w:color w:val="000000" w:themeColor="text1"/>
        </w:rPr>
        <w:t>. Numerous tools and reagents are available for studying these responses in the contexts of antitumor immunity and therapy. The fibrosarcoma cell line used in the protocol described here (</w:t>
      </w:r>
      <w:r w:rsidRPr="0038021A">
        <w:rPr>
          <w:rFonts w:asciiTheme="minorHAnsi" w:hAnsiTheme="minorHAnsi" w:cstheme="minorHAnsi"/>
          <w:color w:val="000000" w:themeColor="text1"/>
        </w:rPr>
        <w:t>i.e.,</w:t>
      </w:r>
      <w:r w:rsidRPr="007F69E4">
        <w:rPr>
          <w:rFonts w:asciiTheme="minorHAnsi" w:hAnsiTheme="minorHAnsi" w:cstheme="minorHAnsi"/>
          <w:color w:val="000000" w:themeColor="text1"/>
        </w:rPr>
        <w:t xml:space="preserve"> C57SV cells) does not give rise to tumors in immunocompetent mice. Therefore, it is a useful tool in investigating antitumor vaccination. T Ag-driven neoplastic transformation in select tissues has generated several valuable models of autochthonous cancer. For example, SV11 mice that develop choroid plexus papillomas inside their brain ventricles</w:t>
      </w:r>
      <w:r w:rsidRPr="007F69E4">
        <w:rPr>
          <w:rFonts w:asciiTheme="minorHAnsi" w:hAnsiTheme="minorHAnsi" w:cstheme="minorHAnsi"/>
          <w:noProof/>
          <w:color w:val="000000" w:themeColor="text1"/>
          <w:vertAlign w:val="superscript"/>
        </w:rPr>
        <w:t>35</w:t>
      </w:r>
      <w:r w:rsidRPr="007F69E4">
        <w:rPr>
          <w:rFonts w:asciiTheme="minorHAnsi" w:hAnsiTheme="minorHAnsi" w:cstheme="minorHAnsi"/>
          <w:color w:val="000000" w:themeColor="text1"/>
        </w:rPr>
        <w:t xml:space="preserve"> do not harbor endogenous T Ag-specific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color w:val="000000" w:themeColor="text1"/>
        </w:rPr>
        <w:t xml:space="preserve"> because these cells are selected against and deleted in </w:t>
      </w:r>
      <w:r w:rsidRPr="007F69E4">
        <w:rPr>
          <w:rFonts w:asciiTheme="minorHAnsi" w:hAnsiTheme="minorHAnsi" w:cstheme="minorHAnsi"/>
          <w:color w:val="000000" w:themeColor="text1"/>
        </w:rPr>
        <w:lastRenderedPageBreak/>
        <w:t xml:space="preserve">the thymus. However, transferring C57BL/6 splenocytes into sublethally irradiated, tumor-bearing SV11 mice leads to extended control of the tumors, which is reportedly associated with </w:t>
      </w:r>
      <w:r w:rsidR="00164210" w:rsidRPr="00164210">
        <w:rPr>
          <w:rFonts w:asciiTheme="minorHAnsi" w:hAnsiTheme="minorHAnsi" w:cstheme="minorHAnsi"/>
          <w:color w:val="000000" w:themeColor="text1"/>
        </w:rPr>
        <w:t>in vivo</w:t>
      </w:r>
      <w:r w:rsidRPr="007F69E4">
        <w:rPr>
          <w:rFonts w:asciiTheme="minorHAnsi" w:hAnsiTheme="minorHAnsi" w:cstheme="minorHAnsi"/>
          <w:color w:val="000000" w:themeColor="text1"/>
        </w:rPr>
        <w:t xml:space="preserve"> priming of site IV-specific T</w:t>
      </w:r>
      <w:r w:rsidRPr="007F69E4">
        <w:rPr>
          <w:rFonts w:asciiTheme="minorHAnsi" w:hAnsiTheme="minorHAnsi" w:cstheme="minorHAnsi"/>
          <w:color w:val="000000" w:themeColor="text1"/>
          <w:vertAlign w:val="subscript"/>
        </w:rPr>
        <w:t>CD8</w:t>
      </w:r>
      <w:r w:rsidRPr="007F69E4">
        <w:rPr>
          <w:rFonts w:asciiTheme="minorHAnsi" w:hAnsiTheme="minorHAnsi" w:cstheme="minorHAnsi"/>
          <w:noProof/>
          <w:color w:val="000000" w:themeColor="text1"/>
          <w:vertAlign w:val="superscript"/>
        </w:rPr>
        <w:t>36,37</w:t>
      </w:r>
      <w:hyperlink w:anchor="_ENREF_37" w:tooltip="Schell, 2001 #48" w:history="1"/>
      <w:r w:rsidRPr="007F69E4">
        <w:rPr>
          <w:rFonts w:asciiTheme="minorHAnsi" w:hAnsiTheme="minorHAnsi" w:cstheme="minorHAnsi"/>
          <w:color w:val="000000" w:themeColor="text1"/>
        </w:rPr>
        <w:t xml:space="preserve">. </w:t>
      </w:r>
      <w:r w:rsidRPr="007F69E4">
        <w:rPr>
          <w:rFonts w:asciiTheme="minorHAnsi" w:hAnsiTheme="minorHAnsi" w:cstheme="minorHAnsi"/>
          <w:color w:val="auto"/>
        </w:rPr>
        <w:t>In the</w:t>
      </w:r>
      <w:r w:rsidRPr="007F69E4">
        <w:rPr>
          <w:rFonts w:asciiTheme="minorHAnsi" w:hAnsiTheme="minorHAnsi" w:cstheme="minorHAnsi"/>
          <w:color w:val="000000" w:themeColor="text1"/>
        </w:rPr>
        <w:t xml:space="preserve"> </w:t>
      </w:r>
      <w:r w:rsidRPr="007F69E4">
        <w:rPr>
          <w:rFonts w:asciiTheme="minorHAnsi" w:hAnsiTheme="minorHAnsi" w:cstheme="minorHAnsi"/>
          <w:color w:val="auto"/>
        </w:rPr>
        <w:t>transgenic adenocarcinoma of the mouse prostate (TRAMP) model</w:t>
      </w:r>
      <w:r w:rsidRPr="007F69E4">
        <w:rPr>
          <w:rFonts w:asciiTheme="minorHAnsi" w:hAnsiTheme="minorHAnsi" w:cstheme="minorHAnsi"/>
          <w:noProof/>
          <w:color w:val="auto"/>
          <w:vertAlign w:val="superscript"/>
        </w:rPr>
        <w:t>38</w:t>
      </w:r>
      <w:r w:rsidRPr="007F69E4">
        <w:rPr>
          <w:rFonts w:asciiTheme="minorHAnsi" w:hAnsiTheme="minorHAnsi" w:cstheme="minorHAnsi"/>
          <w:color w:val="auto"/>
        </w:rPr>
        <w:t>, the site IV-specific response dwindles away with progression of the malignancy. However, the otherwise immunorecessive site V-specific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w:t>
      </w:r>
      <w:r w:rsidR="00843E51">
        <w:rPr>
          <w:rFonts w:asciiTheme="minorHAnsi" w:hAnsiTheme="minorHAnsi" w:cstheme="minorHAnsi"/>
          <w:color w:val="auto"/>
        </w:rPr>
        <w:t xml:space="preserve">cells </w:t>
      </w:r>
      <w:r w:rsidRPr="007F69E4">
        <w:rPr>
          <w:rFonts w:asciiTheme="minorHAnsi" w:hAnsiTheme="minorHAnsi" w:cstheme="minorHAnsi"/>
          <w:color w:val="auto"/>
        </w:rPr>
        <w:t xml:space="preserve">escape negative selection in the thymus </w:t>
      </w:r>
      <w:proofErr w:type="gramStart"/>
      <w:r w:rsidRPr="007F69E4">
        <w:rPr>
          <w:rFonts w:asciiTheme="minorHAnsi" w:hAnsiTheme="minorHAnsi" w:cstheme="minorHAnsi"/>
          <w:color w:val="auto"/>
        </w:rPr>
        <w:t>and also</w:t>
      </w:r>
      <w:proofErr w:type="gramEnd"/>
      <w:r w:rsidRPr="007F69E4">
        <w:rPr>
          <w:rFonts w:asciiTheme="minorHAnsi" w:hAnsiTheme="minorHAnsi" w:cstheme="minorHAnsi"/>
          <w:color w:val="auto"/>
        </w:rPr>
        <w:t xml:space="preserve"> avoid peripheral tolerance mechanisms</w:t>
      </w:r>
      <w:r w:rsidRPr="007F69E4">
        <w:rPr>
          <w:rFonts w:asciiTheme="minorHAnsi" w:hAnsiTheme="minorHAnsi" w:cstheme="minorHAnsi"/>
          <w:noProof/>
          <w:color w:val="auto"/>
          <w:vertAlign w:val="superscript"/>
        </w:rPr>
        <w:t>21</w:t>
      </w:r>
      <w:r w:rsidRPr="007F69E4">
        <w:rPr>
          <w:rFonts w:asciiTheme="minorHAnsi" w:hAnsiTheme="minorHAnsi" w:cstheme="minorHAnsi"/>
          <w:color w:val="auto"/>
        </w:rPr>
        <w:t>. This provides ample opportunities</w:t>
      </w:r>
      <w:r w:rsidRPr="007F69E4">
        <w:rPr>
          <w:rFonts w:asciiTheme="minorHAnsi" w:hAnsiTheme="minorHAnsi" w:cstheme="minorHAnsi"/>
          <w:color w:val="000000" w:themeColor="text1"/>
        </w:rPr>
        <w:t xml:space="preserve"> </w:t>
      </w:r>
      <w:r w:rsidRPr="007F69E4">
        <w:rPr>
          <w:rFonts w:asciiTheme="minorHAnsi" w:hAnsiTheme="minorHAnsi" w:cstheme="minorHAnsi"/>
          <w:color w:val="auto"/>
        </w:rPr>
        <w:t>for experimental therapeutic interventions revolving around site V-specific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functions. </w:t>
      </w:r>
      <w:r w:rsidR="00164210" w:rsidRPr="00164210">
        <w:rPr>
          <w:rFonts w:asciiTheme="minorHAnsi" w:hAnsiTheme="minorHAnsi" w:cstheme="minorHAnsi"/>
          <w:color w:val="auto"/>
        </w:rPr>
        <w:t>In vivo</w:t>
      </w:r>
      <w:r w:rsidRPr="007F69E4">
        <w:rPr>
          <w:rFonts w:asciiTheme="minorHAnsi" w:hAnsiTheme="minorHAnsi" w:cstheme="minorHAnsi"/>
          <w:color w:val="auto"/>
        </w:rPr>
        <w:t xml:space="preserve"> cytotoxicity assays should prove informative in studying and potentially reversing immunological tolerance in various model systems, including in the T Ag recognition model.</w:t>
      </w:r>
    </w:p>
    <w:p w14:paraId="46A13C3C" w14:textId="77777777" w:rsidR="00016D51" w:rsidRPr="007F69E4" w:rsidRDefault="00016D51" w:rsidP="00655DD5">
      <w:pPr>
        <w:rPr>
          <w:rFonts w:asciiTheme="minorHAnsi" w:hAnsiTheme="minorHAnsi" w:cstheme="minorHAnsi"/>
          <w:color w:val="auto"/>
        </w:rPr>
      </w:pPr>
    </w:p>
    <w:p w14:paraId="3290A0F1" w14:textId="1B78021A" w:rsidR="00016D51" w:rsidRPr="007F69E4" w:rsidRDefault="00016D51" w:rsidP="00655DD5">
      <w:pPr>
        <w:rPr>
          <w:rFonts w:asciiTheme="minorHAnsi" w:hAnsiTheme="minorHAnsi" w:cstheme="minorHAnsi"/>
          <w:color w:val="000000" w:themeColor="text1"/>
        </w:rPr>
      </w:pPr>
      <w:r w:rsidRPr="007F69E4">
        <w:rPr>
          <w:rFonts w:asciiTheme="minorHAnsi" w:hAnsiTheme="minorHAnsi" w:cstheme="minorHAnsi"/>
          <w:color w:val="auto"/>
        </w:rPr>
        <w:t>Immunodominance is a consistent feature of T</w:t>
      </w:r>
      <w:r w:rsidRPr="007F69E4">
        <w:rPr>
          <w:rFonts w:asciiTheme="minorHAnsi" w:hAnsiTheme="minorHAnsi" w:cstheme="minorHAnsi"/>
          <w:color w:val="auto"/>
          <w:vertAlign w:val="subscript"/>
        </w:rPr>
        <w:t xml:space="preserve">CD8 </w:t>
      </w:r>
      <w:r w:rsidRPr="007F69E4">
        <w:rPr>
          <w:rFonts w:asciiTheme="minorHAnsi" w:hAnsiTheme="minorHAnsi" w:cstheme="minorHAnsi"/>
          <w:color w:val="auto"/>
        </w:rPr>
        <w:t xml:space="preserve">responses generated not only against tumor Ags but also towards pathogen-derived epitopes. In fact, we have previously used </w:t>
      </w:r>
      <w:r w:rsidR="00164210" w:rsidRPr="00164210">
        <w:rPr>
          <w:rFonts w:asciiTheme="minorHAnsi" w:hAnsiTheme="minorHAnsi" w:cstheme="minorHAnsi"/>
          <w:color w:val="auto"/>
        </w:rPr>
        <w:t>in vivo</w:t>
      </w:r>
      <w:r w:rsidRPr="007F69E4">
        <w:rPr>
          <w:rFonts w:asciiTheme="minorHAnsi" w:hAnsiTheme="minorHAnsi" w:cstheme="minorHAnsi"/>
          <w:color w:val="auto"/>
        </w:rPr>
        <w:t xml:space="preserve"> cytotoxicity assays to study immunodominance in anti-influenza T</w:t>
      </w:r>
      <w:r w:rsidRPr="007F69E4">
        <w:rPr>
          <w:rFonts w:asciiTheme="minorHAnsi" w:hAnsiTheme="minorHAnsi" w:cstheme="minorHAnsi"/>
          <w:color w:val="auto"/>
          <w:vertAlign w:val="subscript"/>
        </w:rPr>
        <w:t>CD8</w:t>
      </w:r>
      <w:r w:rsidRPr="007F69E4">
        <w:rPr>
          <w:rFonts w:asciiTheme="minorHAnsi" w:hAnsiTheme="minorHAnsi" w:cstheme="minorHAnsi"/>
          <w:color w:val="auto"/>
        </w:rPr>
        <w:t xml:space="preserve"> responses</w:t>
      </w:r>
      <w:r w:rsidRPr="007F69E4">
        <w:rPr>
          <w:rFonts w:asciiTheme="minorHAnsi" w:hAnsiTheme="minorHAnsi" w:cstheme="minorHAnsi"/>
          <w:noProof/>
          <w:color w:val="auto"/>
          <w:vertAlign w:val="superscript"/>
        </w:rPr>
        <w:t>12</w:t>
      </w:r>
      <w:r w:rsidRPr="007F69E4">
        <w:rPr>
          <w:rFonts w:asciiTheme="minorHAnsi" w:hAnsiTheme="minorHAnsi" w:cstheme="minorHAnsi"/>
          <w:color w:val="auto"/>
        </w:rPr>
        <w:t xml:space="preserve">. Therefore, the optimized assay described in this protocol can be modified and used in a broad range of immunological applications.                 </w:t>
      </w:r>
    </w:p>
    <w:p w14:paraId="644149B6" w14:textId="77777777" w:rsidR="00527529" w:rsidRPr="007F69E4" w:rsidRDefault="00527529" w:rsidP="00655DD5">
      <w:pPr>
        <w:pStyle w:val="NormalWeb"/>
        <w:spacing w:before="0" w:beforeAutospacing="0" w:after="0" w:afterAutospacing="0"/>
        <w:rPr>
          <w:rFonts w:asciiTheme="minorHAnsi" w:hAnsiTheme="minorHAnsi" w:cstheme="minorHAnsi"/>
          <w:b/>
          <w:bCs/>
        </w:rPr>
      </w:pPr>
    </w:p>
    <w:p w14:paraId="15EA7ACB" w14:textId="77777777" w:rsidR="00016D51" w:rsidRPr="007F69E4" w:rsidRDefault="00016D51" w:rsidP="00655DD5">
      <w:pPr>
        <w:pStyle w:val="NormalWeb"/>
        <w:spacing w:before="0" w:beforeAutospacing="0" w:after="0" w:afterAutospacing="0"/>
        <w:rPr>
          <w:rFonts w:asciiTheme="minorHAnsi" w:hAnsiTheme="minorHAnsi" w:cstheme="minorHAnsi"/>
          <w:color w:val="808080"/>
        </w:rPr>
      </w:pPr>
      <w:r w:rsidRPr="007F69E4">
        <w:rPr>
          <w:rFonts w:asciiTheme="minorHAnsi" w:hAnsiTheme="minorHAnsi" w:cstheme="minorHAnsi"/>
          <w:b/>
          <w:bCs/>
        </w:rPr>
        <w:t xml:space="preserve">ACKNOWLEDGMENTS: </w:t>
      </w:r>
    </w:p>
    <w:p w14:paraId="3985125C" w14:textId="77080C46"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auto"/>
        </w:rPr>
        <w:t xml:space="preserve">This work </w:t>
      </w:r>
      <w:r w:rsidR="005D6D2F" w:rsidRPr="007F69E4">
        <w:rPr>
          <w:rFonts w:asciiTheme="minorHAnsi" w:hAnsiTheme="minorHAnsi" w:cstheme="minorHAnsi"/>
          <w:color w:val="auto"/>
        </w:rPr>
        <w:t>was</w:t>
      </w:r>
      <w:r w:rsidRPr="007F69E4">
        <w:rPr>
          <w:rFonts w:asciiTheme="minorHAnsi" w:hAnsiTheme="minorHAnsi" w:cstheme="minorHAnsi"/>
          <w:color w:val="auto"/>
        </w:rPr>
        <w:t xml:space="preserve"> supported by Canadian Institutes of Health Research (CIHR) grants MOP-130465 and PJT-156295 to SMMH. JC is partially supported by a Queen Elizabeth II Graduate Scholarship in Science and Technology from the Ontario Ministry of Training, Colleges and Universities. CEM was a recipient of an Alexander Graham Bell Canada Graduate Scholarship (doctoral) from Natural Sciences and Engineering Research Council of Canada (NSERC). </w:t>
      </w:r>
    </w:p>
    <w:p w14:paraId="411E282B" w14:textId="77777777" w:rsidR="00016D51" w:rsidRPr="007F69E4" w:rsidRDefault="00016D51" w:rsidP="00655DD5">
      <w:pPr>
        <w:rPr>
          <w:rFonts w:asciiTheme="minorHAnsi" w:hAnsiTheme="minorHAnsi" w:cstheme="minorHAnsi"/>
          <w:b/>
          <w:bCs/>
        </w:rPr>
      </w:pPr>
    </w:p>
    <w:p w14:paraId="07396CEB" w14:textId="39618A12" w:rsidR="00016D51" w:rsidRPr="007F69E4" w:rsidRDefault="00016D51" w:rsidP="006F2FBF">
      <w:pPr>
        <w:pStyle w:val="NormalWeb"/>
        <w:spacing w:before="0" w:beforeAutospacing="0" w:after="0" w:afterAutospacing="0"/>
        <w:rPr>
          <w:rFonts w:asciiTheme="minorHAnsi" w:hAnsiTheme="minorHAnsi" w:cstheme="minorHAnsi"/>
          <w:color w:val="808080" w:themeColor="background1" w:themeShade="80"/>
        </w:rPr>
      </w:pPr>
      <w:r w:rsidRPr="007F69E4">
        <w:rPr>
          <w:rFonts w:asciiTheme="minorHAnsi" w:hAnsiTheme="minorHAnsi" w:cstheme="minorHAnsi"/>
          <w:b/>
        </w:rPr>
        <w:t>DISCLOSURES</w:t>
      </w:r>
      <w:r w:rsidRPr="007F69E4">
        <w:rPr>
          <w:rFonts w:asciiTheme="minorHAnsi" w:hAnsiTheme="minorHAnsi" w:cstheme="minorHAnsi"/>
          <w:b/>
          <w:bCs/>
        </w:rPr>
        <w:t xml:space="preserve">: </w:t>
      </w:r>
    </w:p>
    <w:p w14:paraId="4114281F" w14:textId="77777777" w:rsidR="00016D51" w:rsidRPr="007F69E4" w:rsidRDefault="00016D51" w:rsidP="00655DD5">
      <w:pPr>
        <w:rPr>
          <w:rFonts w:asciiTheme="minorHAnsi" w:hAnsiTheme="minorHAnsi" w:cstheme="minorHAnsi"/>
          <w:color w:val="auto"/>
        </w:rPr>
      </w:pPr>
      <w:r w:rsidRPr="007F69E4">
        <w:rPr>
          <w:rFonts w:asciiTheme="minorHAnsi" w:hAnsiTheme="minorHAnsi" w:cstheme="minorHAnsi"/>
          <w:color w:val="auto"/>
        </w:rPr>
        <w:t>The authors have nothing to disclose.</w:t>
      </w:r>
    </w:p>
    <w:p w14:paraId="3D54024E" w14:textId="77777777" w:rsidR="00016D51" w:rsidRPr="007F69E4" w:rsidRDefault="00016D51" w:rsidP="00655DD5">
      <w:pPr>
        <w:rPr>
          <w:rFonts w:asciiTheme="minorHAnsi" w:hAnsiTheme="minorHAnsi" w:cstheme="minorHAnsi"/>
          <w:b/>
          <w:bCs/>
        </w:rPr>
      </w:pPr>
    </w:p>
    <w:p w14:paraId="5AE94A65" w14:textId="77777777" w:rsidR="00016D51" w:rsidRPr="007F69E4" w:rsidRDefault="00016D51" w:rsidP="00655DD5">
      <w:pPr>
        <w:rPr>
          <w:rFonts w:asciiTheme="minorHAnsi" w:hAnsiTheme="minorHAnsi" w:cstheme="minorHAnsi"/>
          <w:b/>
          <w:color w:val="000000" w:themeColor="text1"/>
        </w:rPr>
      </w:pPr>
      <w:r w:rsidRPr="007F69E4">
        <w:rPr>
          <w:rFonts w:asciiTheme="minorHAnsi" w:hAnsiTheme="minorHAnsi" w:cstheme="minorHAnsi"/>
          <w:b/>
          <w:bCs/>
        </w:rPr>
        <w:t>REFERENCES:</w:t>
      </w:r>
      <w:r w:rsidRPr="007F69E4">
        <w:rPr>
          <w:rFonts w:asciiTheme="minorHAnsi" w:hAnsiTheme="minorHAnsi" w:cstheme="minorHAnsi"/>
        </w:rPr>
        <w:t xml:space="preserve"> </w:t>
      </w:r>
    </w:p>
    <w:p w14:paraId="38D3B94F" w14:textId="4D3EF880" w:rsidR="00016D51" w:rsidRPr="007F69E4" w:rsidRDefault="00016D51" w:rsidP="00655DD5">
      <w:pPr>
        <w:pStyle w:val="EndNoteBibliography"/>
        <w:rPr>
          <w:rFonts w:asciiTheme="minorHAnsi" w:hAnsiTheme="minorHAnsi" w:cstheme="minorHAnsi"/>
        </w:rPr>
      </w:pPr>
      <w:bookmarkStart w:id="13" w:name="_ENREF_1"/>
      <w:r w:rsidRPr="007F69E4">
        <w:rPr>
          <w:rFonts w:asciiTheme="minorHAnsi" w:hAnsiTheme="minorHAnsi" w:cstheme="minorHAnsi"/>
        </w:rPr>
        <w:t>1</w:t>
      </w:r>
      <w:r w:rsidRPr="007F69E4">
        <w:rPr>
          <w:rFonts w:asciiTheme="minorHAnsi" w:hAnsiTheme="minorHAnsi" w:cstheme="minorHAnsi"/>
        </w:rPr>
        <w:tab/>
        <w:t>Yewdell, J. W.</w:t>
      </w:r>
      <w:r w:rsidR="00AE7EFA">
        <w:rPr>
          <w:rFonts w:asciiTheme="minorHAnsi" w:hAnsiTheme="minorHAnsi" w:cstheme="minorHAnsi"/>
        </w:rPr>
        <w:t>,</w:t>
      </w:r>
      <w:r w:rsidRPr="007F69E4">
        <w:rPr>
          <w:rFonts w:asciiTheme="minorHAnsi" w:hAnsiTheme="minorHAnsi" w:cstheme="minorHAnsi"/>
        </w:rPr>
        <w:t xml:space="preserve"> Bennink, J. R. Immunodominance in major histocompatibility complex class I-restricted T lymphocyte responses. </w:t>
      </w:r>
      <w:r w:rsidRPr="007F69E4">
        <w:rPr>
          <w:rFonts w:asciiTheme="minorHAnsi" w:hAnsiTheme="minorHAnsi" w:cstheme="minorHAnsi"/>
          <w:i/>
        </w:rPr>
        <w:t>Annu</w:t>
      </w:r>
      <w:r w:rsidR="00D11C7E" w:rsidRPr="007F69E4">
        <w:rPr>
          <w:rFonts w:asciiTheme="minorHAnsi" w:hAnsiTheme="minorHAnsi" w:cstheme="minorHAnsi"/>
          <w:i/>
        </w:rPr>
        <w:t>al</w:t>
      </w:r>
      <w:r w:rsidRPr="007F69E4">
        <w:rPr>
          <w:rFonts w:asciiTheme="minorHAnsi" w:hAnsiTheme="minorHAnsi" w:cstheme="minorHAnsi"/>
          <w:i/>
        </w:rPr>
        <w:t xml:space="preserve"> Rev</w:t>
      </w:r>
      <w:r w:rsidR="00D11C7E" w:rsidRPr="007F69E4">
        <w:rPr>
          <w:rFonts w:asciiTheme="minorHAnsi" w:hAnsiTheme="minorHAnsi" w:cstheme="minorHAnsi"/>
          <w:i/>
        </w:rPr>
        <w:t>iew of</w:t>
      </w:r>
      <w:r w:rsidRPr="007F69E4">
        <w:rPr>
          <w:rFonts w:asciiTheme="minorHAnsi" w:hAnsiTheme="minorHAnsi" w:cstheme="minorHAnsi"/>
          <w:i/>
        </w:rPr>
        <w:t xml:space="preserve"> Immunol</w:t>
      </w:r>
      <w:r w:rsidR="00D11C7E"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w:t>
      </w:r>
      <w:r w:rsidR="00AE7EFA" w:rsidRPr="007F69E4">
        <w:rPr>
          <w:rFonts w:asciiTheme="minorHAnsi" w:hAnsiTheme="minorHAnsi" w:cstheme="minorHAnsi"/>
        </w:rPr>
        <w:t>,</w:t>
      </w:r>
      <w:r w:rsidRPr="007F69E4">
        <w:rPr>
          <w:rFonts w:asciiTheme="minorHAnsi" w:hAnsiTheme="minorHAnsi" w:cstheme="minorHAnsi"/>
        </w:rPr>
        <w:t xml:space="preserve"> 51-88 (1999).</w:t>
      </w:r>
      <w:bookmarkEnd w:id="13"/>
    </w:p>
    <w:p w14:paraId="2D78E624" w14:textId="7CC75B16" w:rsidR="00016D51" w:rsidRPr="007F69E4" w:rsidRDefault="00016D51" w:rsidP="00655DD5">
      <w:pPr>
        <w:pStyle w:val="EndNoteBibliography"/>
        <w:rPr>
          <w:rFonts w:asciiTheme="minorHAnsi" w:hAnsiTheme="minorHAnsi" w:cstheme="minorHAnsi"/>
        </w:rPr>
      </w:pPr>
      <w:bookmarkStart w:id="14" w:name="_ENREF_2"/>
      <w:r w:rsidRPr="007F69E4">
        <w:rPr>
          <w:rFonts w:asciiTheme="minorHAnsi" w:hAnsiTheme="minorHAnsi" w:cstheme="minorHAnsi"/>
        </w:rPr>
        <w:t>2</w:t>
      </w:r>
      <w:r w:rsidRPr="007F69E4">
        <w:rPr>
          <w:rFonts w:asciiTheme="minorHAnsi" w:hAnsiTheme="minorHAnsi" w:cstheme="minorHAnsi"/>
        </w:rPr>
        <w:tab/>
        <w:t>Chen, W.</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Reversal in the immunodominance hierarchy in secondary CD8+ T cell responses to influenza A virus: roles for cross-presentation and lysis-independent immunodomination. </w:t>
      </w:r>
      <w:r w:rsidR="009048B5" w:rsidRPr="007F69E4">
        <w:rPr>
          <w:rFonts w:asciiTheme="minorHAnsi" w:hAnsiTheme="minorHAnsi" w:cstheme="minorHAnsi"/>
          <w:i/>
        </w:rPr>
        <w:t xml:space="preserve">The </w:t>
      </w:r>
      <w:r w:rsidRPr="007F69E4">
        <w:rPr>
          <w:rFonts w:asciiTheme="minorHAnsi" w:hAnsiTheme="minorHAnsi" w:cstheme="minorHAnsi"/>
          <w:i/>
        </w:rPr>
        <w:t>J</w:t>
      </w:r>
      <w:r w:rsidR="00FC625D" w:rsidRPr="007F69E4">
        <w:rPr>
          <w:rFonts w:asciiTheme="minorHAnsi" w:hAnsiTheme="minorHAnsi" w:cstheme="minorHAnsi"/>
          <w:i/>
        </w:rPr>
        <w:t>ournal of</w:t>
      </w:r>
      <w:r w:rsidRPr="007F69E4">
        <w:rPr>
          <w:rFonts w:asciiTheme="minorHAnsi" w:hAnsiTheme="minorHAnsi" w:cstheme="minorHAnsi"/>
          <w:i/>
        </w:rPr>
        <w:t xml:space="preserve"> Immunol</w:t>
      </w:r>
      <w:r w:rsidR="00FC625D"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173</w:t>
      </w:r>
      <w:r w:rsidRPr="007F69E4">
        <w:rPr>
          <w:rFonts w:asciiTheme="minorHAnsi" w:hAnsiTheme="minorHAnsi" w:cstheme="minorHAnsi"/>
        </w:rPr>
        <w:t xml:space="preserve"> (8), 5021-5027 (2004).</w:t>
      </w:r>
      <w:bookmarkEnd w:id="14"/>
    </w:p>
    <w:p w14:paraId="1221AFC6" w14:textId="387412F7" w:rsidR="00016D51" w:rsidRPr="007F69E4" w:rsidRDefault="00016D51" w:rsidP="00655DD5">
      <w:pPr>
        <w:pStyle w:val="EndNoteBibliography"/>
        <w:rPr>
          <w:rFonts w:asciiTheme="minorHAnsi" w:hAnsiTheme="minorHAnsi" w:cstheme="minorHAnsi"/>
        </w:rPr>
      </w:pPr>
      <w:bookmarkStart w:id="15" w:name="_ENREF_3"/>
      <w:r w:rsidRPr="007F69E4">
        <w:rPr>
          <w:rFonts w:asciiTheme="minorHAnsi" w:hAnsiTheme="minorHAnsi" w:cstheme="minorHAnsi"/>
        </w:rPr>
        <w:t>3</w:t>
      </w:r>
      <w:r w:rsidRPr="007F69E4">
        <w:rPr>
          <w:rFonts w:asciiTheme="minorHAnsi" w:hAnsiTheme="minorHAnsi" w:cstheme="minorHAnsi"/>
        </w:rPr>
        <w:tab/>
        <w:t>Otahal, P.</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Inefficient cross-presentation limits the CD8+ T cell response to a subdominant tumor antigen epitope. </w:t>
      </w:r>
      <w:r w:rsidR="000C3659" w:rsidRPr="007F69E4">
        <w:rPr>
          <w:rFonts w:asciiTheme="minorHAnsi" w:hAnsiTheme="minorHAnsi" w:cstheme="minorHAnsi"/>
          <w:i/>
        </w:rPr>
        <w:t xml:space="preserve">The </w:t>
      </w:r>
      <w:r w:rsidRPr="007F69E4">
        <w:rPr>
          <w:rFonts w:asciiTheme="minorHAnsi" w:hAnsiTheme="minorHAnsi" w:cstheme="minorHAnsi"/>
          <w:i/>
        </w:rPr>
        <w:t>J</w:t>
      </w:r>
      <w:r w:rsidR="0078747F" w:rsidRPr="007F69E4">
        <w:rPr>
          <w:rFonts w:asciiTheme="minorHAnsi" w:hAnsiTheme="minorHAnsi" w:cstheme="minorHAnsi"/>
          <w:i/>
        </w:rPr>
        <w:t>ournal</w:t>
      </w:r>
      <w:r w:rsidRPr="007F69E4">
        <w:rPr>
          <w:rFonts w:asciiTheme="minorHAnsi" w:hAnsiTheme="minorHAnsi" w:cstheme="minorHAnsi"/>
          <w:i/>
        </w:rPr>
        <w:t xml:space="preserve"> </w:t>
      </w:r>
      <w:r w:rsidR="0078747F" w:rsidRPr="007F69E4">
        <w:rPr>
          <w:rFonts w:asciiTheme="minorHAnsi" w:hAnsiTheme="minorHAnsi" w:cstheme="minorHAnsi"/>
          <w:i/>
        </w:rPr>
        <w:t xml:space="preserve">of </w:t>
      </w:r>
      <w:r w:rsidRPr="007F69E4">
        <w:rPr>
          <w:rFonts w:asciiTheme="minorHAnsi" w:hAnsiTheme="minorHAnsi" w:cstheme="minorHAnsi"/>
          <w:i/>
        </w:rPr>
        <w:t>Immunol</w:t>
      </w:r>
      <w:r w:rsidR="0078747F"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175</w:t>
      </w:r>
      <w:r w:rsidRPr="007F69E4">
        <w:rPr>
          <w:rFonts w:asciiTheme="minorHAnsi" w:hAnsiTheme="minorHAnsi" w:cstheme="minorHAnsi"/>
        </w:rPr>
        <w:t xml:space="preserve"> (2), 700-712 (2005).</w:t>
      </w:r>
      <w:bookmarkEnd w:id="15"/>
    </w:p>
    <w:p w14:paraId="3160F75A" w14:textId="0DCA8D75" w:rsidR="00016D51" w:rsidRPr="007F69E4" w:rsidRDefault="00016D51" w:rsidP="00655DD5">
      <w:pPr>
        <w:pStyle w:val="EndNoteBibliography"/>
        <w:rPr>
          <w:rFonts w:asciiTheme="minorHAnsi" w:hAnsiTheme="minorHAnsi" w:cstheme="minorHAnsi"/>
        </w:rPr>
      </w:pPr>
      <w:bookmarkStart w:id="16" w:name="_ENREF_4"/>
      <w:r w:rsidRPr="007F69E4">
        <w:rPr>
          <w:rFonts w:asciiTheme="minorHAnsi" w:hAnsiTheme="minorHAnsi" w:cstheme="minorHAnsi"/>
        </w:rPr>
        <w:t>4</w:t>
      </w:r>
      <w:r w:rsidRPr="007F69E4">
        <w:rPr>
          <w:rFonts w:asciiTheme="minorHAnsi" w:hAnsiTheme="minorHAnsi" w:cstheme="minorHAnsi"/>
        </w:rPr>
        <w:tab/>
        <w:t>Lauron, E. J.</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Cross-priming induces immunodomination in the presence of viral MHC class I inhibition. </w:t>
      </w:r>
      <w:r w:rsidRPr="007F69E4">
        <w:rPr>
          <w:rFonts w:asciiTheme="minorHAnsi" w:hAnsiTheme="minorHAnsi" w:cstheme="minorHAnsi"/>
          <w:i/>
        </w:rPr>
        <w:t>PLoS Pathog</w:t>
      </w:r>
      <w:r w:rsidR="0078747F" w:rsidRPr="007F69E4">
        <w:rPr>
          <w:rFonts w:asciiTheme="minorHAnsi" w:hAnsiTheme="minorHAnsi" w:cstheme="minorHAnsi"/>
          <w:i/>
        </w:rPr>
        <w:t>ens</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14</w:t>
      </w:r>
      <w:r w:rsidRPr="007F69E4">
        <w:rPr>
          <w:rFonts w:asciiTheme="minorHAnsi" w:hAnsiTheme="minorHAnsi" w:cstheme="minorHAnsi"/>
        </w:rPr>
        <w:t xml:space="preserve"> (2), e1006883 (2018).</w:t>
      </w:r>
      <w:bookmarkEnd w:id="16"/>
    </w:p>
    <w:p w14:paraId="6FFE08EA" w14:textId="331BFF4F" w:rsidR="00016D51" w:rsidRPr="007F69E4" w:rsidRDefault="00016D51" w:rsidP="00655DD5">
      <w:pPr>
        <w:pStyle w:val="EndNoteBibliography"/>
        <w:rPr>
          <w:rFonts w:asciiTheme="minorHAnsi" w:hAnsiTheme="minorHAnsi" w:cstheme="minorHAnsi"/>
        </w:rPr>
      </w:pPr>
      <w:bookmarkStart w:id="17" w:name="_ENREF_5"/>
      <w:r w:rsidRPr="007F69E4">
        <w:rPr>
          <w:rFonts w:asciiTheme="minorHAnsi" w:hAnsiTheme="minorHAnsi" w:cstheme="minorHAnsi"/>
        </w:rPr>
        <w:t>5</w:t>
      </w:r>
      <w:r w:rsidRPr="007F69E4">
        <w:rPr>
          <w:rFonts w:asciiTheme="minorHAnsi" w:hAnsiTheme="minorHAnsi" w:cstheme="minorHAnsi"/>
        </w:rPr>
        <w:tab/>
        <w:t>Crowe, S. R.</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Differential antigen presentation regulates the changing patterns of CD8+ T cell immunodominance in primary and secondary influenza virus infections. </w:t>
      </w:r>
      <w:r w:rsidR="00CF0AB5" w:rsidRPr="007F69E4">
        <w:rPr>
          <w:rFonts w:asciiTheme="minorHAnsi" w:hAnsiTheme="minorHAnsi" w:cstheme="minorHAnsi"/>
          <w:i/>
        </w:rPr>
        <w:t xml:space="preserve">The </w:t>
      </w:r>
      <w:r w:rsidRPr="007F69E4">
        <w:rPr>
          <w:rFonts w:asciiTheme="minorHAnsi" w:hAnsiTheme="minorHAnsi" w:cstheme="minorHAnsi"/>
          <w:i/>
        </w:rPr>
        <w:t>J</w:t>
      </w:r>
      <w:r w:rsidR="00170D71" w:rsidRPr="007F69E4">
        <w:rPr>
          <w:rFonts w:asciiTheme="minorHAnsi" w:hAnsiTheme="minorHAnsi" w:cstheme="minorHAnsi"/>
          <w:i/>
        </w:rPr>
        <w:t>ournal of</w:t>
      </w:r>
      <w:r w:rsidRPr="007F69E4">
        <w:rPr>
          <w:rFonts w:asciiTheme="minorHAnsi" w:hAnsiTheme="minorHAnsi" w:cstheme="minorHAnsi"/>
          <w:i/>
        </w:rPr>
        <w:t xml:space="preserve"> Exp</w:t>
      </w:r>
      <w:r w:rsidR="00170D71" w:rsidRPr="007F69E4">
        <w:rPr>
          <w:rFonts w:asciiTheme="minorHAnsi" w:hAnsiTheme="minorHAnsi" w:cstheme="minorHAnsi"/>
          <w:i/>
        </w:rPr>
        <w:t>erimental</w:t>
      </w:r>
      <w:r w:rsidRPr="007F69E4">
        <w:rPr>
          <w:rFonts w:asciiTheme="minorHAnsi" w:hAnsiTheme="minorHAnsi" w:cstheme="minorHAnsi"/>
          <w:i/>
        </w:rPr>
        <w:t xml:space="preserve"> Med</w:t>
      </w:r>
      <w:r w:rsidR="00170D71" w:rsidRPr="007F69E4">
        <w:rPr>
          <w:rFonts w:asciiTheme="minorHAnsi" w:hAnsiTheme="minorHAnsi" w:cstheme="minorHAnsi"/>
          <w:i/>
        </w:rPr>
        <w:t>icine</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198</w:t>
      </w:r>
      <w:r w:rsidRPr="007F69E4">
        <w:rPr>
          <w:rFonts w:asciiTheme="minorHAnsi" w:hAnsiTheme="minorHAnsi" w:cstheme="minorHAnsi"/>
        </w:rPr>
        <w:t xml:space="preserve"> (3), 399-410 (2003).</w:t>
      </w:r>
      <w:bookmarkEnd w:id="17"/>
    </w:p>
    <w:p w14:paraId="7FA8F54F" w14:textId="4C58A52D" w:rsidR="00016D51" w:rsidRPr="007F69E4" w:rsidRDefault="00016D51" w:rsidP="00655DD5">
      <w:pPr>
        <w:pStyle w:val="EndNoteBibliography"/>
        <w:rPr>
          <w:rFonts w:asciiTheme="minorHAnsi" w:hAnsiTheme="minorHAnsi" w:cstheme="minorHAnsi"/>
        </w:rPr>
      </w:pPr>
      <w:bookmarkStart w:id="18" w:name="_ENREF_6"/>
      <w:r w:rsidRPr="007F69E4">
        <w:rPr>
          <w:rFonts w:asciiTheme="minorHAnsi" w:hAnsiTheme="minorHAnsi" w:cstheme="minorHAnsi"/>
        </w:rPr>
        <w:t>6</w:t>
      </w:r>
      <w:r w:rsidRPr="007F69E4">
        <w:rPr>
          <w:rFonts w:asciiTheme="minorHAnsi" w:hAnsiTheme="minorHAnsi" w:cstheme="minorHAnsi"/>
        </w:rPr>
        <w:tab/>
        <w:t>Probst, H. C.</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Immunodominance of an antiviral cytotoxic T cell response is shaped by the kinetics of viral protein expression. </w:t>
      </w:r>
      <w:r w:rsidR="00CF0AB5" w:rsidRPr="007F69E4">
        <w:rPr>
          <w:rFonts w:asciiTheme="minorHAnsi" w:hAnsiTheme="minorHAnsi" w:cstheme="minorHAnsi"/>
          <w:i/>
        </w:rPr>
        <w:t xml:space="preserve">The </w:t>
      </w:r>
      <w:r w:rsidRPr="007F69E4">
        <w:rPr>
          <w:rFonts w:asciiTheme="minorHAnsi" w:hAnsiTheme="minorHAnsi" w:cstheme="minorHAnsi"/>
          <w:i/>
        </w:rPr>
        <w:t>J</w:t>
      </w:r>
      <w:r w:rsidR="00170D71" w:rsidRPr="007F69E4">
        <w:rPr>
          <w:rFonts w:asciiTheme="minorHAnsi" w:hAnsiTheme="minorHAnsi" w:cstheme="minorHAnsi"/>
          <w:i/>
        </w:rPr>
        <w:t>ournal of</w:t>
      </w:r>
      <w:r w:rsidRPr="007F69E4">
        <w:rPr>
          <w:rFonts w:asciiTheme="minorHAnsi" w:hAnsiTheme="minorHAnsi" w:cstheme="minorHAnsi"/>
          <w:i/>
        </w:rPr>
        <w:t xml:space="preserve"> Immunol</w:t>
      </w:r>
      <w:r w:rsidR="00170D71"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171</w:t>
      </w:r>
      <w:r w:rsidRPr="007F69E4">
        <w:rPr>
          <w:rFonts w:asciiTheme="minorHAnsi" w:hAnsiTheme="minorHAnsi" w:cstheme="minorHAnsi"/>
        </w:rPr>
        <w:t xml:space="preserve"> (10), 5415-5422 (2003).</w:t>
      </w:r>
      <w:bookmarkEnd w:id="18"/>
    </w:p>
    <w:p w14:paraId="0FD7E518" w14:textId="4962F1CF" w:rsidR="00016D51" w:rsidRPr="007F69E4" w:rsidRDefault="00016D51" w:rsidP="00655DD5">
      <w:pPr>
        <w:pStyle w:val="EndNoteBibliography"/>
        <w:rPr>
          <w:rFonts w:asciiTheme="minorHAnsi" w:hAnsiTheme="minorHAnsi" w:cstheme="minorHAnsi"/>
        </w:rPr>
      </w:pPr>
      <w:bookmarkStart w:id="19" w:name="_ENREF_7"/>
      <w:r w:rsidRPr="007F69E4">
        <w:rPr>
          <w:rFonts w:asciiTheme="minorHAnsi" w:hAnsiTheme="minorHAnsi" w:cstheme="minorHAnsi"/>
        </w:rPr>
        <w:t>7</w:t>
      </w:r>
      <w:r w:rsidRPr="007F69E4">
        <w:rPr>
          <w:rFonts w:asciiTheme="minorHAnsi" w:hAnsiTheme="minorHAnsi" w:cstheme="minorHAnsi"/>
        </w:rPr>
        <w:tab/>
        <w:t>Gileadi, U.</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Generation of an immunodominant CTL epitope is affected by </w:t>
      </w:r>
      <w:r w:rsidRPr="007F69E4">
        <w:rPr>
          <w:rFonts w:asciiTheme="minorHAnsi" w:hAnsiTheme="minorHAnsi" w:cstheme="minorHAnsi"/>
        </w:rPr>
        <w:lastRenderedPageBreak/>
        <w:t xml:space="preserve">proteasome subunit composition and stability of the antigenic protein. </w:t>
      </w:r>
      <w:r w:rsidR="005F3497" w:rsidRPr="007F69E4">
        <w:rPr>
          <w:rFonts w:asciiTheme="minorHAnsi" w:hAnsiTheme="minorHAnsi" w:cstheme="minorHAnsi"/>
          <w:i/>
        </w:rPr>
        <w:t xml:space="preserve">The </w:t>
      </w:r>
      <w:r w:rsidRPr="007F69E4">
        <w:rPr>
          <w:rFonts w:asciiTheme="minorHAnsi" w:hAnsiTheme="minorHAnsi" w:cstheme="minorHAnsi"/>
          <w:i/>
        </w:rPr>
        <w:t>J</w:t>
      </w:r>
      <w:r w:rsidR="00170D71" w:rsidRPr="007F69E4">
        <w:rPr>
          <w:rFonts w:asciiTheme="minorHAnsi" w:hAnsiTheme="minorHAnsi" w:cstheme="minorHAnsi"/>
          <w:i/>
        </w:rPr>
        <w:t>ournal of</w:t>
      </w:r>
      <w:r w:rsidRPr="007F69E4">
        <w:rPr>
          <w:rFonts w:asciiTheme="minorHAnsi" w:hAnsiTheme="minorHAnsi" w:cstheme="minorHAnsi"/>
          <w:i/>
        </w:rPr>
        <w:t xml:space="preserve"> Immunol</w:t>
      </w:r>
      <w:r w:rsidR="00170D71"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163</w:t>
      </w:r>
      <w:r w:rsidRPr="007F69E4">
        <w:rPr>
          <w:rFonts w:asciiTheme="minorHAnsi" w:hAnsiTheme="minorHAnsi" w:cstheme="minorHAnsi"/>
        </w:rPr>
        <w:t xml:space="preserve"> (11), 6045-6052 (1999).</w:t>
      </w:r>
      <w:bookmarkEnd w:id="19"/>
    </w:p>
    <w:p w14:paraId="687C73E7" w14:textId="48F2D170" w:rsidR="00016D51" w:rsidRPr="007F69E4" w:rsidRDefault="00016D51" w:rsidP="00655DD5">
      <w:pPr>
        <w:pStyle w:val="EndNoteBibliography"/>
        <w:rPr>
          <w:rFonts w:asciiTheme="minorHAnsi" w:hAnsiTheme="minorHAnsi" w:cstheme="minorHAnsi"/>
        </w:rPr>
      </w:pPr>
      <w:bookmarkStart w:id="20" w:name="_ENREF_8"/>
      <w:r w:rsidRPr="007F69E4">
        <w:rPr>
          <w:rFonts w:asciiTheme="minorHAnsi" w:hAnsiTheme="minorHAnsi" w:cstheme="minorHAnsi"/>
        </w:rPr>
        <w:t>8</w:t>
      </w:r>
      <w:r w:rsidRPr="007F69E4">
        <w:rPr>
          <w:rFonts w:asciiTheme="minorHAnsi" w:hAnsiTheme="minorHAnsi" w:cstheme="minorHAnsi"/>
        </w:rPr>
        <w:tab/>
        <w:t>Zanker, D., Waithman, J., Yewdell, J. W.</w:t>
      </w:r>
      <w:r w:rsidR="00AE7EFA">
        <w:rPr>
          <w:rFonts w:asciiTheme="minorHAnsi" w:hAnsiTheme="minorHAnsi" w:cstheme="minorHAnsi"/>
        </w:rPr>
        <w:t>,</w:t>
      </w:r>
      <w:r w:rsidRPr="007F69E4">
        <w:rPr>
          <w:rFonts w:asciiTheme="minorHAnsi" w:hAnsiTheme="minorHAnsi" w:cstheme="minorHAnsi"/>
        </w:rPr>
        <w:t xml:space="preserve"> Chen, W. Mixed proteasomes function to increase viral peptide diversity and broaden antiviral CD8+ T cell responses. </w:t>
      </w:r>
      <w:r w:rsidR="005F3497" w:rsidRPr="007F69E4">
        <w:rPr>
          <w:rFonts w:asciiTheme="minorHAnsi" w:hAnsiTheme="minorHAnsi" w:cstheme="minorHAnsi"/>
          <w:i/>
        </w:rPr>
        <w:t xml:space="preserve">The </w:t>
      </w:r>
      <w:r w:rsidRPr="007F69E4">
        <w:rPr>
          <w:rFonts w:asciiTheme="minorHAnsi" w:hAnsiTheme="minorHAnsi" w:cstheme="minorHAnsi"/>
          <w:i/>
        </w:rPr>
        <w:t>J</w:t>
      </w:r>
      <w:r w:rsidR="00170D71" w:rsidRPr="007F69E4">
        <w:rPr>
          <w:rFonts w:asciiTheme="minorHAnsi" w:hAnsiTheme="minorHAnsi" w:cstheme="minorHAnsi"/>
          <w:i/>
        </w:rPr>
        <w:t>ournal of</w:t>
      </w:r>
      <w:r w:rsidRPr="007F69E4">
        <w:rPr>
          <w:rFonts w:asciiTheme="minorHAnsi" w:hAnsiTheme="minorHAnsi" w:cstheme="minorHAnsi"/>
          <w:i/>
        </w:rPr>
        <w:t xml:space="preserve"> Immunol</w:t>
      </w:r>
      <w:r w:rsidR="00170D71"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191</w:t>
      </w:r>
      <w:r w:rsidRPr="007F69E4">
        <w:rPr>
          <w:rFonts w:asciiTheme="minorHAnsi" w:hAnsiTheme="minorHAnsi" w:cstheme="minorHAnsi"/>
        </w:rPr>
        <w:t xml:space="preserve"> (1), 52-59 (2013).</w:t>
      </w:r>
      <w:bookmarkEnd w:id="20"/>
    </w:p>
    <w:p w14:paraId="097748E0" w14:textId="64CA082A" w:rsidR="00016D51" w:rsidRPr="007F69E4" w:rsidRDefault="00016D51" w:rsidP="00655DD5">
      <w:pPr>
        <w:pStyle w:val="EndNoteBibliography"/>
        <w:rPr>
          <w:rFonts w:asciiTheme="minorHAnsi" w:hAnsiTheme="minorHAnsi" w:cstheme="minorHAnsi"/>
        </w:rPr>
      </w:pPr>
      <w:bookmarkStart w:id="21" w:name="_ENREF_9"/>
      <w:r w:rsidRPr="007F69E4">
        <w:rPr>
          <w:rFonts w:asciiTheme="minorHAnsi" w:hAnsiTheme="minorHAnsi" w:cstheme="minorHAnsi"/>
        </w:rPr>
        <w:t>9</w:t>
      </w:r>
      <w:r w:rsidRPr="007F69E4">
        <w:rPr>
          <w:rFonts w:asciiTheme="minorHAnsi" w:hAnsiTheme="minorHAnsi" w:cstheme="minorHAnsi"/>
        </w:rPr>
        <w:tab/>
        <w:t>Deng, Y., Yewdell, J. W., Eisenlohr, L. C.</w:t>
      </w:r>
      <w:r w:rsidR="00AE7EFA">
        <w:rPr>
          <w:rFonts w:asciiTheme="minorHAnsi" w:hAnsiTheme="minorHAnsi" w:cstheme="minorHAnsi"/>
        </w:rPr>
        <w:t>,</w:t>
      </w:r>
      <w:r w:rsidRPr="007F69E4">
        <w:rPr>
          <w:rFonts w:asciiTheme="minorHAnsi" w:hAnsiTheme="minorHAnsi" w:cstheme="minorHAnsi"/>
        </w:rPr>
        <w:t xml:space="preserve"> Bennink, J. R. MHC affinity, peptide liberation, T cell repertoire, and immunodominance all contribute to the paucity of MHC class I-restricted peptides recognized by antiviral CTL. </w:t>
      </w:r>
      <w:r w:rsidR="005F3497" w:rsidRPr="007F69E4">
        <w:rPr>
          <w:rFonts w:asciiTheme="minorHAnsi" w:hAnsiTheme="minorHAnsi" w:cstheme="minorHAnsi"/>
          <w:i/>
        </w:rPr>
        <w:t xml:space="preserve">The </w:t>
      </w:r>
      <w:r w:rsidRPr="007F69E4">
        <w:rPr>
          <w:rFonts w:asciiTheme="minorHAnsi" w:hAnsiTheme="minorHAnsi" w:cstheme="minorHAnsi"/>
          <w:i/>
        </w:rPr>
        <w:t>J</w:t>
      </w:r>
      <w:r w:rsidR="00D7340D" w:rsidRPr="007F69E4">
        <w:rPr>
          <w:rFonts w:asciiTheme="minorHAnsi" w:hAnsiTheme="minorHAnsi" w:cstheme="minorHAnsi"/>
          <w:i/>
        </w:rPr>
        <w:t>ournal of</w:t>
      </w:r>
      <w:r w:rsidRPr="007F69E4">
        <w:rPr>
          <w:rFonts w:asciiTheme="minorHAnsi" w:hAnsiTheme="minorHAnsi" w:cstheme="minorHAnsi"/>
          <w:i/>
        </w:rPr>
        <w:t xml:space="preserve"> Immunol</w:t>
      </w:r>
      <w:r w:rsidR="00D7340D"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158</w:t>
      </w:r>
      <w:r w:rsidRPr="007F69E4">
        <w:rPr>
          <w:rFonts w:asciiTheme="minorHAnsi" w:hAnsiTheme="minorHAnsi" w:cstheme="minorHAnsi"/>
        </w:rPr>
        <w:t xml:space="preserve"> (4), 1507-1515 (1997).</w:t>
      </w:r>
      <w:bookmarkEnd w:id="21"/>
    </w:p>
    <w:p w14:paraId="403378B1" w14:textId="3B354878" w:rsidR="00016D51" w:rsidRPr="007F69E4" w:rsidRDefault="00016D51" w:rsidP="00655DD5">
      <w:pPr>
        <w:pStyle w:val="EndNoteBibliography"/>
        <w:rPr>
          <w:rFonts w:asciiTheme="minorHAnsi" w:hAnsiTheme="minorHAnsi" w:cstheme="minorHAnsi"/>
        </w:rPr>
      </w:pPr>
      <w:bookmarkStart w:id="22" w:name="_ENREF_10"/>
      <w:r w:rsidRPr="007F69E4">
        <w:rPr>
          <w:rFonts w:asciiTheme="minorHAnsi" w:hAnsiTheme="minorHAnsi" w:cstheme="minorHAnsi"/>
        </w:rPr>
        <w:t>10</w:t>
      </w:r>
      <w:r w:rsidRPr="007F69E4">
        <w:rPr>
          <w:rFonts w:asciiTheme="minorHAnsi" w:hAnsiTheme="minorHAnsi" w:cstheme="minorHAnsi"/>
        </w:rPr>
        <w:tab/>
        <w:t>Chen, W., Khilko, S., Fecondo, J., Margulies, D. H.</w:t>
      </w:r>
      <w:r w:rsidR="00AE7EFA">
        <w:rPr>
          <w:rFonts w:asciiTheme="minorHAnsi" w:hAnsiTheme="minorHAnsi" w:cstheme="minorHAnsi"/>
        </w:rPr>
        <w:t>,</w:t>
      </w:r>
      <w:r w:rsidRPr="007F69E4">
        <w:rPr>
          <w:rFonts w:asciiTheme="minorHAnsi" w:hAnsiTheme="minorHAnsi" w:cstheme="minorHAnsi"/>
        </w:rPr>
        <w:t xml:space="preserve"> McCluskey, J. Determinant selection of major histocompatibility complex class I-restricted antigenic peptides is explained by class I-peptide affinity and is strongly influenced by nondominant anchor residues. </w:t>
      </w:r>
      <w:r w:rsidR="005F3497" w:rsidRPr="007F69E4">
        <w:rPr>
          <w:rFonts w:asciiTheme="minorHAnsi" w:hAnsiTheme="minorHAnsi" w:cstheme="minorHAnsi"/>
          <w:i/>
        </w:rPr>
        <w:t xml:space="preserve">The </w:t>
      </w:r>
      <w:r w:rsidRPr="007F69E4">
        <w:rPr>
          <w:rFonts w:asciiTheme="minorHAnsi" w:hAnsiTheme="minorHAnsi" w:cstheme="minorHAnsi"/>
          <w:i/>
        </w:rPr>
        <w:t>J</w:t>
      </w:r>
      <w:r w:rsidR="00A04296" w:rsidRPr="007F69E4">
        <w:rPr>
          <w:rFonts w:asciiTheme="minorHAnsi" w:hAnsiTheme="minorHAnsi" w:cstheme="minorHAnsi"/>
          <w:i/>
        </w:rPr>
        <w:t>ournal of</w:t>
      </w:r>
      <w:r w:rsidRPr="007F69E4">
        <w:rPr>
          <w:rFonts w:asciiTheme="minorHAnsi" w:hAnsiTheme="minorHAnsi" w:cstheme="minorHAnsi"/>
          <w:i/>
        </w:rPr>
        <w:t xml:space="preserve"> Exp</w:t>
      </w:r>
      <w:r w:rsidR="00A04296" w:rsidRPr="007F69E4">
        <w:rPr>
          <w:rFonts w:asciiTheme="minorHAnsi" w:hAnsiTheme="minorHAnsi" w:cstheme="minorHAnsi"/>
          <w:i/>
        </w:rPr>
        <w:t>erimental</w:t>
      </w:r>
      <w:r w:rsidRPr="007F69E4">
        <w:rPr>
          <w:rFonts w:asciiTheme="minorHAnsi" w:hAnsiTheme="minorHAnsi" w:cstheme="minorHAnsi"/>
          <w:i/>
        </w:rPr>
        <w:t xml:space="preserve"> Med</w:t>
      </w:r>
      <w:r w:rsidR="00A04296" w:rsidRPr="007F69E4">
        <w:rPr>
          <w:rFonts w:asciiTheme="minorHAnsi" w:hAnsiTheme="minorHAnsi" w:cstheme="minorHAnsi"/>
          <w:i/>
        </w:rPr>
        <w:t>icine</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180</w:t>
      </w:r>
      <w:r w:rsidRPr="007F69E4">
        <w:rPr>
          <w:rFonts w:asciiTheme="minorHAnsi" w:hAnsiTheme="minorHAnsi" w:cstheme="minorHAnsi"/>
        </w:rPr>
        <w:t xml:space="preserve"> (4), 1471-1483 (1994).</w:t>
      </w:r>
      <w:bookmarkEnd w:id="22"/>
    </w:p>
    <w:p w14:paraId="11A9E470" w14:textId="7A8F556E" w:rsidR="00016D51" w:rsidRPr="007F69E4" w:rsidRDefault="00016D51" w:rsidP="00655DD5">
      <w:pPr>
        <w:pStyle w:val="EndNoteBibliography"/>
        <w:rPr>
          <w:rFonts w:asciiTheme="minorHAnsi" w:hAnsiTheme="minorHAnsi" w:cstheme="minorHAnsi"/>
        </w:rPr>
      </w:pPr>
      <w:bookmarkStart w:id="23" w:name="_ENREF_11"/>
      <w:r w:rsidRPr="007F69E4">
        <w:rPr>
          <w:rFonts w:asciiTheme="minorHAnsi" w:hAnsiTheme="minorHAnsi" w:cstheme="minorHAnsi"/>
        </w:rPr>
        <w:t>11</w:t>
      </w:r>
      <w:r w:rsidRPr="007F69E4">
        <w:rPr>
          <w:rFonts w:asciiTheme="minorHAnsi" w:hAnsiTheme="minorHAnsi" w:cstheme="minorHAnsi"/>
        </w:rPr>
        <w:tab/>
        <w:t>Kotturi, M. F.</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Naive precursor frequencies and MHC binding rather than the degree of epitope diversity shape CD8+ T cell immunodominance. </w:t>
      </w:r>
      <w:r w:rsidR="005F3497" w:rsidRPr="007F69E4">
        <w:rPr>
          <w:rFonts w:asciiTheme="minorHAnsi" w:hAnsiTheme="minorHAnsi" w:cstheme="minorHAnsi"/>
          <w:i/>
        </w:rPr>
        <w:t xml:space="preserve">The </w:t>
      </w:r>
      <w:r w:rsidRPr="007F69E4">
        <w:rPr>
          <w:rFonts w:asciiTheme="minorHAnsi" w:hAnsiTheme="minorHAnsi" w:cstheme="minorHAnsi"/>
          <w:i/>
        </w:rPr>
        <w:t>J</w:t>
      </w:r>
      <w:r w:rsidR="00A04296" w:rsidRPr="007F69E4">
        <w:rPr>
          <w:rFonts w:asciiTheme="minorHAnsi" w:hAnsiTheme="minorHAnsi" w:cstheme="minorHAnsi"/>
          <w:i/>
        </w:rPr>
        <w:t>ournal of</w:t>
      </w:r>
      <w:r w:rsidRPr="007F69E4">
        <w:rPr>
          <w:rFonts w:asciiTheme="minorHAnsi" w:hAnsiTheme="minorHAnsi" w:cstheme="minorHAnsi"/>
          <w:i/>
        </w:rPr>
        <w:t xml:space="preserve"> Immunol</w:t>
      </w:r>
      <w:r w:rsidR="00A04296"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181</w:t>
      </w:r>
      <w:r w:rsidRPr="007F69E4">
        <w:rPr>
          <w:rFonts w:asciiTheme="minorHAnsi" w:hAnsiTheme="minorHAnsi" w:cstheme="minorHAnsi"/>
        </w:rPr>
        <w:t xml:space="preserve"> (3), 2124-2133 (2008).</w:t>
      </w:r>
      <w:bookmarkEnd w:id="23"/>
    </w:p>
    <w:p w14:paraId="3DAD50C3" w14:textId="4745D587" w:rsidR="00016D51" w:rsidRPr="007F69E4" w:rsidRDefault="00016D51" w:rsidP="00655DD5">
      <w:pPr>
        <w:pStyle w:val="EndNoteBibliography"/>
        <w:rPr>
          <w:rFonts w:asciiTheme="minorHAnsi" w:hAnsiTheme="minorHAnsi" w:cstheme="minorHAnsi"/>
        </w:rPr>
      </w:pPr>
      <w:bookmarkStart w:id="24" w:name="_ENREF_12"/>
      <w:r w:rsidRPr="007F69E4">
        <w:rPr>
          <w:rFonts w:asciiTheme="minorHAnsi" w:hAnsiTheme="minorHAnsi" w:cstheme="minorHAnsi"/>
        </w:rPr>
        <w:t>12</w:t>
      </w:r>
      <w:r w:rsidRPr="007F69E4">
        <w:rPr>
          <w:rFonts w:asciiTheme="minorHAnsi" w:hAnsiTheme="minorHAnsi" w:cstheme="minorHAnsi"/>
        </w:rPr>
        <w:tab/>
        <w:t>Haeryfar, S.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Terminal deoxynucleotidyl transferase establishes and broadens antiviral CD8+ T cell immunodominance hierarchies. </w:t>
      </w:r>
      <w:r w:rsidR="005F3497" w:rsidRPr="007F69E4">
        <w:rPr>
          <w:rFonts w:asciiTheme="minorHAnsi" w:hAnsiTheme="minorHAnsi" w:cstheme="minorHAnsi"/>
          <w:i/>
        </w:rPr>
        <w:t xml:space="preserve">The </w:t>
      </w:r>
      <w:r w:rsidRPr="007F69E4">
        <w:rPr>
          <w:rFonts w:asciiTheme="minorHAnsi" w:hAnsiTheme="minorHAnsi" w:cstheme="minorHAnsi"/>
          <w:i/>
        </w:rPr>
        <w:t>J</w:t>
      </w:r>
      <w:r w:rsidR="00A04296" w:rsidRPr="007F69E4">
        <w:rPr>
          <w:rFonts w:asciiTheme="minorHAnsi" w:hAnsiTheme="minorHAnsi" w:cstheme="minorHAnsi"/>
          <w:i/>
        </w:rPr>
        <w:t>ournal of</w:t>
      </w:r>
      <w:r w:rsidRPr="007F69E4">
        <w:rPr>
          <w:rFonts w:asciiTheme="minorHAnsi" w:hAnsiTheme="minorHAnsi" w:cstheme="minorHAnsi"/>
          <w:i/>
        </w:rPr>
        <w:t xml:space="preserve"> Immunol</w:t>
      </w:r>
      <w:r w:rsidR="00A04296"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181</w:t>
      </w:r>
      <w:r w:rsidRPr="007F69E4">
        <w:rPr>
          <w:rFonts w:asciiTheme="minorHAnsi" w:hAnsiTheme="minorHAnsi" w:cstheme="minorHAnsi"/>
        </w:rPr>
        <w:t xml:space="preserve"> (1), 649-659 (2008).</w:t>
      </w:r>
      <w:bookmarkEnd w:id="24"/>
    </w:p>
    <w:p w14:paraId="3D002BE5" w14:textId="232B157E" w:rsidR="00016D51" w:rsidRPr="007F69E4" w:rsidRDefault="00016D51" w:rsidP="00655DD5">
      <w:pPr>
        <w:pStyle w:val="EndNoteBibliography"/>
        <w:rPr>
          <w:rFonts w:asciiTheme="minorHAnsi" w:hAnsiTheme="minorHAnsi" w:cstheme="minorHAnsi"/>
        </w:rPr>
      </w:pPr>
      <w:bookmarkStart w:id="25" w:name="_ENREF_13"/>
      <w:r w:rsidRPr="007F69E4">
        <w:rPr>
          <w:rFonts w:asciiTheme="minorHAnsi" w:hAnsiTheme="minorHAnsi" w:cstheme="minorHAnsi"/>
        </w:rPr>
        <w:t>13</w:t>
      </w:r>
      <w:r w:rsidRPr="007F69E4">
        <w:rPr>
          <w:rFonts w:asciiTheme="minorHAnsi" w:hAnsiTheme="minorHAnsi" w:cstheme="minorHAnsi"/>
        </w:rPr>
        <w:tab/>
        <w:t>Leon-Ponte, M., Kasprzyski, T., Mannik, L. A.</w:t>
      </w:r>
      <w:r w:rsidR="00AE7EFA">
        <w:rPr>
          <w:rFonts w:asciiTheme="minorHAnsi" w:hAnsiTheme="minorHAnsi" w:cstheme="minorHAnsi"/>
        </w:rPr>
        <w:t>,</w:t>
      </w:r>
      <w:r w:rsidRPr="007F69E4">
        <w:rPr>
          <w:rFonts w:asciiTheme="minorHAnsi" w:hAnsiTheme="minorHAnsi" w:cstheme="minorHAnsi"/>
        </w:rPr>
        <w:t xml:space="preserve"> Haeryfar, S. M. Altered immunodominance hierarchies of influenza A virus-specific H-2(b)-restricted CD8+ T cells in the absence of terminal deoxynucleotidyl transferase. </w:t>
      </w:r>
      <w:r w:rsidRPr="007F69E4">
        <w:rPr>
          <w:rFonts w:asciiTheme="minorHAnsi" w:hAnsiTheme="minorHAnsi" w:cstheme="minorHAnsi"/>
          <w:i/>
        </w:rPr>
        <w:t>Immunol</w:t>
      </w:r>
      <w:r w:rsidR="00A04296" w:rsidRPr="007F69E4">
        <w:rPr>
          <w:rFonts w:asciiTheme="minorHAnsi" w:hAnsiTheme="minorHAnsi" w:cstheme="minorHAnsi"/>
          <w:i/>
        </w:rPr>
        <w:t>ogical</w:t>
      </w:r>
      <w:r w:rsidRPr="007F69E4">
        <w:rPr>
          <w:rFonts w:asciiTheme="minorHAnsi" w:hAnsiTheme="minorHAnsi" w:cstheme="minorHAnsi"/>
          <w:i/>
        </w:rPr>
        <w:t xml:space="preserve"> Invest</w:t>
      </w:r>
      <w:r w:rsidR="00A04296" w:rsidRPr="007F69E4">
        <w:rPr>
          <w:rFonts w:asciiTheme="minorHAnsi" w:hAnsiTheme="minorHAnsi" w:cstheme="minorHAnsi"/>
          <w:i/>
        </w:rPr>
        <w:t>igations</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37</w:t>
      </w:r>
      <w:r w:rsidRPr="007F69E4">
        <w:rPr>
          <w:rFonts w:asciiTheme="minorHAnsi" w:hAnsiTheme="minorHAnsi" w:cstheme="minorHAnsi"/>
        </w:rPr>
        <w:t xml:space="preserve"> (7), 714-725 (2008).</w:t>
      </w:r>
      <w:bookmarkEnd w:id="25"/>
    </w:p>
    <w:p w14:paraId="4AA0CEFA" w14:textId="3688B2FA" w:rsidR="00016D51" w:rsidRPr="007F69E4" w:rsidRDefault="00016D51" w:rsidP="00655DD5">
      <w:pPr>
        <w:pStyle w:val="EndNoteBibliography"/>
        <w:rPr>
          <w:rFonts w:asciiTheme="minorHAnsi" w:hAnsiTheme="minorHAnsi" w:cstheme="minorHAnsi"/>
        </w:rPr>
      </w:pPr>
      <w:bookmarkStart w:id="26" w:name="_ENREF_14"/>
      <w:r w:rsidRPr="007F69E4">
        <w:rPr>
          <w:rFonts w:asciiTheme="minorHAnsi" w:hAnsiTheme="minorHAnsi" w:cstheme="minorHAnsi"/>
        </w:rPr>
        <w:t>14</w:t>
      </w:r>
      <w:r w:rsidRPr="007F69E4">
        <w:rPr>
          <w:rFonts w:asciiTheme="minorHAnsi" w:hAnsiTheme="minorHAnsi" w:cstheme="minorHAnsi"/>
        </w:rPr>
        <w:tab/>
        <w:t>Kedl, R.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T cells compete for access to antigen-bearing antigen-presenting cells. </w:t>
      </w:r>
      <w:r w:rsidR="005F3497" w:rsidRPr="007F69E4">
        <w:rPr>
          <w:rFonts w:asciiTheme="minorHAnsi" w:hAnsiTheme="minorHAnsi" w:cstheme="minorHAnsi"/>
          <w:i/>
        </w:rPr>
        <w:t xml:space="preserve">The </w:t>
      </w:r>
      <w:r w:rsidRPr="007F69E4">
        <w:rPr>
          <w:rFonts w:asciiTheme="minorHAnsi" w:hAnsiTheme="minorHAnsi" w:cstheme="minorHAnsi"/>
          <w:i/>
        </w:rPr>
        <w:t>J</w:t>
      </w:r>
      <w:r w:rsidR="00DE529F" w:rsidRPr="007F69E4">
        <w:rPr>
          <w:rFonts w:asciiTheme="minorHAnsi" w:hAnsiTheme="minorHAnsi" w:cstheme="minorHAnsi"/>
          <w:i/>
        </w:rPr>
        <w:t>ournal of</w:t>
      </w:r>
      <w:r w:rsidRPr="007F69E4">
        <w:rPr>
          <w:rFonts w:asciiTheme="minorHAnsi" w:hAnsiTheme="minorHAnsi" w:cstheme="minorHAnsi"/>
          <w:i/>
        </w:rPr>
        <w:t xml:space="preserve"> Exp</w:t>
      </w:r>
      <w:r w:rsidR="00DE529F" w:rsidRPr="007F69E4">
        <w:rPr>
          <w:rFonts w:asciiTheme="minorHAnsi" w:hAnsiTheme="minorHAnsi" w:cstheme="minorHAnsi"/>
          <w:i/>
        </w:rPr>
        <w:t>erimental</w:t>
      </w:r>
      <w:r w:rsidRPr="007F69E4">
        <w:rPr>
          <w:rFonts w:asciiTheme="minorHAnsi" w:hAnsiTheme="minorHAnsi" w:cstheme="minorHAnsi"/>
          <w:i/>
        </w:rPr>
        <w:t xml:space="preserve"> Med</w:t>
      </w:r>
      <w:r w:rsidR="00DE529F" w:rsidRPr="007F69E4">
        <w:rPr>
          <w:rFonts w:asciiTheme="minorHAnsi" w:hAnsiTheme="minorHAnsi" w:cstheme="minorHAnsi"/>
          <w:i/>
        </w:rPr>
        <w:t>icine</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192</w:t>
      </w:r>
      <w:r w:rsidRPr="007F69E4">
        <w:rPr>
          <w:rFonts w:asciiTheme="minorHAnsi" w:hAnsiTheme="minorHAnsi" w:cstheme="minorHAnsi"/>
        </w:rPr>
        <w:t xml:space="preserve"> (8), 1105-1113 (2000).</w:t>
      </w:r>
      <w:bookmarkEnd w:id="26"/>
    </w:p>
    <w:p w14:paraId="16311E0C" w14:textId="00A2B395" w:rsidR="00016D51" w:rsidRPr="007F69E4" w:rsidRDefault="00016D51" w:rsidP="00655DD5">
      <w:pPr>
        <w:pStyle w:val="EndNoteBibliography"/>
        <w:rPr>
          <w:rFonts w:asciiTheme="minorHAnsi" w:hAnsiTheme="minorHAnsi" w:cstheme="minorHAnsi"/>
        </w:rPr>
      </w:pPr>
      <w:bookmarkStart w:id="27" w:name="_ENREF_15"/>
      <w:r w:rsidRPr="007F69E4">
        <w:rPr>
          <w:rFonts w:asciiTheme="minorHAnsi" w:hAnsiTheme="minorHAnsi" w:cstheme="minorHAnsi"/>
        </w:rPr>
        <w:t>15</w:t>
      </w:r>
      <w:r w:rsidRPr="007F69E4">
        <w:rPr>
          <w:rFonts w:asciiTheme="minorHAnsi" w:hAnsiTheme="minorHAnsi" w:cstheme="minorHAnsi"/>
        </w:rPr>
        <w:tab/>
        <w:t>Kastenmuller, W.</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Cross-competition of CD8+ T cells shapes the immunodominance hierarchy during boost vaccination. </w:t>
      </w:r>
      <w:r w:rsidR="004F6F6A" w:rsidRPr="007F69E4">
        <w:rPr>
          <w:rFonts w:asciiTheme="minorHAnsi" w:hAnsiTheme="minorHAnsi" w:cstheme="minorHAnsi"/>
          <w:i/>
        </w:rPr>
        <w:t xml:space="preserve">The </w:t>
      </w:r>
      <w:r w:rsidRPr="007F69E4">
        <w:rPr>
          <w:rFonts w:asciiTheme="minorHAnsi" w:hAnsiTheme="minorHAnsi" w:cstheme="minorHAnsi"/>
          <w:i/>
        </w:rPr>
        <w:t>J</w:t>
      </w:r>
      <w:r w:rsidR="00146F6E" w:rsidRPr="007F69E4">
        <w:rPr>
          <w:rFonts w:asciiTheme="minorHAnsi" w:hAnsiTheme="minorHAnsi" w:cstheme="minorHAnsi"/>
          <w:i/>
        </w:rPr>
        <w:t>ournal of</w:t>
      </w:r>
      <w:r w:rsidRPr="007F69E4">
        <w:rPr>
          <w:rFonts w:asciiTheme="minorHAnsi" w:hAnsiTheme="minorHAnsi" w:cstheme="minorHAnsi"/>
          <w:i/>
        </w:rPr>
        <w:t xml:space="preserve"> Exp</w:t>
      </w:r>
      <w:r w:rsidR="00146F6E" w:rsidRPr="007F69E4">
        <w:rPr>
          <w:rFonts w:asciiTheme="minorHAnsi" w:hAnsiTheme="minorHAnsi" w:cstheme="minorHAnsi"/>
          <w:i/>
        </w:rPr>
        <w:t>erimental</w:t>
      </w:r>
      <w:r w:rsidRPr="007F69E4">
        <w:rPr>
          <w:rFonts w:asciiTheme="minorHAnsi" w:hAnsiTheme="minorHAnsi" w:cstheme="minorHAnsi"/>
          <w:i/>
        </w:rPr>
        <w:t xml:space="preserve"> Med</w:t>
      </w:r>
      <w:r w:rsidR="00146F6E" w:rsidRPr="007F69E4">
        <w:rPr>
          <w:rFonts w:asciiTheme="minorHAnsi" w:hAnsiTheme="minorHAnsi" w:cstheme="minorHAnsi"/>
          <w:i/>
        </w:rPr>
        <w:t>icine</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204</w:t>
      </w:r>
      <w:r w:rsidRPr="007F69E4">
        <w:rPr>
          <w:rFonts w:asciiTheme="minorHAnsi" w:hAnsiTheme="minorHAnsi" w:cstheme="minorHAnsi"/>
        </w:rPr>
        <w:t xml:space="preserve"> (9), 2187-2198 (2007).</w:t>
      </w:r>
      <w:bookmarkEnd w:id="27"/>
    </w:p>
    <w:p w14:paraId="755A61F0" w14:textId="55B0C920" w:rsidR="00016D51" w:rsidRPr="007F69E4" w:rsidRDefault="00016D51" w:rsidP="00655DD5">
      <w:pPr>
        <w:pStyle w:val="EndNoteBibliography"/>
        <w:rPr>
          <w:rFonts w:asciiTheme="minorHAnsi" w:hAnsiTheme="minorHAnsi" w:cstheme="minorHAnsi"/>
        </w:rPr>
      </w:pPr>
      <w:bookmarkStart w:id="28" w:name="_ENREF_16"/>
      <w:r w:rsidRPr="007F69E4">
        <w:rPr>
          <w:rFonts w:asciiTheme="minorHAnsi" w:hAnsiTheme="minorHAnsi" w:cstheme="minorHAnsi"/>
        </w:rPr>
        <w:t>16</w:t>
      </w:r>
      <w:r w:rsidRPr="007F69E4">
        <w:rPr>
          <w:rFonts w:asciiTheme="minorHAnsi" w:hAnsiTheme="minorHAnsi" w:cstheme="minorHAnsi"/>
        </w:rPr>
        <w:tab/>
        <w:t>Memarnejadian, A.</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PD-1 Blockade Promotes Epitope Spreading in Anticancer CD8(+) T Cell Responses by Preventing Fratricidal Death of Subdominant Clones To Relieve Immunodomination. </w:t>
      </w:r>
      <w:r w:rsidR="004F6F6A" w:rsidRPr="007F69E4">
        <w:rPr>
          <w:rFonts w:asciiTheme="minorHAnsi" w:hAnsiTheme="minorHAnsi" w:cstheme="minorHAnsi"/>
          <w:i/>
        </w:rPr>
        <w:t xml:space="preserve">The </w:t>
      </w:r>
      <w:r w:rsidRPr="007F69E4">
        <w:rPr>
          <w:rFonts w:asciiTheme="minorHAnsi" w:hAnsiTheme="minorHAnsi" w:cstheme="minorHAnsi"/>
          <w:i/>
        </w:rPr>
        <w:t>J</w:t>
      </w:r>
      <w:r w:rsidR="00146F6E" w:rsidRPr="007F69E4">
        <w:rPr>
          <w:rFonts w:asciiTheme="minorHAnsi" w:hAnsiTheme="minorHAnsi" w:cstheme="minorHAnsi"/>
          <w:i/>
        </w:rPr>
        <w:t>ournal of</w:t>
      </w:r>
      <w:r w:rsidRPr="007F69E4">
        <w:rPr>
          <w:rFonts w:asciiTheme="minorHAnsi" w:hAnsiTheme="minorHAnsi" w:cstheme="minorHAnsi"/>
          <w:i/>
        </w:rPr>
        <w:t xml:space="preserve"> Immunol</w:t>
      </w:r>
      <w:r w:rsidR="00146F6E"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199</w:t>
      </w:r>
      <w:r w:rsidRPr="007F69E4">
        <w:rPr>
          <w:rFonts w:asciiTheme="minorHAnsi" w:hAnsiTheme="minorHAnsi" w:cstheme="minorHAnsi"/>
        </w:rPr>
        <w:t xml:space="preserve"> (9), 3348-3359 (2017).</w:t>
      </w:r>
      <w:bookmarkEnd w:id="28"/>
    </w:p>
    <w:p w14:paraId="276C1B24" w14:textId="45E50F13" w:rsidR="00016D51" w:rsidRPr="007F69E4" w:rsidRDefault="00016D51" w:rsidP="00655DD5">
      <w:pPr>
        <w:pStyle w:val="EndNoteBibliography"/>
        <w:rPr>
          <w:rFonts w:asciiTheme="minorHAnsi" w:hAnsiTheme="minorHAnsi" w:cstheme="minorHAnsi"/>
        </w:rPr>
      </w:pPr>
      <w:bookmarkStart w:id="29" w:name="_ENREF_17"/>
      <w:r w:rsidRPr="007F69E4">
        <w:rPr>
          <w:rFonts w:asciiTheme="minorHAnsi" w:hAnsiTheme="minorHAnsi" w:cstheme="minorHAnsi"/>
        </w:rPr>
        <w:t>17</w:t>
      </w:r>
      <w:r w:rsidRPr="007F69E4">
        <w:rPr>
          <w:rFonts w:asciiTheme="minorHAnsi" w:hAnsiTheme="minorHAnsi" w:cstheme="minorHAnsi"/>
        </w:rPr>
        <w:tab/>
        <w:t>Haeryfar, S. M., DiPaolo, R. J., Tscharke, D. C., Bennink, J. R.</w:t>
      </w:r>
      <w:r w:rsidR="00AE7EFA">
        <w:rPr>
          <w:rFonts w:asciiTheme="minorHAnsi" w:hAnsiTheme="minorHAnsi" w:cstheme="minorHAnsi"/>
        </w:rPr>
        <w:t>,</w:t>
      </w:r>
      <w:r w:rsidRPr="007F69E4">
        <w:rPr>
          <w:rFonts w:asciiTheme="minorHAnsi" w:hAnsiTheme="minorHAnsi" w:cstheme="minorHAnsi"/>
        </w:rPr>
        <w:t xml:space="preserve"> Yewdell, J. W. Regulatory T cells suppress CD8+ T cell responses induced by direct priming and cross-priming and moderate immunodominance disparities. </w:t>
      </w:r>
      <w:r w:rsidR="004F6F6A" w:rsidRPr="007F69E4">
        <w:rPr>
          <w:rFonts w:asciiTheme="minorHAnsi" w:hAnsiTheme="minorHAnsi" w:cstheme="minorHAnsi"/>
          <w:i/>
        </w:rPr>
        <w:t xml:space="preserve">The </w:t>
      </w:r>
      <w:r w:rsidRPr="007F69E4">
        <w:rPr>
          <w:rFonts w:asciiTheme="minorHAnsi" w:hAnsiTheme="minorHAnsi" w:cstheme="minorHAnsi"/>
          <w:i/>
        </w:rPr>
        <w:t>J</w:t>
      </w:r>
      <w:r w:rsidR="00146F6E" w:rsidRPr="007F69E4">
        <w:rPr>
          <w:rFonts w:asciiTheme="minorHAnsi" w:hAnsiTheme="minorHAnsi" w:cstheme="minorHAnsi"/>
          <w:i/>
        </w:rPr>
        <w:t>ournal of</w:t>
      </w:r>
      <w:r w:rsidRPr="007F69E4">
        <w:rPr>
          <w:rFonts w:asciiTheme="minorHAnsi" w:hAnsiTheme="minorHAnsi" w:cstheme="minorHAnsi"/>
          <w:i/>
        </w:rPr>
        <w:t xml:space="preserve"> Immunol</w:t>
      </w:r>
      <w:r w:rsidR="00146F6E"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174</w:t>
      </w:r>
      <w:r w:rsidRPr="007F69E4">
        <w:rPr>
          <w:rFonts w:asciiTheme="minorHAnsi" w:hAnsiTheme="minorHAnsi" w:cstheme="minorHAnsi"/>
        </w:rPr>
        <w:t xml:space="preserve"> (6), 3344-3351 (2005).</w:t>
      </w:r>
      <w:bookmarkEnd w:id="29"/>
    </w:p>
    <w:p w14:paraId="7959FDBB" w14:textId="060937B0" w:rsidR="00016D51" w:rsidRPr="007F69E4" w:rsidRDefault="00016D51" w:rsidP="00655DD5">
      <w:pPr>
        <w:pStyle w:val="EndNoteBibliography"/>
        <w:rPr>
          <w:rFonts w:asciiTheme="minorHAnsi" w:hAnsiTheme="minorHAnsi" w:cstheme="minorHAnsi"/>
        </w:rPr>
      </w:pPr>
      <w:bookmarkStart w:id="30" w:name="_ENREF_18"/>
      <w:r w:rsidRPr="007F69E4">
        <w:rPr>
          <w:rFonts w:asciiTheme="minorHAnsi" w:hAnsiTheme="minorHAnsi" w:cstheme="minorHAnsi"/>
        </w:rPr>
        <w:t>18</w:t>
      </w:r>
      <w:r w:rsidRPr="007F69E4">
        <w:rPr>
          <w:rFonts w:asciiTheme="minorHAnsi" w:hAnsiTheme="minorHAnsi" w:cstheme="minorHAnsi"/>
        </w:rPr>
        <w:tab/>
        <w:t>Rytelewski,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Suppression of immunodominant antitumor and antiviral CD8+ T cell responses by indoleamine 2,3-dioxygenase. </w:t>
      </w:r>
      <w:r w:rsidRPr="007F69E4">
        <w:rPr>
          <w:rFonts w:asciiTheme="minorHAnsi" w:hAnsiTheme="minorHAnsi" w:cstheme="minorHAnsi"/>
          <w:i/>
        </w:rPr>
        <w:t>PLoS One.</w:t>
      </w:r>
      <w:r w:rsidRPr="007F69E4">
        <w:rPr>
          <w:rFonts w:asciiTheme="minorHAnsi" w:hAnsiTheme="minorHAnsi" w:cstheme="minorHAnsi"/>
        </w:rPr>
        <w:t xml:space="preserve"> </w:t>
      </w:r>
      <w:r w:rsidRPr="007F69E4">
        <w:rPr>
          <w:rFonts w:asciiTheme="minorHAnsi" w:hAnsiTheme="minorHAnsi" w:cstheme="minorHAnsi"/>
          <w:b/>
        </w:rPr>
        <w:t>9</w:t>
      </w:r>
      <w:r w:rsidRPr="007F69E4">
        <w:rPr>
          <w:rFonts w:asciiTheme="minorHAnsi" w:hAnsiTheme="minorHAnsi" w:cstheme="minorHAnsi"/>
        </w:rPr>
        <w:t xml:space="preserve"> (2), e90439 (2014).</w:t>
      </w:r>
      <w:bookmarkEnd w:id="30"/>
    </w:p>
    <w:p w14:paraId="0C67DDFB" w14:textId="1C69C370" w:rsidR="00016D51" w:rsidRPr="007F69E4" w:rsidRDefault="00016D51" w:rsidP="00655DD5">
      <w:pPr>
        <w:pStyle w:val="EndNoteBibliography"/>
        <w:rPr>
          <w:rFonts w:asciiTheme="minorHAnsi" w:hAnsiTheme="minorHAnsi" w:cstheme="minorHAnsi"/>
        </w:rPr>
      </w:pPr>
      <w:bookmarkStart w:id="31" w:name="_ENREF_19"/>
      <w:r w:rsidRPr="007F69E4">
        <w:rPr>
          <w:rFonts w:asciiTheme="minorHAnsi" w:hAnsiTheme="minorHAnsi" w:cstheme="minorHAnsi"/>
        </w:rPr>
        <w:t>19</w:t>
      </w:r>
      <w:r w:rsidRPr="007F69E4">
        <w:rPr>
          <w:rFonts w:asciiTheme="minorHAnsi" w:hAnsiTheme="minorHAnsi" w:cstheme="minorHAnsi"/>
        </w:rPr>
        <w:tab/>
        <w:t>Maleki Vareki, S.</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Differential regulation of simultaneous antitumor and alloreactive CD8(+) T-cell responses in the same host by rapamycin. </w:t>
      </w:r>
      <w:r w:rsidRPr="007F69E4">
        <w:rPr>
          <w:rFonts w:asciiTheme="minorHAnsi" w:hAnsiTheme="minorHAnsi" w:cstheme="minorHAnsi"/>
          <w:i/>
        </w:rPr>
        <w:t>Am</w:t>
      </w:r>
      <w:r w:rsidR="00146F6E" w:rsidRPr="007F69E4">
        <w:rPr>
          <w:rFonts w:asciiTheme="minorHAnsi" w:hAnsiTheme="minorHAnsi" w:cstheme="minorHAnsi"/>
          <w:i/>
        </w:rPr>
        <w:t>erican</w:t>
      </w:r>
      <w:r w:rsidRPr="007F69E4">
        <w:rPr>
          <w:rFonts w:asciiTheme="minorHAnsi" w:hAnsiTheme="minorHAnsi" w:cstheme="minorHAnsi"/>
          <w:i/>
        </w:rPr>
        <w:t xml:space="preserve"> J</w:t>
      </w:r>
      <w:r w:rsidR="00146F6E" w:rsidRPr="007F69E4">
        <w:rPr>
          <w:rFonts w:asciiTheme="minorHAnsi" w:hAnsiTheme="minorHAnsi" w:cstheme="minorHAnsi"/>
          <w:i/>
        </w:rPr>
        <w:t>ournal</w:t>
      </w:r>
      <w:r w:rsidRPr="007F69E4">
        <w:rPr>
          <w:rFonts w:asciiTheme="minorHAnsi" w:hAnsiTheme="minorHAnsi" w:cstheme="minorHAnsi"/>
          <w:i/>
        </w:rPr>
        <w:t xml:space="preserve"> </w:t>
      </w:r>
      <w:r w:rsidR="00146F6E" w:rsidRPr="007F69E4">
        <w:rPr>
          <w:rFonts w:asciiTheme="minorHAnsi" w:hAnsiTheme="minorHAnsi" w:cstheme="minorHAnsi"/>
          <w:i/>
        </w:rPr>
        <w:t xml:space="preserve">of </w:t>
      </w:r>
      <w:r w:rsidRPr="007F69E4">
        <w:rPr>
          <w:rFonts w:asciiTheme="minorHAnsi" w:hAnsiTheme="minorHAnsi" w:cstheme="minorHAnsi"/>
          <w:i/>
        </w:rPr>
        <w:t>Transplant</w:t>
      </w:r>
      <w:r w:rsidR="00146F6E" w:rsidRPr="007F69E4">
        <w:rPr>
          <w:rFonts w:asciiTheme="minorHAnsi" w:hAnsiTheme="minorHAnsi" w:cstheme="minorHAnsi"/>
          <w:i/>
        </w:rPr>
        <w:t>ation</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12</w:t>
      </w:r>
      <w:r w:rsidRPr="007F69E4">
        <w:rPr>
          <w:rFonts w:asciiTheme="minorHAnsi" w:hAnsiTheme="minorHAnsi" w:cstheme="minorHAnsi"/>
        </w:rPr>
        <w:t xml:space="preserve"> (1), 233-239 (2012).</w:t>
      </w:r>
      <w:bookmarkEnd w:id="31"/>
    </w:p>
    <w:p w14:paraId="07BBA128" w14:textId="30E3347F" w:rsidR="00016D51" w:rsidRPr="007F69E4" w:rsidRDefault="00016D51" w:rsidP="00655DD5">
      <w:pPr>
        <w:pStyle w:val="EndNoteBibliography"/>
        <w:rPr>
          <w:rFonts w:asciiTheme="minorHAnsi" w:hAnsiTheme="minorHAnsi" w:cstheme="minorHAnsi"/>
        </w:rPr>
      </w:pPr>
      <w:bookmarkStart w:id="32" w:name="_ENREF_20"/>
      <w:r w:rsidRPr="007F69E4">
        <w:rPr>
          <w:rFonts w:asciiTheme="minorHAnsi" w:hAnsiTheme="minorHAnsi" w:cstheme="minorHAnsi"/>
        </w:rPr>
        <w:t>20</w:t>
      </w:r>
      <w:r w:rsidRPr="007F69E4">
        <w:rPr>
          <w:rFonts w:asciiTheme="minorHAnsi" w:hAnsiTheme="minorHAnsi" w:cstheme="minorHAnsi"/>
        </w:rPr>
        <w:tab/>
        <w:t>Irvine, K.</w:t>
      </w:r>
      <w:r w:rsidR="00AE7EFA">
        <w:rPr>
          <w:rFonts w:asciiTheme="minorHAnsi" w:hAnsiTheme="minorHAnsi" w:cstheme="minorHAnsi"/>
        </w:rPr>
        <w:t>,</w:t>
      </w:r>
      <w:r w:rsidRPr="007F69E4">
        <w:rPr>
          <w:rFonts w:asciiTheme="minorHAnsi" w:hAnsiTheme="minorHAnsi" w:cstheme="minorHAnsi"/>
        </w:rPr>
        <w:t xml:space="preserve"> Bennink, J. Factors influencing immunodominance hierarchies in TCD8+ -mediated antiviral responses. </w:t>
      </w:r>
      <w:r w:rsidRPr="007F69E4">
        <w:rPr>
          <w:rFonts w:asciiTheme="minorHAnsi" w:hAnsiTheme="minorHAnsi" w:cstheme="minorHAnsi"/>
          <w:i/>
        </w:rPr>
        <w:t>Expert Rev</w:t>
      </w:r>
      <w:r w:rsidR="00C340FA" w:rsidRPr="007F69E4">
        <w:rPr>
          <w:rFonts w:asciiTheme="minorHAnsi" w:hAnsiTheme="minorHAnsi" w:cstheme="minorHAnsi"/>
          <w:i/>
        </w:rPr>
        <w:t>iew of</w:t>
      </w:r>
      <w:r w:rsidRPr="007F69E4">
        <w:rPr>
          <w:rFonts w:asciiTheme="minorHAnsi" w:hAnsiTheme="minorHAnsi" w:cstheme="minorHAnsi"/>
          <w:i/>
        </w:rPr>
        <w:t xml:space="preserve"> Clin</w:t>
      </w:r>
      <w:r w:rsidR="00C340FA" w:rsidRPr="007F69E4">
        <w:rPr>
          <w:rFonts w:asciiTheme="minorHAnsi" w:hAnsiTheme="minorHAnsi" w:cstheme="minorHAnsi"/>
          <w:i/>
        </w:rPr>
        <w:t>ical</w:t>
      </w:r>
      <w:r w:rsidRPr="007F69E4">
        <w:rPr>
          <w:rFonts w:asciiTheme="minorHAnsi" w:hAnsiTheme="minorHAnsi" w:cstheme="minorHAnsi"/>
          <w:i/>
        </w:rPr>
        <w:t xml:space="preserve"> Immunol</w:t>
      </w:r>
      <w:r w:rsidR="00C340F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2</w:t>
      </w:r>
      <w:r w:rsidRPr="007F69E4">
        <w:rPr>
          <w:rFonts w:asciiTheme="minorHAnsi" w:hAnsiTheme="minorHAnsi" w:cstheme="minorHAnsi"/>
        </w:rPr>
        <w:t xml:space="preserve"> (1), 135-147 (2006).</w:t>
      </w:r>
      <w:bookmarkEnd w:id="32"/>
    </w:p>
    <w:p w14:paraId="44222D22" w14:textId="427FCBFB" w:rsidR="00016D51" w:rsidRPr="007F69E4" w:rsidRDefault="00016D51" w:rsidP="00655DD5">
      <w:pPr>
        <w:pStyle w:val="EndNoteBibliography"/>
        <w:rPr>
          <w:rFonts w:asciiTheme="minorHAnsi" w:hAnsiTheme="minorHAnsi" w:cstheme="minorHAnsi"/>
        </w:rPr>
      </w:pPr>
      <w:bookmarkStart w:id="33" w:name="_ENREF_21"/>
      <w:r w:rsidRPr="007F69E4">
        <w:rPr>
          <w:rFonts w:asciiTheme="minorHAnsi" w:hAnsiTheme="minorHAnsi" w:cstheme="minorHAnsi"/>
        </w:rPr>
        <w:t>21</w:t>
      </w:r>
      <w:r w:rsidRPr="007F69E4">
        <w:rPr>
          <w:rFonts w:asciiTheme="minorHAnsi" w:hAnsiTheme="minorHAnsi" w:cstheme="minorHAnsi"/>
        </w:rPr>
        <w:tab/>
        <w:t>Grossmann, M. E., Davila, T.</w:t>
      </w:r>
      <w:r w:rsidR="00AE7EFA">
        <w:rPr>
          <w:rFonts w:asciiTheme="minorHAnsi" w:hAnsiTheme="minorHAnsi" w:cstheme="minorHAnsi"/>
        </w:rPr>
        <w:t>,</w:t>
      </w:r>
      <w:r w:rsidRPr="007F69E4">
        <w:rPr>
          <w:rFonts w:asciiTheme="minorHAnsi" w:hAnsiTheme="minorHAnsi" w:cstheme="minorHAnsi"/>
        </w:rPr>
        <w:t xml:space="preserve"> Celis, T. Avoiding tolerance against prostatic antigens with subdominant peptide epitopes. </w:t>
      </w:r>
      <w:r w:rsidRPr="007F69E4">
        <w:rPr>
          <w:rFonts w:asciiTheme="minorHAnsi" w:hAnsiTheme="minorHAnsi" w:cstheme="minorHAnsi"/>
          <w:i/>
        </w:rPr>
        <w:t>J</w:t>
      </w:r>
      <w:r w:rsidR="00AF2A8A" w:rsidRPr="007F69E4">
        <w:rPr>
          <w:rFonts w:asciiTheme="minorHAnsi" w:hAnsiTheme="minorHAnsi" w:cstheme="minorHAnsi"/>
          <w:i/>
        </w:rPr>
        <w:t>ournal of</w:t>
      </w:r>
      <w:r w:rsidRPr="007F69E4">
        <w:rPr>
          <w:rFonts w:asciiTheme="minorHAnsi" w:hAnsiTheme="minorHAnsi" w:cstheme="minorHAnsi"/>
          <w:i/>
        </w:rPr>
        <w:t xml:space="preserve"> Immunother</w:t>
      </w:r>
      <w:r w:rsidR="00AF2A8A" w:rsidRPr="007F69E4">
        <w:rPr>
          <w:rFonts w:asciiTheme="minorHAnsi" w:hAnsiTheme="minorHAnsi" w:cstheme="minorHAnsi"/>
          <w:i/>
        </w:rPr>
        <w:t>apy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24</w:t>
      </w:r>
      <w:r w:rsidRPr="007F69E4">
        <w:rPr>
          <w:rFonts w:asciiTheme="minorHAnsi" w:hAnsiTheme="minorHAnsi" w:cstheme="minorHAnsi"/>
        </w:rPr>
        <w:t xml:space="preserve"> (3), 237-241 (2001).</w:t>
      </w:r>
      <w:bookmarkEnd w:id="33"/>
    </w:p>
    <w:p w14:paraId="6E2A54A1" w14:textId="5E748D45" w:rsidR="00016D51" w:rsidRPr="007F69E4" w:rsidRDefault="00016D51" w:rsidP="00655DD5">
      <w:pPr>
        <w:pStyle w:val="EndNoteBibliography"/>
        <w:rPr>
          <w:rFonts w:asciiTheme="minorHAnsi" w:hAnsiTheme="minorHAnsi" w:cstheme="minorHAnsi"/>
        </w:rPr>
      </w:pPr>
      <w:bookmarkStart w:id="34" w:name="_ENREF_22"/>
      <w:r w:rsidRPr="007F69E4">
        <w:rPr>
          <w:rFonts w:asciiTheme="minorHAnsi" w:hAnsiTheme="minorHAnsi" w:cstheme="minorHAnsi"/>
        </w:rPr>
        <w:t>22</w:t>
      </w:r>
      <w:r w:rsidRPr="007F69E4">
        <w:rPr>
          <w:rFonts w:asciiTheme="minorHAnsi" w:hAnsiTheme="minorHAnsi" w:cstheme="minorHAnsi"/>
        </w:rPr>
        <w:tab/>
        <w:t>Schreiber, H., Wu, T. H., Nachman, J.</w:t>
      </w:r>
      <w:r w:rsidR="00AE7EFA">
        <w:rPr>
          <w:rFonts w:asciiTheme="minorHAnsi" w:hAnsiTheme="minorHAnsi" w:cstheme="minorHAnsi"/>
        </w:rPr>
        <w:t>,</w:t>
      </w:r>
      <w:r w:rsidRPr="007F69E4">
        <w:rPr>
          <w:rFonts w:asciiTheme="minorHAnsi" w:hAnsiTheme="minorHAnsi" w:cstheme="minorHAnsi"/>
        </w:rPr>
        <w:t xml:space="preserve"> Kast, W. M. Immunodominance and tumor escape. </w:t>
      </w:r>
      <w:r w:rsidRPr="007F69E4">
        <w:rPr>
          <w:rFonts w:asciiTheme="minorHAnsi" w:hAnsiTheme="minorHAnsi" w:cstheme="minorHAnsi"/>
          <w:i/>
        </w:rPr>
        <w:t>Semin</w:t>
      </w:r>
      <w:r w:rsidR="00AF2A8A" w:rsidRPr="007F69E4">
        <w:rPr>
          <w:rFonts w:asciiTheme="minorHAnsi" w:hAnsiTheme="minorHAnsi" w:cstheme="minorHAnsi"/>
          <w:i/>
        </w:rPr>
        <w:t>ars in</w:t>
      </w:r>
      <w:r w:rsidRPr="007F69E4">
        <w:rPr>
          <w:rFonts w:asciiTheme="minorHAnsi" w:hAnsiTheme="minorHAnsi" w:cstheme="minorHAnsi"/>
          <w:i/>
        </w:rPr>
        <w:t xml:space="preserve"> Cancer Biol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12</w:t>
      </w:r>
      <w:r w:rsidRPr="007F69E4">
        <w:rPr>
          <w:rFonts w:asciiTheme="minorHAnsi" w:hAnsiTheme="minorHAnsi" w:cstheme="minorHAnsi"/>
        </w:rPr>
        <w:t xml:space="preserve"> (1), 25-31 (2002).</w:t>
      </w:r>
      <w:bookmarkEnd w:id="34"/>
    </w:p>
    <w:p w14:paraId="68FD982D" w14:textId="69A19537" w:rsidR="00016D51" w:rsidRPr="007F69E4" w:rsidRDefault="00016D51" w:rsidP="00655DD5">
      <w:pPr>
        <w:pStyle w:val="EndNoteBibliography"/>
        <w:rPr>
          <w:rFonts w:asciiTheme="minorHAnsi" w:hAnsiTheme="minorHAnsi" w:cstheme="minorHAnsi"/>
        </w:rPr>
      </w:pPr>
      <w:bookmarkStart w:id="35" w:name="_ENREF_23"/>
      <w:r w:rsidRPr="007F69E4">
        <w:rPr>
          <w:rFonts w:asciiTheme="minorHAnsi" w:hAnsiTheme="minorHAnsi" w:cstheme="minorHAnsi"/>
        </w:rPr>
        <w:t>23</w:t>
      </w:r>
      <w:r w:rsidRPr="007F69E4">
        <w:rPr>
          <w:rFonts w:asciiTheme="minorHAnsi" w:hAnsiTheme="minorHAnsi" w:cstheme="minorHAnsi"/>
        </w:rPr>
        <w:tab/>
        <w:t>Mylin, L.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Quantitation of CD8(+) T-lymphocyte responses to multiple epitopes </w:t>
      </w:r>
      <w:r w:rsidRPr="007F69E4">
        <w:rPr>
          <w:rFonts w:asciiTheme="minorHAnsi" w:hAnsiTheme="minorHAnsi" w:cstheme="minorHAnsi"/>
        </w:rPr>
        <w:lastRenderedPageBreak/>
        <w:t xml:space="preserve">from simian virus 40 (SV40) large T antigen in C57BL/6 mice immunized with SV40, SV40 T-antigen-transformed cells, or vaccinia virus recombinants expressing full-length T antigen or epitope minigenes. </w:t>
      </w:r>
      <w:r w:rsidRPr="007F69E4">
        <w:rPr>
          <w:rFonts w:asciiTheme="minorHAnsi" w:hAnsiTheme="minorHAnsi" w:cstheme="minorHAnsi"/>
          <w:i/>
        </w:rPr>
        <w:t>J</w:t>
      </w:r>
      <w:r w:rsidR="00AF2A8A" w:rsidRPr="007F69E4">
        <w:rPr>
          <w:rFonts w:asciiTheme="minorHAnsi" w:hAnsiTheme="minorHAnsi" w:cstheme="minorHAnsi"/>
          <w:i/>
        </w:rPr>
        <w:t>ournal</w:t>
      </w:r>
      <w:r w:rsidRPr="007F69E4">
        <w:rPr>
          <w:rFonts w:asciiTheme="minorHAnsi" w:hAnsiTheme="minorHAnsi" w:cstheme="minorHAnsi"/>
          <w:i/>
        </w:rPr>
        <w:t xml:space="preserve"> </w:t>
      </w:r>
      <w:r w:rsidR="00AF2A8A" w:rsidRPr="007F69E4">
        <w:rPr>
          <w:rFonts w:asciiTheme="minorHAnsi" w:hAnsiTheme="minorHAnsi" w:cstheme="minorHAnsi"/>
          <w:i/>
        </w:rPr>
        <w:t xml:space="preserve">of </w:t>
      </w:r>
      <w:r w:rsidRPr="007F69E4">
        <w:rPr>
          <w:rFonts w:asciiTheme="minorHAnsi" w:hAnsiTheme="minorHAnsi" w:cstheme="minorHAnsi"/>
          <w:i/>
        </w:rPr>
        <w:t>Virol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74</w:t>
      </w:r>
      <w:r w:rsidRPr="007F69E4">
        <w:rPr>
          <w:rFonts w:asciiTheme="minorHAnsi" w:hAnsiTheme="minorHAnsi" w:cstheme="minorHAnsi"/>
        </w:rPr>
        <w:t xml:space="preserve"> (15), 6922-6934 (2000).</w:t>
      </w:r>
      <w:bookmarkEnd w:id="35"/>
    </w:p>
    <w:p w14:paraId="63C3E191" w14:textId="68197C66" w:rsidR="00016D51" w:rsidRPr="007F69E4" w:rsidRDefault="00016D51" w:rsidP="00655DD5">
      <w:pPr>
        <w:pStyle w:val="EndNoteBibliography"/>
        <w:rPr>
          <w:rFonts w:asciiTheme="minorHAnsi" w:hAnsiTheme="minorHAnsi" w:cstheme="minorHAnsi"/>
        </w:rPr>
      </w:pPr>
      <w:bookmarkStart w:id="36" w:name="_ENREF_24"/>
      <w:r w:rsidRPr="007F69E4">
        <w:rPr>
          <w:rFonts w:asciiTheme="minorHAnsi" w:hAnsiTheme="minorHAnsi" w:cstheme="minorHAnsi"/>
        </w:rPr>
        <w:t>24</w:t>
      </w:r>
      <w:r w:rsidRPr="007F69E4">
        <w:rPr>
          <w:rFonts w:asciiTheme="minorHAnsi" w:hAnsiTheme="minorHAnsi" w:cstheme="minorHAnsi"/>
        </w:rPr>
        <w:tab/>
        <w:t>Fu T.M.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An endoplasmic reticulum-targeting signal sequence enhances the immunogenicity of an immunorecessive simian virus 40 large T antigen cytotoxic T-lymphocyte epitope. </w:t>
      </w:r>
      <w:r w:rsidRPr="007F69E4">
        <w:rPr>
          <w:rFonts w:asciiTheme="minorHAnsi" w:hAnsiTheme="minorHAnsi" w:cstheme="minorHAnsi"/>
          <w:i/>
        </w:rPr>
        <w:t>J</w:t>
      </w:r>
      <w:r w:rsidR="00AF2A8A" w:rsidRPr="007F69E4">
        <w:rPr>
          <w:rFonts w:asciiTheme="minorHAnsi" w:hAnsiTheme="minorHAnsi" w:cstheme="minorHAnsi"/>
          <w:i/>
        </w:rPr>
        <w:t>ournal of</w:t>
      </w:r>
      <w:r w:rsidRPr="007F69E4">
        <w:rPr>
          <w:rFonts w:asciiTheme="minorHAnsi" w:hAnsiTheme="minorHAnsi" w:cstheme="minorHAnsi"/>
          <w:i/>
        </w:rPr>
        <w:t xml:space="preserve"> Virol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72</w:t>
      </w:r>
      <w:r w:rsidRPr="007F69E4">
        <w:rPr>
          <w:rFonts w:asciiTheme="minorHAnsi" w:hAnsiTheme="minorHAnsi" w:cstheme="minorHAnsi"/>
        </w:rPr>
        <w:t xml:space="preserve"> (2), 1469-1481 (1998).</w:t>
      </w:r>
      <w:bookmarkEnd w:id="36"/>
    </w:p>
    <w:p w14:paraId="6CB1751A" w14:textId="608466FB" w:rsidR="00016D51" w:rsidRPr="007F69E4" w:rsidRDefault="00016D51" w:rsidP="00655DD5">
      <w:pPr>
        <w:pStyle w:val="EndNoteBibliography"/>
        <w:rPr>
          <w:rFonts w:asciiTheme="minorHAnsi" w:hAnsiTheme="minorHAnsi" w:cstheme="minorHAnsi"/>
        </w:rPr>
      </w:pPr>
      <w:bookmarkStart w:id="37" w:name="_ENREF_25"/>
      <w:r w:rsidRPr="007F69E4">
        <w:rPr>
          <w:rFonts w:asciiTheme="minorHAnsi" w:hAnsiTheme="minorHAnsi" w:cstheme="minorHAnsi"/>
        </w:rPr>
        <w:t>25</w:t>
      </w:r>
      <w:r w:rsidRPr="007F69E4">
        <w:rPr>
          <w:rFonts w:asciiTheme="minorHAnsi" w:hAnsiTheme="minorHAnsi" w:cstheme="minorHAnsi"/>
        </w:rPr>
        <w:tab/>
        <w:t>Chen, W.</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Cross-priming of CD8+ T cells by viral and tumor antigens is a robust phenomenon. </w:t>
      </w:r>
      <w:r w:rsidRPr="007F69E4">
        <w:rPr>
          <w:rFonts w:asciiTheme="minorHAnsi" w:hAnsiTheme="minorHAnsi" w:cstheme="minorHAnsi"/>
          <w:i/>
        </w:rPr>
        <w:t>Eur</w:t>
      </w:r>
      <w:r w:rsidR="00AF2A8A" w:rsidRPr="007F69E4">
        <w:rPr>
          <w:rFonts w:asciiTheme="minorHAnsi" w:hAnsiTheme="minorHAnsi" w:cstheme="minorHAnsi"/>
          <w:i/>
        </w:rPr>
        <w:t>opean</w:t>
      </w:r>
      <w:r w:rsidRPr="007F69E4">
        <w:rPr>
          <w:rFonts w:asciiTheme="minorHAnsi" w:hAnsiTheme="minorHAnsi" w:cstheme="minorHAnsi"/>
          <w:i/>
        </w:rPr>
        <w:t xml:space="preserve"> J</w:t>
      </w:r>
      <w:r w:rsidR="00AF2A8A" w:rsidRPr="007F69E4">
        <w:rPr>
          <w:rFonts w:asciiTheme="minorHAnsi" w:hAnsiTheme="minorHAnsi" w:cstheme="minorHAnsi"/>
          <w:i/>
        </w:rPr>
        <w:t>ournal of</w:t>
      </w:r>
      <w:r w:rsidRPr="007F69E4">
        <w:rPr>
          <w:rFonts w:asciiTheme="minorHAnsi" w:hAnsiTheme="minorHAnsi" w:cstheme="minorHAnsi"/>
          <w:i/>
        </w:rPr>
        <w:t xml:space="preserve"> Immunol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34</w:t>
      </w:r>
      <w:r w:rsidRPr="007F69E4">
        <w:rPr>
          <w:rFonts w:asciiTheme="minorHAnsi" w:hAnsiTheme="minorHAnsi" w:cstheme="minorHAnsi"/>
        </w:rPr>
        <w:t xml:space="preserve"> (1), 194-199 (2004).</w:t>
      </w:r>
      <w:bookmarkEnd w:id="37"/>
    </w:p>
    <w:p w14:paraId="6EE66931" w14:textId="3FE7E347" w:rsidR="00016D51" w:rsidRPr="007F69E4" w:rsidRDefault="00016D51" w:rsidP="00655DD5">
      <w:pPr>
        <w:pStyle w:val="EndNoteBibliography"/>
        <w:rPr>
          <w:rFonts w:asciiTheme="minorHAnsi" w:hAnsiTheme="minorHAnsi" w:cstheme="minorHAnsi"/>
        </w:rPr>
      </w:pPr>
      <w:bookmarkStart w:id="38" w:name="_ENREF_26"/>
      <w:r w:rsidRPr="007F69E4">
        <w:rPr>
          <w:rFonts w:asciiTheme="minorHAnsi" w:hAnsiTheme="minorHAnsi" w:cstheme="minorHAnsi"/>
        </w:rPr>
        <w:t>26</w:t>
      </w:r>
      <w:r w:rsidRPr="007F69E4">
        <w:rPr>
          <w:rFonts w:asciiTheme="minorHAnsi" w:hAnsiTheme="minorHAnsi" w:cstheme="minorHAnsi"/>
        </w:rPr>
        <w:tab/>
        <w:t>Memarnejadian, A., Meilleur, C. E., Mazzuca, D. M., Welch, I. D.</w:t>
      </w:r>
      <w:r w:rsidR="00AE7EFA">
        <w:rPr>
          <w:rFonts w:asciiTheme="minorHAnsi" w:hAnsiTheme="minorHAnsi" w:cstheme="minorHAnsi"/>
        </w:rPr>
        <w:t>,</w:t>
      </w:r>
      <w:r w:rsidRPr="007F69E4">
        <w:rPr>
          <w:rFonts w:asciiTheme="minorHAnsi" w:hAnsiTheme="minorHAnsi" w:cstheme="minorHAnsi"/>
        </w:rPr>
        <w:t xml:space="preserve"> Haeryfar, S. M. Quantification of Alloantibody-Mediated Cytotoxicity In Vivo. </w:t>
      </w:r>
      <w:r w:rsidRPr="007F69E4">
        <w:rPr>
          <w:rFonts w:asciiTheme="minorHAnsi" w:hAnsiTheme="minorHAnsi" w:cstheme="minorHAnsi"/>
          <w:i/>
        </w:rPr>
        <w:t>Transplantation.</w:t>
      </w:r>
      <w:r w:rsidRPr="007F69E4">
        <w:rPr>
          <w:rFonts w:asciiTheme="minorHAnsi" w:hAnsiTheme="minorHAnsi" w:cstheme="minorHAnsi"/>
        </w:rPr>
        <w:t xml:space="preserve"> </w:t>
      </w:r>
      <w:r w:rsidRPr="007F69E4">
        <w:rPr>
          <w:rFonts w:asciiTheme="minorHAnsi" w:hAnsiTheme="minorHAnsi" w:cstheme="minorHAnsi"/>
          <w:b/>
        </w:rPr>
        <w:t>100</w:t>
      </w:r>
      <w:r w:rsidRPr="007F69E4">
        <w:rPr>
          <w:rFonts w:asciiTheme="minorHAnsi" w:hAnsiTheme="minorHAnsi" w:cstheme="minorHAnsi"/>
        </w:rPr>
        <w:t xml:space="preserve"> (5), 1041-1051 (2016).</w:t>
      </w:r>
      <w:bookmarkEnd w:id="38"/>
    </w:p>
    <w:p w14:paraId="185E7BA8" w14:textId="402D0323" w:rsidR="00016D51" w:rsidRPr="007F69E4" w:rsidRDefault="00016D51" w:rsidP="00655DD5">
      <w:pPr>
        <w:pStyle w:val="EndNoteBibliography"/>
        <w:rPr>
          <w:rFonts w:asciiTheme="minorHAnsi" w:hAnsiTheme="minorHAnsi" w:cstheme="minorHAnsi"/>
        </w:rPr>
      </w:pPr>
      <w:bookmarkStart w:id="39" w:name="_ENREF_27"/>
      <w:r w:rsidRPr="007F69E4">
        <w:rPr>
          <w:rFonts w:asciiTheme="minorHAnsi" w:hAnsiTheme="minorHAnsi" w:cstheme="minorHAnsi"/>
        </w:rPr>
        <w:t>27</w:t>
      </w:r>
      <w:r w:rsidRPr="007F69E4">
        <w:rPr>
          <w:rFonts w:asciiTheme="minorHAnsi" w:hAnsiTheme="minorHAnsi" w:cstheme="minorHAnsi"/>
        </w:rPr>
        <w:tab/>
        <w:t>Aichele, P.</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Peptide antigen treatment of naive and virus-immune mice: antigen-specific tolerance versus immunopathology. </w:t>
      </w:r>
      <w:r w:rsidRPr="007F69E4">
        <w:rPr>
          <w:rFonts w:asciiTheme="minorHAnsi" w:hAnsiTheme="minorHAnsi" w:cstheme="minorHAnsi"/>
          <w:i/>
        </w:rPr>
        <w:t>Immunity.</w:t>
      </w:r>
      <w:r w:rsidRPr="007F69E4">
        <w:rPr>
          <w:rFonts w:asciiTheme="minorHAnsi" w:hAnsiTheme="minorHAnsi" w:cstheme="minorHAnsi"/>
        </w:rPr>
        <w:t xml:space="preserve"> </w:t>
      </w:r>
      <w:r w:rsidRPr="007F69E4">
        <w:rPr>
          <w:rFonts w:asciiTheme="minorHAnsi" w:hAnsiTheme="minorHAnsi" w:cstheme="minorHAnsi"/>
          <w:b/>
        </w:rPr>
        <w:t>6</w:t>
      </w:r>
      <w:r w:rsidRPr="007F69E4">
        <w:rPr>
          <w:rFonts w:asciiTheme="minorHAnsi" w:hAnsiTheme="minorHAnsi" w:cstheme="minorHAnsi"/>
        </w:rPr>
        <w:t xml:space="preserve"> (5), 519-529 (1997).</w:t>
      </w:r>
      <w:bookmarkEnd w:id="39"/>
    </w:p>
    <w:p w14:paraId="7BBAA36F" w14:textId="3EBD6F43" w:rsidR="00016D51" w:rsidRPr="007F69E4" w:rsidRDefault="00016D51" w:rsidP="00655DD5">
      <w:pPr>
        <w:pStyle w:val="EndNoteBibliography"/>
        <w:rPr>
          <w:rFonts w:asciiTheme="minorHAnsi" w:hAnsiTheme="minorHAnsi" w:cstheme="minorHAnsi"/>
        </w:rPr>
      </w:pPr>
      <w:bookmarkStart w:id="40" w:name="_ENREF_28"/>
      <w:r w:rsidRPr="007F69E4">
        <w:rPr>
          <w:rFonts w:asciiTheme="minorHAnsi" w:hAnsiTheme="minorHAnsi" w:cstheme="minorHAnsi"/>
        </w:rPr>
        <w:t>28</w:t>
      </w:r>
      <w:r w:rsidRPr="007F69E4">
        <w:rPr>
          <w:rFonts w:asciiTheme="minorHAnsi" w:hAnsiTheme="minorHAnsi" w:cstheme="minorHAnsi"/>
        </w:rPr>
        <w:tab/>
        <w:t>Oehen, S.</w:t>
      </w:r>
      <w:r w:rsidR="00AE7EFA">
        <w:rPr>
          <w:rFonts w:asciiTheme="minorHAnsi" w:hAnsiTheme="minorHAnsi" w:cstheme="minorHAnsi"/>
        </w:rPr>
        <w:t>,</w:t>
      </w:r>
      <w:r w:rsidRPr="007F69E4">
        <w:rPr>
          <w:rFonts w:asciiTheme="minorHAnsi" w:hAnsiTheme="minorHAnsi" w:cstheme="minorHAnsi"/>
        </w:rPr>
        <w:t xml:space="preserve"> Brduscha-Riem, K. Differentiation of naive CTL to effector and memory CTL: correlation of effector function with phenotype and cell division. </w:t>
      </w:r>
      <w:r w:rsidR="00AF2A8A" w:rsidRPr="007F69E4">
        <w:rPr>
          <w:rFonts w:asciiTheme="minorHAnsi" w:hAnsiTheme="minorHAnsi" w:cstheme="minorHAnsi"/>
          <w:i/>
        </w:rPr>
        <w:t xml:space="preserve">The </w:t>
      </w:r>
      <w:r w:rsidRPr="007F69E4">
        <w:rPr>
          <w:rFonts w:asciiTheme="minorHAnsi" w:hAnsiTheme="minorHAnsi" w:cstheme="minorHAnsi"/>
          <w:i/>
        </w:rPr>
        <w:t>J</w:t>
      </w:r>
      <w:r w:rsidR="00AF2A8A" w:rsidRPr="007F69E4">
        <w:rPr>
          <w:rFonts w:asciiTheme="minorHAnsi" w:hAnsiTheme="minorHAnsi" w:cstheme="minorHAnsi"/>
          <w:i/>
        </w:rPr>
        <w:t>ournal of</w:t>
      </w:r>
      <w:r w:rsidRPr="007F69E4">
        <w:rPr>
          <w:rFonts w:asciiTheme="minorHAnsi" w:hAnsiTheme="minorHAnsi" w:cstheme="minorHAnsi"/>
          <w:i/>
        </w:rPr>
        <w:t xml:space="preserve"> Immunol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161</w:t>
      </w:r>
      <w:r w:rsidRPr="007F69E4">
        <w:rPr>
          <w:rFonts w:asciiTheme="minorHAnsi" w:hAnsiTheme="minorHAnsi" w:cstheme="minorHAnsi"/>
        </w:rPr>
        <w:t xml:space="preserve"> (10), 5338-5346 (1998).</w:t>
      </w:r>
      <w:bookmarkEnd w:id="40"/>
    </w:p>
    <w:p w14:paraId="421CDD7F" w14:textId="20FB9C93" w:rsidR="00016D51" w:rsidRPr="007F69E4" w:rsidRDefault="00016D51" w:rsidP="00655DD5">
      <w:pPr>
        <w:pStyle w:val="EndNoteBibliography"/>
        <w:rPr>
          <w:rFonts w:asciiTheme="minorHAnsi" w:hAnsiTheme="minorHAnsi" w:cstheme="minorHAnsi"/>
        </w:rPr>
      </w:pPr>
      <w:bookmarkStart w:id="41" w:name="_ENREF_29"/>
      <w:r w:rsidRPr="007F69E4">
        <w:rPr>
          <w:rFonts w:asciiTheme="minorHAnsi" w:hAnsiTheme="minorHAnsi" w:cstheme="minorHAnsi"/>
        </w:rPr>
        <w:t>29</w:t>
      </w:r>
      <w:r w:rsidRPr="007F69E4">
        <w:rPr>
          <w:rFonts w:asciiTheme="minorHAnsi" w:hAnsiTheme="minorHAnsi" w:cstheme="minorHAnsi"/>
        </w:rPr>
        <w:tab/>
        <w:t>Coles, R. M., Mueller, S. N., Heath, W. R., Carbone, F. R.</w:t>
      </w:r>
      <w:r w:rsidR="00AE7EFA">
        <w:rPr>
          <w:rFonts w:asciiTheme="minorHAnsi" w:hAnsiTheme="minorHAnsi" w:cstheme="minorHAnsi"/>
        </w:rPr>
        <w:t>,</w:t>
      </w:r>
      <w:r w:rsidRPr="007F69E4">
        <w:rPr>
          <w:rFonts w:asciiTheme="minorHAnsi" w:hAnsiTheme="minorHAnsi" w:cstheme="minorHAnsi"/>
        </w:rPr>
        <w:t xml:space="preserve"> Brooks, A. G. Progression of armed CTL from draining lymph node to spleen shortly after localized infection with herpes simplex virus 1. </w:t>
      </w:r>
      <w:r w:rsidR="00AF2A8A" w:rsidRPr="007F69E4">
        <w:rPr>
          <w:rFonts w:asciiTheme="minorHAnsi" w:hAnsiTheme="minorHAnsi" w:cstheme="minorHAnsi"/>
          <w:i/>
        </w:rPr>
        <w:t xml:space="preserve">The </w:t>
      </w:r>
      <w:r w:rsidRPr="007F69E4">
        <w:rPr>
          <w:rFonts w:asciiTheme="minorHAnsi" w:hAnsiTheme="minorHAnsi" w:cstheme="minorHAnsi"/>
          <w:i/>
        </w:rPr>
        <w:t>J</w:t>
      </w:r>
      <w:r w:rsidR="00AF2A8A" w:rsidRPr="007F69E4">
        <w:rPr>
          <w:rFonts w:asciiTheme="minorHAnsi" w:hAnsiTheme="minorHAnsi" w:cstheme="minorHAnsi"/>
          <w:i/>
        </w:rPr>
        <w:t>ournal of</w:t>
      </w:r>
      <w:r w:rsidRPr="007F69E4">
        <w:rPr>
          <w:rFonts w:asciiTheme="minorHAnsi" w:hAnsiTheme="minorHAnsi" w:cstheme="minorHAnsi"/>
          <w:i/>
        </w:rPr>
        <w:t xml:space="preserve"> Immunol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168</w:t>
      </w:r>
      <w:r w:rsidRPr="007F69E4">
        <w:rPr>
          <w:rFonts w:asciiTheme="minorHAnsi" w:hAnsiTheme="minorHAnsi" w:cstheme="minorHAnsi"/>
        </w:rPr>
        <w:t xml:space="preserve"> (2), 834-838 (2002).</w:t>
      </w:r>
      <w:bookmarkEnd w:id="41"/>
    </w:p>
    <w:p w14:paraId="686A3ADC" w14:textId="1742A605" w:rsidR="00016D51" w:rsidRPr="007F69E4" w:rsidRDefault="00016D51" w:rsidP="00655DD5">
      <w:pPr>
        <w:pStyle w:val="EndNoteBibliography"/>
        <w:rPr>
          <w:rFonts w:asciiTheme="minorHAnsi" w:hAnsiTheme="minorHAnsi" w:cstheme="minorHAnsi"/>
        </w:rPr>
      </w:pPr>
      <w:bookmarkStart w:id="42" w:name="_ENREF_30"/>
      <w:r w:rsidRPr="007F69E4">
        <w:rPr>
          <w:rFonts w:asciiTheme="minorHAnsi" w:hAnsiTheme="minorHAnsi" w:cstheme="minorHAnsi"/>
        </w:rPr>
        <w:t>30</w:t>
      </w:r>
      <w:r w:rsidRPr="007F69E4">
        <w:rPr>
          <w:rFonts w:asciiTheme="minorHAnsi" w:hAnsiTheme="minorHAnsi" w:cstheme="minorHAnsi"/>
        </w:rPr>
        <w:tab/>
        <w:t>Barber, D. L., Wherry, E. J.</w:t>
      </w:r>
      <w:r w:rsidR="00AE7EFA">
        <w:rPr>
          <w:rFonts w:asciiTheme="minorHAnsi" w:hAnsiTheme="minorHAnsi" w:cstheme="minorHAnsi"/>
        </w:rPr>
        <w:t>,</w:t>
      </w:r>
      <w:r w:rsidRPr="007F69E4">
        <w:rPr>
          <w:rFonts w:asciiTheme="minorHAnsi" w:hAnsiTheme="minorHAnsi" w:cstheme="minorHAnsi"/>
        </w:rPr>
        <w:t xml:space="preserve"> Ahmed, R. Cutting edge: rapid in vivo killing by memory CD8 T cells. </w:t>
      </w:r>
      <w:r w:rsidR="00AF2A8A" w:rsidRPr="007F69E4">
        <w:rPr>
          <w:rFonts w:asciiTheme="minorHAnsi" w:hAnsiTheme="minorHAnsi" w:cstheme="minorHAnsi"/>
          <w:i/>
        </w:rPr>
        <w:t xml:space="preserve">The </w:t>
      </w:r>
      <w:r w:rsidRPr="007F69E4">
        <w:rPr>
          <w:rFonts w:asciiTheme="minorHAnsi" w:hAnsiTheme="minorHAnsi" w:cstheme="minorHAnsi"/>
          <w:i/>
        </w:rPr>
        <w:t>J</w:t>
      </w:r>
      <w:r w:rsidR="00AF2A8A" w:rsidRPr="007F69E4">
        <w:rPr>
          <w:rFonts w:asciiTheme="minorHAnsi" w:hAnsiTheme="minorHAnsi" w:cstheme="minorHAnsi"/>
          <w:i/>
        </w:rPr>
        <w:t>ournal</w:t>
      </w:r>
      <w:r w:rsidRPr="007F69E4">
        <w:rPr>
          <w:rFonts w:asciiTheme="minorHAnsi" w:hAnsiTheme="minorHAnsi" w:cstheme="minorHAnsi"/>
          <w:i/>
        </w:rPr>
        <w:t xml:space="preserve"> </w:t>
      </w:r>
      <w:r w:rsidR="00AF2A8A" w:rsidRPr="007F69E4">
        <w:rPr>
          <w:rFonts w:asciiTheme="minorHAnsi" w:hAnsiTheme="minorHAnsi" w:cstheme="minorHAnsi"/>
          <w:i/>
        </w:rPr>
        <w:t xml:space="preserve">of </w:t>
      </w:r>
      <w:r w:rsidRPr="007F69E4">
        <w:rPr>
          <w:rFonts w:asciiTheme="minorHAnsi" w:hAnsiTheme="minorHAnsi" w:cstheme="minorHAnsi"/>
          <w:i/>
        </w:rPr>
        <w:t>Immunol</w:t>
      </w:r>
      <w:r w:rsidR="00AF2A8A"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171</w:t>
      </w:r>
      <w:r w:rsidRPr="007F69E4">
        <w:rPr>
          <w:rFonts w:asciiTheme="minorHAnsi" w:hAnsiTheme="minorHAnsi" w:cstheme="minorHAnsi"/>
        </w:rPr>
        <w:t xml:space="preserve"> (1), 27-31 (2003).</w:t>
      </w:r>
      <w:bookmarkEnd w:id="42"/>
    </w:p>
    <w:p w14:paraId="4E60EF13" w14:textId="27CF56CE" w:rsidR="00016D51" w:rsidRPr="007F69E4" w:rsidRDefault="00016D51" w:rsidP="00655DD5">
      <w:pPr>
        <w:pStyle w:val="EndNoteBibliography"/>
        <w:rPr>
          <w:rFonts w:asciiTheme="minorHAnsi" w:hAnsiTheme="minorHAnsi" w:cstheme="minorHAnsi"/>
        </w:rPr>
      </w:pPr>
      <w:bookmarkStart w:id="43" w:name="_ENREF_31"/>
      <w:r w:rsidRPr="007F69E4">
        <w:rPr>
          <w:rFonts w:asciiTheme="minorHAnsi" w:hAnsiTheme="minorHAnsi" w:cstheme="minorHAnsi"/>
        </w:rPr>
        <w:t>31</w:t>
      </w:r>
      <w:r w:rsidRPr="007F69E4">
        <w:rPr>
          <w:rFonts w:asciiTheme="minorHAnsi" w:hAnsiTheme="minorHAnsi" w:cstheme="minorHAnsi"/>
        </w:rPr>
        <w:tab/>
        <w:t>Meilleur, C. E.</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Bacterial superantigens expand and activate, rather than delete or incapacitate, preexisting antigen-specific memory CD8+ T cells. </w:t>
      </w:r>
      <w:r w:rsidR="00274AD3" w:rsidRPr="007F69E4">
        <w:rPr>
          <w:rFonts w:asciiTheme="minorHAnsi" w:hAnsiTheme="minorHAnsi" w:cstheme="minorHAnsi"/>
          <w:i/>
        </w:rPr>
        <w:t xml:space="preserve">The </w:t>
      </w:r>
      <w:r w:rsidRPr="007F69E4">
        <w:rPr>
          <w:rFonts w:asciiTheme="minorHAnsi" w:hAnsiTheme="minorHAnsi" w:cstheme="minorHAnsi"/>
          <w:i/>
        </w:rPr>
        <w:t>J</w:t>
      </w:r>
      <w:r w:rsidR="00B474C9" w:rsidRPr="007F69E4">
        <w:rPr>
          <w:rFonts w:asciiTheme="minorHAnsi" w:hAnsiTheme="minorHAnsi" w:cstheme="minorHAnsi"/>
          <w:i/>
        </w:rPr>
        <w:t>ournal of</w:t>
      </w:r>
      <w:r w:rsidRPr="007F69E4">
        <w:rPr>
          <w:rFonts w:asciiTheme="minorHAnsi" w:hAnsiTheme="minorHAnsi" w:cstheme="minorHAnsi"/>
          <w:i/>
        </w:rPr>
        <w:t xml:space="preserve"> Infect</w:t>
      </w:r>
      <w:r w:rsidR="00B474C9" w:rsidRPr="007F69E4">
        <w:rPr>
          <w:rFonts w:asciiTheme="minorHAnsi" w:hAnsiTheme="minorHAnsi" w:cstheme="minorHAnsi"/>
          <w:i/>
        </w:rPr>
        <w:t>ious</w:t>
      </w:r>
      <w:r w:rsidRPr="007F69E4">
        <w:rPr>
          <w:rFonts w:asciiTheme="minorHAnsi" w:hAnsiTheme="minorHAnsi" w:cstheme="minorHAnsi"/>
          <w:i/>
        </w:rPr>
        <w:t xml:space="preserve"> Dis</w:t>
      </w:r>
      <w:r w:rsidR="00B474C9" w:rsidRPr="007F69E4">
        <w:rPr>
          <w:rFonts w:asciiTheme="minorHAnsi" w:hAnsiTheme="minorHAnsi" w:cstheme="minorHAnsi"/>
          <w:i/>
        </w:rPr>
        <w:t>eases</w:t>
      </w:r>
      <w:r w:rsidRPr="007F69E4">
        <w:rPr>
          <w:rFonts w:asciiTheme="minorHAnsi" w:hAnsiTheme="minorHAnsi" w:cstheme="minorHAnsi"/>
          <w:i/>
        </w:rPr>
        <w:t>.</w:t>
      </w:r>
      <w:r w:rsidRPr="007F69E4">
        <w:rPr>
          <w:rFonts w:asciiTheme="minorHAnsi" w:hAnsiTheme="minorHAnsi" w:cstheme="minorHAnsi"/>
        </w:rPr>
        <w:t xml:space="preserve"> Epub ahead of print, (2018).</w:t>
      </w:r>
      <w:bookmarkEnd w:id="43"/>
    </w:p>
    <w:p w14:paraId="77C08DFB" w14:textId="4617DC2D" w:rsidR="00016D51" w:rsidRPr="007F69E4" w:rsidRDefault="00016D51" w:rsidP="00655DD5">
      <w:pPr>
        <w:pStyle w:val="EndNoteBibliography"/>
        <w:rPr>
          <w:rFonts w:asciiTheme="minorHAnsi" w:hAnsiTheme="minorHAnsi" w:cstheme="minorHAnsi"/>
        </w:rPr>
      </w:pPr>
      <w:bookmarkStart w:id="44" w:name="_ENREF_32"/>
      <w:r w:rsidRPr="007F69E4">
        <w:rPr>
          <w:rFonts w:asciiTheme="minorHAnsi" w:hAnsiTheme="minorHAnsi" w:cstheme="minorHAnsi"/>
        </w:rPr>
        <w:t>32</w:t>
      </w:r>
      <w:r w:rsidRPr="007F69E4">
        <w:rPr>
          <w:rFonts w:asciiTheme="minorHAnsi" w:hAnsiTheme="minorHAnsi" w:cstheme="minorHAnsi"/>
        </w:rPr>
        <w:tab/>
        <w:t>Goldszmid, R. S.</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Dendritic cells charged with apoptotic tumor cells induce long-lived protective CD4+ and CD8+ T cell immunity against B16 melanoma. </w:t>
      </w:r>
      <w:r w:rsidR="00B474C9" w:rsidRPr="007F69E4">
        <w:rPr>
          <w:rFonts w:asciiTheme="minorHAnsi" w:hAnsiTheme="minorHAnsi" w:cstheme="minorHAnsi"/>
          <w:i/>
        </w:rPr>
        <w:t xml:space="preserve">The </w:t>
      </w:r>
      <w:r w:rsidRPr="007F69E4">
        <w:rPr>
          <w:rFonts w:asciiTheme="minorHAnsi" w:hAnsiTheme="minorHAnsi" w:cstheme="minorHAnsi"/>
          <w:i/>
        </w:rPr>
        <w:t>J</w:t>
      </w:r>
      <w:r w:rsidR="00B474C9" w:rsidRPr="007F69E4">
        <w:rPr>
          <w:rFonts w:asciiTheme="minorHAnsi" w:hAnsiTheme="minorHAnsi" w:cstheme="minorHAnsi"/>
          <w:i/>
        </w:rPr>
        <w:t>ournal of</w:t>
      </w:r>
      <w:r w:rsidRPr="007F69E4">
        <w:rPr>
          <w:rFonts w:asciiTheme="minorHAnsi" w:hAnsiTheme="minorHAnsi" w:cstheme="minorHAnsi"/>
          <w:i/>
        </w:rPr>
        <w:t xml:space="preserve"> Immunol</w:t>
      </w:r>
      <w:r w:rsidR="00B474C9"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171</w:t>
      </w:r>
      <w:r w:rsidRPr="007F69E4">
        <w:rPr>
          <w:rFonts w:asciiTheme="minorHAnsi" w:hAnsiTheme="minorHAnsi" w:cstheme="minorHAnsi"/>
        </w:rPr>
        <w:t xml:space="preserve"> (11), 5940-5947 (2003).</w:t>
      </w:r>
      <w:bookmarkEnd w:id="44"/>
    </w:p>
    <w:p w14:paraId="3113CD78" w14:textId="0D67F69B" w:rsidR="00016D51" w:rsidRPr="007F69E4" w:rsidRDefault="00016D51" w:rsidP="00655DD5">
      <w:pPr>
        <w:pStyle w:val="EndNoteBibliography"/>
        <w:rPr>
          <w:rFonts w:asciiTheme="minorHAnsi" w:hAnsiTheme="minorHAnsi" w:cstheme="minorHAnsi"/>
        </w:rPr>
      </w:pPr>
      <w:bookmarkStart w:id="45" w:name="_ENREF_33"/>
      <w:r w:rsidRPr="007F69E4">
        <w:rPr>
          <w:rFonts w:asciiTheme="minorHAnsi" w:hAnsiTheme="minorHAnsi" w:cstheme="minorHAnsi"/>
        </w:rPr>
        <w:t>33</w:t>
      </w:r>
      <w:r w:rsidRPr="007F69E4">
        <w:rPr>
          <w:rFonts w:asciiTheme="minorHAnsi" w:hAnsiTheme="minorHAnsi" w:cstheme="minorHAnsi"/>
        </w:rPr>
        <w:tab/>
        <w:t>Oberg, L.</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Loss or mismatch of MHC class I is sufficient to trigger NK cell-mediated rejection of resting lymphocytes in vivo - role of KARAP/DAP12-dependent and -independent pathways. </w:t>
      </w:r>
      <w:r w:rsidRPr="007F69E4">
        <w:rPr>
          <w:rFonts w:asciiTheme="minorHAnsi" w:hAnsiTheme="minorHAnsi" w:cstheme="minorHAnsi"/>
          <w:i/>
        </w:rPr>
        <w:t>Eur</w:t>
      </w:r>
      <w:r w:rsidR="00B474C9" w:rsidRPr="007F69E4">
        <w:rPr>
          <w:rFonts w:asciiTheme="minorHAnsi" w:hAnsiTheme="minorHAnsi" w:cstheme="minorHAnsi"/>
          <w:i/>
        </w:rPr>
        <w:t>opean</w:t>
      </w:r>
      <w:r w:rsidRPr="007F69E4">
        <w:rPr>
          <w:rFonts w:asciiTheme="minorHAnsi" w:hAnsiTheme="minorHAnsi" w:cstheme="minorHAnsi"/>
          <w:i/>
        </w:rPr>
        <w:t xml:space="preserve"> J</w:t>
      </w:r>
      <w:r w:rsidR="00B474C9" w:rsidRPr="007F69E4">
        <w:rPr>
          <w:rFonts w:asciiTheme="minorHAnsi" w:hAnsiTheme="minorHAnsi" w:cstheme="minorHAnsi"/>
          <w:i/>
        </w:rPr>
        <w:t>ournal</w:t>
      </w:r>
      <w:r w:rsidRPr="007F69E4">
        <w:rPr>
          <w:rFonts w:asciiTheme="minorHAnsi" w:hAnsiTheme="minorHAnsi" w:cstheme="minorHAnsi"/>
          <w:i/>
        </w:rPr>
        <w:t xml:space="preserve"> </w:t>
      </w:r>
      <w:r w:rsidR="00B474C9" w:rsidRPr="007F69E4">
        <w:rPr>
          <w:rFonts w:asciiTheme="minorHAnsi" w:hAnsiTheme="minorHAnsi" w:cstheme="minorHAnsi"/>
          <w:i/>
        </w:rPr>
        <w:t xml:space="preserve">of </w:t>
      </w:r>
      <w:r w:rsidRPr="007F69E4">
        <w:rPr>
          <w:rFonts w:asciiTheme="minorHAnsi" w:hAnsiTheme="minorHAnsi" w:cstheme="minorHAnsi"/>
          <w:i/>
        </w:rPr>
        <w:t>Immunol</w:t>
      </w:r>
      <w:r w:rsidR="00B474C9"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34</w:t>
      </w:r>
      <w:r w:rsidRPr="007F69E4">
        <w:rPr>
          <w:rFonts w:asciiTheme="minorHAnsi" w:hAnsiTheme="minorHAnsi" w:cstheme="minorHAnsi"/>
        </w:rPr>
        <w:t xml:space="preserve"> (6), 1646-1653 (2004).</w:t>
      </w:r>
      <w:bookmarkEnd w:id="45"/>
    </w:p>
    <w:p w14:paraId="5FBE5506" w14:textId="3B23BC1D" w:rsidR="00016D51" w:rsidRPr="007F69E4" w:rsidRDefault="00016D51" w:rsidP="00655DD5">
      <w:pPr>
        <w:pStyle w:val="EndNoteBibliography"/>
        <w:rPr>
          <w:rFonts w:asciiTheme="minorHAnsi" w:hAnsiTheme="minorHAnsi" w:cstheme="minorHAnsi"/>
        </w:rPr>
      </w:pPr>
      <w:bookmarkStart w:id="46" w:name="_ENREF_34"/>
      <w:r w:rsidRPr="007F69E4">
        <w:rPr>
          <w:rFonts w:asciiTheme="minorHAnsi" w:hAnsiTheme="minorHAnsi" w:cstheme="minorHAnsi"/>
        </w:rPr>
        <w:t>34</w:t>
      </w:r>
      <w:r w:rsidRPr="007F69E4">
        <w:rPr>
          <w:rFonts w:asciiTheme="minorHAnsi" w:hAnsiTheme="minorHAnsi" w:cstheme="minorHAnsi"/>
        </w:rPr>
        <w:tab/>
        <w:t>Wingender, G., Krebs, P., Beutler, B.</w:t>
      </w:r>
      <w:r w:rsidR="00AE7EFA">
        <w:rPr>
          <w:rFonts w:asciiTheme="minorHAnsi" w:hAnsiTheme="minorHAnsi" w:cstheme="minorHAnsi"/>
        </w:rPr>
        <w:t>,</w:t>
      </w:r>
      <w:r w:rsidRPr="007F69E4">
        <w:rPr>
          <w:rFonts w:asciiTheme="minorHAnsi" w:hAnsiTheme="minorHAnsi" w:cstheme="minorHAnsi"/>
        </w:rPr>
        <w:t xml:space="preserve"> Kronenberg, M. Antigen-specific cytotoxicity by invariant NKT cells in vivo is CD95/CD178-dependent and is correlated with antigenic potency. </w:t>
      </w:r>
      <w:r w:rsidR="00B474C9" w:rsidRPr="007F69E4">
        <w:rPr>
          <w:rFonts w:asciiTheme="minorHAnsi" w:hAnsiTheme="minorHAnsi" w:cstheme="minorHAnsi"/>
          <w:i/>
        </w:rPr>
        <w:t xml:space="preserve">The </w:t>
      </w:r>
      <w:r w:rsidRPr="007F69E4">
        <w:rPr>
          <w:rFonts w:asciiTheme="minorHAnsi" w:hAnsiTheme="minorHAnsi" w:cstheme="minorHAnsi"/>
          <w:i/>
        </w:rPr>
        <w:t>J</w:t>
      </w:r>
      <w:r w:rsidR="00B474C9" w:rsidRPr="007F69E4">
        <w:rPr>
          <w:rFonts w:asciiTheme="minorHAnsi" w:hAnsiTheme="minorHAnsi" w:cstheme="minorHAnsi"/>
          <w:i/>
        </w:rPr>
        <w:t>ournal of</w:t>
      </w:r>
      <w:r w:rsidRPr="007F69E4">
        <w:rPr>
          <w:rFonts w:asciiTheme="minorHAnsi" w:hAnsiTheme="minorHAnsi" w:cstheme="minorHAnsi"/>
          <w:i/>
        </w:rPr>
        <w:t xml:space="preserve"> Immunol</w:t>
      </w:r>
      <w:r w:rsidR="00B474C9"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185</w:t>
      </w:r>
      <w:r w:rsidRPr="007F69E4">
        <w:rPr>
          <w:rFonts w:asciiTheme="minorHAnsi" w:hAnsiTheme="minorHAnsi" w:cstheme="minorHAnsi"/>
        </w:rPr>
        <w:t xml:space="preserve"> (5), 2721-2729 (2010).</w:t>
      </w:r>
      <w:bookmarkEnd w:id="46"/>
    </w:p>
    <w:p w14:paraId="23D0BE9E" w14:textId="09B1EAE2" w:rsidR="00016D51" w:rsidRPr="007F69E4" w:rsidRDefault="00016D51" w:rsidP="00655DD5">
      <w:pPr>
        <w:pStyle w:val="EndNoteBibliography"/>
        <w:rPr>
          <w:rFonts w:asciiTheme="minorHAnsi" w:hAnsiTheme="minorHAnsi" w:cstheme="minorHAnsi"/>
        </w:rPr>
      </w:pPr>
      <w:bookmarkStart w:id="47" w:name="_ENREF_35"/>
      <w:r w:rsidRPr="007F69E4">
        <w:rPr>
          <w:rFonts w:asciiTheme="minorHAnsi" w:hAnsiTheme="minorHAnsi" w:cstheme="minorHAnsi"/>
        </w:rPr>
        <w:t>35</w:t>
      </w:r>
      <w:r w:rsidRPr="007F69E4">
        <w:rPr>
          <w:rFonts w:asciiTheme="minorHAnsi" w:hAnsiTheme="minorHAnsi" w:cstheme="minorHAnsi"/>
        </w:rPr>
        <w:tab/>
        <w:t>Brinster RL</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Transgenic mice harboring SV40 T-antigen genes develop characteristic brain tumors. </w:t>
      </w:r>
      <w:r w:rsidRPr="007F69E4">
        <w:rPr>
          <w:rFonts w:asciiTheme="minorHAnsi" w:hAnsiTheme="minorHAnsi" w:cstheme="minorHAnsi"/>
          <w:i/>
        </w:rPr>
        <w:t>Cell.</w:t>
      </w:r>
      <w:r w:rsidRPr="007F69E4">
        <w:rPr>
          <w:rFonts w:asciiTheme="minorHAnsi" w:hAnsiTheme="minorHAnsi" w:cstheme="minorHAnsi"/>
        </w:rPr>
        <w:t xml:space="preserve"> </w:t>
      </w:r>
      <w:r w:rsidRPr="007F69E4">
        <w:rPr>
          <w:rFonts w:asciiTheme="minorHAnsi" w:hAnsiTheme="minorHAnsi" w:cstheme="minorHAnsi"/>
          <w:b/>
        </w:rPr>
        <w:t>37</w:t>
      </w:r>
      <w:r w:rsidRPr="007F69E4">
        <w:rPr>
          <w:rFonts w:asciiTheme="minorHAnsi" w:hAnsiTheme="minorHAnsi" w:cstheme="minorHAnsi"/>
        </w:rPr>
        <w:t xml:space="preserve"> (2), 367-379 (1984).</w:t>
      </w:r>
      <w:bookmarkEnd w:id="47"/>
    </w:p>
    <w:p w14:paraId="1A2D7B68" w14:textId="3BAF62B4" w:rsidR="00016D51" w:rsidRPr="007F69E4" w:rsidRDefault="00016D51" w:rsidP="00655DD5">
      <w:pPr>
        <w:pStyle w:val="EndNoteBibliography"/>
        <w:rPr>
          <w:rFonts w:asciiTheme="minorHAnsi" w:hAnsiTheme="minorHAnsi" w:cstheme="minorHAnsi"/>
        </w:rPr>
      </w:pPr>
      <w:bookmarkStart w:id="48" w:name="_ENREF_36"/>
      <w:r w:rsidRPr="007F69E4">
        <w:rPr>
          <w:rFonts w:asciiTheme="minorHAnsi" w:hAnsiTheme="minorHAnsi" w:cstheme="minorHAnsi"/>
        </w:rPr>
        <w:t>36</w:t>
      </w:r>
      <w:r w:rsidRPr="007F69E4">
        <w:rPr>
          <w:rFonts w:asciiTheme="minorHAnsi" w:hAnsiTheme="minorHAnsi" w:cstheme="minorHAnsi"/>
        </w:rPr>
        <w:tab/>
        <w:t>Tatum, A.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CD8+ T cells targeting a single immunodominant epitope are sufficient for elimination of established SV40 T antigen-induced brain tumors. </w:t>
      </w:r>
      <w:r w:rsidR="00B474C9" w:rsidRPr="007F69E4">
        <w:rPr>
          <w:rFonts w:asciiTheme="minorHAnsi" w:hAnsiTheme="minorHAnsi" w:cstheme="minorHAnsi"/>
          <w:i/>
        </w:rPr>
        <w:t xml:space="preserve">The </w:t>
      </w:r>
      <w:r w:rsidRPr="007F69E4">
        <w:rPr>
          <w:rFonts w:asciiTheme="minorHAnsi" w:hAnsiTheme="minorHAnsi" w:cstheme="minorHAnsi"/>
          <w:i/>
        </w:rPr>
        <w:t>J</w:t>
      </w:r>
      <w:r w:rsidR="00B474C9" w:rsidRPr="007F69E4">
        <w:rPr>
          <w:rFonts w:asciiTheme="minorHAnsi" w:hAnsiTheme="minorHAnsi" w:cstheme="minorHAnsi"/>
          <w:i/>
        </w:rPr>
        <w:t>ournal of</w:t>
      </w:r>
      <w:r w:rsidRPr="007F69E4">
        <w:rPr>
          <w:rFonts w:asciiTheme="minorHAnsi" w:hAnsiTheme="minorHAnsi" w:cstheme="minorHAnsi"/>
          <w:i/>
        </w:rPr>
        <w:t xml:space="preserve"> Immunol</w:t>
      </w:r>
      <w:r w:rsidR="00B474C9"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181</w:t>
      </w:r>
      <w:r w:rsidRPr="007F69E4">
        <w:rPr>
          <w:rFonts w:asciiTheme="minorHAnsi" w:hAnsiTheme="minorHAnsi" w:cstheme="minorHAnsi"/>
        </w:rPr>
        <w:t xml:space="preserve"> (6), 4406-4417 (2008).</w:t>
      </w:r>
      <w:bookmarkEnd w:id="48"/>
    </w:p>
    <w:p w14:paraId="5DE40D9C" w14:textId="617C68DA" w:rsidR="00016D51" w:rsidRPr="007F69E4" w:rsidRDefault="00016D51" w:rsidP="00655DD5">
      <w:pPr>
        <w:pStyle w:val="EndNoteBibliography"/>
        <w:rPr>
          <w:rFonts w:asciiTheme="minorHAnsi" w:hAnsiTheme="minorHAnsi" w:cstheme="minorHAnsi"/>
        </w:rPr>
      </w:pPr>
      <w:bookmarkStart w:id="49" w:name="_ENREF_37"/>
      <w:r w:rsidRPr="007F69E4">
        <w:rPr>
          <w:rFonts w:asciiTheme="minorHAnsi" w:hAnsiTheme="minorHAnsi" w:cstheme="minorHAnsi"/>
        </w:rPr>
        <w:t>37</w:t>
      </w:r>
      <w:r w:rsidRPr="007F69E4">
        <w:rPr>
          <w:rFonts w:asciiTheme="minorHAnsi" w:hAnsiTheme="minorHAnsi" w:cstheme="minorHAnsi"/>
        </w:rPr>
        <w:tab/>
        <w:t>Schell, T. D.</w:t>
      </w:r>
      <w:r w:rsidR="00AE7EFA">
        <w:rPr>
          <w:rFonts w:asciiTheme="minorHAnsi" w:hAnsiTheme="minorHAnsi" w:cstheme="minorHAnsi"/>
        </w:rPr>
        <w:t>,</w:t>
      </w:r>
      <w:r w:rsidRPr="007F69E4">
        <w:rPr>
          <w:rFonts w:asciiTheme="minorHAnsi" w:hAnsiTheme="minorHAnsi" w:cstheme="minorHAnsi"/>
        </w:rPr>
        <w:t xml:space="preserve"> Tevethia, S. S. Control of advanced choroid plexus tumors in SV40 T antigen transgenic mice following priming of donor CD8(+) T lymphocytes by the endogenous tumor antigen. </w:t>
      </w:r>
      <w:r w:rsidR="00B474C9" w:rsidRPr="007F69E4">
        <w:rPr>
          <w:rFonts w:asciiTheme="minorHAnsi" w:hAnsiTheme="minorHAnsi" w:cstheme="minorHAnsi"/>
          <w:i/>
        </w:rPr>
        <w:t xml:space="preserve">The </w:t>
      </w:r>
      <w:r w:rsidRPr="007F69E4">
        <w:rPr>
          <w:rFonts w:asciiTheme="minorHAnsi" w:hAnsiTheme="minorHAnsi" w:cstheme="minorHAnsi"/>
          <w:i/>
        </w:rPr>
        <w:t>J</w:t>
      </w:r>
      <w:r w:rsidR="00B474C9" w:rsidRPr="007F69E4">
        <w:rPr>
          <w:rFonts w:asciiTheme="minorHAnsi" w:hAnsiTheme="minorHAnsi" w:cstheme="minorHAnsi"/>
          <w:i/>
        </w:rPr>
        <w:t>ournal of</w:t>
      </w:r>
      <w:r w:rsidRPr="007F69E4">
        <w:rPr>
          <w:rFonts w:asciiTheme="minorHAnsi" w:hAnsiTheme="minorHAnsi" w:cstheme="minorHAnsi"/>
          <w:i/>
        </w:rPr>
        <w:t xml:space="preserve"> Immunol</w:t>
      </w:r>
      <w:r w:rsidR="00B474C9" w:rsidRPr="007F69E4">
        <w:rPr>
          <w:rFonts w:asciiTheme="minorHAnsi" w:hAnsiTheme="minorHAnsi" w:cstheme="minorHAnsi"/>
          <w:i/>
        </w:rPr>
        <w:t>ogy</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167</w:t>
      </w:r>
      <w:r w:rsidRPr="007F69E4">
        <w:rPr>
          <w:rFonts w:asciiTheme="minorHAnsi" w:hAnsiTheme="minorHAnsi" w:cstheme="minorHAnsi"/>
        </w:rPr>
        <w:t xml:space="preserve"> (12), 6947-6956 (2001).</w:t>
      </w:r>
      <w:bookmarkEnd w:id="49"/>
    </w:p>
    <w:p w14:paraId="23BD1589" w14:textId="30F48615" w:rsidR="00016D51" w:rsidRPr="007F69E4" w:rsidRDefault="00016D51" w:rsidP="00176B3D">
      <w:pPr>
        <w:pStyle w:val="EndNoteBibliography"/>
        <w:rPr>
          <w:rFonts w:asciiTheme="minorHAnsi" w:hAnsiTheme="minorHAnsi" w:cstheme="minorHAnsi"/>
          <w:color w:val="808080" w:themeColor="background1" w:themeShade="80"/>
        </w:rPr>
      </w:pPr>
      <w:bookmarkStart w:id="50" w:name="_ENREF_38"/>
      <w:r w:rsidRPr="007F69E4">
        <w:rPr>
          <w:rFonts w:asciiTheme="minorHAnsi" w:hAnsiTheme="minorHAnsi" w:cstheme="minorHAnsi"/>
        </w:rPr>
        <w:t>38</w:t>
      </w:r>
      <w:r w:rsidRPr="007F69E4">
        <w:rPr>
          <w:rFonts w:asciiTheme="minorHAnsi" w:hAnsiTheme="minorHAnsi" w:cstheme="minorHAnsi"/>
        </w:rPr>
        <w:tab/>
        <w:t>Greenberg, N. M.</w:t>
      </w:r>
      <w:r w:rsidRPr="007F69E4">
        <w:rPr>
          <w:rFonts w:asciiTheme="minorHAnsi" w:hAnsiTheme="minorHAnsi" w:cstheme="minorHAnsi"/>
          <w:i/>
        </w:rPr>
        <w:t xml:space="preserve"> </w:t>
      </w:r>
      <w:r w:rsidR="00AE7EFA" w:rsidRPr="00AE7EFA">
        <w:rPr>
          <w:rFonts w:asciiTheme="minorHAnsi" w:hAnsiTheme="minorHAnsi" w:cstheme="minorHAnsi"/>
        </w:rPr>
        <w:t>et al.</w:t>
      </w:r>
      <w:r w:rsidRPr="007F69E4">
        <w:rPr>
          <w:rFonts w:asciiTheme="minorHAnsi" w:hAnsiTheme="minorHAnsi" w:cstheme="minorHAnsi"/>
        </w:rPr>
        <w:t xml:space="preserve"> Prostate cancer in a transgenic mouse. </w:t>
      </w:r>
      <w:r w:rsidRPr="007F69E4">
        <w:rPr>
          <w:rFonts w:asciiTheme="minorHAnsi" w:hAnsiTheme="minorHAnsi" w:cstheme="minorHAnsi"/>
          <w:i/>
        </w:rPr>
        <w:t>Proc</w:t>
      </w:r>
      <w:r w:rsidR="00B474C9" w:rsidRPr="007F69E4">
        <w:rPr>
          <w:rFonts w:asciiTheme="minorHAnsi" w:hAnsiTheme="minorHAnsi" w:cstheme="minorHAnsi"/>
          <w:i/>
        </w:rPr>
        <w:t>eedings of</w:t>
      </w:r>
      <w:r w:rsidR="006226F9" w:rsidRPr="007F69E4">
        <w:rPr>
          <w:rFonts w:asciiTheme="minorHAnsi" w:hAnsiTheme="minorHAnsi" w:cstheme="minorHAnsi"/>
          <w:i/>
        </w:rPr>
        <w:t xml:space="preserve"> </w:t>
      </w:r>
      <w:r w:rsidR="00B474C9" w:rsidRPr="007F69E4">
        <w:rPr>
          <w:rFonts w:asciiTheme="minorHAnsi" w:hAnsiTheme="minorHAnsi" w:cstheme="minorHAnsi"/>
          <w:i/>
        </w:rPr>
        <w:t>the</w:t>
      </w:r>
      <w:r w:rsidRPr="007F69E4">
        <w:rPr>
          <w:rFonts w:asciiTheme="minorHAnsi" w:hAnsiTheme="minorHAnsi" w:cstheme="minorHAnsi"/>
          <w:i/>
        </w:rPr>
        <w:t xml:space="preserve"> Nat</w:t>
      </w:r>
      <w:r w:rsidR="00B474C9" w:rsidRPr="007F69E4">
        <w:rPr>
          <w:rFonts w:asciiTheme="minorHAnsi" w:hAnsiTheme="minorHAnsi" w:cstheme="minorHAnsi"/>
          <w:i/>
        </w:rPr>
        <w:t>ional</w:t>
      </w:r>
      <w:r w:rsidRPr="007F69E4">
        <w:rPr>
          <w:rFonts w:asciiTheme="minorHAnsi" w:hAnsiTheme="minorHAnsi" w:cstheme="minorHAnsi"/>
          <w:i/>
        </w:rPr>
        <w:t xml:space="preserve"> Acad</w:t>
      </w:r>
      <w:r w:rsidR="00B474C9" w:rsidRPr="007F69E4">
        <w:rPr>
          <w:rFonts w:asciiTheme="minorHAnsi" w:hAnsiTheme="minorHAnsi" w:cstheme="minorHAnsi"/>
          <w:i/>
        </w:rPr>
        <w:t>emy of</w:t>
      </w:r>
      <w:r w:rsidRPr="007F69E4">
        <w:rPr>
          <w:rFonts w:asciiTheme="minorHAnsi" w:hAnsiTheme="minorHAnsi" w:cstheme="minorHAnsi"/>
          <w:i/>
        </w:rPr>
        <w:t xml:space="preserve"> Sci</w:t>
      </w:r>
      <w:r w:rsidR="00B474C9" w:rsidRPr="007F69E4">
        <w:rPr>
          <w:rFonts w:asciiTheme="minorHAnsi" w:hAnsiTheme="minorHAnsi" w:cstheme="minorHAnsi"/>
          <w:i/>
        </w:rPr>
        <w:t>ences</w:t>
      </w:r>
      <w:r w:rsidRPr="007F69E4">
        <w:rPr>
          <w:rFonts w:asciiTheme="minorHAnsi" w:hAnsiTheme="minorHAnsi" w:cstheme="minorHAnsi"/>
          <w:i/>
        </w:rPr>
        <w:t xml:space="preserve"> </w:t>
      </w:r>
      <w:r w:rsidR="006226F9" w:rsidRPr="007F69E4">
        <w:rPr>
          <w:rFonts w:asciiTheme="minorHAnsi" w:hAnsiTheme="minorHAnsi" w:cstheme="minorHAnsi"/>
          <w:i/>
        </w:rPr>
        <w:t>of the United States of America</w:t>
      </w:r>
      <w:r w:rsidRPr="007F69E4">
        <w:rPr>
          <w:rFonts w:asciiTheme="minorHAnsi" w:hAnsiTheme="minorHAnsi" w:cstheme="minorHAnsi"/>
          <w:i/>
        </w:rPr>
        <w:t>.</w:t>
      </w:r>
      <w:r w:rsidRPr="007F69E4">
        <w:rPr>
          <w:rFonts w:asciiTheme="minorHAnsi" w:hAnsiTheme="minorHAnsi" w:cstheme="minorHAnsi"/>
        </w:rPr>
        <w:t xml:space="preserve"> </w:t>
      </w:r>
      <w:r w:rsidRPr="007F69E4">
        <w:rPr>
          <w:rFonts w:asciiTheme="minorHAnsi" w:hAnsiTheme="minorHAnsi" w:cstheme="minorHAnsi"/>
          <w:b/>
        </w:rPr>
        <w:t>92</w:t>
      </w:r>
      <w:r w:rsidRPr="007F69E4">
        <w:rPr>
          <w:rFonts w:asciiTheme="minorHAnsi" w:hAnsiTheme="minorHAnsi" w:cstheme="minorHAnsi"/>
        </w:rPr>
        <w:t xml:space="preserve"> (8), 3439-3443 (1995).</w:t>
      </w:r>
      <w:bookmarkStart w:id="51" w:name="_GoBack"/>
      <w:bookmarkEnd w:id="50"/>
      <w:bookmarkEnd w:id="51"/>
    </w:p>
    <w:p w14:paraId="27EFEEAE" w14:textId="77777777" w:rsidR="001C7251" w:rsidRPr="007F69E4" w:rsidRDefault="001C7251" w:rsidP="00655DD5">
      <w:pPr>
        <w:rPr>
          <w:rFonts w:asciiTheme="minorHAnsi" w:hAnsiTheme="minorHAnsi" w:cstheme="minorHAnsi"/>
        </w:rPr>
      </w:pPr>
    </w:p>
    <w:sectPr w:rsidR="001C7251" w:rsidRPr="007F69E4" w:rsidSect="004B2079">
      <w:headerReference w:type="default" r:id="rId7"/>
      <w:footerReference w:type="default" r:id="rId8"/>
      <w:headerReference w:type="first" r:id="rId9"/>
      <w:footerReference w:type="first" r:id="rId10"/>
      <w:pgSz w:w="12240" w:h="15840"/>
      <w:pgMar w:top="1440" w:right="1440" w:bottom="1440" w:left="1440" w:header="708" w:footer="708" w:gutter="0"/>
      <w:lnNumType w:countBy="1" w:restart="continuou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6DF1" w14:textId="77777777" w:rsidR="00FE1AA9" w:rsidRDefault="00FE1AA9">
      <w:r>
        <w:separator/>
      </w:r>
    </w:p>
  </w:endnote>
  <w:endnote w:type="continuationSeparator" w:id="0">
    <w:p w14:paraId="5BA49612" w14:textId="77777777" w:rsidR="00FE1AA9" w:rsidRDefault="00FE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2E44" w14:textId="77777777" w:rsidR="00E44D96" w:rsidRDefault="00E44D96">
    <w:pPr>
      <w:pStyle w:val="Footer"/>
    </w:pPr>
  </w:p>
  <w:p w14:paraId="0246D48D" w14:textId="77777777" w:rsidR="00E44D96" w:rsidRPr="00494F77" w:rsidRDefault="00E44D96" w:rsidP="00E44D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64DE" w14:textId="77777777" w:rsidR="00E44D96" w:rsidRDefault="00E44D96" w:rsidP="00E44D9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F2B6" w14:textId="77777777" w:rsidR="00FE1AA9" w:rsidRDefault="00FE1AA9">
      <w:r>
        <w:separator/>
      </w:r>
    </w:p>
  </w:footnote>
  <w:footnote w:type="continuationSeparator" w:id="0">
    <w:p w14:paraId="24467583" w14:textId="77777777" w:rsidR="00FE1AA9" w:rsidRDefault="00FE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A92D" w14:textId="77777777" w:rsidR="00E44D96" w:rsidRPr="006F06E4" w:rsidRDefault="00E44D96" w:rsidP="00E44D9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C9D2" w14:textId="77777777" w:rsidR="00E44D96" w:rsidRPr="006F06E4" w:rsidRDefault="00E44D96" w:rsidP="00E44D96">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3AFC"/>
    <w:multiLevelType w:val="multilevel"/>
    <w:tmpl w:val="3A1484B8"/>
    <w:lvl w:ilvl="0">
      <w:start w:val="4"/>
      <w:numFmt w:val="decimal"/>
      <w:lvlText w:val="%1."/>
      <w:lvlJc w:val="left"/>
      <w:pPr>
        <w:ind w:left="0" w:firstLine="0"/>
      </w:pPr>
      <w:rPr>
        <w:rFonts w:hint="default"/>
      </w:rPr>
    </w:lvl>
    <w:lvl w:ilvl="1">
      <w:start w:val="1"/>
      <w:numFmt w:val="decimal"/>
      <w:lvlText w:val="3.%2."/>
      <w:lvlJc w:val="left"/>
      <w:pPr>
        <w:ind w:left="0" w:firstLine="0"/>
      </w:pPr>
      <w:rPr>
        <w:rFonts w:hint="default"/>
      </w:rPr>
    </w:lvl>
    <w:lvl w:ilvl="2">
      <w:start w:val="1"/>
      <w:numFmt w:val="lowerLetter"/>
      <w:lvlText w:val="%1.%2.1)"/>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077F49"/>
    <w:multiLevelType w:val="multilevel"/>
    <w:tmpl w:val="008AE674"/>
    <w:lvl w:ilvl="0">
      <w:start w:val="2"/>
      <w:numFmt w:val="decimal"/>
      <w:lvlText w:val="%1."/>
      <w:lvlJc w:val="left"/>
      <w:pPr>
        <w:ind w:left="540" w:hanging="540"/>
      </w:pPr>
      <w:rPr>
        <w:rFonts w:hint="default"/>
        <w:b/>
        <w:u w:val="none"/>
      </w:rPr>
    </w:lvl>
    <w:lvl w:ilvl="1">
      <w:start w:val="1"/>
      <w:numFmt w:val="decimal"/>
      <w:lvlText w:val="%1.%2."/>
      <w:lvlJc w:val="left"/>
      <w:pPr>
        <w:ind w:left="540" w:hanging="54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A2781"/>
    <w:multiLevelType w:val="multilevel"/>
    <w:tmpl w:val="B4303992"/>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106769"/>
    <w:multiLevelType w:val="multilevel"/>
    <w:tmpl w:val="A9DCDB46"/>
    <w:lvl w:ilvl="0">
      <w:start w:val="4"/>
      <w:numFmt w:val="decimal"/>
      <w:lvlText w:val="%1."/>
      <w:lvlJc w:val="left"/>
      <w:pPr>
        <w:ind w:left="0" w:firstLine="0"/>
      </w:pPr>
      <w:rPr>
        <w:rFonts w:hint="default"/>
        <w:b w:val="0"/>
      </w:rPr>
    </w:lvl>
    <w:lvl w:ilvl="1">
      <w:start w:val="1"/>
      <w:numFmt w:val="decimal"/>
      <w:lvlText w:val="%1.%2."/>
      <w:lvlJc w:val="left"/>
      <w:pPr>
        <w:ind w:left="0" w:firstLine="0"/>
      </w:pPr>
      <w:rPr>
        <w:rFonts w:hint="default"/>
        <w:b w:val="0"/>
      </w:rPr>
    </w:lvl>
    <w:lvl w:ilvl="2">
      <w:start w:val="1"/>
      <w:numFmt w:val="lowerLetter"/>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31EE7"/>
    <w:multiLevelType w:val="multilevel"/>
    <w:tmpl w:val="71C04A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B0961"/>
    <w:multiLevelType w:val="multilevel"/>
    <w:tmpl w:val="FCB681B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E3622"/>
    <w:multiLevelType w:val="multilevel"/>
    <w:tmpl w:val="5B72BC7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i w:val="0"/>
        <w:sz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BCC419E"/>
    <w:multiLevelType w:val="multilevel"/>
    <w:tmpl w:val="C5F6F5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val="0"/>
        <w:i w:val="0"/>
        <w:sz w:val="24"/>
      </w:rPr>
    </w:lvl>
    <w:lvl w:ilvl="2">
      <w:start w:val="1"/>
      <w:numFmt w:val="decimal"/>
      <w:lvlText w:val="2.%2.%3."/>
      <w:lvlJc w:val="left"/>
      <w:pPr>
        <w:ind w:left="0" w:firstLine="0"/>
      </w:pPr>
      <w:rPr>
        <w:rFonts w:ascii="Times New Roman" w:hAnsi="Times New Roman" w:hint="default"/>
        <w:b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BC0FB2"/>
    <w:multiLevelType w:val="multilevel"/>
    <w:tmpl w:val="616CF40A"/>
    <w:lvl w:ilvl="0">
      <w:start w:val="5"/>
      <w:numFmt w:val="decimal"/>
      <w:lvlText w:val="%1."/>
      <w:lvlJc w:val="left"/>
      <w:pPr>
        <w:ind w:left="0" w:firstLine="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32" w15:restartNumberingAfterBreak="0">
    <w:nsid w:val="6F8C15E8"/>
    <w:multiLevelType w:val="multilevel"/>
    <w:tmpl w:val="5902256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3"/>
  </w:num>
  <w:num w:numId="13">
    <w:abstractNumId w:val="22"/>
  </w:num>
  <w:num w:numId="14">
    <w:abstractNumId w:val="33"/>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30"/>
  </w:num>
  <w:num w:numId="22">
    <w:abstractNumId w:val="26"/>
  </w:num>
  <w:num w:numId="23">
    <w:abstractNumId w:val="17"/>
  </w:num>
  <w:num w:numId="24">
    <w:abstractNumId w:val="34"/>
  </w:num>
  <w:num w:numId="25">
    <w:abstractNumId w:val="8"/>
  </w:num>
  <w:num w:numId="26">
    <w:abstractNumId w:val="28"/>
  </w:num>
  <w:num w:numId="27">
    <w:abstractNumId w:val="1"/>
  </w:num>
  <w:num w:numId="28">
    <w:abstractNumId w:val="9"/>
  </w:num>
  <w:num w:numId="29">
    <w:abstractNumId w:val="31"/>
  </w:num>
  <w:num w:numId="30">
    <w:abstractNumId w:val="5"/>
  </w:num>
  <w:num w:numId="31">
    <w:abstractNumId w:val="29"/>
  </w:num>
  <w:num w:numId="32">
    <w:abstractNumId w:val="2"/>
  </w:num>
  <w:num w:numId="33">
    <w:abstractNumId w:val="32"/>
  </w:num>
  <w:num w:numId="34">
    <w:abstractNumId w:val="1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6D51"/>
    <w:rsid w:val="00000864"/>
    <w:rsid w:val="00001987"/>
    <w:rsid w:val="0000486B"/>
    <w:rsid w:val="00004871"/>
    <w:rsid w:val="00016D51"/>
    <w:rsid w:val="00033CE1"/>
    <w:rsid w:val="00042076"/>
    <w:rsid w:val="00050FEE"/>
    <w:rsid w:val="000568C9"/>
    <w:rsid w:val="00063298"/>
    <w:rsid w:val="000752A0"/>
    <w:rsid w:val="00081959"/>
    <w:rsid w:val="00083E15"/>
    <w:rsid w:val="000B3778"/>
    <w:rsid w:val="000B57EC"/>
    <w:rsid w:val="000B628E"/>
    <w:rsid w:val="000C2313"/>
    <w:rsid w:val="000C251A"/>
    <w:rsid w:val="000C3659"/>
    <w:rsid w:val="000D2AC9"/>
    <w:rsid w:val="000E3730"/>
    <w:rsid w:val="000E4039"/>
    <w:rsid w:val="00121174"/>
    <w:rsid w:val="00125B5B"/>
    <w:rsid w:val="00146F6E"/>
    <w:rsid w:val="00164210"/>
    <w:rsid w:val="00170D71"/>
    <w:rsid w:val="00175472"/>
    <w:rsid w:val="00176B3D"/>
    <w:rsid w:val="001844D2"/>
    <w:rsid w:val="001A3C54"/>
    <w:rsid w:val="001A44FD"/>
    <w:rsid w:val="001B3B7C"/>
    <w:rsid w:val="001B4303"/>
    <w:rsid w:val="001C7251"/>
    <w:rsid w:val="001C767E"/>
    <w:rsid w:val="001F1AF6"/>
    <w:rsid w:val="001F53C8"/>
    <w:rsid w:val="001F6116"/>
    <w:rsid w:val="00205B2E"/>
    <w:rsid w:val="00210C4B"/>
    <w:rsid w:val="00231BD8"/>
    <w:rsid w:val="00236B03"/>
    <w:rsid w:val="00246C48"/>
    <w:rsid w:val="002544C6"/>
    <w:rsid w:val="00263BB0"/>
    <w:rsid w:val="00274AD3"/>
    <w:rsid w:val="00281677"/>
    <w:rsid w:val="00281B96"/>
    <w:rsid w:val="00284840"/>
    <w:rsid w:val="0028729A"/>
    <w:rsid w:val="002A43E1"/>
    <w:rsid w:val="002A5499"/>
    <w:rsid w:val="002B26A9"/>
    <w:rsid w:val="002B4242"/>
    <w:rsid w:val="002D5C38"/>
    <w:rsid w:val="002E78C4"/>
    <w:rsid w:val="002F5491"/>
    <w:rsid w:val="00306BFA"/>
    <w:rsid w:val="003307D9"/>
    <w:rsid w:val="0033468A"/>
    <w:rsid w:val="003724AC"/>
    <w:rsid w:val="0038021A"/>
    <w:rsid w:val="00380EEC"/>
    <w:rsid w:val="00383C9F"/>
    <w:rsid w:val="003863E4"/>
    <w:rsid w:val="00386E30"/>
    <w:rsid w:val="003900B6"/>
    <w:rsid w:val="0039162A"/>
    <w:rsid w:val="003A4DFA"/>
    <w:rsid w:val="003B10C8"/>
    <w:rsid w:val="003B5B12"/>
    <w:rsid w:val="003C0DAC"/>
    <w:rsid w:val="003D449B"/>
    <w:rsid w:val="003E3C54"/>
    <w:rsid w:val="003F2787"/>
    <w:rsid w:val="00402E10"/>
    <w:rsid w:val="00403CA1"/>
    <w:rsid w:val="004168EF"/>
    <w:rsid w:val="004229BB"/>
    <w:rsid w:val="004422A5"/>
    <w:rsid w:val="00445BAA"/>
    <w:rsid w:val="0044611B"/>
    <w:rsid w:val="00451503"/>
    <w:rsid w:val="004519EF"/>
    <w:rsid w:val="00467D5D"/>
    <w:rsid w:val="0047501A"/>
    <w:rsid w:val="004B2079"/>
    <w:rsid w:val="004C0393"/>
    <w:rsid w:val="004E268F"/>
    <w:rsid w:val="004E79CE"/>
    <w:rsid w:val="004F29BF"/>
    <w:rsid w:val="004F6F6A"/>
    <w:rsid w:val="00504EC7"/>
    <w:rsid w:val="00512FBE"/>
    <w:rsid w:val="00520415"/>
    <w:rsid w:val="005229C5"/>
    <w:rsid w:val="00527529"/>
    <w:rsid w:val="005326F5"/>
    <w:rsid w:val="00536A3C"/>
    <w:rsid w:val="005435FF"/>
    <w:rsid w:val="005474A2"/>
    <w:rsid w:val="00586999"/>
    <w:rsid w:val="00592AE8"/>
    <w:rsid w:val="005C00B7"/>
    <w:rsid w:val="005C20A7"/>
    <w:rsid w:val="005D066A"/>
    <w:rsid w:val="005D6D2F"/>
    <w:rsid w:val="005E5BD8"/>
    <w:rsid w:val="005F3497"/>
    <w:rsid w:val="005F4A2A"/>
    <w:rsid w:val="00600F6E"/>
    <w:rsid w:val="0060186A"/>
    <w:rsid w:val="0062262E"/>
    <w:rsid w:val="006226F9"/>
    <w:rsid w:val="006247B3"/>
    <w:rsid w:val="00634054"/>
    <w:rsid w:val="006414E9"/>
    <w:rsid w:val="0064766F"/>
    <w:rsid w:val="00655DD5"/>
    <w:rsid w:val="00691382"/>
    <w:rsid w:val="006B2873"/>
    <w:rsid w:val="006C0D44"/>
    <w:rsid w:val="006C520B"/>
    <w:rsid w:val="006D492F"/>
    <w:rsid w:val="006D7476"/>
    <w:rsid w:val="006E2195"/>
    <w:rsid w:val="006F2FBF"/>
    <w:rsid w:val="007005C5"/>
    <w:rsid w:val="00711F08"/>
    <w:rsid w:val="00717E38"/>
    <w:rsid w:val="007206BA"/>
    <w:rsid w:val="00735780"/>
    <w:rsid w:val="00755FD7"/>
    <w:rsid w:val="0075763E"/>
    <w:rsid w:val="0076661B"/>
    <w:rsid w:val="00771FE3"/>
    <w:rsid w:val="0078747F"/>
    <w:rsid w:val="00793CFC"/>
    <w:rsid w:val="007B53A6"/>
    <w:rsid w:val="007D0FD0"/>
    <w:rsid w:val="007D2FF4"/>
    <w:rsid w:val="007D3FF7"/>
    <w:rsid w:val="007F0754"/>
    <w:rsid w:val="007F69E4"/>
    <w:rsid w:val="00803E56"/>
    <w:rsid w:val="00812402"/>
    <w:rsid w:val="00812A4E"/>
    <w:rsid w:val="00824C46"/>
    <w:rsid w:val="00825A9C"/>
    <w:rsid w:val="00843E51"/>
    <w:rsid w:val="008524E5"/>
    <w:rsid w:val="00853D40"/>
    <w:rsid w:val="0086075F"/>
    <w:rsid w:val="0086754B"/>
    <w:rsid w:val="008A3CE8"/>
    <w:rsid w:val="008A4230"/>
    <w:rsid w:val="008C0A45"/>
    <w:rsid w:val="008C19EA"/>
    <w:rsid w:val="008C27D9"/>
    <w:rsid w:val="008C5EA0"/>
    <w:rsid w:val="008D7F0A"/>
    <w:rsid w:val="008F031D"/>
    <w:rsid w:val="008F3DDF"/>
    <w:rsid w:val="008F7C3E"/>
    <w:rsid w:val="008F7D5A"/>
    <w:rsid w:val="0090000C"/>
    <w:rsid w:val="00901010"/>
    <w:rsid w:val="009026F4"/>
    <w:rsid w:val="009042B3"/>
    <w:rsid w:val="009048B5"/>
    <w:rsid w:val="009065BA"/>
    <w:rsid w:val="00921602"/>
    <w:rsid w:val="00924A2D"/>
    <w:rsid w:val="00924AC9"/>
    <w:rsid w:val="0093640C"/>
    <w:rsid w:val="00942E3E"/>
    <w:rsid w:val="009558ED"/>
    <w:rsid w:val="00962FD6"/>
    <w:rsid w:val="0097394B"/>
    <w:rsid w:val="00982528"/>
    <w:rsid w:val="00983832"/>
    <w:rsid w:val="00985FAD"/>
    <w:rsid w:val="009A1982"/>
    <w:rsid w:val="009A371D"/>
    <w:rsid w:val="009B2AD9"/>
    <w:rsid w:val="009C7B27"/>
    <w:rsid w:val="009D223A"/>
    <w:rsid w:val="009D6FB2"/>
    <w:rsid w:val="009D79D6"/>
    <w:rsid w:val="00A04296"/>
    <w:rsid w:val="00A0445A"/>
    <w:rsid w:val="00A21A6E"/>
    <w:rsid w:val="00A25E57"/>
    <w:rsid w:val="00A32384"/>
    <w:rsid w:val="00A44243"/>
    <w:rsid w:val="00A67035"/>
    <w:rsid w:val="00A67FF0"/>
    <w:rsid w:val="00A83426"/>
    <w:rsid w:val="00A917EB"/>
    <w:rsid w:val="00AA2321"/>
    <w:rsid w:val="00AA66C9"/>
    <w:rsid w:val="00AA77A0"/>
    <w:rsid w:val="00AD2449"/>
    <w:rsid w:val="00AD4652"/>
    <w:rsid w:val="00AD7F41"/>
    <w:rsid w:val="00AE7EFA"/>
    <w:rsid w:val="00AF16AC"/>
    <w:rsid w:val="00AF2A8A"/>
    <w:rsid w:val="00AF497A"/>
    <w:rsid w:val="00AF5609"/>
    <w:rsid w:val="00B34B48"/>
    <w:rsid w:val="00B365C1"/>
    <w:rsid w:val="00B474C9"/>
    <w:rsid w:val="00B52DF7"/>
    <w:rsid w:val="00B5395A"/>
    <w:rsid w:val="00B6433F"/>
    <w:rsid w:val="00B65A6F"/>
    <w:rsid w:val="00B670E7"/>
    <w:rsid w:val="00B72F50"/>
    <w:rsid w:val="00B8715E"/>
    <w:rsid w:val="00B87A6A"/>
    <w:rsid w:val="00B90A10"/>
    <w:rsid w:val="00B95E09"/>
    <w:rsid w:val="00BA0488"/>
    <w:rsid w:val="00BA0A93"/>
    <w:rsid w:val="00BA4476"/>
    <w:rsid w:val="00BB345D"/>
    <w:rsid w:val="00BB784F"/>
    <w:rsid w:val="00BE03BC"/>
    <w:rsid w:val="00BE15BA"/>
    <w:rsid w:val="00BE71E7"/>
    <w:rsid w:val="00C02C94"/>
    <w:rsid w:val="00C03F49"/>
    <w:rsid w:val="00C1364A"/>
    <w:rsid w:val="00C13AE2"/>
    <w:rsid w:val="00C15727"/>
    <w:rsid w:val="00C1617A"/>
    <w:rsid w:val="00C212C9"/>
    <w:rsid w:val="00C24857"/>
    <w:rsid w:val="00C30CB7"/>
    <w:rsid w:val="00C340FA"/>
    <w:rsid w:val="00C55128"/>
    <w:rsid w:val="00C55899"/>
    <w:rsid w:val="00C841EA"/>
    <w:rsid w:val="00C95096"/>
    <w:rsid w:val="00CB0FFA"/>
    <w:rsid w:val="00CC3403"/>
    <w:rsid w:val="00CC40F6"/>
    <w:rsid w:val="00CE5502"/>
    <w:rsid w:val="00CE66BA"/>
    <w:rsid w:val="00CF0AB5"/>
    <w:rsid w:val="00CF7384"/>
    <w:rsid w:val="00D00443"/>
    <w:rsid w:val="00D11C7E"/>
    <w:rsid w:val="00D227C6"/>
    <w:rsid w:val="00D503A1"/>
    <w:rsid w:val="00D56F2B"/>
    <w:rsid w:val="00D60CAA"/>
    <w:rsid w:val="00D7340D"/>
    <w:rsid w:val="00D74873"/>
    <w:rsid w:val="00D76328"/>
    <w:rsid w:val="00DA7AF2"/>
    <w:rsid w:val="00DE22CB"/>
    <w:rsid w:val="00DE529F"/>
    <w:rsid w:val="00DF0155"/>
    <w:rsid w:val="00DF7D53"/>
    <w:rsid w:val="00E072A0"/>
    <w:rsid w:val="00E12932"/>
    <w:rsid w:val="00E137B2"/>
    <w:rsid w:val="00E22BB8"/>
    <w:rsid w:val="00E26CD0"/>
    <w:rsid w:val="00E31C19"/>
    <w:rsid w:val="00E44D96"/>
    <w:rsid w:val="00E9093C"/>
    <w:rsid w:val="00E94E30"/>
    <w:rsid w:val="00EA5DB8"/>
    <w:rsid w:val="00EB4017"/>
    <w:rsid w:val="00EB63BF"/>
    <w:rsid w:val="00EE0F08"/>
    <w:rsid w:val="00EE50A0"/>
    <w:rsid w:val="00EF4BA0"/>
    <w:rsid w:val="00F00029"/>
    <w:rsid w:val="00F06C85"/>
    <w:rsid w:val="00F15855"/>
    <w:rsid w:val="00F21B9D"/>
    <w:rsid w:val="00F51B9A"/>
    <w:rsid w:val="00F714B4"/>
    <w:rsid w:val="00F727E3"/>
    <w:rsid w:val="00F73198"/>
    <w:rsid w:val="00F73EB4"/>
    <w:rsid w:val="00FA3B64"/>
    <w:rsid w:val="00FB0B5A"/>
    <w:rsid w:val="00FC625D"/>
    <w:rsid w:val="00FD0F1C"/>
    <w:rsid w:val="00FD1FF4"/>
    <w:rsid w:val="00FE1AA9"/>
    <w:rsid w:val="00FF074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4F0C"/>
  <w15:chartTrackingRefBased/>
  <w15:docId w15:val="{DFE53FA5-ED71-416B-A948-56433DF3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D51"/>
    <w:pPr>
      <w:widowControl w:val="0"/>
      <w:autoSpaceDE w:val="0"/>
      <w:autoSpaceDN w:val="0"/>
      <w:adjustRightInd w:val="0"/>
      <w:spacing w:after="0" w:line="240" w:lineRule="auto"/>
      <w:jc w:val="both"/>
    </w:pPr>
    <w:rPr>
      <w:rFonts w:ascii="Calibri" w:eastAsia="Times New Roman" w:hAnsi="Calibri" w:cs="Calibri"/>
      <w:color w:val="000000"/>
      <w:sz w:val="24"/>
      <w:szCs w:val="24"/>
      <w:lang w:val="en-US" w:eastAsia="en-US"/>
    </w:rPr>
  </w:style>
  <w:style w:type="paragraph" w:styleId="Heading1">
    <w:name w:val="heading 1"/>
    <w:basedOn w:val="Normal"/>
    <w:next w:val="Normal"/>
    <w:link w:val="Heading1Char"/>
    <w:qFormat/>
    <w:rsid w:val="00016D51"/>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16D51"/>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16D5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6D51"/>
    <w:rPr>
      <w:rFonts w:ascii="Calibri" w:eastAsia="Times New Roman" w:hAnsi="Calibri" w:cs="Times New Roman"/>
      <w:b/>
      <w:bCs/>
      <w:color w:val="000000"/>
      <w:kern w:val="32"/>
      <w:sz w:val="28"/>
      <w:szCs w:val="32"/>
      <w:lang w:val="en-US" w:eastAsia="en-US"/>
    </w:rPr>
  </w:style>
  <w:style w:type="character" w:customStyle="1" w:styleId="Heading2Char">
    <w:name w:val="Heading 2 Char"/>
    <w:link w:val="Heading2"/>
    <w:rsid w:val="00016D51"/>
    <w:rPr>
      <w:rFonts w:ascii="Calibri" w:eastAsia="Times New Roman" w:hAnsi="Calibri" w:cs="Times New Roman"/>
      <w:b/>
      <w:bCs/>
      <w:iCs/>
      <w:color w:val="000000"/>
      <w:sz w:val="24"/>
      <w:szCs w:val="28"/>
      <w:lang w:val="en-US" w:eastAsia="en-US"/>
    </w:rPr>
  </w:style>
  <w:style w:type="character" w:customStyle="1" w:styleId="Heading3Char">
    <w:name w:val="Heading 3 Char"/>
    <w:basedOn w:val="DefaultParagraphFont"/>
    <w:link w:val="Heading3"/>
    <w:uiPriority w:val="9"/>
    <w:rsid w:val="00016D51"/>
    <w:rPr>
      <w:rFonts w:asciiTheme="majorHAnsi" w:eastAsiaTheme="majorEastAsia" w:hAnsiTheme="majorHAnsi" w:cstheme="majorBidi"/>
      <w:b/>
      <w:bCs/>
      <w:color w:val="4472C4" w:themeColor="accent1"/>
      <w:sz w:val="24"/>
      <w:szCs w:val="24"/>
      <w:lang w:val="en-US" w:eastAsia="en-US"/>
    </w:rPr>
  </w:style>
  <w:style w:type="paragraph" w:styleId="NormalWeb">
    <w:name w:val="Normal (Web)"/>
    <w:basedOn w:val="Normal"/>
    <w:rsid w:val="00016D51"/>
    <w:pPr>
      <w:spacing w:before="100" w:beforeAutospacing="1" w:after="100" w:afterAutospacing="1"/>
    </w:pPr>
  </w:style>
  <w:style w:type="character" w:styleId="Hyperlink">
    <w:name w:val="Hyperlink"/>
    <w:uiPriority w:val="99"/>
    <w:rsid w:val="00016D51"/>
    <w:rPr>
      <w:color w:val="0000FF"/>
      <w:u w:val="single"/>
    </w:rPr>
  </w:style>
  <w:style w:type="paragraph" w:styleId="Header">
    <w:name w:val="header"/>
    <w:basedOn w:val="Normal"/>
    <w:link w:val="HeaderChar"/>
    <w:rsid w:val="00016D51"/>
    <w:pPr>
      <w:tabs>
        <w:tab w:val="center" w:pos="4680"/>
        <w:tab w:val="right" w:pos="9360"/>
      </w:tabs>
    </w:pPr>
  </w:style>
  <w:style w:type="character" w:customStyle="1" w:styleId="HeaderChar">
    <w:name w:val="Header Char"/>
    <w:link w:val="Header"/>
    <w:rsid w:val="00016D51"/>
    <w:rPr>
      <w:rFonts w:ascii="Calibri" w:eastAsia="Times New Roman" w:hAnsi="Calibri" w:cs="Calibri"/>
      <w:color w:val="000000"/>
      <w:sz w:val="24"/>
      <w:szCs w:val="24"/>
      <w:lang w:val="en-US" w:eastAsia="en-US"/>
    </w:rPr>
  </w:style>
  <w:style w:type="paragraph" w:styleId="Footer">
    <w:name w:val="footer"/>
    <w:basedOn w:val="Normal"/>
    <w:link w:val="FooterChar"/>
    <w:uiPriority w:val="99"/>
    <w:rsid w:val="00016D51"/>
    <w:pPr>
      <w:tabs>
        <w:tab w:val="center" w:pos="4680"/>
        <w:tab w:val="right" w:pos="9360"/>
      </w:tabs>
    </w:pPr>
  </w:style>
  <w:style w:type="character" w:customStyle="1" w:styleId="FooterChar">
    <w:name w:val="Footer Char"/>
    <w:link w:val="Footer"/>
    <w:uiPriority w:val="99"/>
    <w:rsid w:val="00016D51"/>
    <w:rPr>
      <w:rFonts w:ascii="Calibri" w:eastAsia="Times New Roman" w:hAnsi="Calibri" w:cs="Calibri"/>
      <w:color w:val="000000"/>
      <w:sz w:val="24"/>
      <w:szCs w:val="24"/>
      <w:lang w:val="en-US" w:eastAsia="en-US"/>
    </w:rPr>
  </w:style>
  <w:style w:type="character" w:styleId="CommentReference">
    <w:name w:val="annotation reference"/>
    <w:rsid w:val="00016D51"/>
    <w:rPr>
      <w:sz w:val="18"/>
      <w:szCs w:val="18"/>
    </w:rPr>
  </w:style>
  <w:style w:type="paragraph" w:styleId="CommentText">
    <w:name w:val="annotation text"/>
    <w:basedOn w:val="Normal"/>
    <w:link w:val="CommentTextChar"/>
    <w:rsid w:val="00016D51"/>
  </w:style>
  <w:style w:type="character" w:customStyle="1" w:styleId="CommentTextChar">
    <w:name w:val="Comment Text Char"/>
    <w:link w:val="CommentText"/>
    <w:rsid w:val="00016D51"/>
    <w:rPr>
      <w:rFonts w:ascii="Calibri" w:eastAsia="Times New Roman" w:hAnsi="Calibri" w:cs="Calibri"/>
      <w:color w:val="000000"/>
      <w:sz w:val="24"/>
      <w:szCs w:val="24"/>
      <w:lang w:val="en-US" w:eastAsia="en-US"/>
    </w:rPr>
  </w:style>
  <w:style w:type="paragraph" w:styleId="CommentSubject">
    <w:name w:val="annotation subject"/>
    <w:basedOn w:val="CommentText"/>
    <w:next w:val="CommentText"/>
    <w:link w:val="CommentSubjectChar"/>
    <w:rsid w:val="00016D51"/>
    <w:rPr>
      <w:b/>
      <w:bCs/>
      <w:sz w:val="20"/>
      <w:szCs w:val="20"/>
    </w:rPr>
  </w:style>
  <w:style w:type="character" w:customStyle="1" w:styleId="CommentSubjectChar">
    <w:name w:val="Comment Subject Char"/>
    <w:link w:val="CommentSubject"/>
    <w:rsid w:val="00016D51"/>
    <w:rPr>
      <w:rFonts w:ascii="Calibri" w:eastAsia="Times New Roman" w:hAnsi="Calibri" w:cs="Calibri"/>
      <w:b/>
      <w:bCs/>
      <w:color w:val="000000"/>
      <w:sz w:val="20"/>
      <w:szCs w:val="20"/>
      <w:lang w:val="en-US" w:eastAsia="en-US"/>
    </w:rPr>
  </w:style>
  <w:style w:type="paragraph" w:styleId="BalloonText">
    <w:name w:val="Balloon Text"/>
    <w:basedOn w:val="Normal"/>
    <w:link w:val="BalloonTextChar"/>
    <w:rsid w:val="00016D51"/>
    <w:rPr>
      <w:rFonts w:ascii="Lucida Grande" w:hAnsi="Lucida Grande"/>
      <w:sz w:val="18"/>
      <w:szCs w:val="18"/>
    </w:rPr>
  </w:style>
  <w:style w:type="character" w:customStyle="1" w:styleId="BalloonTextChar">
    <w:name w:val="Balloon Text Char"/>
    <w:link w:val="BalloonText"/>
    <w:rsid w:val="00016D51"/>
    <w:rPr>
      <w:rFonts w:ascii="Lucida Grande" w:eastAsia="Times New Roman" w:hAnsi="Lucida Grande" w:cs="Calibri"/>
      <w:color w:val="000000"/>
      <w:sz w:val="18"/>
      <w:szCs w:val="18"/>
      <w:lang w:val="en-US" w:eastAsia="en-US"/>
    </w:rPr>
  </w:style>
  <w:style w:type="character" w:styleId="PageNumber">
    <w:name w:val="page number"/>
    <w:basedOn w:val="DefaultParagraphFont"/>
    <w:rsid w:val="00016D51"/>
  </w:style>
  <w:style w:type="character" w:styleId="FollowedHyperlink">
    <w:name w:val="FollowedHyperlink"/>
    <w:rsid w:val="00016D51"/>
    <w:rPr>
      <w:color w:val="800080"/>
      <w:u w:val="single"/>
    </w:rPr>
  </w:style>
  <w:style w:type="character" w:customStyle="1" w:styleId="apple-converted-space">
    <w:name w:val="apple-converted-space"/>
    <w:basedOn w:val="DefaultParagraphFont"/>
    <w:rsid w:val="00016D51"/>
  </w:style>
  <w:style w:type="character" w:styleId="IntenseEmphasis">
    <w:name w:val="Intense Emphasis"/>
    <w:qFormat/>
    <w:rsid w:val="00016D51"/>
    <w:rPr>
      <w:b/>
      <w:bCs/>
      <w:i/>
      <w:iCs/>
      <w:color w:val="4F81BD"/>
    </w:rPr>
  </w:style>
  <w:style w:type="paragraph" w:customStyle="1" w:styleId="Exampletext">
    <w:name w:val="Example text"/>
    <w:basedOn w:val="Normal"/>
    <w:link w:val="ExampletextChar"/>
    <w:qFormat/>
    <w:rsid w:val="00016D51"/>
    <w:pPr>
      <w:spacing w:after="240"/>
    </w:pPr>
    <w:rPr>
      <w:color w:val="7F7F7F"/>
    </w:rPr>
  </w:style>
  <w:style w:type="character" w:customStyle="1" w:styleId="ExampletextChar">
    <w:name w:val="Example text Char"/>
    <w:link w:val="Exampletext"/>
    <w:rsid w:val="00016D51"/>
    <w:rPr>
      <w:rFonts w:ascii="Calibri" w:eastAsia="Times New Roman" w:hAnsi="Calibri" w:cs="Calibri"/>
      <w:color w:val="7F7F7F"/>
      <w:sz w:val="24"/>
      <w:szCs w:val="24"/>
      <w:lang w:val="en-US" w:eastAsia="en-US"/>
    </w:rPr>
  </w:style>
  <w:style w:type="paragraph" w:styleId="ListParagraph">
    <w:name w:val="List Paragraph"/>
    <w:basedOn w:val="Normal"/>
    <w:uiPriority w:val="34"/>
    <w:qFormat/>
    <w:rsid w:val="00016D51"/>
    <w:pPr>
      <w:ind w:left="720"/>
      <w:contextualSpacing/>
    </w:pPr>
  </w:style>
  <w:style w:type="paragraph" w:styleId="Revision">
    <w:name w:val="Revision"/>
    <w:hidden/>
    <w:uiPriority w:val="99"/>
    <w:semiHidden/>
    <w:rsid w:val="00016D51"/>
    <w:pPr>
      <w:spacing w:after="0" w:line="240" w:lineRule="auto"/>
    </w:pPr>
    <w:rPr>
      <w:rFonts w:ascii="Calibri" w:eastAsia="Times New Roman" w:hAnsi="Calibri" w:cs="Calibri"/>
      <w:color w:val="000000"/>
      <w:sz w:val="24"/>
      <w:szCs w:val="24"/>
      <w:lang w:val="en-US" w:eastAsia="en-US"/>
    </w:rPr>
  </w:style>
  <w:style w:type="paragraph" w:styleId="BodyText">
    <w:name w:val="Body Text"/>
    <w:basedOn w:val="Normal"/>
    <w:link w:val="BodyTextChar"/>
    <w:uiPriority w:val="1"/>
    <w:qFormat/>
    <w:rsid w:val="00016D51"/>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16D51"/>
    <w:rPr>
      <w:rFonts w:ascii="Calibri" w:eastAsia="Calibri" w:hAnsi="Calibri" w:cs="Calibri"/>
      <w:sz w:val="24"/>
      <w:szCs w:val="24"/>
      <w:lang w:val="en-US" w:eastAsia="en-US"/>
    </w:rPr>
  </w:style>
  <w:style w:type="character" w:styleId="Strong">
    <w:name w:val="Strong"/>
    <w:basedOn w:val="DefaultParagraphFont"/>
    <w:uiPriority w:val="22"/>
    <w:qFormat/>
    <w:rsid w:val="00016D51"/>
    <w:rPr>
      <w:b/>
      <w:bCs/>
    </w:rPr>
  </w:style>
  <w:style w:type="character" w:styleId="Emphasis">
    <w:name w:val="Emphasis"/>
    <w:basedOn w:val="DefaultParagraphFont"/>
    <w:uiPriority w:val="20"/>
    <w:qFormat/>
    <w:rsid w:val="00016D51"/>
    <w:rPr>
      <w:i/>
      <w:iCs/>
    </w:rPr>
  </w:style>
  <w:style w:type="character" w:styleId="LineNumber">
    <w:name w:val="line number"/>
    <w:basedOn w:val="DefaultParagraphFont"/>
    <w:uiPriority w:val="99"/>
    <w:semiHidden/>
    <w:unhideWhenUsed/>
    <w:rsid w:val="00016D51"/>
  </w:style>
  <w:style w:type="character" w:customStyle="1" w:styleId="UnresolvedMention1">
    <w:name w:val="Unresolved Mention1"/>
    <w:basedOn w:val="DefaultParagraphFont"/>
    <w:uiPriority w:val="99"/>
    <w:semiHidden/>
    <w:unhideWhenUsed/>
    <w:rsid w:val="00016D51"/>
    <w:rPr>
      <w:color w:val="808080"/>
      <w:shd w:val="clear" w:color="auto" w:fill="E6E6E6"/>
    </w:rPr>
  </w:style>
  <w:style w:type="paragraph" w:customStyle="1" w:styleId="EndNoteBibliographyTitle">
    <w:name w:val="EndNote Bibliography Title"/>
    <w:basedOn w:val="Normal"/>
    <w:link w:val="EndNoteBibliographyTitleChar"/>
    <w:rsid w:val="00016D51"/>
    <w:pPr>
      <w:jc w:val="center"/>
    </w:pPr>
    <w:rPr>
      <w:noProof/>
    </w:rPr>
  </w:style>
  <w:style w:type="character" w:customStyle="1" w:styleId="EndNoteBibliographyTitleChar">
    <w:name w:val="EndNote Bibliography Title Char"/>
    <w:basedOn w:val="DefaultParagraphFont"/>
    <w:link w:val="EndNoteBibliographyTitle"/>
    <w:rsid w:val="00016D51"/>
    <w:rPr>
      <w:rFonts w:ascii="Calibri" w:eastAsia="Times New Roman" w:hAnsi="Calibri" w:cs="Calibri"/>
      <w:noProof/>
      <w:color w:val="000000"/>
      <w:sz w:val="24"/>
      <w:szCs w:val="24"/>
      <w:lang w:val="en-US" w:eastAsia="en-US"/>
    </w:rPr>
  </w:style>
  <w:style w:type="paragraph" w:customStyle="1" w:styleId="EndNoteBibliography">
    <w:name w:val="EndNote Bibliography"/>
    <w:basedOn w:val="Normal"/>
    <w:link w:val="EndNoteBibliographyChar"/>
    <w:rsid w:val="00016D51"/>
    <w:rPr>
      <w:noProof/>
    </w:rPr>
  </w:style>
  <w:style w:type="character" w:customStyle="1" w:styleId="EndNoteBibliographyChar">
    <w:name w:val="EndNote Bibliography Char"/>
    <w:basedOn w:val="DefaultParagraphFont"/>
    <w:link w:val="EndNoteBibliography"/>
    <w:rsid w:val="00016D51"/>
    <w:rPr>
      <w:rFonts w:ascii="Calibri" w:eastAsia="Times New Roman" w:hAnsi="Calibri" w:cs="Calibri"/>
      <w:noProof/>
      <w:color w:val="000000"/>
      <w:sz w:val="24"/>
      <w:szCs w:val="24"/>
      <w:lang w:val="en-US" w:eastAsia="en-US"/>
    </w:rPr>
  </w:style>
  <w:style w:type="character" w:customStyle="1" w:styleId="UnresolvedMention2">
    <w:name w:val="Unresolved Mention2"/>
    <w:basedOn w:val="DefaultParagraphFont"/>
    <w:uiPriority w:val="99"/>
    <w:semiHidden/>
    <w:unhideWhenUsed/>
    <w:rsid w:val="00016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15</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Choi</dc:creator>
  <cp:keywords/>
  <dc:description/>
  <cp:lastModifiedBy>Xiaoyan Cao</cp:lastModifiedBy>
  <cp:revision>605</cp:revision>
  <cp:lastPrinted>2019-01-09T16:26:00Z</cp:lastPrinted>
  <dcterms:created xsi:type="dcterms:W3CDTF">2018-12-10T03:13:00Z</dcterms:created>
  <dcterms:modified xsi:type="dcterms:W3CDTF">2019-01-10T14:54:00Z</dcterms:modified>
</cp:coreProperties>
</file>