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78DF66" w14:textId="77777777" w:rsidR="002F464F" w:rsidRDefault="00C01074" w:rsidP="002F464F">
      <w:pPr>
        <w:pStyle w:val="NoSpacing"/>
      </w:pPr>
      <w:r>
        <w:rPr>
          <w:rStyle w:val="Strong"/>
          <w:color w:val="212121"/>
        </w:rPr>
        <w:t>Editorial comments:</w:t>
      </w:r>
      <w:r>
        <w:br/>
        <w:t>Changes to be made by the Author(s):</w:t>
      </w:r>
      <w:r>
        <w:br/>
      </w:r>
      <w:r w:rsidRPr="007879AE">
        <w:t xml:space="preserve">1. Please take this opportunity to thoroughly proofread the manuscript to ensure that there are no spelling or grammar issues. The </w:t>
      </w:r>
      <w:proofErr w:type="spellStart"/>
      <w:r w:rsidRPr="007879AE">
        <w:t>JoVE</w:t>
      </w:r>
      <w:proofErr w:type="spellEnd"/>
      <w:r w:rsidRPr="007879AE">
        <w:t xml:space="preserve"> editor will not copy-edit your manuscript and any errors in the submitted revision may be present in the published version.</w:t>
      </w:r>
    </w:p>
    <w:p w14:paraId="1A3E46B4" w14:textId="0B59CE73" w:rsidR="002F464F" w:rsidRDefault="00C01074" w:rsidP="002F464F">
      <w:pPr>
        <w:pStyle w:val="NoSpacing"/>
      </w:pPr>
      <w:r>
        <w:br/>
      </w:r>
      <w:r w:rsidRPr="009C551F">
        <w:t>2. Please define all abbreviations before use.</w:t>
      </w:r>
    </w:p>
    <w:p w14:paraId="384C0CD5" w14:textId="0157836A" w:rsidR="009C551F" w:rsidRPr="009C551F" w:rsidRDefault="009C551F" w:rsidP="002F464F">
      <w:pPr>
        <w:pStyle w:val="NoSpacing"/>
        <w:rPr>
          <w:color w:val="FF0000"/>
        </w:rPr>
      </w:pPr>
      <w:r w:rsidRPr="009C551F">
        <w:rPr>
          <w:color w:val="FF0000"/>
        </w:rPr>
        <w:t>We have defined the following abbreviations that were previously missed:</w:t>
      </w:r>
    </w:p>
    <w:p w14:paraId="0F51D7C3" w14:textId="3E863532" w:rsidR="009C551F" w:rsidRDefault="009C551F" w:rsidP="002F464F">
      <w:pPr>
        <w:pStyle w:val="NoSpacing"/>
      </w:pPr>
      <w:r>
        <w:t xml:space="preserve">Line 115 </w:t>
      </w:r>
      <w:r w:rsidRPr="00460BFA">
        <w:rPr>
          <w:rFonts w:hint="eastAsia"/>
          <w:highlight w:val="yellow"/>
        </w:rPr>
        <w:t>γ</w:t>
      </w:r>
      <w:r w:rsidRPr="00460BFA">
        <w:rPr>
          <w:highlight w:val="yellow"/>
        </w:rPr>
        <w:t>-D-</w:t>
      </w:r>
      <w:proofErr w:type="spellStart"/>
      <w:r w:rsidRPr="00460BFA">
        <w:rPr>
          <w:highlight w:val="yellow"/>
        </w:rPr>
        <w:t>glutamylglycine</w:t>
      </w:r>
      <w:proofErr w:type="spellEnd"/>
      <w:r>
        <w:t xml:space="preserve"> (</w:t>
      </w:r>
      <w:r w:rsidRPr="00734EF7">
        <w:rPr>
          <w:rFonts w:hint="eastAsia"/>
        </w:rPr>
        <w:t>γ</w:t>
      </w:r>
      <w:r>
        <w:t>-</w:t>
      </w:r>
      <w:r w:rsidRPr="00734EF7">
        <w:t>DGG</w:t>
      </w:r>
      <w:r>
        <w:t>)</w:t>
      </w:r>
    </w:p>
    <w:p w14:paraId="3DB39E40" w14:textId="3D3799D4" w:rsidR="009C551F" w:rsidRDefault="009C551F" w:rsidP="002F464F">
      <w:pPr>
        <w:pStyle w:val="NoSpacing"/>
      </w:pPr>
      <w:r>
        <w:t>Line 40</w:t>
      </w:r>
      <w:r w:rsidR="007F2339">
        <w:t>5</w:t>
      </w:r>
      <w:r>
        <w:t xml:space="preserve"> </w:t>
      </w:r>
      <w:r w:rsidRPr="0001108B">
        <w:rPr>
          <w:rFonts w:cstheme="minorHAnsi"/>
          <w:color w:val="000000" w:themeColor="text1"/>
        </w:rPr>
        <w:t>differential interference contrast optic</w:t>
      </w:r>
      <w:r>
        <w:rPr>
          <w:rFonts w:cstheme="minorHAnsi"/>
          <w:color w:val="000000" w:themeColor="text1"/>
        </w:rPr>
        <w:t>s (abbreviation removed)</w:t>
      </w:r>
    </w:p>
    <w:p w14:paraId="7E03C16F" w14:textId="59CCA0B6" w:rsidR="002F464F" w:rsidRDefault="00C01074" w:rsidP="002F464F">
      <w:pPr>
        <w:pStyle w:val="NoSpacing"/>
      </w:pPr>
      <w:r>
        <w:br/>
        <w:t>3. Please rephrase the Short Abstract/Summary to clearly describe the protocol and its applications in complete sentences between 10-50 words: “Here, we present a protocol to …”</w:t>
      </w:r>
    </w:p>
    <w:p w14:paraId="610B4386" w14:textId="7C97240C" w:rsidR="002F464F" w:rsidRPr="002F464F" w:rsidRDefault="002F464F" w:rsidP="002F464F">
      <w:pPr>
        <w:pStyle w:val="NoSpacing"/>
        <w:rPr>
          <w:color w:val="FF0000"/>
        </w:rPr>
      </w:pPr>
      <w:r>
        <w:rPr>
          <w:color w:val="FF0000"/>
        </w:rPr>
        <w:t>Changed to (line 27-28):</w:t>
      </w:r>
    </w:p>
    <w:p w14:paraId="7E0C77C3" w14:textId="7A08BE5E" w:rsidR="002F464F" w:rsidRDefault="002F464F" w:rsidP="002F464F">
      <w:pPr>
        <w:pStyle w:val="NoSpacing"/>
        <w:rPr>
          <w:rFonts w:cstheme="minorHAnsi"/>
        </w:rPr>
      </w:pPr>
      <w:r w:rsidRPr="00442E4C">
        <w:rPr>
          <w:color w:val="000000" w:themeColor="text1"/>
          <w:highlight w:val="yellow"/>
        </w:rPr>
        <w:t>“</w:t>
      </w:r>
      <w:r w:rsidRPr="00442E4C">
        <w:rPr>
          <w:rFonts w:cstheme="minorHAnsi"/>
          <w:highlight w:val="yellow"/>
        </w:rPr>
        <w:t xml:space="preserve">Here, we present a </w:t>
      </w:r>
      <w:r w:rsidR="00F44B02" w:rsidRPr="00442E4C">
        <w:rPr>
          <w:rFonts w:cstheme="minorHAnsi"/>
          <w:highlight w:val="yellow"/>
        </w:rPr>
        <w:t>protocol</w:t>
      </w:r>
      <w:r w:rsidRPr="00442E4C">
        <w:rPr>
          <w:rFonts w:cstheme="minorHAnsi"/>
          <w:highlight w:val="yellow"/>
        </w:rPr>
        <w:t xml:space="preserve"> for evaluating functional synaptic multiplicity using whole-cell patch clamp electrophysiology in acute brain slices”</w:t>
      </w:r>
      <w:r>
        <w:rPr>
          <w:rFonts w:cstheme="minorHAnsi"/>
        </w:rPr>
        <w:t xml:space="preserve"> </w:t>
      </w:r>
    </w:p>
    <w:p w14:paraId="5E8DCFED" w14:textId="7E8A4802" w:rsidR="002F464F" w:rsidRDefault="00C01074" w:rsidP="002F464F">
      <w:pPr>
        <w:pStyle w:val="NoSpacing"/>
      </w:pPr>
      <w:r>
        <w:br/>
        <w:t xml:space="preserve">4. Please adjust the numbering of the Protocol to follow the </w:t>
      </w:r>
      <w:proofErr w:type="spellStart"/>
      <w:r>
        <w:t>JoVE</w:t>
      </w:r>
      <w:proofErr w:type="spellEnd"/>
      <w:r>
        <w:t xml:space="preserve"> Instructions for Authors. For example, 1 should be followed by 1.1 and then 1.1.1 and 1.1.2 if necessary. Please refrain from using bullets or dashes. Please leave a single line space between each numbered step and </w:t>
      </w:r>
      <w:proofErr w:type="spellStart"/>
      <w:r>
        <w:t>substep</w:t>
      </w:r>
      <w:proofErr w:type="spellEnd"/>
      <w:r>
        <w:t xml:space="preserve"> of the protocol.</w:t>
      </w:r>
    </w:p>
    <w:p w14:paraId="19F97921" w14:textId="24F80C67" w:rsidR="008D4B8D" w:rsidRDefault="008D4B8D" w:rsidP="002F464F">
      <w:pPr>
        <w:pStyle w:val="NoSpacing"/>
      </w:pPr>
      <w:r>
        <w:rPr>
          <w:color w:val="FF0000"/>
        </w:rPr>
        <w:t>Done</w:t>
      </w:r>
    </w:p>
    <w:p w14:paraId="0C829895" w14:textId="1A697BE8" w:rsidR="002F464F" w:rsidRPr="00EA19D8" w:rsidRDefault="00C01074" w:rsidP="002F464F">
      <w:pPr>
        <w:pStyle w:val="NoSpacing"/>
      </w:pPr>
      <w:r>
        <w:br/>
      </w:r>
      <w:r w:rsidRPr="00EA19D8">
        <w:t>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w:t>
      </w:r>
    </w:p>
    <w:p w14:paraId="5BC322B6" w14:textId="60348C3B" w:rsidR="00EA19D8" w:rsidRPr="00EA19D8" w:rsidRDefault="00EA19D8" w:rsidP="002F464F">
      <w:pPr>
        <w:pStyle w:val="NoSpacing"/>
      </w:pPr>
      <w:r w:rsidRPr="00EA19D8">
        <w:rPr>
          <w:color w:val="FF0000"/>
        </w:rPr>
        <w:t xml:space="preserve">The protocol has been updated according to points 5, 6 and 7. These changes are highlighted in grey in the protocol of the manuscript. </w:t>
      </w:r>
    </w:p>
    <w:p w14:paraId="16B62829" w14:textId="77777777" w:rsidR="002F464F" w:rsidRPr="00EA19D8" w:rsidRDefault="00C01074" w:rsidP="002F464F">
      <w:pPr>
        <w:pStyle w:val="NoSpacing"/>
      </w:pPr>
      <w:r w:rsidRPr="00EA19D8">
        <w:br/>
        <w:t>6. The Protocol should contain only action items that direct the reader to do something.</w:t>
      </w:r>
    </w:p>
    <w:p w14:paraId="265A95C7" w14:textId="77777777" w:rsidR="00EA19D8" w:rsidRPr="00EA19D8" w:rsidRDefault="00EA19D8" w:rsidP="00EA19D8">
      <w:pPr>
        <w:pStyle w:val="NoSpacing"/>
      </w:pPr>
      <w:r w:rsidRPr="00EA19D8">
        <w:rPr>
          <w:color w:val="FF0000"/>
        </w:rPr>
        <w:t xml:space="preserve">The protocol has been updated according to points 5, 6 and 7. These changes are highlighted in grey in the protocol of the manuscript. </w:t>
      </w:r>
    </w:p>
    <w:p w14:paraId="0559D92F" w14:textId="650484FD" w:rsidR="002F464F" w:rsidRDefault="00C01074" w:rsidP="002F464F">
      <w:pPr>
        <w:pStyle w:val="NoSpacing"/>
      </w:pPr>
      <w:r w:rsidRPr="00B40FF4">
        <w:rPr>
          <w:highlight w:val="cyan"/>
        </w:rPr>
        <w:br/>
      </w:r>
      <w:r w:rsidRPr="00EA19D8">
        <w:t>7. Please add more details to your protocol steps. Please ensure you answer the “how” question, i.e., how is the step performed?</w:t>
      </w:r>
    </w:p>
    <w:p w14:paraId="28E758E0" w14:textId="77777777" w:rsidR="00EA19D8" w:rsidRPr="00EA19D8" w:rsidRDefault="00EA19D8" w:rsidP="00EA19D8">
      <w:pPr>
        <w:pStyle w:val="NoSpacing"/>
      </w:pPr>
      <w:r w:rsidRPr="00EA19D8">
        <w:rPr>
          <w:color w:val="FF0000"/>
        </w:rPr>
        <w:t xml:space="preserve">The protocol has been updated according to points 5, 6 and 7. These changes are highlighted in grey in the protocol of the manuscript. </w:t>
      </w:r>
    </w:p>
    <w:p w14:paraId="300EBF33" w14:textId="77436077" w:rsidR="002F464F" w:rsidRDefault="00C01074" w:rsidP="002F464F">
      <w:pPr>
        <w:pStyle w:val="NoSpacing"/>
      </w:pPr>
      <w:r>
        <w:br/>
        <w:t>8. Line 198: How do you prepare the dissection tool?</w:t>
      </w:r>
    </w:p>
    <w:p w14:paraId="6ED8AA6A" w14:textId="7C0E5DD6" w:rsidR="00F44B02" w:rsidRDefault="00F44B02" w:rsidP="002F464F">
      <w:pPr>
        <w:pStyle w:val="NoSpacing"/>
        <w:rPr>
          <w:color w:val="FF0000"/>
        </w:rPr>
      </w:pPr>
      <w:r>
        <w:rPr>
          <w:color w:val="FF0000"/>
        </w:rPr>
        <w:t>This point has been changed to</w:t>
      </w:r>
      <w:r w:rsidR="00246B66">
        <w:rPr>
          <w:color w:val="FF0000"/>
        </w:rPr>
        <w:t>:</w:t>
      </w:r>
    </w:p>
    <w:p w14:paraId="2F52D7EF" w14:textId="57587F4E" w:rsidR="00F44B02" w:rsidRPr="00442E4C" w:rsidRDefault="00246B66" w:rsidP="008D4B8D">
      <w:pPr>
        <w:rPr>
          <w:rFonts w:cstheme="minorHAnsi"/>
          <w:highlight w:val="yellow"/>
        </w:rPr>
      </w:pPr>
      <w:r>
        <w:rPr>
          <w:highlight w:val="yellow"/>
        </w:rPr>
        <w:t>“</w:t>
      </w:r>
      <w:r w:rsidR="00CF251B">
        <w:rPr>
          <w:highlight w:val="yellow"/>
        </w:rPr>
        <w:t xml:space="preserve">2.1.3. </w:t>
      </w:r>
      <w:r w:rsidR="00F44B02" w:rsidRPr="00442E4C">
        <w:rPr>
          <w:rFonts w:cstheme="minorHAnsi"/>
          <w:highlight w:val="yellow"/>
        </w:rPr>
        <w:t>Prepare for dissection by setting up the tools (scalpel, angled fine scissors, forceps, fine paint blush, plastic spoon).</w:t>
      </w:r>
      <w:r w:rsidR="008D4B8D" w:rsidRPr="00442E4C">
        <w:rPr>
          <w:rFonts w:cstheme="minorHAnsi"/>
          <w:highlight w:val="yellow"/>
        </w:rPr>
        <w:t>”</w:t>
      </w:r>
    </w:p>
    <w:p w14:paraId="2A77A405" w14:textId="34059E3A" w:rsidR="002F464F" w:rsidRDefault="00C01074" w:rsidP="002F464F">
      <w:pPr>
        <w:pStyle w:val="NoSpacing"/>
      </w:pPr>
      <w:r>
        <w:br/>
        <w:t>9. Line 209: Please provide the concentration/percentage of the isoflurane used. Age, sex, strain specific bias if any. Please mention.</w:t>
      </w:r>
    </w:p>
    <w:p w14:paraId="738AE027" w14:textId="6F3FDB02" w:rsidR="008D4B8D" w:rsidRDefault="008D4B8D" w:rsidP="008D4B8D">
      <w:pPr>
        <w:pStyle w:val="NoSpacing"/>
        <w:rPr>
          <w:color w:val="FF0000"/>
        </w:rPr>
      </w:pPr>
      <w:r>
        <w:rPr>
          <w:color w:val="FF0000"/>
        </w:rPr>
        <w:t xml:space="preserve">This point has been changed to: </w:t>
      </w:r>
    </w:p>
    <w:p w14:paraId="5693E080" w14:textId="10966A8C" w:rsidR="008D4B8D" w:rsidRDefault="00246B66" w:rsidP="002F464F">
      <w:pPr>
        <w:pStyle w:val="NoSpacing"/>
        <w:rPr>
          <w:rFonts w:cstheme="minorHAnsi"/>
        </w:rPr>
      </w:pPr>
      <w:r>
        <w:rPr>
          <w:rFonts w:cstheme="minorHAnsi"/>
        </w:rPr>
        <w:lastRenderedPageBreak/>
        <w:t>“</w:t>
      </w:r>
      <w:r w:rsidR="00A83C5D">
        <w:rPr>
          <w:rFonts w:cstheme="minorHAnsi"/>
        </w:rPr>
        <w:t xml:space="preserve">2.2.1. </w:t>
      </w:r>
      <w:r w:rsidR="008D4B8D" w:rsidRPr="008A6DCE">
        <w:rPr>
          <w:rFonts w:cstheme="minorHAnsi"/>
        </w:rPr>
        <w:t xml:space="preserve">Anesthetize the animal in a chamber saturated with </w:t>
      </w:r>
      <w:r w:rsidR="008D4B8D" w:rsidRPr="00442E4C">
        <w:rPr>
          <w:rFonts w:cstheme="minorHAnsi"/>
          <w:highlight w:val="yellow"/>
        </w:rPr>
        <w:t>4%</w:t>
      </w:r>
      <w:r w:rsidR="008D4B8D">
        <w:rPr>
          <w:rFonts w:cstheme="minorHAnsi"/>
        </w:rPr>
        <w:t xml:space="preserve"> </w:t>
      </w:r>
      <w:r w:rsidR="008628EC" w:rsidRPr="008A6DCE">
        <w:rPr>
          <w:rFonts w:cstheme="minorHAnsi"/>
        </w:rPr>
        <w:t>isoflurane</w:t>
      </w:r>
      <w:r w:rsidR="008D4B8D" w:rsidRPr="008A6DCE">
        <w:rPr>
          <w:rFonts w:cstheme="minorHAnsi"/>
        </w:rPr>
        <w:t xml:space="preserve"> until spinal reflexes are absent.</w:t>
      </w:r>
      <w:r>
        <w:rPr>
          <w:rFonts w:cstheme="minorHAnsi"/>
        </w:rPr>
        <w:t>”</w:t>
      </w:r>
    </w:p>
    <w:p w14:paraId="3553294A" w14:textId="7160F837" w:rsidR="008D4B8D" w:rsidRDefault="008D4B8D" w:rsidP="002F464F">
      <w:pPr>
        <w:pStyle w:val="NoSpacing"/>
      </w:pPr>
      <w:r>
        <w:rPr>
          <w:rFonts w:cstheme="minorHAnsi"/>
          <w:color w:val="FF0000"/>
        </w:rPr>
        <w:t xml:space="preserve">There are no age, sex, </w:t>
      </w:r>
      <w:proofErr w:type="gramStart"/>
      <w:r>
        <w:rPr>
          <w:rFonts w:cstheme="minorHAnsi"/>
          <w:color w:val="FF0000"/>
        </w:rPr>
        <w:t>strain</w:t>
      </w:r>
      <w:proofErr w:type="gramEnd"/>
      <w:r>
        <w:rPr>
          <w:rFonts w:cstheme="minorHAnsi"/>
          <w:color w:val="FF0000"/>
        </w:rPr>
        <w:t xml:space="preserve"> specific biases to report. </w:t>
      </w:r>
    </w:p>
    <w:p w14:paraId="696A0072" w14:textId="77777777" w:rsidR="002F464F" w:rsidRDefault="00C01074" w:rsidP="002F464F">
      <w:pPr>
        <w:pStyle w:val="NoSpacing"/>
      </w:pPr>
      <w:r>
        <w:br/>
        <w:t>10. Line 221: Please mention the composition of the slicing solution? If mentioned before, please provide the step number here for clarity.</w:t>
      </w:r>
    </w:p>
    <w:p w14:paraId="64D8FA4A" w14:textId="5D9B1BE5" w:rsidR="008D4B8D" w:rsidRPr="008D4B8D" w:rsidRDefault="008D4B8D" w:rsidP="008D4B8D">
      <w:pPr>
        <w:pStyle w:val="NoSpacing"/>
        <w:rPr>
          <w:color w:val="FF0000"/>
        </w:rPr>
      </w:pPr>
      <w:r>
        <w:rPr>
          <w:color w:val="FF0000"/>
        </w:rPr>
        <w:t xml:space="preserve">This point has been changed to: </w:t>
      </w:r>
    </w:p>
    <w:p w14:paraId="510B2A3E" w14:textId="6A92B307" w:rsidR="008D4B8D" w:rsidRPr="008D4B8D" w:rsidRDefault="00246B66" w:rsidP="008D4B8D">
      <w:pPr>
        <w:rPr>
          <w:rFonts w:cstheme="minorHAnsi"/>
        </w:rPr>
      </w:pPr>
      <w:r>
        <w:rPr>
          <w:rFonts w:cstheme="minorHAnsi"/>
        </w:rPr>
        <w:t xml:space="preserve">“2.2.2.6. </w:t>
      </w:r>
      <w:r w:rsidR="008D4B8D" w:rsidRPr="008D4B8D">
        <w:rPr>
          <w:rFonts w:cstheme="minorHAnsi"/>
        </w:rPr>
        <w:t xml:space="preserve">Place the brain in one of the beakers filled with ice-cold slicing solution </w:t>
      </w:r>
      <w:r w:rsidR="008D4B8D" w:rsidRPr="00442E4C">
        <w:rPr>
          <w:rFonts w:cstheme="minorHAnsi"/>
          <w:highlight w:val="yellow"/>
        </w:rPr>
        <w:t>(from step 1.1</w:t>
      </w:r>
      <w:r w:rsidR="00EA19D8">
        <w:rPr>
          <w:rFonts w:cstheme="minorHAnsi"/>
          <w:highlight w:val="yellow"/>
        </w:rPr>
        <w:t>.4</w:t>
      </w:r>
      <w:r w:rsidR="008D4B8D" w:rsidRPr="00442E4C">
        <w:rPr>
          <w:rFonts w:cstheme="minorHAnsi"/>
          <w:highlight w:val="yellow"/>
        </w:rPr>
        <w:t>)</w:t>
      </w:r>
      <w:r w:rsidR="008D4B8D" w:rsidRPr="008D4B8D">
        <w:rPr>
          <w:rFonts w:cstheme="minorHAnsi"/>
        </w:rPr>
        <w:t xml:space="preserve"> bubbled with 95% O</w:t>
      </w:r>
      <w:r w:rsidR="008D4B8D" w:rsidRPr="008D4B8D">
        <w:rPr>
          <w:rFonts w:cstheme="minorHAnsi"/>
          <w:vertAlign w:val="subscript"/>
        </w:rPr>
        <w:t>2</w:t>
      </w:r>
      <w:r w:rsidR="008D4B8D" w:rsidRPr="008D4B8D">
        <w:rPr>
          <w:rFonts w:cstheme="minorHAnsi"/>
        </w:rPr>
        <w:t>/5% CO</w:t>
      </w:r>
      <w:r w:rsidR="008D4B8D" w:rsidRPr="008D4B8D">
        <w:rPr>
          <w:rFonts w:cstheme="minorHAnsi"/>
          <w:vertAlign w:val="subscript"/>
        </w:rPr>
        <w:t>2</w:t>
      </w:r>
      <w:r w:rsidR="008D4B8D">
        <w:rPr>
          <w:rFonts w:cstheme="minorHAnsi"/>
        </w:rPr>
        <w:t>.”</w:t>
      </w:r>
    </w:p>
    <w:p w14:paraId="560921C4" w14:textId="77777777" w:rsidR="002F464F" w:rsidRDefault="00C01074" w:rsidP="002F464F">
      <w:pPr>
        <w:pStyle w:val="NoSpacing"/>
      </w:pPr>
      <w:r>
        <w:br/>
        <w:t>11. Line 224: How do you block the brain? What are the desired brain areas?</w:t>
      </w:r>
    </w:p>
    <w:p w14:paraId="0A7C634B" w14:textId="72B760E7" w:rsidR="008D4B8D" w:rsidRDefault="008D4B8D" w:rsidP="008D4B8D">
      <w:pPr>
        <w:pStyle w:val="NoSpacing"/>
        <w:rPr>
          <w:color w:val="FF0000"/>
        </w:rPr>
      </w:pPr>
      <w:r>
        <w:rPr>
          <w:color w:val="FF0000"/>
        </w:rPr>
        <w:t>This has been changed to:</w:t>
      </w:r>
    </w:p>
    <w:p w14:paraId="6D1FA8C6" w14:textId="421ED082" w:rsidR="008D4B8D" w:rsidRPr="008D4B8D" w:rsidRDefault="008D4B8D" w:rsidP="008D4B8D">
      <w:pPr>
        <w:rPr>
          <w:rFonts w:cstheme="minorHAnsi"/>
        </w:rPr>
      </w:pPr>
      <w:r>
        <w:rPr>
          <w:rFonts w:cstheme="minorHAnsi"/>
        </w:rPr>
        <w:t>“</w:t>
      </w:r>
      <w:r w:rsidR="004C0A25">
        <w:rPr>
          <w:rFonts w:cstheme="minorHAnsi"/>
        </w:rPr>
        <w:t xml:space="preserve">2.3.1. </w:t>
      </w:r>
      <w:r w:rsidRPr="008D4B8D">
        <w:rPr>
          <w:rFonts w:cstheme="minorHAnsi"/>
        </w:rPr>
        <w:t xml:space="preserve">Block the brain for the desired brain areas and cut angle (e.g. for coronal hypothalamic slices, </w:t>
      </w:r>
      <w:r w:rsidRPr="00442E4C">
        <w:rPr>
          <w:rFonts w:cstheme="minorHAnsi"/>
          <w:highlight w:val="yellow"/>
        </w:rPr>
        <w:t>trim off the tissue rostral to the optic chiasm and caudal to the pons using a blade and ensure the caudal block has a flat surface perpendicular to the base of the brain</w:t>
      </w:r>
      <w:r w:rsidRPr="008D4B8D">
        <w:rPr>
          <w:rFonts w:cstheme="minorHAnsi"/>
        </w:rPr>
        <w:t>).</w:t>
      </w:r>
      <w:r>
        <w:rPr>
          <w:rFonts w:cstheme="minorHAnsi"/>
        </w:rPr>
        <w:t>”</w:t>
      </w:r>
    </w:p>
    <w:p w14:paraId="2F151EB7" w14:textId="77777777" w:rsidR="008D4B8D" w:rsidRDefault="008D4B8D" w:rsidP="008D4B8D">
      <w:pPr>
        <w:pStyle w:val="NoSpacing"/>
        <w:rPr>
          <w:color w:val="FF0000"/>
        </w:rPr>
      </w:pPr>
      <w:r>
        <w:rPr>
          <w:color w:val="FF0000"/>
        </w:rPr>
        <w:t xml:space="preserve">The desired brain area will depend on the experimenter’s area of interest. </w:t>
      </w:r>
    </w:p>
    <w:p w14:paraId="194989BA" w14:textId="1C2D51D3" w:rsidR="002F464F" w:rsidRDefault="00C01074" w:rsidP="002F464F">
      <w:pPr>
        <w:pStyle w:val="NoSpacing"/>
      </w:pPr>
      <w:r>
        <w:br/>
        <w:t>12. Please ensure that the highlight is no more than 2.75 pages in length including heading and spacings.</w:t>
      </w:r>
    </w:p>
    <w:p w14:paraId="11A8CEF1" w14:textId="4139C078" w:rsidR="008D4B8D" w:rsidRPr="008D4B8D" w:rsidRDefault="008D4B8D" w:rsidP="002F464F">
      <w:pPr>
        <w:pStyle w:val="NoSpacing"/>
        <w:rPr>
          <w:color w:val="FF0000"/>
        </w:rPr>
      </w:pPr>
      <w:r w:rsidRPr="008D4B8D">
        <w:rPr>
          <w:color w:val="FF0000"/>
        </w:rPr>
        <w:t xml:space="preserve">The protocol highlight is less than 2 pages. </w:t>
      </w:r>
    </w:p>
    <w:p w14:paraId="1FEE6708" w14:textId="434B3858" w:rsidR="002F464F" w:rsidRDefault="00C01074" w:rsidP="002F464F">
      <w:pPr>
        <w:pStyle w:val="NoSpacing"/>
      </w:pPr>
      <w:r>
        <w:br/>
        <w:t>13.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t>docx</w:t>
      </w:r>
      <w:proofErr w:type="spellEnd"/>
      <w:r>
        <w:t xml:space="preserve"> file to your Editorial Manager account. The Figure must be cited appropriately in the Figure Legend, i.e. “This figure has been modified from [citation].”</w:t>
      </w:r>
    </w:p>
    <w:p w14:paraId="41329AF6" w14:textId="5B02763C" w:rsidR="00091B3C" w:rsidRPr="008D4B8D" w:rsidRDefault="00186D8B" w:rsidP="00091B3C">
      <w:pPr>
        <w:pStyle w:val="NoSpacing"/>
        <w:rPr>
          <w:color w:val="FF0000"/>
        </w:rPr>
      </w:pPr>
      <w:r>
        <w:rPr>
          <w:color w:val="FF0000"/>
        </w:rPr>
        <w:t>The r</w:t>
      </w:r>
      <w:r w:rsidR="00091B3C">
        <w:rPr>
          <w:color w:val="FF0000"/>
        </w:rPr>
        <w:t xml:space="preserve">eprint </w:t>
      </w:r>
      <w:r w:rsidR="00B372F9">
        <w:rPr>
          <w:color w:val="FF0000"/>
        </w:rPr>
        <w:t xml:space="preserve">permissions </w:t>
      </w:r>
      <w:r w:rsidR="00091B3C">
        <w:rPr>
          <w:color w:val="FF0000"/>
        </w:rPr>
        <w:t>document has been attached.</w:t>
      </w:r>
    </w:p>
    <w:p w14:paraId="09919810" w14:textId="241F2681" w:rsidR="008D4B8D" w:rsidRDefault="00C01074" w:rsidP="00D9303C">
      <w:pPr>
        <w:pStyle w:val="NoSpacing"/>
      </w:pPr>
      <w:r>
        <w:br/>
      </w:r>
      <w:r w:rsidRPr="00933B83">
        <w:t>14. Please alphabetically sort the table of materials.</w:t>
      </w:r>
      <w:r>
        <w:br/>
      </w:r>
      <w:r w:rsidR="00D131A6" w:rsidRPr="00D131A6">
        <w:rPr>
          <w:color w:val="FF0000"/>
        </w:rPr>
        <w:t>Done</w:t>
      </w:r>
      <w:r>
        <w:br/>
      </w:r>
      <w:r>
        <w:br/>
      </w:r>
      <w:bookmarkStart w:id="0" w:name="_GoBack"/>
      <w:bookmarkEnd w:id="0"/>
    </w:p>
    <w:p w14:paraId="3799033D" w14:textId="77777777" w:rsidR="008D4B8D" w:rsidRPr="002C32B6" w:rsidRDefault="008D4B8D" w:rsidP="00252E4B">
      <w:pPr>
        <w:pStyle w:val="NormalWeb"/>
        <w:shd w:val="clear" w:color="auto" w:fill="FFFFFF"/>
        <w:spacing w:before="0" w:beforeAutospacing="0" w:after="240" w:afterAutospacing="0"/>
      </w:pPr>
    </w:p>
    <w:sectPr w:rsidR="008D4B8D" w:rsidRPr="002C32B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044BD5"/>
    <w:multiLevelType w:val="hybridMultilevel"/>
    <w:tmpl w:val="D9DEC104"/>
    <w:lvl w:ilvl="0" w:tplc="1009000F">
      <w:start w:val="1"/>
      <w:numFmt w:val="decimal"/>
      <w:lvlText w:val="%1."/>
      <w:lvlJc w:val="left"/>
      <w:pPr>
        <w:ind w:left="720" w:hanging="360"/>
      </w:pPr>
      <w:rPr>
        <w:rFonts w:hint="default"/>
      </w:rPr>
    </w:lvl>
    <w:lvl w:ilvl="1" w:tplc="DCE60CAE">
      <w:start w:val="1"/>
      <w:numFmt w:val="decimal"/>
      <w:lvlText w:val="1.%2."/>
      <w:lvlJc w:val="left"/>
      <w:pPr>
        <w:ind w:left="1440" w:hanging="360"/>
      </w:pPr>
      <w:rPr>
        <w:rFonts w:hint="default"/>
      </w:rPr>
    </w:lvl>
    <w:lvl w:ilvl="2" w:tplc="BFF6D4B4">
      <w:start w:val="1"/>
      <w:numFmt w:val="decimal"/>
      <w:suff w:val="space"/>
      <w:lvlText w:val="%3."/>
      <w:lvlJc w:val="left"/>
      <w:pPr>
        <w:ind w:left="2160" w:hanging="180"/>
      </w:pPr>
      <w:rPr>
        <w:rFonts w:hint="default"/>
      </w:r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074"/>
    <w:rsid w:val="00007AD7"/>
    <w:rsid w:val="00017172"/>
    <w:rsid w:val="000341ED"/>
    <w:rsid w:val="00045507"/>
    <w:rsid w:val="00055C31"/>
    <w:rsid w:val="00071672"/>
    <w:rsid w:val="000741BD"/>
    <w:rsid w:val="000871F9"/>
    <w:rsid w:val="00091B3C"/>
    <w:rsid w:val="0010682F"/>
    <w:rsid w:val="00161AF1"/>
    <w:rsid w:val="001762CB"/>
    <w:rsid w:val="00181505"/>
    <w:rsid w:val="00186D8B"/>
    <w:rsid w:val="001E4891"/>
    <w:rsid w:val="001F4974"/>
    <w:rsid w:val="00216BAB"/>
    <w:rsid w:val="00226AF9"/>
    <w:rsid w:val="0024125A"/>
    <w:rsid w:val="00246B66"/>
    <w:rsid w:val="00252E4B"/>
    <w:rsid w:val="002571A2"/>
    <w:rsid w:val="00261143"/>
    <w:rsid w:val="0026639F"/>
    <w:rsid w:val="00266CC4"/>
    <w:rsid w:val="00282807"/>
    <w:rsid w:val="002843DF"/>
    <w:rsid w:val="00297516"/>
    <w:rsid w:val="002A0A30"/>
    <w:rsid w:val="002C32B6"/>
    <w:rsid w:val="002F464F"/>
    <w:rsid w:val="00332FB7"/>
    <w:rsid w:val="0034741F"/>
    <w:rsid w:val="0038691D"/>
    <w:rsid w:val="003A44DF"/>
    <w:rsid w:val="00442E4C"/>
    <w:rsid w:val="00460BFA"/>
    <w:rsid w:val="004663DB"/>
    <w:rsid w:val="004A1C7E"/>
    <w:rsid w:val="004C0A25"/>
    <w:rsid w:val="00523246"/>
    <w:rsid w:val="00591918"/>
    <w:rsid w:val="00592CA8"/>
    <w:rsid w:val="005A5B3A"/>
    <w:rsid w:val="005C4AD6"/>
    <w:rsid w:val="005D18CC"/>
    <w:rsid w:val="005D5C4D"/>
    <w:rsid w:val="00603D35"/>
    <w:rsid w:val="006462DA"/>
    <w:rsid w:val="00687DCC"/>
    <w:rsid w:val="006B34C1"/>
    <w:rsid w:val="006B755F"/>
    <w:rsid w:val="00731395"/>
    <w:rsid w:val="007879AE"/>
    <w:rsid w:val="007976A2"/>
    <w:rsid w:val="007B028B"/>
    <w:rsid w:val="007E1E39"/>
    <w:rsid w:val="007F2339"/>
    <w:rsid w:val="008241BA"/>
    <w:rsid w:val="008317DC"/>
    <w:rsid w:val="008628EC"/>
    <w:rsid w:val="008769B0"/>
    <w:rsid w:val="00887E2C"/>
    <w:rsid w:val="008D4B8D"/>
    <w:rsid w:val="008E4A33"/>
    <w:rsid w:val="00933B83"/>
    <w:rsid w:val="00942424"/>
    <w:rsid w:val="00955E6C"/>
    <w:rsid w:val="009C551F"/>
    <w:rsid w:val="009E2139"/>
    <w:rsid w:val="00A0318E"/>
    <w:rsid w:val="00A83C5D"/>
    <w:rsid w:val="00AD6EE2"/>
    <w:rsid w:val="00AE465A"/>
    <w:rsid w:val="00AF305A"/>
    <w:rsid w:val="00B372F9"/>
    <w:rsid w:val="00B40AFF"/>
    <w:rsid w:val="00B40FF4"/>
    <w:rsid w:val="00B712C5"/>
    <w:rsid w:val="00B71E89"/>
    <w:rsid w:val="00B8217F"/>
    <w:rsid w:val="00BD2D87"/>
    <w:rsid w:val="00BE4AE5"/>
    <w:rsid w:val="00BF5DB8"/>
    <w:rsid w:val="00C01074"/>
    <w:rsid w:val="00C14F86"/>
    <w:rsid w:val="00C20968"/>
    <w:rsid w:val="00CB0EF3"/>
    <w:rsid w:val="00CB5094"/>
    <w:rsid w:val="00CB5A58"/>
    <w:rsid w:val="00CD62BC"/>
    <w:rsid w:val="00CE4BC0"/>
    <w:rsid w:val="00CF251B"/>
    <w:rsid w:val="00D131A6"/>
    <w:rsid w:val="00D9303C"/>
    <w:rsid w:val="00DD0ED6"/>
    <w:rsid w:val="00E85F50"/>
    <w:rsid w:val="00E928DB"/>
    <w:rsid w:val="00EA004D"/>
    <w:rsid w:val="00EA19D8"/>
    <w:rsid w:val="00EB4EF1"/>
    <w:rsid w:val="00EF7D6C"/>
    <w:rsid w:val="00F01F9B"/>
    <w:rsid w:val="00F44B02"/>
    <w:rsid w:val="00F50AE0"/>
    <w:rsid w:val="00FA6F7F"/>
    <w:rsid w:val="00FF5DC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B9EF7"/>
  <w15:chartTrackingRefBased/>
  <w15:docId w15:val="{C4186FC3-140A-439E-B6B4-37BF33392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107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C01074"/>
    <w:rPr>
      <w:b/>
      <w:bCs/>
    </w:rPr>
  </w:style>
  <w:style w:type="paragraph" w:styleId="BalloonText">
    <w:name w:val="Balloon Text"/>
    <w:basedOn w:val="Normal"/>
    <w:link w:val="BalloonTextChar"/>
    <w:uiPriority w:val="99"/>
    <w:semiHidden/>
    <w:unhideWhenUsed/>
    <w:rsid w:val="00C010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074"/>
    <w:rPr>
      <w:rFonts w:ascii="Segoe UI" w:hAnsi="Segoe UI" w:cs="Segoe UI"/>
      <w:sz w:val="18"/>
      <w:szCs w:val="18"/>
    </w:rPr>
  </w:style>
  <w:style w:type="paragraph" w:styleId="NoSpacing">
    <w:name w:val="No Spacing"/>
    <w:uiPriority w:val="1"/>
    <w:qFormat/>
    <w:rsid w:val="002F464F"/>
    <w:pPr>
      <w:spacing w:after="0" w:line="240" w:lineRule="auto"/>
    </w:pPr>
  </w:style>
  <w:style w:type="paragraph" w:styleId="ListParagraph">
    <w:name w:val="List Paragraph"/>
    <w:basedOn w:val="Normal"/>
    <w:uiPriority w:val="34"/>
    <w:qFormat/>
    <w:rsid w:val="00F44B02"/>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lang w:val="en-US"/>
    </w:rPr>
  </w:style>
  <w:style w:type="character" w:styleId="CommentReference">
    <w:name w:val="annotation reference"/>
    <w:basedOn w:val="DefaultParagraphFont"/>
    <w:uiPriority w:val="99"/>
    <w:semiHidden/>
    <w:unhideWhenUsed/>
    <w:rsid w:val="002843DF"/>
    <w:rPr>
      <w:sz w:val="16"/>
      <w:szCs w:val="16"/>
    </w:rPr>
  </w:style>
  <w:style w:type="paragraph" w:styleId="CommentText">
    <w:name w:val="annotation text"/>
    <w:basedOn w:val="Normal"/>
    <w:link w:val="CommentTextChar"/>
    <w:uiPriority w:val="99"/>
    <w:semiHidden/>
    <w:unhideWhenUsed/>
    <w:rsid w:val="002843DF"/>
    <w:pPr>
      <w:spacing w:line="240" w:lineRule="auto"/>
    </w:pPr>
    <w:rPr>
      <w:sz w:val="20"/>
      <w:szCs w:val="20"/>
    </w:rPr>
  </w:style>
  <w:style w:type="character" w:customStyle="1" w:styleId="CommentTextChar">
    <w:name w:val="Comment Text Char"/>
    <w:basedOn w:val="DefaultParagraphFont"/>
    <w:link w:val="CommentText"/>
    <w:uiPriority w:val="99"/>
    <w:semiHidden/>
    <w:rsid w:val="002843DF"/>
    <w:rPr>
      <w:sz w:val="20"/>
      <w:szCs w:val="20"/>
    </w:rPr>
  </w:style>
  <w:style w:type="paragraph" w:styleId="CommentSubject">
    <w:name w:val="annotation subject"/>
    <w:basedOn w:val="CommentText"/>
    <w:next w:val="CommentText"/>
    <w:link w:val="CommentSubjectChar"/>
    <w:uiPriority w:val="99"/>
    <w:semiHidden/>
    <w:unhideWhenUsed/>
    <w:rsid w:val="002843DF"/>
    <w:rPr>
      <w:b/>
      <w:bCs/>
    </w:rPr>
  </w:style>
  <w:style w:type="character" w:customStyle="1" w:styleId="CommentSubjectChar">
    <w:name w:val="Comment Subject Char"/>
    <w:basedOn w:val="CommentTextChar"/>
    <w:link w:val="CommentSubject"/>
    <w:uiPriority w:val="99"/>
    <w:semiHidden/>
    <w:rsid w:val="002843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07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A5034-357F-4573-82DB-5FABDDE1A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Sunstrum</dc:creator>
  <cp:keywords/>
  <dc:description/>
  <cp:lastModifiedBy>inoue</cp:lastModifiedBy>
  <cp:revision>3</cp:revision>
  <cp:lastPrinted>2019-01-08T18:26:00Z</cp:lastPrinted>
  <dcterms:created xsi:type="dcterms:W3CDTF">2019-01-14T20:56:00Z</dcterms:created>
  <dcterms:modified xsi:type="dcterms:W3CDTF">2019-01-15T03:47:00Z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http://www.zotero.org/styles/neuropharmacology</vt:lpwstr>
  </property>
  <property fmtid="{D5CDD505-2E9C-101B-9397-08002B2CF9AE}" pid="21" name="Mendeley Recent Style Name 9_1">
    <vt:lpwstr>Neuropharmacology</vt:lpwstr>
  </property>
  <property fmtid="{D5CDD505-2E9C-101B-9397-08002B2CF9AE}" pid="22" name="ZOTERO_PREF_1">
    <vt:lpwstr>&lt;data data-version="3" zotero-version="5.0.60"&gt;&lt;session id="XxeCZ2xt"/&gt;&lt;style id="http://www.zotero.org/styles/journal-of-visualized-experiments" hasBibliography="1" bibliographyStyleHasBeenSet="0"/&gt;&lt;prefs&gt;&lt;pref name="fieldType" value="Field"/&gt;&lt;/prefs&gt;&lt;/d</vt:lpwstr>
  </property>
  <property fmtid="{D5CDD505-2E9C-101B-9397-08002B2CF9AE}" pid="23" name="ZOTERO_PREF_2">
    <vt:lpwstr>ata&gt;</vt:lpwstr>
  </property>
  <property fmtid="{D5CDD505-2E9C-101B-9397-08002B2CF9AE}" pid="24" name="Mendeley Document_1">
    <vt:lpwstr>True</vt:lpwstr>
  </property>
  <property fmtid="{D5CDD505-2E9C-101B-9397-08002B2CF9AE}" pid="25" name="Mendeley Unique User Id_1">
    <vt:lpwstr>c9e66fd9-6144-3a74-b9fb-2f5d62bea34f</vt:lpwstr>
  </property>
  <property fmtid="{D5CDD505-2E9C-101B-9397-08002B2CF9AE}" pid="26" name="Mendeley Citation Style_1">
    <vt:lpwstr>http://www.zotero.org/styles/journal-of-visualized-experiments</vt:lpwstr>
  </property>
</Properties>
</file>