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6DFF3937" w:rsidR="006305D7" w:rsidRPr="00D137AB" w:rsidRDefault="006305D7" w:rsidP="00B613AE">
      <w:pPr>
        <w:pStyle w:val="NormalWeb"/>
        <w:spacing w:before="0" w:beforeAutospacing="0" w:after="0" w:afterAutospacing="0"/>
        <w:outlineLvl w:val="0"/>
        <w:rPr>
          <w:rFonts w:asciiTheme="minorHAnsi" w:hAnsiTheme="minorHAnsi" w:cstheme="minorHAnsi"/>
          <w:color w:val="auto"/>
        </w:rPr>
      </w:pPr>
      <w:r w:rsidRPr="00D137AB">
        <w:rPr>
          <w:rFonts w:asciiTheme="minorHAnsi" w:hAnsiTheme="minorHAnsi" w:cstheme="minorHAnsi"/>
          <w:b/>
          <w:bCs/>
          <w:color w:val="auto"/>
        </w:rPr>
        <w:t>TITLE:</w:t>
      </w:r>
      <w:r w:rsidRPr="00D137AB">
        <w:rPr>
          <w:rFonts w:asciiTheme="minorHAnsi" w:hAnsiTheme="minorHAnsi" w:cstheme="minorHAnsi"/>
          <w:color w:val="auto"/>
        </w:rPr>
        <w:t xml:space="preserve"> </w:t>
      </w:r>
    </w:p>
    <w:p w14:paraId="0C76090E" w14:textId="3373A2AE" w:rsidR="007A4DD6" w:rsidRPr="00D137AB" w:rsidRDefault="0007662E" w:rsidP="007A4DD6">
      <w:pPr>
        <w:rPr>
          <w:rFonts w:asciiTheme="minorHAnsi" w:hAnsiTheme="minorHAnsi" w:cstheme="minorHAnsi"/>
          <w:color w:val="auto"/>
        </w:rPr>
      </w:pPr>
      <w:r w:rsidRPr="00D137AB">
        <w:rPr>
          <w:rFonts w:asciiTheme="minorHAnsi" w:hAnsiTheme="minorHAnsi" w:cstheme="minorHAnsi"/>
          <w:color w:val="auto"/>
        </w:rPr>
        <w:t>Operative Technique</w:t>
      </w:r>
      <w:r w:rsidR="008E0089" w:rsidRPr="00D137AB">
        <w:rPr>
          <w:rFonts w:asciiTheme="minorHAnsi" w:hAnsiTheme="minorHAnsi" w:cstheme="minorHAnsi"/>
          <w:color w:val="auto"/>
        </w:rPr>
        <w:t xml:space="preserve"> and Nuances</w:t>
      </w:r>
      <w:r w:rsidRPr="00D137AB">
        <w:rPr>
          <w:rFonts w:asciiTheme="minorHAnsi" w:hAnsiTheme="minorHAnsi" w:cstheme="minorHAnsi"/>
          <w:color w:val="auto"/>
        </w:rPr>
        <w:t xml:space="preserve"> for the </w:t>
      </w:r>
      <w:proofErr w:type="spellStart"/>
      <w:r w:rsidRPr="00D137AB">
        <w:rPr>
          <w:rFonts w:asciiTheme="minorHAnsi" w:hAnsiTheme="minorHAnsi" w:cstheme="minorHAnsi"/>
          <w:color w:val="auto"/>
        </w:rPr>
        <w:t>Stereoelectroencephalographic</w:t>
      </w:r>
      <w:proofErr w:type="spellEnd"/>
      <w:r w:rsidRPr="00D137AB">
        <w:rPr>
          <w:rFonts w:asciiTheme="minorHAnsi" w:hAnsiTheme="minorHAnsi" w:cstheme="minorHAnsi"/>
          <w:color w:val="auto"/>
        </w:rPr>
        <w:t xml:space="preserve"> (SEEG) Methodology Utilizing a Robotic Stereotactic Guidance System.</w:t>
      </w:r>
    </w:p>
    <w:p w14:paraId="2E300B21" w14:textId="77777777" w:rsidR="007A4DD6" w:rsidRPr="00D137AB" w:rsidRDefault="007A4DD6" w:rsidP="001B1519">
      <w:pPr>
        <w:rPr>
          <w:rFonts w:asciiTheme="minorHAnsi" w:hAnsiTheme="minorHAnsi" w:cstheme="minorHAnsi"/>
          <w:b/>
          <w:bCs/>
          <w:color w:val="auto"/>
        </w:rPr>
      </w:pPr>
    </w:p>
    <w:p w14:paraId="3D080DA3" w14:textId="7F9DD9AC" w:rsidR="006305D7" w:rsidRPr="00D137AB" w:rsidRDefault="006305D7" w:rsidP="00B613AE">
      <w:pPr>
        <w:outlineLvl w:val="0"/>
        <w:rPr>
          <w:rFonts w:asciiTheme="minorHAnsi" w:hAnsiTheme="minorHAnsi" w:cstheme="minorHAnsi"/>
          <w:color w:val="auto"/>
        </w:rPr>
      </w:pPr>
      <w:r w:rsidRPr="00D137AB">
        <w:rPr>
          <w:rFonts w:asciiTheme="minorHAnsi" w:hAnsiTheme="minorHAnsi" w:cstheme="minorHAnsi"/>
          <w:b/>
          <w:bCs/>
          <w:color w:val="auto"/>
        </w:rPr>
        <w:t>AUTHORS</w:t>
      </w:r>
      <w:r w:rsidR="000B662E" w:rsidRPr="00D137AB">
        <w:rPr>
          <w:rFonts w:asciiTheme="minorHAnsi" w:hAnsiTheme="minorHAnsi" w:cstheme="minorHAnsi"/>
          <w:b/>
          <w:bCs/>
          <w:color w:val="auto"/>
        </w:rPr>
        <w:t xml:space="preserve"> </w:t>
      </w:r>
      <w:r w:rsidR="00086FF5" w:rsidRPr="00D137AB">
        <w:rPr>
          <w:rFonts w:asciiTheme="minorHAnsi" w:hAnsiTheme="minorHAnsi" w:cstheme="minorHAnsi"/>
          <w:b/>
          <w:bCs/>
          <w:color w:val="auto"/>
        </w:rPr>
        <w:t xml:space="preserve">AND </w:t>
      </w:r>
      <w:r w:rsidR="000B662E" w:rsidRPr="00D137AB">
        <w:rPr>
          <w:rFonts w:asciiTheme="minorHAnsi" w:hAnsiTheme="minorHAnsi" w:cstheme="minorHAnsi"/>
          <w:b/>
          <w:bCs/>
          <w:color w:val="auto"/>
        </w:rPr>
        <w:t>AFFILIATIONS</w:t>
      </w:r>
      <w:r w:rsidRPr="00D137AB">
        <w:rPr>
          <w:rFonts w:asciiTheme="minorHAnsi" w:hAnsiTheme="minorHAnsi" w:cstheme="minorHAnsi"/>
          <w:b/>
          <w:bCs/>
          <w:color w:val="auto"/>
        </w:rPr>
        <w:t>:</w:t>
      </w:r>
    </w:p>
    <w:p w14:paraId="32B171D0" w14:textId="625F5DE6" w:rsidR="007A4DD6" w:rsidRPr="00D137AB" w:rsidRDefault="0007662E" w:rsidP="00B613AE">
      <w:pPr>
        <w:outlineLvl w:val="0"/>
        <w:rPr>
          <w:rFonts w:asciiTheme="minorHAnsi" w:hAnsiTheme="minorHAnsi" w:cstheme="minorHAnsi"/>
          <w:color w:val="auto"/>
          <w:vertAlign w:val="superscript"/>
        </w:rPr>
      </w:pPr>
      <w:r w:rsidRPr="00D137AB">
        <w:rPr>
          <w:rFonts w:asciiTheme="minorHAnsi" w:hAnsiTheme="minorHAnsi" w:cstheme="minorHAnsi"/>
          <w:color w:val="auto"/>
        </w:rPr>
        <w:t>Jaes</w:t>
      </w:r>
      <w:r w:rsidR="00781EC1" w:rsidRPr="00D137AB">
        <w:rPr>
          <w:rFonts w:asciiTheme="minorHAnsi" w:hAnsiTheme="minorHAnsi" w:cstheme="minorHAnsi"/>
          <w:color w:val="auto"/>
        </w:rPr>
        <w:t xml:space="preserve"> C.</w:t>
      </w:r>
      <w:r w:rsidRPr="00D137AB">
        <w:rPr>
          <w:rFonts w:asciiTheme="minorHAnsi" w:hAnsiTheme="minorHAnsi" w:cstheme="minorHAnsi"/>
          <w:color w:val="auto"/>
        </w:rPr>
        <w:t xml:space="preserve"> Jones</w:t>
      </w:r>
      <w:r w:rsidRPr="00D137AB">
        <w:rPr>
          <w:rFonts w:asciiTheme="minorHAnsi" w:hAnsiTheme="minorHAnsi" w:cstheme="minorHAnsi"/>
          <w:color w:val="auto"/>
          <w:vertAlign w:val="superscript"/>
        </w:rPr>
        <w:t>1</w:t>
      </w:r>
      <w:r w:rsidR="0052529E">
        <w:rPr>
          <w:rFonts w:asciiTheme="minorHAnsi" w:hAnsiTheme="minorHAnsi" w:cstheme="minorHAnsi"/>
          <w:color w:val="auto"/>
        </w:rPr>
        <w:t xml:space="preserve">, </w:t>
      </w:r>
      <w:r w:rsidRPr="00D137AB">
        <w:rPr>
          <w:rFonts w:asciiTheme="minorHAnsi" w:hAnsiTheme="minorHAnsi" w:cstheme="minorHAnsi"/>
          <w:color w:val="auto"/>
        </w:rPr>
        <w:t>Jorge Gonzalez-Martinez</w:t>
      </w:r>
      <w:r w:rsidRPr="00D137AB">
        <w:rPr>
          <w:rFonts w:asciiTheme="minorHAnsi" w:hAnsiTheme="minorHAnsi" w:cstheme="minorHAnsi"/>
          <w:color w:val="auto"/>
          <w:vertAlign w:val="superscript"/>
        </w:rPr>
        <w:t>2</w:t>
      </w:r>
      <w:proofErr w:type="gramStart"/>
      <w:r w:rsidRPr="00D137AB">
        <w:rPr>
          <w:rFonts w:asciiTheme="minorHAnsi" w:hAnsiTheme="minorHAnsi" w:cstheme="minorHAnsi"/>
          <w:color w:val="auto"/>
          <w:vertAlign w:val="superscript"/>
        </w:rPr>
        <w:t>,3</w:t>
      </w:r>
      <w:proofErr w:type="gramEnd"/>
    </w:p>
    <w:p w14:paraId="1CE4ED10" w14:textId="77777777" w:rsidR="0007662E" w:rsidRPr="00D137AB" w:rsidRDefault="0007662E" w:rsidP="007A4DD6">
      <w:pPr>
        <w:rPr>
          <w:rFonts w:asciiTheme="minorHAnsi" w:hAnsiTheme="minorHAnsi" w:cstheme="minorHAnsi"/>
          <w:color w:val="auto"/>
        </w:rPr>
      </w:pPr>
    </w:p>
    <w:p w14:paraId="4B587278" w14:textId="1CF1794E" w:rsidR="0007662E" w:rsidRPr="00D137AB" w:rsidRDefault="0007662E" w:rsidP="007A4DD6">
      <w:pPr>
        <w:rPr>
          <w:rFonts w:asciiTheme="minorHAnsi" w:hAnsiTheme="minorHAnsi" w:cstheme="minorHAnsi"/>
          <w:color w:val="auto"/>
        </w:rPr>
      </w:pPr>
      <w:r w:rsidRPr="00D137AB">
        <w:rPr>
          <w:rFonts w:asciiTheme="minorHAnsi" w:hAnsiTheme="minorHAnsi" w:cstheme="minorHAnsi"/>
          <w:color w:val="auto"/>
          <w:vertAlign w:val="superscript"/>
        </w:rPr>
        <w:t>1</w:t>
      </w:r>
      <w:r w:rsidRPr="00D137AB">
        <w:rPr>
          <w:rFonts w:asciiTheme="minorHAnsi" w:hAnsiTheme="minorHAnsi" w:cstheme="minorHAnsi"/>
          <w:color w:val="auto"/>
        </w:rPr>
        <w:t xml:space="preserve"> Cleveland Clinic Lerner College of Medicine, Cleveland Clinic Foundation, Cleveland, Ohio, USA</w:t>
      </w:r>
    </w:p>
    <w:p w14:paraId="4E8A9177" w14:textId="55A0F075" w:rsidR="0007662E" w:rsidRPr="00D137AB" w:rsidRDefault="0007662E" w:rsidP="007A4DD6">
      <w:pPr>
        <w:rPr>
          <w:rFonts w:asciiTheme="minorHAnsi" w:hAnsiTheme="minorHAnsi" w:cstheme="minorHAnsi"/>
          <w:color w:val="auto"/>
        </w:rPr>
      </w:pPr>
      <w:r w:rsidRPr="00D137AB">
        <w:rPr>
          <w:rFonts w:asciiTheme="minorHAnsi" w:hAnsiTheme="minorHAnsi" w:cstheme="minorHAnsi"/>
          <w:color w:val="auto"/>
          <w:vertAlign w:val="superscript"/>
        </w:rPr>
        <w:t>2</w:t>
      </w:r>
      <w:r w:rsidRPr="00D137AB">
        <w:rPr>
          <w:rFonts w:asciiTheme="minorHAnsi" w:hAnsiTheme="minorHAnsi" w:cstheme="minorHAnsi"/>
          <w:color w:val="auto"/>
        </w:rPr>
        <w:t xml:space="preserve"> Department of Neurosurgery, Cleveland Clinic Foundation, Cleveland, Ohio, USA</w:t>
      </w:r>
    </w:p>
    <w:p w14:paraId="7D94A80E" w14:textId="78A07C45" w:rsidR="0007662E" w:rsidRPr="00D137AB" w:rsidRDefault="0007662E" w:rsidP="007A4DD6">
      <w:pPr>
        <w:rPr>
          <w:rFonts w:asciiTheme="minorHAnsi" w:hAnsiTheme="minorHAnsi" w:cstheme="minorHAnsi"/>
          <w:color w:val="auto"/>
        </w:rPr>
      </w:pPr>
      <w:r w:rsidRPr="00D137AB">
        <w:rPr>
          <w:rFonts w:asciiTheme="minorHAnsi" w:hAnsiTheme="minorHAnsi" w:cstheme="minorHAnsi"/>
          <w:color w:val="auto"/>
          <w:vertAlign w:val="superscript"/>
        </w:rPr>
        <w:t>3</w:t>
      </w:r>
      <w:r w:rsidRPr="00D137AB">
        <w:rPr>
          <w:rFonts w:asciiTheme="minorHAnsi" w:hAnsiTheme="minorHAnsi" w:cstheme="minorHAnsi"/>
          <w:color w:val="auto"/>
        </w:rPr>
        <w:t xml:space="preserve"> Epilepsy Center, Cleveland Clinic Foundation, Cleveland, Ohio, USA</w:t>
      </w:r>
    </w:p>
    <w:p w14:paraId="60FCB589" w14:textId="42D11221" w:rsidR="00D04A95" w:rsidRPr="00D137AB" w:rsidRDefault="00D04A95" w:rsidP="001B1519">
      <w:pPr>
        <w:rPr>
          <w:rFonts w:asciiTheme="minorHAnsi" w:hAnsiTheme="minorHAnsi" w:cstheme="minorHAnsi"/>
          <w:bCs/>
          <w:color w:val="auto"/>
        </w:rPr>
      </w:pPr>
    </w:p>
    <w:p w14:paraId="2196A631" w14:textId="77B7516B" w:rsidR="00781EC1" w:rsidRPr="00D137AB" w:rsidRDefault="00781EC1" w:rsidP="001B1519">
      <w:pPr>
        <w:rPr>
          <w:rFonts w:asciiTheme="minorHAnsi" w:hAnsiTheme="minorHAnsi" w:cstheme="minorHAnsi"/>
          <w:bCs/>
          <w:color w:val="auto"/>
        </w:rPr>
      </w:pPr>
      <w:r w:rsidRPr="00D137AB">
        <w:rPr>
          <w:rFonts w:asciiTheme="minorHAnsi" w:hAnsiTheme="minorHAnsi" w:cstheme="minorHAnsi"/>
          <w:bCs/>
          <w:color w:val="auto"/>
        </w:rPr>
        <w:t>Corresponding Author:</w:t>
      </w:r>
    </w:p>
    <w:p w14:paraId="4EBB5E8C" w14:textId="58CA7167" w:rsidR="00781EC1" w:rsidRPr="00D137AB" w:rsidRDefault="00781EC1" w:rsidP="001B1519">
      <w:pPr>
        <w:rPr>
          <w:rFonts w:asciiTheme="minorHAnsi" w:hAnsiTheme="minorHAnsi" w:cstheme="minorHAnsi"/>
          <w:bCs/>
          <w:color w:val="auto"/>
        </w:rPr>
      </w:pPr>
      <w:r w:rsidRPr="00D137AB">
        <w:rPr>
          <w:rFonts w:asciiTheme="minorHAnsi" w:hAnsiTheme="minorHAnsi" w:cstheme="minorHAnsi"/>
          <w:bCs/>
          <w:color w:val="auto"/>
        </w:rPr>
        <w:t>Jorge Gonzalez-Martinez</w:t>
      </w:r>
    </w:p>
    <w:p w14:paraId="09BC88F2" w14:textId="696F9E7D" w:rsidR="00781EC1" w:rsidRPr="00D137AB" w:rsidRDefault="0052529E" w:rsidP="00B613AE">
      <w:pPr>
        <w:outlineLvl w:val="0"/>
        <w:rPr>
          <w:rFonts w:asciiTheme="minorHAnsi" w:hAnsiTheme="minorHAnsi" w:cstheme="minorHAnsi"/>
          <w:bCs/>
          <w:color w:val="auto"/>
        </w:rPr>
      </w:pPr>
      <w:hyperlink r:id="rId9" w:history="1">
        <w:r w:rsidR="00781EC1" w:rsidRPr="00D137AB">
          <w:rPr>
            <w:rStyle w:val="Hyperlink"/>
            <w:rFonts w:asciiTheme="minorHAnsi" w:hAnsiTheme="minorHAnsi" w:cstheme="minorHAnsi"/>
            <w:bCs/>
            <w:color w:val="auto"/>
          </w:rPr>
          <w:t>Gonzalj1@ccf.org</w:t>
        </w:r>
      </w:hyperlink>
    </w:p>
    <w:p w14:paraId="5CF4D86D" w14:textId="77777777" w:rsidR="00781EC1" w:rsidRPr="00D137AB" w:rsidRDefault="00781EC1" w:rsidP="001B1519">
      <w:pPr>
        <w:rPr>
          <w:rFonts w:asciiTheme="minorHAnsi" w:hAnsiTheme="minorHAnsi" w:cstheme="minorHAnsi"/>
          <w:bCs/>
          <w:color w:val="auto"/>
        </w:rPr>
      </w:pPr>
    </w:p>
    <w:p w14:paraId="6DABDF68" w14:textId="14DEFF54" w:rsidR="00781EC1" w:rsidRPr="00D137AB" w:rsidRDefault="00781EC1" w:rsidP="001B1519">
      <w:pPr>
        <w:rPr>
          <w:rFonts w:asciiTheme="minorHAnsi" w:hAnsiTheme="minorHAnsi" w:cstheme="minorHAnsi"/>
          <w:bCs/>
          <w:color w:val="auto"/>
        </w:rPr>
      </w:pPr>
      <w:r w:rsidRPr="00D137AB">
        <w:rPr>
          <w:rFonts w:asciiTheme="minorHAnsi" w:hAnsiTheme="minorHAnsi" w:cstheme="minorHAnsi"/>
          <w:bCs/>
          <w:color w:val="auto"/>
        </w:rPr>
        <w:t>Email addresses of Co-authors:</w:t>
      </w:r>
    </w:p>
    <w:p w14:paraId="1C6CCC1C" w14:textId="2360665C" w:rsidR="00781EC1" w:rsidRPr="00D137AB" w:rsidRDefault="00781EC1" w:rsidP="001B1519">
      <w:pPr>
        <w:rPr>
          <w:rFonts w:asciiTheme="minorHAnsi" w:hAnsiTheme="minorHAnsi" w:cstheme="minorHAnsi"/>
          <w:bCs/>
          <w:color w:val="auto"/>
          <w:lang w:val="fi-FI"/>
        </w:rPr>
      </w:pPr>
      <w:r w:rsidRPr="00D137AB">
        <w:rPr>
          <w:rFonts w:asciiTheme="minorHAnsi" w:hAnsiTheme="minorHAnsi" w:cstheme="minorHAnsi"/>
          <w:bCs/>
          <w:color w:val="auto"/>
          <w:lang w:val="fi-FI"/>
        </w:rPr>
        <w:t>Jaes C. Jones (jonesj30@ccf.org)</w:t>
      </w:r>
    </w:p>
    <w:p w14:paraId="657F1EB8" w14:textId="77777777" w:rsidR="00781EC1" w:rsidRPr="00D137AB" w:rsidRDefault="00781EC1" w:rsidP="001B1519">
      <w:pPr>
        <w:rPr>
          <w:rFonts w:asciiTheme="minorHAnsi" w:hAnsiTheme="minorHAnsi" w:cstheme="minorHAnsi"/>
          <w:bCs/>
          <w:color w:val="auto"/>
          <w:lang w:val="fi-FI"/>
        </w:rPr>
      </w:pPr>
    </w:p>
    <w:p w14:paraId="71B79AC9" w14:textId="49642710" w:rsidR="006305D7" w:rsidRPr="00D137AB" w:rsidRDefault="006305D7" w:rsidP="00B613AE">
      <w:pPr>
        <w:pStyle w:val="NormalWeb"/>
        <w:spacing w:before="0" w:beforeAutospacing="0" w:after="0" w:afterAutospacing="0"/>
        <w:outlineLvl w:val="0"/>
        <w:rPr>
          <w:rFonts w:asciiTheme="minorHAnsi" w:hAnsiTheme="minorHAnsi" w:cstheme="minorHAnsi"/>
          <w:color w:val="auto"/>
        </w:rPr>
      </w:pPr>
      <w:r w:rsidRPr="00D137AB">
        <w:rPr>
          <w:rFonts w:asciiTheme="minorHAnsi" w:hAnsiTheme="minorHAnsi" w:cstheme="minorHAnsi"/>
          <w:b/>
          <w:bCs/>
          <w:color w:val="auto"/>
        </w:rPr>
        <w:t>KEYWORDS:</w:t>
      </w:r>
    </w:p>
    <w:p w14:paraId="6C0B0781" w14:textId="3F2D0704" w:rsidR="007A4DD6" w:rsidRPr="00D137AB" w:rsidRDefault="0007662E" w:rsidP="007A4DD6">
      <w:pPr>
        <w:rPr>
          <w:rFonts w:asciiTheme="minorHAnsi" w:hAnsiTheme="minorHAnsi" w:cstheme="minorHAnsi"/>
          <w:color w:val="auto"/>
        </w:rPr>
      </w:pPr>
      <w:proofErr w:type="spellStart"/>
      <w:r w:rsidRPr="00D137AB">
        <w:rPr>
          <w:rFonts w:asciiTheme="minorHAnsi" w:hAnsiTheme="minorHAnsi" w:cstheme="minorHAnsi"/>
          <w:color w:val="auto"/>
        </w:rPr>
        <w:t>Stereoelectroencephalography</w:t>
      </w:r>
      <w:proofErr w:type="spellEnd"/>
      <w:r w:rsidRPr="00D137AB">
        <w:rPr>
          <w:rFonts w:asciiTheme="minorHAnsi" w:hAnsiTheme="minorHAnsi" w:cstheme="minorHAnsi"/>
          <w:color w:val="auto"/>
        </w:rPr>
        <w:t xml:space="preserve">, SEEG, </w:t>
      </w:r>
      <w:r w:rsidR="0069516F">
        <w:rPr>
          <w:rFonts w:asciiTheme="minorHAnsi" w:hAnsiTheme="minorHAnsi" w:cstheme="minorHAnsi"/>
          <w:color w:val="auto"/>
        </w:rPr>
        <w:t xml:space="preserve">Surgical </w:t>
      </w:r>
      <w:r w:rsidRPr="00D137AB">
        <w:rPr>
          <w:rFonts w:asciiTheme="minorHAnsi" w:hAnsiTheme="minorHAnsi" w:cstheme="minorHAnsi"/>
          <w:color w:val="auto"/>
        </w:rPr>
        <w:t>Technique, Implantation, Epile</w:t>
      </w:r>
      <w:r w:rsidR="00A6705B" w:rsidRPr="00D137AB">
        <w:rPr>
          <w:rFonts w:asciiTheme="minorHAnsi" w:hAnsiTheme="minorHAnsi" w:cstheme="minorHAnsi"/>
          <w:color w:val="auto"/>
        </w:rPr>
        <w:t>p</w:t>
      </w:r>
      <w:r w:rsidRPr="00D137AB">
        <w:rPr>
          <w:rFonts w:asciiTheme="minorHAnsi" w:hAnsiTheme="minorHAnsi" w:cstheme="minorHAnsi"/>
          <w:color w:val="auto"/>
        </w:rPr>
        <w:t>sy, MRE</w:t>
      </w:r>
      <w:r w:rsidR="0069516F">
        <w:rPr>
          <w:rFonts w:asciiTheme="minorHAnsi" w:hAnsiTheme="minorHAnsi" w:cstheme="minorHAnsi"/>
          <w:color w:val="auto"/>
        </w:rPr>
        <w:t>, Robotic Surgery</w:t>
      </w:r>
    </w:p>
    <w:p w14:paraId="1CB4E390" w14:textId="77777777" w:rsidR="006305D7" w:rsidRPr="00D137AB" w:rsidRDefault="006305D7" w:rsidP="001B1519">
      <w:pPr>
        <w:pStyle w:val="NormalWeb"/>
        <w:spacing w:before="0" w:beforeAutospacing="0" w:after="0" w:afterAutospacing="0"/>
        <w:rPr>
          <w:rFonts w:asciiTheme="minorHAnsi" w:hAnsiTheme="minorHAnsi" w:cstheme="minorHAnsi"/>
          <w:color w:val="auto"/>
        </w:rPr>
      </w:pPr>
    </w:p>
    <w:p w14:paraId="628AC4B5" w14:textId="0545EC6B" w:rsidR="006305D7" w:rsidRPr="00D137AB" w:rsidRDefault="00086FF5" w:rsidP="00B613AE">
      <w:pPr>
        <w:outlineLvl w:val="0"/>
        <w:rPr>
          <w:rFonts w:asciiTheme="minorHAnsi" w:hAnsiTheme="minorHAnsi" w:cstheme="minorHAnsi"/>
          <w:color w:val="auto"/>
        </w:rPr>
      </w:pPr>
      <w:r w:rsidRPr="00D137AB">
        <w:rPr>
          <w:rFonts w:asciiTheme="minorHAnsi" w:hAnsiTheme="minorHAnsi" w:cstheme="minorHAnsi"/>
          <w:b/>
          <w:bCs/>
          <w:color w:val="auto"/>
        </w:rPr>
        <w:t>SUMMARY</w:t>
      </w:r>
      <w:r w:rsidR="006305D7" w:rsidRPr="00D137AB">
        <w:rPr>
          <w:rFonts w:asciiTheme="minorHAnsi" w:hAnsiTheme="minorHAnsi" w:cstheme="minorHAnsi"/>
          <w:b/>
          <w:bCs/>
          <w:color w:val="auto"/>
        </w:rPr>
        <w:t>:</w:t>
      </w:r>
    </w:p>
    <w:p w14:paraId="32798D51" w14:textId="4DEF0496" w:rsidR="007A4DD6" w:rsidRPr="00D137AB" w:rsidRDefault="00411F1D" w:rsidP="007A4DD6">
      <w:pPr>
        <w:rPr>
          <w:rFonts w:asciiTheme="minorHAnsi" w:hAnsiTheme="minorHAnsi" w:cstheme="minorHAnsi"/>
          <w:color w:val="auto"/>
        </w:rPr>
      </w:pPr>
      <w:r w:rsidRPr="00D137AB">
        <w:rPr>
          <w:rFonts w:asciiTheme="minorHAnsi" w:hAnsiTheme="minorHAnsi" w:cstheme="minorHAnsi"/>
          <w:color w:val="auto"/>
        </w:rPr>
        <w:t xml:space="preserve">The SEEG methodology is simplified and made faster with </w:t>
      </w:r>
      <w:r w:rsidR="00FA0DBC" w:rsidRPr="00D137AB">
        <w:rPr>
          <w:rFonts w:asciiTheme="minorHAnsi" w:hAnsiTheme="minorHAnsi" w:cstheme="minorHAnsi"/>
          <w:color w:val="auto"/>
        </w:rPr>
        <w:t>a stereotactic robot</w:t>
      </w:r>
      <w:r w:rsidR="0071157D">
        <w:rPr>
          <w:rFonts w:asciiTheme="minorHAnsi" w:hAnsiTheme="minorHAnsi" w:cstheme="minorHAnsi"/>
          <w:color w:val="auto"/>
        </w:rPr>
        <w:t xml:space="preserve">. Careful attention must be paid to the registration of the preoperative volumetric MRI to the patient prior to use of the robot in the OR. </w:t>
      </w:r>
      <w:r w:rsidR="0052529E">
        <w:rPr>
          <w:rFonts w:asciiTheme="minorHAnsi" w:hAnsiTheme="minorHAnsi" w:cstheme="minorHAnsi"/>
          <w:color w:val="auto"/>
        </w:rPr>
        <w:t>T</w:t>
      </w:r>
      <w:r w:rsidR="0071157D">
        <w:rPr>
          <w:rFonts w:asciiTheme="minorHAnsi" w:hAnsiTheme="minorHAnsi" w:cstheme="minorHAnsi"/>
          <w:color w:val="auto"/>
        </w:rPr>
        <w:t>he robot streamlines the procedure, leading to decreased operative times and accurate implantations.</w:t>
      </w:r>
    </w:p>
    <w:p w14:paraId="761028D6" w14:textId="77777777" w:rsidR="006305D7" w:rsidRPr="00D137AB" w:rsidRDefault="006305D7" w:rsidP="001B1519">
      <w:pPr>
        <w:rPr>
          <w:rFonts w:asciiTheme="minorHAnsi" w:hAnsiTheme="minorHAnsi" w:cstheme="minorHAnsi"/>
          <w:color w:val="auto"/>
        </w:rPr>
      </w:pPr>
    </w:p>
    <w:p w14:paraId="64FB8590" w14:textId="57095C7B" w:rsidR="006305D7" w:rsidRPr="00D137AB" w:rsidRDefault="006305D7" w:rsidP="00B613AE">
      <w:pPr>
        <w:outlineLvl w:val="0"/>
        <w:rPr>
          <w:rFonts w:asciiTheme="minorHAnsi" w:hAnsiTheme="minorHAnsi" w:cstheme="minorHAnsi"/>
          <w:color w:val="auto"/>
        </w:rPr>
      </w:pPr>
      <w:r w:rsidRPr="00D137AB">
        <w:rPr>
          <w:rFonts w:asciiTheme="minorHAnsi" w:hAnsiTheme="minorHAnsi" w:cstheme="minorHAnsi"/>
          <w:b/>
          <w:bCs/>
          <w:color w:val="auto"/>
        </w:rPr>
        <w:t>ABSTRACT:</w:t>
      </w:r>
    </w:p>
    <w:p w14:paraId="69D456B9" w14:textId="6ADA7010" w:rsidR="007A4DD6" w:rsidRPr="00D137AB" w:rsidRDefault="00803265" w:rsidP="007A4DD6">
      <w:pPr>
        <w:rPr>
          <w:rFonts w:asciiTheme="minorHAnsi" w:hAnsiTheme="minorHAnsi" w:cstheme="minorHAnsi"/>
          <w:color w:val="auto"/>
        </w:rPr>
      </w:pPr>
      <w:r>
        <w:rPr>
          <w:rFonts w:asciiTheme="minorHAnsi" w:hAnsiTheme="minorHAnsi" w:cstheme="minorHAnsi"/>
          <w:color w:val="auto"/>
        </w:rPr>
        <w:t xml:space="preserve">The SEEG methodology has gained favor in North America over the last decade as a means of localizing the epileptogenic zone (EZ) prior to epilepsy surgery. Recently, </w:t>
      </w:r>
      <w:r w:rsidR="00B613AE">
        <w:rPr>
          <w:rFonts w:asciiTheme="minorHAnsi" w:hAnsiTheme="minorHAnsi" w:cstheme="minorHAnsi"/>
          <w:color w:val="auto"/>
        </w:rPr>
        <w:t xml:space="preserve">the application </w:t>
      </w:r>
      <w:r>
        <w:rPr>
          <w:rFonts w:asciiTheme="minorHAnsi" w:hAnsiTheme="minorHAnsi" w:cstheme="minorHAnsi"/>
          <w:color w:val="auto"/>
        </w:rPr>
        <w:t>of a robotic stereotactic guidance system for implantation of SEEG electrodes has become more popular</w:t>
      </w:r>
      <w:r w:rsidR="007F312D">
        <w:rPr>
          <w:rFonts w:asciiTheme="minorHAnsi" w:hAnsiTheme="minorHAnsi" w:cstheme="minorHAnsi"/>
          <w:color w:val="auto"/>
        </w:rPr>
        <w:t xml:space="preserve"> in many epilepsy centers</w:t>
      </w:r>
      <w:r>
        <w:rPr>
          <w:rFonts w:asciiTheme="minorHAnsi" w:hAnsiTheme="minorHAnsi" w:cstheme="minorHAnsi"/>
          <w:color w:val="auto"/>
        </w:rPr>
        <w:t xml:space="preserve">. The technique for the use of the robot requires extreme precision in the pre-surgical </w:t>
      </w:r>
      <w:r w:rsidR="007F312D">
        <w:rPr>
          <w:rFonts w:asciiTheme="minorHAnsi" w:hAnsiTheme="minorHAnsi" w:cstheme="minorHAnsi"/>
          <w:color w:val="auto"/>
        </w:rPr>
        <w:t xml:space="preserve">planning </w:t>
      </w:r>
      <w:r>
        <w:rPr>
          <w:rFonts w:asciiTheme="minorHAnsi" w:hAnsiTheme="minorHAnsi" w:cstheme="minorHAnsi"/>
          <w:color w:val="auto"/>
        </w:rPr>
        <w:t>phase and then the technique is streamlined during the operative portion of the methodology, as the robot and surgeon work in concert to implant the electrodes. Herein is detailed precise operative methodology of using the robot to guide implantation of SEEG electrodes. A major limitation of the procedure, namely its heavy reliance on the ability to register the patient to a preoperative volumetric magnetic resonance image (MRI), is also discussed. Overall, this</w:t>
      </w:r>
      <w:r w:rsidR="004110CB">
        <w:rPr>
          <w:rFonts w:asciiTheme="minorHAnsi" w:hAnsiTheme="minorHAnsi" w:cstheme="minorHAnsi"/>
          <w:color w:val="auto"/>
        </w:rPr>
        <w:t xml:space="preserve"> procedure has been shown to have a low morbidity rate and an extremely low mortality rate. The use of a robotic stereotactic guidance system</w:t>
      </w:r>
      <w:r w:rsidR="0052529E">
        <w:rPr>
          <w:rFonts w:asciiTheme="minorHAnsi" w:hAnsiTheme="minorHAnsi" w:cstheme="minorHAnsi"/>
          <w:color w:val="auto"/>
        </w:rPr>
        <w:t xml:space="preserve"> </w:t>
      </w:r>
      <w:r w:rsidR="004110CB">
        <w:rPr>
          <w:rFonts w:asciiTheme="minorHAnsi" w:hAnsiTheme="minorHAnsi" w:cstheme="minorHAnsi"/>
          <w:color w:val="auto"/>
        </w:rPr>
        <w:t>for the implantation of SEEG electrodes is a</w:t>
      </w:r>
      <w:r w:rsidR="007F312D">
        <w:rPr>
          <w:rFonts w:asciiTheme="minorHAnsi" w:hAnsiTheme="minorHAnsi" w:cstheme="minorHAnsi"/>
          <w:color w:val="auto"/>
        </w:rPr>
        <w:t>n efficient</w:t>
      </w:r>
      <w:r w:rsidR="00AA58C8">
        <w:rPr>
          <w:rFonts w:asciiTheme="minorHAnsi" w:hAnsiTheme="minorHAnsi" w:cstheme="minorHAnsi"/>
          <w:color w:val="auto"/>
        </w:rPr>
        <w:t>,</w:t>
      </w:r>
      <w:r w:rsidR="004110CB">
        <w:rPr>
          <w:rFonts w:asciiTheme="minorHAnsi" w:hAnsiTheme="minorHAnsi" w:cstheme="minorHAnsi"/>
          <w:color w:val="auto"/>
        </w:rPr>
        <w:t xml:space="preserve"> fast, safe, and accurate alternative to conventional manual implantation strategies.</w:t>
      </w:r>
    </w:p>
    <w:p w14:paraId="4C7D5FD5" w14:textId="77777777" w:rsidR="006305D7" w:rsidRPr="00D137AB" w:rsidRDefault="006305D7" w:rsidP="001B1519">
      <w:pPr>
        <w:rPr>
          <w:rFonts w:asciiTheme="minorHAnsi" w:hAnsiTheme="minorHAnsi" w:cstheme="minorHAnsi"/>
          <w:color w:val="auto"/>
        </w:rPr>
      </w:pPr>
    </w:p>
    <w:p w14:paraId="00D25F73" w14:textId="33B77E0D" w:rsidR="006305D7" w:rsidRPr="00D137AB" w:rsidRDefault="006305D7" w:rsidP="00B613AE">
      <w:pPr>
        <w:outlineLvl w:val="0"/>
        <w:rPr>
          <w:rFonts w:asciiTheme="minorHAnsi" w:hAnsiTheme="minorHAnsi" w:cstheme="minorHAnsi"/>
          <w:color w:val="auto"/>
        </w:rPr>
      </w:pPr>
      <w:r w:rsidRPr="00D137AB">
        <w:rPr>
          <w:rFonts w:asciiTheme="minorHAnsi" w:hAnsiTheme="minorHAnsi" w:cstheme="minorHAnsi"/>
          <w:b/>
          <w:color w:val="auto"/>
        </w:rPr>
        <w:t>INTRODUCTION</w:t>
      </w:r>
      <w:r w:rsidRPr="00D137AB">
        <w:rPr>
          <w:rFonts w:asciiTheme="minorHAnsi" w:hAnsiTheme="minorHAnsi" w:cstheme="minorHAnsi"/>
          <w:b/>
          <w:bCs/>
          <w:color w:val="auto"/>
        </w:rPr>
        <w:t>:</w:t>
      </w:r>
      <w:r w:rsidRPr="00D137AB">
        <w:rPr>
          <w:rFonts w:asciiTheme="minorHAnsi" w:hAnsiTheme="minorHAnsi" w:cstheme="minorHAnsi"/>
          <w:color w:val="auto"/>
        </w:rPr>
        <w:t xml:space="preserve"> </w:t>
      </w:r>
    </w:p>
    <w:p w14:paraId="17A79CA9" w14:textId="18C0F2D6" w:rsidR="00092735" w:rsidRDefault="00710CC5" w:rsidP="007A4DD6">
      <w:pPr>
        <w:rPr>
          <w:rFonts w:asciiTheme="minorHAnsi" w:hAnsiTheme="minorHAnsi" w:cstheme="minorHAnsi"/>
          <w:color w:val="auto"/>
        </w:rPr>
      </w:pPr>
      <w:r>
        <w:rPr>
          <w:rFonts w:asciiTheme="minorHAnsi" w:hAnsiTheme="minorHAnsi" w:cstheme="minorHAnsi"/>
          <w:color w:val="auto"/>
        </w:rPr>
        <w:lastRenderedPageBreak/>
        <w:t>Medically refractory epilepsy (MRE) is estimated to afflict fifteen million people world-wide</w:t>
      </w:r>
      <w:r w:rsidR="0052529E">
        <w:rPr>
          <w:rFonts w:asciiTheme="minorHAnsi" w:hAnsiTheme="minorHAnsi" w:cstheme="minorHAnsi"/>
          <w:color w:val="auto"/>
          <w:vertAlign w:val="superscript"/>
        </w:rPr>
        <w:t>1</w:t>
      </w:r>
      <w:r>
        <w:rPr>
          <w:rFonts w:asciiTheme="minorHAnsi" w:hAnsiTheme="minorHAnsi" w:cstheme="minorHAnsi"/>
          <w:color w:val="auto"/>
        </w:rPr>
        <w:t>. Many of these patients, therefore, may well be treated with surgery. Epilepsy surgery relies on the</w:t>
      </w:r>
      <w:r w:rsidR="007F312D">
        <w:rPr>
          <w:rFonts w:asciiTheme="minorHAnsi" w:hAnsiTheme="minorHAnsi" w:cstheme="minorHAnsi"/>
          <w:color w:val="auto"/>
        </w:rPr>
        <w:t xml:space="preserve"> precise</w:t>
      </w:r>
      <w:r>
        <w:rPr>
          <w:rFonts w:asciiTheme="minorHAnsi" w:hAnsiTheme="minorHAnsi" w:cstheme="minorHAnsi"/>
          <w:color w:val="auto"/>
        </w:rPr>
        <w:t xml:space="preserve"> localization of the theorized epileptogenic zone (EZ)</w:t>
      </w:r>
      <w:r w:rsidR="007F312D">
        <w:rPr>
          <w:rFonts w:asciiTheme="minorHAnsi" w:hAnsiTheme="minorHAnsi" w:cstheme="minorHAnsi"/>
          <w:color w:val="auto"/>
        </w:rPr>
        <w:t xml:space="preserve"> </w:t>
      </w:r>
      <w:r>
        <w:rPr>
          <w:rFonts w:asciiTheme="minorHAnsi" w:hAnsiTheme="minorHAnsi" w:cstheme="minorHAnsi"/>
          <w:color w:val="auto"/>
        </w:rPr>
        <w:t xml:space="preserve">in order to guide surgical resections. Jean </w:t>
      </w:r>
      <w:proofErr w:type="spellStart"/>
      <w:r>
        <w:rPr>
          <w:rFonts w:asciiTheme="minorHAnsi" w:hAnsiTheme="minorHAnsi" w:cstheme="minorHAnsi"/>
          <w:color w:val="auto"/>
        </w:rPr>
        <w:t>Tailarach</w:t>
      </w:r>
      <w:proofErr w:type="spellEnd"/>
      <w:r>
        <w:rPr>
          <w:rFonts w:asciiTheme="minorHAnsi" w:hAnsiTheme="minorHAnsi" w:cstheme="minorHAnsi"/>
          <w:color w:val="auto"/>
        </w:rPr>
        <w:t xml:space="preserve"> and Jean </w:t>
      </w:r>
      <w:proofErr w:type="spellStart"/>
      <w:r>
        <w:rPr>
          <w:rFonts w:asciiTheme="minorHAnsi" w:hAnsiTheme="minorHAnsi" w:cstheme="minorHAnsi"/>
          <w:color w:val="auto"/>
        </w:rPr>
        <w:t>Bancaud</w:t>
      </w:r>
      <w:proofErr w:type="spellEnd"/>
      <w:r>
        <w:rPr>
          <w:rFonts w:asciiTheme="minorHAnsi" w:hAnsiTheme="minorHAnsi" w:cstheme="minorHAnsi"/>
          <w:color w:val="auto"/>
        </w:rPr>
        <w:t xml:space="preserve"> developed</w:t>
      </w:r>
      <w:r w:rsidR="007F312D">
        <w:rPr>
          <w:rFonts w:asciiTheme="minorHAnsi" w:hAnsiTheme="minorHAnsi" w:cstheme="minorHAnsi"/>
          <w:color w:val="auto"/>
        </w:rPr>
        <w:t xml:space="preserve"> the </w:t>
      </w:r>
      <w:proofErr w:type="spellStart"/>
      <w:r>
        <w:rPr>
          <w:rFonts w:asciiTheme="minorHAnsi" w:hAnsiTheme="minorHAnsi" w:cstheme="minorHAnsi"/>
          <w:color w:val="auto"/>
        </w:rPr>
        <w:t>stereoelectroencephalography</w:t>
      </w:r>
      <w:proofErr w:type="spellEnd"/>
      <w:r>
        <w:rPr>
          <w:rFonts w:asciiTheme="minorHAnsi" w:hAnsiTheme="minorHAnsi" w:cstheme="minorHAnsi"/>
          <w:color w:val="auto"/>
        </w:rPr>
        <w:t xml:space="preserve"> (SEEG)</w:t>
      </w:r>
      <w:r w:rsidR="007F312D">
        <w:rPr>
          <w:rFonts w:asciiTheme="minorHAnsi" w:hAnsiTheme="minorHAnsi" w:cstheme="minorHAnsi"/>
          <w:color w:val="auto"/>
        </w:rPr>
        <w:t xml:space="preserve"> methodology</w:t>
      </w:r>
      <w:r>
        <w:rPr>
          <w:rFonts w:asciiTheme="minorHAnsi" w:hAnsiTheme="minorHAnsi" w:cstheme="minorHAnsi"/>
          <w:color w:val="auto"/>
        </w:rPr>
        <w:t xml:space="preserve"> in the 1950s as a method for more accurately localizing the EZ based on the </w:t>
      </w:r>
      <w:r>
        <w:rPr>
          <w:rFonts w:asciiTheme="minorHAnsi" w:hAnsiTheme="minorHAnsi" w:cstheme="minorHAnsi"/>
          <w:i/>
          <w:color w:val="auto"/>
        </w:rPr>
        <w:t>in situ</w:t>
      </w:r>
      <w:r>
        <w:rPr>
          <w:rFonts w:asciiTheme="minorHAnsi" w:hAnsiTheme="minorHAnsi" w:cstheme="minorHAnsi"/>
          <w:color w:val="auto"/>
        </w:rPr>
        <w:t xml:space="preserve"> electrophysiology of the epileptic brain in both cortical and deep structures</w:t>
      </w:r>
      <w:r w:rsidR="0052529E">
        <w:rPr>
          <w:rFonts w:asciiTheme="minorHAnsi" w:hAnsiTheme="minorHAnsi" w:cstheme="minorHAnsi"/>
          <w:color w:val="auto"/>
          <w:vertAlign w:val="superscript"/>
        </w:rPr>
        <w:t>2</w:t>
      </w:r>
      <w:proofErr w:type="gramStart"/>
      <w:r w:rsidR="0052529E">
        <w:rPr>
          <w:rFonts w:asciiTheme="minorHAnsi" w:hAnsiTheme="minorHAnsi" w:cstheme="minorHAnsi"/>
          <w:color w:val="auto"/>
          <w:vertAlign w:val="superscript"/>
        </w:rPr>
        <w:t>,3</w:t>
      </w:r>
      <w:proofErr w:type="gramEnd"/>
      <w:r>
        <w:rPr>
          <w:rFonts w:asciiTheme="minorHAnsi" w:hAnsiTheme="minorHAnsi" w:cstheme="minorHAnsi"/>
          <w:color w:val="auto"/>
        </w:rPr>
        <w:t>.</w:t>
      </w:r>
      <w:r w:rsidR="00487727">
        <w:rPr>
          <w:rFonts w:asciiTheme="minorHAnsi" w:hAnsiTheme="minorHAnsi" w:cstheme="minorHAnsi"/>
          <w:color w:val="auto"/>
        </w:rPr>
        <w:t xml:space="preserve"> However, only recently has the SEEG methodology started to gain favor across North America</w:t>
      </w:r>
      <w:r w:rsidR="0052529E">
        <w:rPr>
          <w:rFonts w:asciiTheme="minorHAnsi" w:hAnsiTheme="minorHAnsi" w:cstheme="minorHAnsi"/>
          <w:color w:val="auto"/>
          <w:vertAlign w:val="superscript"/>
        </w:rPr>
        <w:t>4</w:t>
      </w:r>
      <w:r w:rsidR="00487727">
        <w:rPr>
          <w:rFonts w:asciiTheme="minorHAnsi" w:hAnsiTheme="minorHAnsi" w:cstheme="minorHAnsi"/>
          <w:color w:val="auto"/>
        </w:rPr>
        <w:t>.</w:t>
      </w:r>
    </w:p>
    <w:p w14:paraId="35ED426B" w14:textId="77777777" w:rsidR="00092735" w:rsidRDefault="00092735" w:rsidP="007A4DD6">
      <w:pPr>
        <w:rPr>
          <w:rFonts w:asciiTheme="minorHAnsi" w:hAnsiTheme="minorHAnsi" w:cstheme="minorHAnsi"/>
          <w:color w:val="auto"/>
        </w:rPr>
      </w:pPr>
    </w:p>
    <w:p w14:paraId="45FFBA19" w14:textId="1F4D7F3C" w:rsidR="007A4DD6" w:rsidRPr="00C57742" w:rsidRDefault="00487727" w:rsidP="007A4DD6">
      <w:pPr>
        <w:rPr>
          <w:rFonts w:asciiTheme="minorHAnsi" w:hAnsiTheme="minorHAnsi" w:cstheme="minorHAnsi"/>
          <w:color w:val="auto"/>
          <w:vertAlign w:val="superscript"/>
        </w:rPr>
      </w:pPr>
      <w:r w:rsidRPr="00487727">
        <w:rPr>
          <w:rFonts w:asciiTheme="minorHAnsi" w:hAnsiTheme="minorHAnsi" w:cstheme="minorHAnsi"/>
          <w:color w:val="auto"/>
        </w:rPr>
        <w:t>Various</w:t>
      </w:r>
      <w:r>
        <w:rPr>
          <w:rFonts w:asciiTheme="minorHAnsi" w:hAnsiTheme="minorHAnsi" w:cstheme="minorHAnsi"/>
          <w:color w:val="auto"/>
        </w:rPr>
        <w:t xml:space="preserve"> techniques and technologies are used throughout the world as part of the SEEG methodology, based on the clinical experience of different professionals and epilepsy centers</w:t>
      </w:r>
      <w:r w:rsidR="0052529E">
        <w:rPr>
          <w:rFonts w:asciiTheme="minorHAnsi" w:hAnsiTheme="minorHAnsi" w:cstheme="minorHAnsi"/>
          <w:color w:val="auto"/>
          <w:vertAlign w:val="superscript"/>
        </w:rPr>
        <w:t>5-7</w:t>
      </w:r>
      <w:r>
        <w:rPr>
          <w:rFonts w:asciiTheme="minorHAnsi" w:hAnsiTheme="minorHAnsi" w:cstheme="minorHAnsi"/>
          <w:color w:val="auto"/>
        </w:rPr>
        <w:t>. Recently, however, there has been an evolution of the surgical techniques used to implant SEEG electrodes, beyond the classical use manual headframe based strategies.</w:t>
      </w:r>
      <w:r w:rsidR="00934CE3">
        <w:rPr>
          <w:rFonts w:asciiTheme="minorHAnsi" w:hAnsiTheme="minorHAnsi" w:cstheme="minorHAnsi"/>
          <w:color w:val="auto"/>
        </w:rPr>
        <w:t xml:space="preserve"> Specifically, the use of robotic stereotactic guidance systems has been shown to be an accurate alternative</w:t>
      </w:r>
      <w:r w:rsidR="00A929D1">
        <w:rPr>
          <w:rFonts w:asciiTheme="minorHAnsi" w:hAnsiTheme="minorHAnsi" w:cstheme="minorHAnsi"/>
          <w:color w:val="auto"/>
        </w:rPr>
        <w:t xml:space="preserve"> for SEEG implantation</w:t>
      </w:r>
      <w:r w:rsidR="0052529E">
        <w:rPr>
          <w:rFonts w:asciiTheme="minorHAnsi" w:hAnsiTheme="minorHAnsi" w:cstheme="minorHAnsi"/>
          <w:color w:val="auto"/>
          <w:vertAlign w:val="superscript"/>
        </w:rPr>
        <w:t>8</w:t>
      </w:r>
      <w:r w:rsidR="00A929D1">
        <w:rPr>
          <w:rFonts w:asciiTheme="minorHAnsi" w:hAnsiTheme="minorHAnsi" w:cstheme="minorHAnsi"/>
          <w:color w:val="auto"/>
        </w:rPr>
        <w:t>. Robotic implantation can be safely and effectively used by those with surgical expertise who are looking for a faster, more automated, approach to electrode implantation</w:t>
      </w:r>
      <w:r w:rsidR="00934CE3">
        <w:rPr>
          <w:rFonts w:asciiTheme="minorHAnsi" w:hAnsiTheme="minorHAnsi" w:cstheme="minorHAnsi"/>
          <w:color w:val="auto"/>
        </w:rPr>
        <w:t>.</w:t>
      </w:r>
    </w:p>
    <w:p w14:paraId="61AAD4DF" w14:textId="77777777" w:rsidR="00487727" w:rsidRDefault="00487727" w:rsidP="007A4DD6">
      <w:pPr>
        <w:rPr>
          <w:rFonts w:asciiTheme="minorHAnsi" w:hAnsiTheme="minorHAnsi" w:cstheme="minorHAnsi"/>
          <w:color w:val="auto"/>
        </w:rPr>
      </w:pPr>
    </w:p>
    <w:p w14:paraId="0C1F2E41" w14:textId="2D01AB1D" w:rsidR="00443485" w:rsidRPr="00C57742" w:rsidRDefault="00092735" w:rsidP="007A4DD6">
      <w:pPr>
        <w:rPr>
          <w:rFonts w:asciiTheme="minorHAnsi" w:hAnsiTheme="minorHAnsi" w:cstheme="minorHAnsi"/>
          <w:color w:val="auto"/>
        </w:rPr>
      </w:pPr>
      <w:r>
        <w:rPr>
          <w:rFonts w:asciiTheme="minorHAnsi" w:hAnsiTheme="minorHAnsi" w:cstheme="minorHAnsi"/>
          <w:color w:val="auto"/>
        </w:rPr>
        <w:t>Herein</w:t>
      </w:r>
      <w:r w:rsidR="00487727">
        <w:rPr>
          <w:rFonts w:asciiTheme="minorHAnsi" w:hAnsiTheme="minorHAnsi" w:cstheme="minorHAnsi"/>
          <w:color w:val="auto"/>
        </w:rPr>
        <w:t xml:space="preserve"> </w:t>
      </w:r>
      <w:r>
        <w:rPr>
          <w:rFonts w:asciiTheme="minorHAnsi" w:hAnsiTheme="minorHAnsi" w:cstheme="minorHAnsi"/>
          <w:color w:val="auto"/>
        </w:rPr>
        <w:t>is</w:t>
      </w:r>
      <w:r w:rsidR="00487727">
        <w:rPr>
          <w:rFonts w:asciiTheme="minorHAnsi" w:hAnsiTheme="minorHAnsi" w:cstheme="minorHAnsi"/>
          <w:color w:val="auto"/>
        </w:rPr>
        <w:t xml:space="preserve"> discuss</w:t>
      </w:r>
      <w:r>
        <w:rPr>
          <w:rFonts w:asciiTheme="minorHAnsi" w:hAnsiTheme="minorHAnsi" w:cstheme="minorHAnsi"/>
          <w:color w:val="auto"/>
        </w:rPr>
        <w:t>ed</w:t>
      </w:r>
      <w:r w:rsidR="00487727">
        <w:rPr>
          <w:rFonts w:asciiTheme="minorHAnsi" w:hAnsiTheme="minorHAnsi" w:cstheme="minorHAnsi"/>
          <w:color w:val="auto"/>
        </w:rPr>
        <w:t xml:space="preserve"> the specific steps undertaken when employing the use of a robotic stereotactic guidance system</w:t>
      </w:r>
      <w:r w:rsidR="0052529E">
        <w:rPr>
          <w:rFonts w:asciiTheme="minorHAnsi" w:hAnsiTheme="minorHAnsi" w:cstheme="minorHAnsi"/>
          <w:color w:val="auto"/>
        </w:rPr>
        <w:t xml:space="preserve"> </w:t>
      </w:r>
      <w:r w:rsidR="00487727">
        <w:rPr>
          <w:rFonts w:asciiTheme="minorHAnsi" w:hAnsiTheme="minorHAnsi" w:cstheme="minorHAnsi"/>
          <w:color w:val="auto"/>
        </w:rPr>
        <w:t>for the implantation of SEEG electrodes. Though the SEEG methodology has previously been described, herein particular attention is given to the surgical technique employed with the use of the robot</w:t>
      </w:r>
      <w:r w:rsidR="0052529E">
        <w:rPr>
          <w:rFonts w:asciiTheme="minorHAnsi" w:hAnsiTheme="minorHAnsi" w:cstheme="minorHAnsi"/>
          <w:color w:val="auto"/>
          <w:vertAlign w:val="superscript"/>
        </w:rPr>
        <w:t>9</w:t>
      </w:r>
      <w:r w:rsidR="00487727">
        <w:rPr>
          <w:rFonts w:asciiTheme="minorHAnsi" w:hAnsiTheme="minorHAnsi" w:cstheme="minorHAnsi"/>
          <w:color w:val="auto"/>
        </w:rPr>
        <w:t>.</w:t>
      </w:r>
      <w:r w:rsidR="0052529E" w:rsidDel="0052529E">
        <w:rPr>
          <w:rFonts w:asciiTheme="minorHAnsi" w:hAnsiTheme="minorHAnsi" w:cstheme="minorHAnsi"/>
          <w:color w:val="auto"/>
          <w:vertAlign w:val="superscript"/>
        </w:rPr>
        <w:t xml:space="preserve"> </w:t>
      </w:r>
    </w:p>
    <w:p w14:paraId="237AD7DD" w14:textId="77777777" w:rsidR="00D15131" w:rsidRPr="00D137AB" w:rsidRDefault="00D15131" w:rsidP="001B1519">
      <w:pPr>
        <w:rPr>
          <w:rFonts w:asciiTheme="minorHAnsi" w:hAnsiTheme="minorHAnsi" w:cstheme="minorHAnsi"/>
          <w:b/>
          <w:color w:val="auto"/>
        </w:rPr>
      </w:pPr>
    </w:p>
    <w:p w14:paraId="3D4CD2F3" w14:textId="3D7FCE8A" w:rsidR="006305D7" w:rsidRPr="00D137AB" w:rsidRDefault="006305D7" w:rsidP="00B613AE">
      <w:pPr>
        <w:outlineLvl w:val="0"/>
        <w:rPr>
          <w:rFonts w:asciiTheme="minorHAnsi" w:hAnsiTheme="minorHAnsi" w:cstheme="minorHAnsi"/>
          <w:color w:val="auto"/>
        </w:rPr>
      </w:pPr>
      <w:r w:rsidRPr="00D137AB">
        <w:rPr>
          <w:rFonts w:asciiTheme="minorHAnsi" w:hAnsiTheme="minorHAnsi" w:cstheme="minorHAnsi"/>
          <w:b/>
          <w:color w:val="auto"/>
        </w:rPr>
        <w:t>PROTOCOL:</w:t>
      </w:r>
    </w:p>
    <w:p w14:paraId="4260AAFF" w14:textId="77777777" w:rsidR="00443485" w:rsidRDefault="00443485" w:rsidP="001B1519">
      <w:pPr>
        <w:rPr>
          <w:rFonts w:asciiTheme="minorHAnsi" w:hAnsiTheme="minorHAnsi" w:cstheme="minorHAnsi"/>
          <w:color w:val="auto"/>
        </w:rPr>
      </w:pPr>
    </w:p>
    <w:p w14:paraId="02041EF3" w14:textId="5F290380" w:rsidR="00443485" w:rsidRDefault="00443485" w:rsidP="001B1519">
      <w:pPr>
        <w:rPr>
          <w:rFonts w:asciiTheme="minorHAnsi" w:hAnsiTheme="minorHAnsi" w:cstheme="minorHAnsi"/>
          <w:color w:val="auto"/>
        </w:rPr>
      </w:pPr>
      <w:r>
        <w:rPr>
          <w:rFonts w:asciiTheme="minorHAnsi" w:hAnsiTheme="minorHAnsi" w:cstheme="minorHAnsi"/>
          <w:color w:val="auto"/>
        </w:rPr>
        <w:t>All devices used herein are FDA approved and the protocol contained herein constitutes the standard of care at our institution. As such, no IRB approval was needed for the detailing of this protocol.</w:t>
      </w:r>
    </w:p>
    <w:p w14:paraId="464C388B" w14:textId="77777777" w:rsidR="00443485" w:rsidRPr="00D137AB" w:rsidRDefault="00443485" w:rsidP="001B1519">
      <w:pPr>
        <w:rPr>
          <w:rFonts w:asciiTheme="minorHAnsi" w:hAnsiTheme="minorHAnsi" w:cstheme="minorHAnsi"/>
          <w:color w:val="auto"/>
        </w:rPr>
      </w:pPr>
    </w:p>
    <w:p w14:paraId="634BE753" w14:textId="0BE537BE" w:rsidR="00AD4A1D" w:rsidRPr="00C57742" w:rsidRDefault="00AD4A1D" w:rsidP="00B613AE">
      <w:pPr>
        <w:outlineLvl w:val="0"/>
        <w:rPr>
          <w:rFonts w:asciiTheme="minorHAnsi" w:hAnsiTheme="minorHAnsi" w:cstheme="minorHAnsi"/>
          <w:b/>
          <w:color w:val="auto"/>
        </w:rPr>
      </w:pPr>
      <w:r w:rsidRPr="00C57742">
        <w:rPr>
          <w:rFonts w:asciiTheme="minorHAnsi" w:hAnsiTheme="minorHAnsi" w:cstheme="minorHAnsi"/>
          <w:b/>
          <w:color w:val="auto"/>
        </w:rPr>
        <w:t>1. Pre-</w:t>
      </w:r>
      <w:r w:rsidR="0052529E" w:rsidRPr="00C57742">
        <w:rPr>
          <w:rFonts w:asciiTheme="minorHAnsi" w:hAnsiTheme="minorHAnsi" w:cstheme="minorHAnsi"/>
          <w:b/>
          <w:color w:val="auto"/>
        </w:rPr>
        <w:t>implantation phase</w:t>
      </w:r>
    </w:p>
    <w:p w14:paraId="65225154" w14:textId="77777777" w:rsidR="00D10329" w:rsidRPr="00D137AB" w:rsidRDefault="00D10329" w:rsidP="001B1519">
      <w:pPr>
        <w:rPr>
          <w:rFonts w:asciiTheme="minorHAnsi" w:hAnsiTheme="minorHAnsi" w:cstheme="minorHAnsi"/>
          <w:color w:val="auto"/>
        </w:rPr>
      </w:pPr>
    </w:p>
    <w:p w14:paraId="02E32B9B" w14:textId="77777777" w:rsidR="00DE50E4" w:rsidRDefault="00D10329" w:rsidP="001B1519">
      <w:pPr>
        <w:rPr>
          <w:rFonts w:asciiTheme="minorHAnsi" w:hAnsiTheme="minorHAnsi" w:cstheme="minorHAnsi"/>
          <w:color w:val="auto"/>
        </w:rPr>
      </w:pPr>
      <w:r w:rsidRPr="00D137AB">
        <w:rPr>
          <w:rFonts w:asciiTheme="minorHAnsi" w:hAnsiTheme="minorHAnsi" w:cstheme="minorHAnsi"/>
          <w:color w:val="auto"/>
        </w:rPr>
        <w:t xml:space="preserve">1.1 </w:t>
      </w:r>
      <w:r w:rsidR="00DA343C" w:rsidRPr="00D137AB">
        <w:rPr>
          <w:rFonts w:asciiTheme="minorHAnsi" w:hAnsiTheme="minorHAnsi" w:cstheme="minorHAnsi"/>
          <w:color w:val="auto"/>
        </w:rPr>
        <w:t>C</w:t>
      </w:r>
      <w:r w:rsidRPr="00D137AB">
        <w:rPr>
          <w:rFonts w:asciiTheme="minorHAnsi" w:hAnsiTheme="minorHAnsi" w:cstheme="minorHAnsi"/>
          <w:color w:val="auto"/>
        </w:rPr>
        <w:t xml:space="preserve">reate an </w:t>
      </w:r>
      <w:proofErr w:type="spellStart"/>
      <w:r w:rsidRPr="00D137AB">
        <w:rPr>
          <w:rFonts w:asciiTheme="minorHAnsi" w:hAnsiTheme="minorHAnsi" w:cstheme="minorHAnsi"/>
          <w:color w:val="auto"/>
        </w:rPr>
        <w:t>anatamo</w:t>
      </w:r>
      <w:proofErr w:type="spellEnd"/>
      <w:r w:rsidRPr="00D137AB">
        <w:rPr>
          <w:rFonts w:asciiTheme="minorHAnsi" w:hAnsiTheme="minorHAnsi" w:cstheme="minorHAnsi"/>
          <w:color w:val="auto"/>
        </w:rPr>
        <w:t xml:space="preserve">-electro-clinical (AEC) hypothesis. </w:t>
      </w:r>
    </w:p>
    <w:p w14:paraId="5C871F69" w14:textId="77777777" w:rsidR="00DE50E4" w:rsidRDefault="00DE50E4" w:rsidP="001B1519">
      <w:pPr>
        <w:rPr>
          <w:rFonts w:asciiTheme="minorHAnsi" w:hAnsiTheme="minorHAnsi" w:cstheme="minorHAnsi"/>
          <w:color w:val="auto"/>
        </w:rPr>
      </w:pPr>
    </w:p>
    <w:p w14:paraId="18C1A2B0" w14:textId="751CA089" w:rsidR="00D10329" w:rsidRPr="00D137AB" w:rsidRDefault="0052529E" w:rsidP="001B1519">
      <w:pPr>
        <w:rPr>
          <w:rFonts w:asciiTheme="minorHAnsi" w:hAnsiTheme="minorHAnsi" w:cstheme="minorHAnsi"/>
          <w:color w:val="auto"/>
        </w:rPr>
      </w:pPr>
      <w:r>
        <w:rPr>
          <w:rFonts w:asciiTheme="minorHAnsi" w:hAnsiTheme="minorHAnsi" w:cstheme="minorHAnsi"/>
          <w:color w:val="auto"/>
        </w:rPr>
        <w:t>NOTE:</w:t>
      </w:r>
      <w:r w:rsidR="00DE50E4">
        <w:rPr>
          <w:rFonts w:asciiTheme="minorHAnsi" w:hAnsiTheme="minorHAnsi" w:cstheme="minorHAnsi"/>
          <w:color w:val="auto"/>
        </w:rPr>
        <w:t xml:space="preserve"> </w:t>
      </w:r>
      <w:r w:rsidR="00D10329" w:rsidRPr="00D137AB">
        <w:rPr>
          <w:rFonts w:asciiTheme="minorHAnsi" w:hAnsiTheme="minorHAnsi" w:cstheme="minorHAnsi"/>
          <w:color w:val="auto"/>
        </w:rPr>
        <w:t xml:space="preserve">Creation of the AEC hypothesis relies on the coordination of multiple </w:t>
      </w:r>
      <w:r w:rsidR="003012F7">
        <w:rPr>
          <w:rFonts w:asciiTheme="minorHAnsi" w:hAnsiTheme="minorHAnsi" w:cstheme="minorHAnsi"/>
          <w:color w:val="auto"/>
        </w:rPr>
        <w:t xml:space="preserve">non-invasive </w:t>
      </w:r>
      <w:r w:rsidR="00D10329" w:rsidRPr="00D137AB">
        <w:rPr>
          <w:rFonts w:asciiTheme="minorHAnsi" w:hAnsiTheme="minorHAnsi" w:cstheme="minorHAnsi"/>
          <w:color w:val="auto"/>
        </w:rPr>
        <w:t xml:space="preserve">techniques for identifying the </w:t>
      </w:r>
      <w:r w:rsidR="00DA343C" w:rsidRPr="00D137AB">
        <w:rPr>
          <w:rFonts w:asciiTheme="minorHAnsi" w:hAnsiTheme="minorHAnsi" w:cstheme="minorHAnsi"/>
          <w:color w:val="auto"/>
        </w:rPr>
        <w:t>potential EZ</w:t>
      </w:r>
      <w:r w:rsidR="002F5EE3">
        <w:rPr>
          <w:rFonts w:asciiTheme="minorHAnsi" w:hAnsiTheme="minorHAnsi" w:cstheme="minorHAnsi"/>
          <w:color w:val="auto"/>
        </w:rPr>
        <w:t>.</w:t>
      </w:r>
      <w:r w:rsidR="00D10329" w:rsidRPr="00D137AB">
        <w:rPr>
          <w:rFonts w:asciiTheme="minorHAnsi" w:hAnsiTheme="minorHAnsi" w:cstheme="minorHAnsi"/>
          <w:color w:val="auto"/>
        </w:rPr>
        <w:t xml:space="preserve"> </w:t>
      </w:r>
      <w:r w:rsidR="002F5EE3">
        <w:rPr>
          <w:rFonts w:asciiTheme="minorHAnsi" w:hAnsiTheme="minorHAnsi" w:cstheme="minorHAnsi"/>
          <w:color w:val="auto"/>
        </w:rPr>
        <w:t>A</w:t>
      </w:r>
      <w:r w:rsidR="00D10329" w:rsidRPr="00D137AB">
        <w:rPr>
          <w:rFonts w:asciiTheme="minorHAnsi" w:hAnsiTheme="minorHAnsi" w:cstheme="minorHAnsi"/>
          <w:color w:val="auto"/>
        </w:rPr>
        <w:t xml:space="preserve"> team of experts, including </w:t>
      </w:r>
      <w:proofErr w:type="spellStart"/>
      <w:r w:rsidR="00D10329" w:rsidRPr="00D137AB">
        <w:rPr>
          <w:rFonts w:asciiTheme="minorHAnsi" w:hAnsiTheme="minorHAnsi" w:cstheme="minorHAnsi"/>
          <w:color w:val="auto"/>
        </w:rPr>
        <w:t>epileptologists</w:t>
      </w:r>
      <w:proofErr w:type="spellEnd"/>
      <w:r w:rsidR="00D10329" w:rsidRPr="00D137AB">
        <w:rPr>
          <w:rFonts w:asciiTheme="minorHAnsi" w:hAnsiTheme="minorHAnsi" w:cstheme="minorHAnsi"/>
          <w:color w:val="auto"/>
        </w:rPr>
        <w:t>, radiologists, and epilepsy surgeons will typically convene a meeting to discuss the clinical data for each patient in order to create the AEC hypothesis, which serves as the initial hypothesis for the patient’s EZ.</w:t>
      </w:r>
      <w:r w:rsidR="00DE50E4">
        <w:rPr>
          <w:rFonts w:asciiTheme="minorHAnsi" w:hAnsiTheme="minorHAnsi" w:cstheme="minorHAnsi"/>
          <w:color w:val="auto"/>
        </w:rPr>
        <w:t xml:space="preserve"> The details of how this is accomplished is beyond the scope of this article.</w:t>
      </w:r>
    </w:p>
    <w:p w14:paraId="57C8F597" w14:textId="77777777" w:rsidR="00DF16C3" w:rsidRPr="00D137AB" w:rsidRDefault="00DF16C3" w:rsidP="001B1519">
      <w:pPr>
        <w:rPr>
          <w:rFonts w:asciiTheme="minorHAnsi" w:hAnsiTheme="minorHAnsi" w:cstheme="minorHAnsi"/>
          <w:color w:val="auto"/>
        </w:rPr>
      </w:pPr>
    </w:p>
    <w:p w14:paraId="13AFD736" w14:textId="6647A965" w:rsidR="00DF16C3" w:rsidRPr="00D137AB" w:rsidRDefault="00D10329" w:rsidP="001B1519">
      <w:pPr>
        <w:rPr>
          <w:rFonts w:asciiTheme="minorHAnsi" w:hAnsiTheme="minorHAnsi" w:cstheme="minorHAnsi"/>
          <w:color w:val="auto"/>
        </w:rPr>
      </w:pPr>
      <w:r w:rsidRPr="00D137AB">
        <w:rPr>
          <w:rFonts w:asciiTheme="minorHAnsi" w:hAnsiTheme="minorHAnsi" w:cstheme="minorHAnsi"/>
          <w:color w:val="auto"/>
        </w:rPr>
        <w:t>1.2</w:t>
      </w:r>
      <w:r w:rsidR="00DA343C" w:rsidRPr="00D137AB">
        <w:rPr>
          <w:rFonts w:asciiTheme="minorHAnsi" w:hAnsiTheme="minorHAnsi" w:cstheme="minorHAnsi"/>
          <w:color w:val="auto"/>
        </w:rPr>
        <w:t xml:space="preserve"> Identify</w:t>
      </w:r>
      <w:r w:rsidR="00DF16C3" w:rsidRPr="00D137AB">
        <w:rPr>
          <w:rFonts w:asciiTheme="minorHAnsi" w:hAnsiTheme="minorHAnsi" w:cstheme="minorHAnsi"/>
          <w:color w:val="auto"/>
        </w:rPr>
        <w:t xml:space="preserve"> the best methodology for invasive monitoring de</w:t>
      </w:r>
      <w:r w:rsidR="00DA343C" w:rsidRPr="00D137AB">
        <w:rPr>
          <w:rFonts w:asciiTheme="minorHAnsi" w:hAnsiTheme="minorHAnsi" w:cstheme="minorHAnsi"/>
          <w:color w:val="auto"/>
        </w:rPr>
        <w:t>pending</w:t>
      </w:r>
      <w:r w:rsidR="00EB0B28" w:rsidRPr="00D137AB">
        <w:rPr>
          <w:rFonts w:asciiTheme="minorHAnsi" w:hAnsiTheme="minorHAnsi" w:cstheme="minorHAnsi"/>
          <w:color w:val="auto"/>
        </w:rPr>
        <w:t xml:space="preserve"> on the location of the AEC hypothesis</w:t>
      </w:r>
      <w:r w:rsidR="00DF16C3" w:rsidRPr="00D137AB">
        <w:rPr>
          <w:rFonts w:asciiTheme="minorHAnsi" w:hAnsiTheme="minorHAnsi" w:cstheme="minorHAnsi"/>
          <w:color w:val="auto"/>
        </w:rPr>
        <w:t xml:space="preserve">. </w:t>
      </w:r>
      <w:r w:rsidR="00DF16C3" w:rsidRPr="00C57742">
        <w:rPr>
          <w:rFonts w:asciiTheme="minorHAnsi" w:hAnsiTheme="minorHAnsi" w:cstheme="minorHAnsi"/>
          <w:b/>
          <w:color w:val="auto"/>
        </w:rPr>
        <w:t>Table 1</w:t>
      </w:r>
      <w:r w:rsidR="00DF16C3" w:rsidRPr="00D137AB">
        <w:rPr>
          <w:rFonts w:asciiTheme="minorHAnsi" w:hAnsiTheme="minorHAnsi" w:cstheme="minorHAnsi"/>
          <w:color w:val="auto"/>
        </w:rPr>
        <w:t xml:space="preserve"> lists the different scenarios for which SEEG is preferred over</w:t>
      </w:r>
      <w:r w:rsidR="00DE50E4">
        <w:rPr>
          <w:rFonts w:asciiTheme="minorHAnsi" w:hAnsiTheme="minorHAnsi" w:cstheme="minorHAnsi"/>
          <w:color w:val="auto"/>
        </w:rPr>
        <w:t xml:space="preserve"> subdural grids</w:t>
      </w:r>
      <w:r w:rsidR="00DF16C3" w:rsidRPr="00D137AB">
        <w:rPr>
          <w:rFonts w:asciiTheme="minorHAnsi" w:hAnsiTheme="minorHAnsi" w:cstheme="minorHAnsi"/>
          <w:color w:val="auto"/>
        </w:rPr>
        <w:t xml:space="preserve"> </w:t>
      </w:r>
      <w:r w:rsidR="00DE50E4">
        <w:rPr>
          <w:rFonts w:asciiTheme="minorHAnsi" w:hAnsiTheme="minorHAnsi" w:cstheme="minorHAnsi"/>
          <w:color w:val="auto"/>
        </w:rPr>
        <w:t>(</w:t>
      </w:r>
      <w:r w:rsidR="00DF16C3" w:rsidRPr="00D137AB">
        <w:rPr>
          <w:rFonts w:asciiTheme="minorHAnsi" w:hAnsiTheme="minorHAnsi" w:cstheme="minorHAnsi"/>
          <w:color w:val="auto"/>
        </w:rPr>
        <w:t>S</w:t>
      </w:r>
      <w:r w:rsidR="00DE50E4">
        <w:rPr>
          <w:rFonts w:asciiTheme="minorHAnsi" w:hAnsiTheme="minorHAnsi" w:cstheme="minorHAnsi"/>
          <w:color w:val="auto"/>
        </w:rPr>
        <w:t>D</w:t>
      </w:r>
      <w:r w:rsidR="00DF16C3" w:rsidRPr="00D137AB">
        <w:rPr>
          <w:rFonts w:asciiTheme="minorHAnsi" w:hAnsiTheme="minorHAnsi" w:cstheme="minorHAnsi"/>
          <w:color w:val="auto"/>
        </w:rPr>
        <w:t>G</w:t>
      </w:r>
      <w:r w:rsidR="00DE50E4">
        <w:rPr>
          <w:rFonts w:asciiTheme="minorHAnsi" w:hAnsiTheme="minorHAnsi" w:cstheme="minorHAnsi"/>
          <w:color w:val="auto"/>
        </w:rPr>
        <w:t>)</w:t>
      </w:r>
      <w:r w:rsidR="00DF16C3" w:rsidRPr="00D137AB">
        <w:rPr>
          <w:rFonts w:asciiTheme="minorHAnsi" w:hAnsiTheme="minorHAnsi" w:cstheme="minorHAnsi"/>
          <w:color w:val="auto"/>
        </w:rPr>
        <w:t xml:space="preserve"> with or without depth electrodes for invasive monitoring. </w:t>
      </w:r>
    </w:p>
    <w:p w14:paraId="2132FD7B" w14:textId="77777777" w:rsidR="00D10329" w:rsidRPr="00D137AB" w:rsidRDefault="00D10329" w:rsidP="001B1519">
      <w:pPr>
        <w:rPr>
          <w:rFonts w:asciiTheme="minorHAnsi" w:hAnsiTheme="minorHAnsi" w:cstheme="minorHAnsi"/>
          <w:color w:val="auto"/>
        </w:rPr>
      </w:pPr>
    </w:p>
    <w:p w14:paraId="17BAD5CC" w14:textId="663A6AD2" w:rsidR="002F5EE3" w:rsidRDefault="00EB0B28" w:rsidP="001B1519">
      <w:pPr>
        <w:rPr>
          <w:rFonts w:asciiTheme="minorHAnsi" w:hAnsiTheme="minorHAnsi" w:cstheme="minorHAnsi"/>
          <w:color w:val="auto"/>
        </w:rPr>
      </w:pPr>
      <w:r w:rsidRPr="00D137AB">
        <w:rPr>
          <w:rFonts w:asciiTheme="minorHAnsi" w:hAnsiTheme="minorHAnsi" w:cstheme="minorHAnsi"/>
          <w:color w:val="auto"/>
        </w:rPr>
        <w:t>1.3</w:t>
      </w:r>
      <w:r w:rsidR="00D10329" w:rsidRPr="00D137AB">
        <w:rPr>
          <w:rFonts w:asciiTheme="minorHAnsi" w:hAnsiTheme="minorHAnsi" w:cstheme="minorHAnsi"/>
          <w:color w:val="auto"/>
        </w:rPr>
        <w:t xml:space="preserve"> After a patient is deemed a candidate for SEEG evaluation</w:t>
      </w:r>
      <w:r w:rsidR="002F5EE3">
        <w:rPr>
          <w:rFonts w:asciiTheme="minorHAnsi" w:hAnsiTheme="minorHAnsi" w:cstheme="minorHAnsi"/>
          <w:color w:val="auto"/>
        </w:rPr>
        <w:t>,</w:t>
      </w:r>
      <w:r w:rsidRPr="00D137AB">
        <w:rPr>
          <w:rFonts w:asciiTheme="minorHAnsi" w:hAnsiTheme="minorHAnsi" w:cstheme="minorHAnsi"/>
          <w:color w:val="auto"/>
        </w:rPr>
        <w:t xml:space="preserve"> create an implantation strategy.</w:t>
      </w:r>
      <w:r w:rsidR="00FD727B" w:rsidRPr="00D137AB">
        <w:rPr>
          <w:rFonts w:asciiTheme="minorHAnsi" w:hAnsiTheme="minorHAnsi" w:cstheme="minorHAnsi"/>
          <w:color w:val="auto"/>
        </w:rPr>
        <w:t xml:space="preserve"> </w:t>
      </w:r>
    </w:p>
    <w:p w14:paraId="28521D3C" w14:textId="77777777" w:rsidR="002F5EE3" w:rsidRDefault="002F5EE3" w:rsidP="001B1519">
      <w:pPr>
        <w:rPr>
          <w:rFonts w:asciiTheme="minorHAnsi" w:hAnsiTheme="minorHAnsi" w:cstheme="minorHAnsi"/>
          <w:color w:val="auto"/>
        </w:rPr>
      </w:pPr>
    </w:p>
    <w:p w14:paraId="4BD73412" w14:textId="6A20E00A" w:rsidR="00D10329" w:rsidRPr="00D137AB" w:rsidRDefault="0052529E" w:rsidP="001B1519">
      <w:pPr>
        <w:rPr>
          <w:rFonts w:asciiTheme="minorHAnsi" w:hAnsiTheme="minorHAnsi" w:cstheme="minorHAnsi"/>
          <w:color w:val="auto"/>
        </w:rPr>
      </w:pPr>
      <w:r>
        <w:rPr>
          <w:rFonts w:asciiTheme="minorHAnsi" w:hAnsiTheme="minorHAnsi" w:cstheme="minorHAnsi"/>
          <w:color w:val="auto"/>
        </w:rPr>
        <w:lastRenderedPageBreak/>
        <w:t>NOTE:</w:t>
      </w:r>
      <w:r w:rsidR="002F5EE3">
        <w:rPr>
          <w:rFonts w:asciiTheme="minorHAnsi" w:hAnsiTheme="minorHAnsi" w:cstheme="minorHAnsi"/>
          <w:color w:val="auto"/>
        </w:rPr>
        <w:t xml:space="preserve"> </w:t>
      </w:r>
      <w:r w:rsidR="00FD727B" w:rsidRPr="00D137AB">
        <w:rPr>
          <w:rFonts w:asciiTheme="minorHAnsi" w:hAnsiTheme="minorHAnsi" w:cstheme="minorHAnsi"/>
          <w:color w:val="auto"/>
        </w:rPr>
        <w:t>The implantation strategy should adequately cover the area identified as a part of the AEC hypothesis</w:t>
      </w:r>
      <w:r w:rsidR="00656D3A">
        <w:rPr>
          <w:rFonts w:asciiTheme="minorHAnsi" w:hAnsiTheme="minorHAnsi" w:cstheme="minorHAnsi"/>
          <w:color w:val="auto"/>
        </w:rPr>
        <w:t xml:space="preserve"> as well as the wider epileptogenic network in general and neighboring areas of eloquent cortex</w:t>
      </w:r>
      <w:r w:rsidR="00FD727B" w:rsidRPr="00D137AB">
        <w:rPr>
          <w:rFonts w:asciiTheme="minorHAnsi" w:hAnsiTheme="minorHAnsi" w:cstheme="minorHAnsi"/>
          <w:color w:val="auto"/>
        </w:rPr>
        <w:t>.</w:t>
      </w:r>
      <w:r w:rsidR="00656D3A">
        <w:rPr>
          <w:rFonts w:asciiTheme="minorHAnsi" w:hAnsiTheme="minorHAnsi" w:cstheme="minorHAnsi"/>
          <w:color w:val="auto"/>
        </w:rPr>
        <w:t xml:space="preserve"> This monitoring aids the surgeon in defining the borders of the resection.</w:t>
      </w:r>
    </w:p>
    <w:p w14:paraId="2B3E6FEC" w14:textId="77777777" w:rsidR="00FD727B" w:rsidRPr="00D137AB" w:rsidRDefault="00FD727B" w:rsidP="001B1519">
      <w:pPr>
        <w:rPr>
          <w:rFonts w:asciiTheme="minorHAnsi" w:hAnsiTheme="minorHAnsi" w:cstheme="minorHAnsi"/>
          <w:color w:val="auto"/>
        </w:rPr>
      </w:pPr>
    </w:p>
    <w:p w14:paraId="1476A61D" w14:textId="0A3FD31A" w:rsidR="0052529E" w:rsidRPr="00D137AB" w:rsidRDefault="00FD727B" w:rsidP="001B1519">
      <w:pPr>
        <w:rPr>
          <w:rFonts w:asciiTheme="minorHAnsi" w:hAnsiTheme="minorHAnsi" w:cstheme="minorHAnsi"/>
          <w:color w:val="auto"/>
        </w:rPr>
      </w:pPr>
      <w:r w:rsidRPr="00D137AB">
        <w:rPr>
          <w:rFonts w:asciiTheme="minorHAnsi" w:hAnsiTheme="minorHAnsi" w:cstheme="minorHAnsi"/>
          <w:color w:val="auto"/>
        </w:rPr>
        <w:t xml:space="preserve">1.3.1 </w:t>
      </w:r>
      <w:proofErr w:type="gramStart"/>
      <w:r w:rsidRPr="00D137AB">
        <w:rPr>
          <w:rFonts w:asciiTheme="minorHAnsi" w:hAnsiTheme="minorHAnsi" w:cstheme="minorHAnsi"/>
          <w:color w:val="auto"/>
        </w:rPr>
        <w:t>Obtain</w:t>
      </w:r>
      <w:proofErr w:type="gramEnd"/>
      <w:r w:rsidRPr="00D137AB">
        <w:rPr>
          <w:rFonts w:asciiTheme="minorHAnsi" w:hAnsiTheme="minorHAnsi" w:cstheme="minorHAnsi"/>
          <w:color w:val="auto"/>
        </w:rPr>
        <w:t xml:space="preserve"> a pre-operative volumetric MRI</w:t>
      </w:r>
      <w:r w:rsidR="007466EF">
        <w:rPr>
          <w:rFonts w:asciiTheme="minorHAnsi" w:hAnsiTheme="minorHAnsi" w:cstheme="minorHAnsi"/>
          <w:color w:val="auto"/>
        </w:rPr>
        <w:t xml:space="preserve"> and CTA</w:t>
      </w:r>
      <w:r w:rsidRPr="00D137AB">
        <w:rPr>
          <w:rFonts w:asciiTheme="minorHAnsi" w:hAnsiTheme="minorHAnsi" w:cstheme="minorHAnsi"/>
          <w:color w:val="auto"/>
        </w:rPr>
        <w:t>.</w:t>
      </w:r>
    </w:p>
    <w:p w14:paraId="43088424" w14:textId="77777777" w:rsidR="00FD727B" w:rsidRPr="00D137AB" w:rsidRDefault="00FD727B" w:rsidP="001B1519">
      <w:pPr>
        <w:rPr>
          <w:rFonts w:asciiTheme="minorHAnsi" w:hAnsiTheme="minorHAnsi" w:cstheme="minorHAnsi"/>
          <w:color w:val="auto"/>
        </w:rPr>
      </w:pPr>
    </w:p>
    <w:p w14:paraId="1B3B7991" w14:textId="551EAA23" w:rsidR="00FD727B" w:rsidRDefault="00FD727B" w:rsidP="001B1519">
      <w:pPr>
        <w:rPr>
          <w:rFonts w:asciiTheme="minorHAnsi" w:hAnsiTheme="minorHAnsi" w:cstheme="minorHAnsi"/>
          <w:color w:val="auto"/>
        </w:rPr>
      </w:pPr>
      <w:r w:rsidRPr="00D137AB">
        <w:rPr>
          <w:rFonts w:asciiTheme="minorHAnsi" w:hAnsiTheme="minorHAnsi" w:cstheme="minorHAnsi"/>
          <w:color w:val="auto"/>
        </w:rPr>
        <w:t>1.3.2 Transfer the images in DICOM format to the stereotactic robot’s native planning software</w:t>
      </w:r>
      <w:r w:rsidR="007466EF">
        <w:rPr>
          <w:rFonts w:asciiTheme="minorHAnsi" w:hAnsiTheme="minorHAnsi" w:cstheme="minorHAnsi"/>
          <w:color w:val="auto"/>
        </w:rPr>
        <w:t xml:space="preserve"> and perform imaging fusion</w:t>
      </w:r>
      <w:r w:rsidR="00656D3A">
        <w:rPr>
          <w:rFonts w:asciiTheme="minorHAnsi" w:hAnsiTheme="minorHAnsi" w:cstheme="minorHAnsi"/>
          <w:color w:val="auto"/>
        </w:rPr>
        <w:t xml:space="preserve"> (T1+Gadolinium MRI fused with CTA)</w:t>
      </w:r>
      <w:r w:rsidR="007B0D26">
        <w:rPr>
          <w:rFonts w:asciiTheme="minorHAnsi" w:hAnsiTheme="minorHAnsi" w:cstheme="minorHAnsi"/>
          <w:color w:val="auto"/>
        </w:rPr>
        <w:t>.</w:t>
      </w:r>
    </w:p>
    <w:p w14:paraId="58E1717D" w14:textId="77777777" w:rsidR="009F465C" w:rsidRDefault="009F465C" w:rsidP="001B1519">
      <w:pPr>
        <w:rPr>
          <w:rFonts w:asciiTheme="minorHAnsi" w:hAnsiTheme="minorHAnsi" w:cstheme="minorHAnsi"/>
          <w:color w:val="auto"/>
        </w:rPr>
      </w:pPr>
    </w:p>
    <w:p w14:paraId="7973E7DF" w14:textId="7E23F87B" w:rsidR="009F465C" w:rsidRPr="00D137AB" w:rsidRDefault="0052529E" w:rsidP="001B1519">
      <w:pPr>
        <w:rPr>
          <w:rFonts w:asciiTheme="minorHAnsi" w:hAnsiTheme="minorHAnsi" w:cstheme="minorHAnsi"/>
          <w:color w:val="auto"/>
        </w:rPr>
      </w:pPr>
      <w:r>
        <w:rPr>
          <w:rFonts w:asciiTheme="minorHAnsi" w:hAnsiTheme="minorHAnsi" w:cstheme="minorHAnsi"/>
          <w:color w:val="auto"/>
        </w:rPr>
        <w:t>NOTE:</w:t>
      </w:r>
      <w:r w:rsidR="009F465C">
        <w:rPr>
          <w:rFonts w:asciiTheme="minorHAnsi" w:hAnsiTheme="minorHAnsi" w:cstheme="minorHAnsi"/>
          <w:color w:val="auto"/>
        </w:rPr>
        <w:t xml:space="preserve"> Imaging fusion is performed automatically by the robot’s software. One need only select the studies that need to be fused.</w:t>
      </w:r>
    </w:p>
    <w:p w14:paraId="7CA8443B" w14:textId="77777777" w:rsidR="00FD727B" w:rsidRPr="00D137AB" w:rsidRDefault="00FD727B" w:rsidP="001B1519">
      <w:pPr>
        <w:rPr>
          <w:rFonts w:asciiTheme="minorHAnsi" w:hAnsiTheme="minorHAnsi" w:cstheme="minorHAnsi"/>
          <w:color w:val="auto"/>
        </w:rPr>
      </w:pPr>
    </w:p>
    <w:p w14:paraId="6795D665" w14:textId="2870A7C5" w:rsidR="00FD727B" w:rsidRPr="00D137AB" w:rsidRDefault="00FD727B" w:rsidP="001B1519">
      <w:pPr>
        <w:rPr>
          <w:rFonts w:asciiTheme="minorHAnsi" w:hAnsiTheme="minorHAnsi" w:cstheme="minorHAnsi"/>
          <w:color w:val="auto"/>
        </w:rPr>
      </w:pPr>
      <w:r w:rsidRPr="00D137AB">
        <w:rPr>
          <w:rFonts w:asciiTheme="minorHAnsi" w:hAnsiTheme="minorHAnsi" w:cstheme="minorHAnsi"/>
          <w:color w:val="auto"/>
        </w:rPr>
        <w:t xml:space="preserve">1.3.3 </w:t>
      </w:r>
      <w:proofErr w:type="gramStart"/>
      <w:r w:rsidRPr="00D137AB">
        <w:rPr>
          <w:rFonts w:asciiTheme="minorHAnsi" w:hAnsiTheme="minorHAnsi" w:cstheme="minorHAnsi"/>
          <w:color w:val="auto"/>
        </w:rPr>
        <w:t>Plan</w:t>
      </w:r>
      <w:proofErr w:type="gramEnd"/>
      <w:r w:rsidRPr="00D137AB">
        <w:rPr>
          <w:rFonts w:asciiTheme="minorHAnsi" w:hAnsiTheme="minorHAnsi" w:cstheme="minorHAnsi"/>
          <w:color w:val="auto"/>
        </w:rPr>
        <w:t xml:space="preserve"> the trajectory of each individual electrode array within the 3D reconstruction of the MRI</w:t>
      </w:r>
      <w:r w:rsidR="00AA58C8">
        <w:rPr>
          <w:rFonts w:asciiTheme="minorHAnsi" w:hAnsiTheme="minorHAnsi" w:cstheme="minorHAnsi"/>
          <w:color w:val="auto"/>
        </w:rPr>
        <w:t>-CTA fusion</w:t>
      </w:r>
      <w:r w:rsidR="009F465C">
        <w:rPr>
          <w:rFonts w:asciiTheme="minorHAnsi" w:hAnsiTheme="minorHAnsi" w:cstheme="minorHAnsi"/>
          <w:color w:val="auto"/>
        </w:rPr>
        <w:t>, making sure to</w:t>
      </w:r>
      <w:r w:rsidRPr="00D137AB">
        <w:rPr>
          <w:rFonts w:asciiTheme="minorHAnsi" w:hAnsiTheme="minorHAnsi" w:cstheme="minorHAnsi"/>
          <w:color w:val="auto"/>
        </w:rPr>
        <w:t xml:space="preserve"> </w:t>
      </w:r>
      <w:r w:rsidR="009F465C">
        <w:rPr>
          <w:rFonts w:asciiTheme="minorHAnsi" w:hAnsiTheme="minorHAnsi" w:cstheme="minorHAnsi"/>
          <w:color w:val="auto"/>
        </w:rPr>
        <w:t>m</w:t>
      </w:r>
      <w:r w:rsidRPr="00D137AB">
        <w:rPr>
          <w:rFonts w:asciiTheme="minorHAnsi" w:hAnsiTheme="minorHAnsi" w:cstheme="minorHAnsi"/>
          <w:color w:val="auto"/>
        </w:rPr>
        <w:t>aximize sampling from a multitude of areas, including superficial</w:t>
      </w:r>
      <w:r w:rsidR="00F16232" w:rsidRPr="00D137AB">
        <w:rPr>
          <w:rFonts w:asciiTheme="minorHAnsi" w:hAnsiTheme="minorHAnsi" w:cstheme="minorHAnsi"/>
          <w:color w:val="auto"/>
        </w:rPr>
        <w:t>, intermediate,</w:t>
      </w:r>
      <w:r w:rsidRPr="00D137AB">
        <w:rPr>
          <w:rFonts w:asciiTheme="minorHAnsi" w:hAnsiTheme="minorHAnsi" w:cstheme="minorHAnsi"/>
          <w:color w:val="auto"/>
        </w:rPr>
        <w:t xml:space="preserve"> and deep cortical</w:t>
      </w:r>
      <w:r w:rsidR="00F16232" w:rsidRPr="00D137AB">
        <w:rPr>
          <w:rFonts w:asciiTheme="minorHAnsi" w:hAnsiTheme="minorHAnsi" w:cstheme="minorHAnsi"/>
          <w:color w:val="auto"/>
        </w:rPr>
        <w:t xml:space="preserve"> and </w:t>
      </w:r>
      <w:r w:rsidRPr="00D137AB">
        <w:rPr>
          <w:rFonts w:asciiTheme="minorHAnsi" w:hAnsiTheme="minorHAnsi" w:cstheme="minorHAnsi"/>
          <w:color w:val="auto"/>
        </w:rPr>
        <w:t xml:space="preserve">subcortical areas within the AEC hypothesis. </w:t>
      </w:r>
    </w:p>
    <w:p w14:paraId="2038B8B2" w14:textId="77777777" w:rsidR="002667AA" w:rsidRPr="00D137AB" w:rsidRDefault="002667AA" w:rsidP="001B1519">
      <w:pPr>
        <w:rPr>
          <w:rFonts w:asciiTheme="minorHAnsi" w:hAnsiTheme="minorHAnsi" w:cstheme="minorHAnsi"/>
          <w:color w:val="auto"/>
        </w:rPr>
      </w:pPr>
    </w:p>
    <w:p w14:paraId="3A0F3025" w14:textId="04E0FDAC" w:rsidR="009F465C" w:rsidRDefault="002667AA" w:rsidP="001B1519">
      <w:pPr>
        <w:rPr>
          <w:rFonts w:asciiTheme="minorHAnsi" w:hAnsiTheme="minorHAnsi" w:cstheme="minorHAnsi"/>
          <w:color w:val="auto"/>
        </w:rPr>
      </w:pPr>
      <w:r w:rsidRPr="00D137AB">
        <w:rPr>
          <w:rFonts w:asciiTheme="minorHAnsi" w:hAnsiTheme="minorHAnsi" w:cstheme="minorHAnsi"/>
          <w:color w:val="auto"/>
        </w:rPr>
        <w:t xml:space="preserve">1.3.3.1 </w:t>
      </w:r>
      <w:proofErr w:type="gramStart"/>
      <w:r w:rsidRPr="00D137AB">
        <w:rPr>
          <w:rFonts w:asciiTheme="minorHAnsi" w:hAnsiTheme="minorHAnsi" w:cstheme="minorHAnsi"/>
          <w:color w:val="auto"/>
        </w:rPr>
        <w:t>Define</w:t>
      </w:r>
      <w:proofErr w:type="gramEnd"/>
      <w:r w:rsidRPr="00D137AB">
        <w:rPr>
          <w:rFonts w:asciiTheme="minorHAnsi" w:hAnsiTheme="minorHAnsi" w:cstheme="minorHAnsi"/>
          <w:color w:val="auto"/>
        </w:rPr>
        <w:t xml:space="preserve"> each trajectory </w:t>
      </w:r>
      <w:r w:rsidR="009F465C">
        <w:rPr>
          <w:rFonts w:asciiTheme="minorHAnsi" w:hAnsiTheme="minorHAnsi" w:cstheme="minorHAnsi"/>
          <w:color w:val="auto"/>
        </w:rPr>
        <w:t>by</w:t>
      </w:r>
      <w:r w:rsidRPr="00D137AB">
        <w:rPr>
          <w:rFonts w:asciiTheme="minorHAnsi" w:hAnsiTheme="minorHAnsi" w:cstheme="minorHAnsi"/>
          <w:color w:val="auto"/>
        </w:rPr>
        <w:t xml:space="preserve"> manually selecting the surface entry point and deep target point for each electrode. </w:t>
      </w:r>
    </w:p>
    <w:p w14:paraId="42F21FA1" w14:textId="77777777" w:rsidR="009F465C" w:rsidRDefault="009F465C" w:rsidP="001B1519">
      <w:pPr>
        <w:rPr>
          <w:rFonts w:asciiTheme="minorHAnsi" w:hAnsiTheme="minorHAnsi" w:cstheme="minorHAnsi"/>
          <w:color w:val="auto"/>
        </w:rPr>
      </w:pPr>
    </w:p>
    <w:p w14:paraId="054760AB" w14:textId="01BE6D2A" w:rsidR="002667AA" w:rsidRPr="00D137AB" w:rsidRDefault="0052529E" w:rsidP="001B1519">
      <w:pPr>
        <w:rPr>
          <w:rFonts w:asciiTheme="minorHAnsi" w:hAnsiTheme="minorHAnsi" w:cstheme="minorHAnsi"/>
          <w:color w:val="auto"/>
        </w:rPr>
      </w:pPr>
      <w:r>
        <w:rPr>
          <w:rFonts w:asciiTheme="minorHAnsi" w:hAnsiTheme="minorHAnsi" w:cstheme="minorHAnsi"/>
          <w:color w:val="auto"/>
        </w:rPr>
        <w:t>NOTE:</w:t>
      </w:r>
      <w:r w:rsidR="009F465C">
        <w:rPr>
          <w:rFonts w:asciiTheme="minorHAnsi" w:hAnsiTheme="minorHAnsi" w:cstheme="minorHAnsi"/>
          <w:color w:val="auto"/>
        </w:rPr>
        <w:t xml:space="preserve"> </w:t>
      </w:r>
      <w:r w:rsidR="002667AA" w:rsidRPr="00D137AB">
        <w:rPr>
          <w:rFonts w:asciiTheme="minorHAnsi" w:hAnsiTheme="minorHAnsi" w:cstheme="minorHAnsi"/>
          <w:color w:val="auto"/>
        </w:rPr>
        <w:t>Generally</w:t>
      </w:r>
      <w:r w:rsidR="009F465C">
        <w:rPr>
          <w:rFonts w:asciiTheme="minorHAnsi" w:hAnsiTheme="minorHAnsi" w:cstheme="minorHAnsi"/>
          <w:color w:val="auto"/>
        </w:rPr>
        <w:t>, it is best to</w:t>
      </w:r>
      <w:r w:rsidR="002667AA" w:rsidRPr="00D137AB">
        <w:rPr>
          <w:rFonts w:asciiTheme="minorHAnsi" w:hAnsiTheme="minorHAnsi" w:cstheme="minorHAnsi"/>
          <w:color w:val="auto"/>
        </w:rPr>
        <w:t xml:space="preserve"> initially use a working distance of 150 mm from the drilling platform to the deep target point and the</w:t>
      </w:r>
      <w:r w:rsidR="0054329A" w:rsidRPr="00D137AB">
        <w:rPr>
          <w:rFonts w:asciiTheme="minorHAnsi" w:hAnsiTheme="minorHAnsi" w:cstheme="minorHAnsi"/>
          <w:color w:val="auto"/>
        </w:rPr>
        <w:t>n</w:t>
      </w:r>
      <w:r w:rsidR="002667AA" w:rsidRPr="00D137AB">
        <w:rPr>
          <w:rFonts w:asciiTheme="minorHAnsi" w:hAnsiTheme="minorHAnsi" w:cstheme="minorHAnsi"/>
          <w:color w:val="auto"/>
        </w:rPr>
        <w:t xml:space="preserve"> adjust the depth</w:t>
      </w:r>
      <w:r w:rsidR="0054329A" w:rsidRPr="00D137AB">
        <w:rPr>
          <w:rFonts w:asciiTheme="minorHAnsi" w:hAnsiTheme="minorHAnsi" w:cstheme="minorHAnsi"/>
          <w:color w:val="auto"/>
        </w:rPr>
        <w:t xml:space="preserve"> to maximally reduce the working distance in order to improve implantation accuracy.</w:t>
      </w:r>
    </w:p>
    <w:p w14:paraId="683BAEDD" w14:textId="77777777" w:rsidR="0054329A" w:rsidRPr="00D137AB" w:rsidRDefault="0054329A" w:rsidP="001B1519">
      <w:pPr>
        <w:rPr>
          <w:rFonts w:asciiTheme="minorHAnsi" w:hAnsiTheme="minorHAnsi" w:cstheme="minorHAnsi"/>
          <w:color w:val="auto"/>
        </w:rPr>
      </w:pPr>
    </w:p>
    <w:p w14:paraId="5038F148" w14:textId="016EA0E1" w:rsidR="00443485" w:rsidRDefault="0054329A" w:rsidP="001B1519">
      <w:pPr>
        <w:rPr>
          <w:rFonts w:asciiTheme="minorHAnsi" w:hAnsiTheme="minorHAnsi" w:cstheme="minorHAnsi"/>
          <w:color w:val="auto"/>
        </w:rPr>
      </w:pPr>
      <w:r w:rsidRPr="00D137AB">
        <w:rPr>
          <w:rFonts w:asciiTheme="minorHAnsi" w:hAnsiTheme="minorHAnsi" w:cstheme="minorHAnsi"/>
          <w:color w:val="auto"/>
        </w:rPr>
        <w:t xml:space="preserve">1.3.4 </w:t>
      </w:r>
      <w:proofErr w:type="gramStart"/>
      <w:r w:rsidRPr="00D137AB">
        <w:rPr>
          <w:rFonts w:asciiTheme="minorHAnsi" w:hAnsiTheme="minorHAnsi" w:cstheme="minorHAnsi"/>
          <w:color w:val="auto"/>
        </w:rPr>
        <w:t>Verify</w:t>
      </w:r>
      <w:proofErr w:type="gramEnd"/>
      <w:r w:rsidRPr="00D137AB">
        <w:rPr>
          <w:rFonts w:asciiTheme="minorHAnsi" w:hAnsiTheme="minorHAnsi" w:cstheme="minorHAnsi"/>
          <w:color w:val="auto"/>
        </w:rPr>
        <w:t xml:space="preserve"> each implantation </w:t>
      </w:r>
      <w:r w:rsidR="00391BAE">
        <w:rPr>
          <w:rFonts w:asciiTheme="minorHAnsi" w:hAnsiTheme="minorHAnsi" w:cstheme="minorHAnsi"/>
          <w:color w:val="auto"/>
        </w:rPr>
        <w:t>trajectory</w:t>
      </w:r>
      <w:r w:rsidRPr="00D137AB">
        <w:rPr>
          <w:rFonts w:asciiTheme="minorHAnsi" w:hAnsiTheme="minorHAnsi" w:cstheme="minorHAnsi"/>
          <w:color w:val="auto"/>
        </w:rPr>
        <w:t xml:space="preserve">. </w:t>
      </w:r>
    </w:p>
    <w:p w14:paraId="321C78DF" w14:textId="77777777" w:rsidR="00443485" w:rsidRDefault="00443485" w:rsidP="001B1519">
      <w:pPr>
        <w:rPr>
          <w:rFonts w:asciiTheme="minorHAnsi" w:hAnsiTheme="minorHAnsi" w:cstheme="minorHAnsi"/>
          <w:color w:val="auto"/>
        </w:rPr>
      </w:pPr>
    </w:p>
    <w:p w14:paraId="56B3B3F1" w14:textId="77777777" w:rsidR="00443485" w:rsidRDefault="00443485" w:rsidP="001B1519">
      <w:pPr>
        <w:rPr>
          <w:rFonts w:asciiTheme="minorHAnsi" w:hAnsiTheme="minorHAnsi" w:cstheme="minorHAnsi"/>
          <w:color w:val="auto"/>
        </w:rPr>
      </w:pPr>
      <w:r>
        <w:rPr>
          <w:rFonts w:asciiTheme="minorHAnsi" w:hAnsiTheme="minorHAnsi" w:cstheme="minorHAnsi"/>
          <w:color w:val="auto"/>
        </w:rPr>
        <w:t xml:space="preserve">1.3.4.1 </w:t>
      </w:r>
      <w:r w:rsidR="0054329A" w:rsidRPr="00D137AB">
        <w:rPr>
          <w:rFonts w:asciiTheme="minorHAnsi" w:hAnsiTheme="minorHAnsi" w:cstheme="minorHAnsi"/>
          <w:color w:val="auto"/>
        </w:rPr>
        <w:t>Review each electrode in the 3D MRI</w:t>
      </w:r>
      <w:r w:rsidR="00AA58C8">
        <w:rPr>
          <w:rFonts w:asciiTheme="minorHAnsi" w:hAnsiTheme="minorHAnsi" w:cstheme="minorHAnsi"/>
          <w:color w:val="auto"/>
        </w:rPr>
        <w:t>-CTA fusion</w:t>
      </w:r>
      <w:r w:rsidR="0054329A" w:rsidRPr="00D137AB">
        <w:rPr>
          <w:rFonts w:asciiTheme="minorHAnsi" w:hAnsiTheme="minorHAnsi" w:cstheme="minorHAnsi"/>
          <w:color w:val="auto"/>
        </w:rPr>
        <w:t xml:space="preserve"> reconstruction individually to make sure that the trajectory does not compromise any vascular structures, adjusting any trajectories as needed. </w:t>
      </w:r>
    </w:p>
    <w:p w14:paraId="1A4E6F77" w14:textId="77777777" w:rsidR="00443485" w:rsidRDefault="00443485" w:rsidP="001B1519">
      <w:pPr>
        <w:rPr>
          <w:rFonts w:asciiTheme="minorHAnsi" w:hAnsiTheme="minorHAnsi" w:cstheme="minorHAnsi"/>
          <w:color w:val="auto"/>
        </w:rPr>
      </w:pPr>
    </w:p>
    <w:p w14:paraId="34FF0F22" w14:textId="77777777" w:rsidR="00443485" w:rsidRDefault="00443485" w:rsidP="001B1519">
      <w:pPr>
        <w:rPr>
          <w:rFonts w:asciiTheme="minorHAnsi" w:hAnsiTheme="minorHAnsi" w:cstheme="minorHAnsi"/>
          <w:color w:val="auto"/>
        </w:rPr>
      </w:pPr>
      <w:r>
        <w:rPr>
          <w:rFonts w:asciiTheme="minorHAnsi" w:hAnsiTheme="minorHAnsi" w:cstheme="minorHAnsi"/>
          <w:color w:val="auto"/>
        </w:rPr>
        <w:t xml:space="preserve">1.3.5 </w:t>
      </w:r>
      <w:r w:rsidR="0054329A" w:rsidRPr="00D137AB">
        <w:rPr>
          <w:rFonts w:asciiTheme="minorHAnsi" w:hAnsiTheme="minorHAnsi" w:cstheme="minorHAnsi"/>
          <w:color w:val="auto"/>
        </w:rPr>
        <w:t xml:space="preserve">Review the overall implantation schema in the 3D MRI reconstruction, assessing for any trajectory collisions. </w:t>
      </w:r>
    </w:p>
    <w:p w14:paraId="4411843C" w14:textId="77777777" w:rsidR="00443485" w:rsidRDefault="00443485" w:rsidP="001B1519">
      <w:pPr>
        <w:rPr>
          <w:rFonts w:asciiTheme="minorHAnsi" w:hAnsiTheme="minorHAnsi" w:cstheme="minorHAnsi"/>
          <w:color w:val="auto"/>
        </w:rPr>
      </w:pPr>
    </w:p>
    <w:p w14:paraId="0D234F33" w14:textId="5D829559" w:rsidR="0054329A" w:rsidRPr="00D137AB" w:rsidRDefault="00443485" w:rsidP="001B1519">
      <w:pPr>
        <w:rPr>
          <w:rFonts w:asciiTheme="minorHAnsi" w:hAnsiTheme="minorHAnsi" w:cstheme="minorHAnsi"/>
          <w:color w:val="auto"/>
        </w:rPr>
      </w:pPr>
      <w:r>
        <w:rPr>
          <w:rFonts w:asciiTheme="minorHAnsi" w:hAnsiTheme="minorHAnsi" w:cstheme="minorHAnsi"/>
          <w:color w:val="auto"/>
        </w:rPr>
        <w:t xml:space="preserve">1.3.6 </w:t>
      </w:r>
      <w:r w:rsidR="0054329A" w:rsidRPr="00D137AB">
        <w:rPr>
          <w:rFonts w:asciiTheme="minorHAnsi" w:hAnsiTheme="minorHAnsi" w:cstheme="minorHAnsi"/>
          <w:color w:val="auto"/>
        </w:rPr>
        <w:t>Verify that the surface entry points are all at least 1.5 cm apart on the skin surface, as anything closer than this would be prohibitive to implantation later.</w:t>
      </w:r>
    </w:p>
    <w:p w14:paraId="6DE64A1D" w14:textId="77777777" w:rsidR="00DF16C3" w:rsidRPr="00D137AB" w:rsidRDefault="00DF16C3" w:rsidP="001B1519">
      <w:pPr>
        <w:rPr>
          <w:rFonts w:asciiTheme="minorHAnsi" w:hAnsiTheme="minorHAnsi" w:cstheme="minorHAnsi"/>
          <w:color w:val="auto"/>
        </w:rPr>
      </w:pPr>
    </w:p>
    <w:p w14:paraId="17D1513C" w14:textId="0C1E8932" w:rsidR="00DF16C3" w:rsidRPr="00C57742" w:rsidRDefault="00AD4A1D" w:rsidP="00B613AE">
      <w:pPr>
        <w:outlineLvl w:val="0"/>
        <w:rPr>
          <w:rFonts w:asciiTheme="minorHAnsi" w:hAnsiTheme="minorHAnsi" w:cstheme="minorHAnsi"/>
          <w:b/>
          <w:color w:val="auto"/>
          <w:highlight w:val="yellow"/>
        </w:rPr>
      </w:pPr>
      <w:r w:rsidRPr="00C57742">
        <w:rPr>
          <w:rFonts w:asciiTheme="minorHAnsi" w:hAnsiTheme="minorHAnsi" w:cstheme="minorHAnsi"/>
          <w:color w:val="auto"/>
          <w:highlight w:val="yellow"/>
        </w:rPr>
        <w:t xml:space="preserve">2. </w:t>
      </w:r>
      <w:r w:rsidRPr="00C57742">
        <w:rPr>
          <w:rFonts w:asciiTheme="minorHAnsi" w:hAnsiTheme="minorHAnsi" w:cstheme="minorHAnsi"/>
          <w:b/>
          <w:color w:val="auto"/>
          <w:highlight w:val="yellow"/>
        </w:rPr>
        <w:t xml:space="preserve">Operative </w:t>
      </w:r>
      <w:r w:rsidR="0052529E">
        <w:rPr>
          <w:rFonts w:asciiTheme="minorHAnsi" w:hAnsiTheme="minorHAnsi" w:cstheme="minorHAnsi"/>
          <w:b/>
          <w:color w:val="auto"/>
          <w:highlight w:val="yellow"/>
        </w:rPr>
        <w:t>t</w:t>
      </w:r>
      <w:r w:rsidRPr="00C57742">
        <w:rPr>
          <w:rFonts w:asciiTheme="minorHAnsi" w:hAnsiTheme="minorHAnsi" w:cstheme="minorHAnsi"/>
          <w:b/>
          <w:color w:val="auto"/>
          <w:highlight w:val="yellow"/>
        </w:rPr>
        <w:t>echnique</w:t>
      </w:r>
    </w:p>
    <w:p w14:paraId="49CBFE7D" w14:textId="77777777" w:rsidR="00D25F4F" w:rsidRPr="00C57742" w:rsidRDefault="00D25F4F" w:rsidP="001B1519">
      <w:pPr>
        <w:rPr>
          <w:rFonts w:asciiTheme="minorHAnsi" w:hAnsiTheme="minorHAnsi" w:cstheme="minorHAnsi"/>
          <w:b/>
          <w:color w:val="auto"/>
          <w:highlight w:val="yellow"/>
        </w:rPr>
      </w:pPr>
    </w:p>
    <w:p w14:paraId="63CCC7B1" w14:textId="39A589D2" w:rsidR="00A0560F" w:rsidRPr="00C57742" w:rsidRDefault="00D25F4F"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 xml:space="preserve">2.1 </w:t>
      </w:r>
      <w:r w:rsidR="00807214">
        <w:rPr>
          <w:rFonts w:asciiTheme="minorHAnsi" w:hAnsiTheme="minorHAnsi" w:cstheme="minorHAnsi"/>
          <w:color w:val="auto"/>
          <w:highlight w:val="yellow"/>
        </w:rPr>
        <w:t>In the OR, p</w:t>
      </w:r>
      <w:r w:rsidR="00A0560F" w:rsidRPr="00C57742">
        <w:rPr>
          <w:rFonts w:asciiTheme="minorHAnsi" w:hAnsiTheme="minorHAnsi" w:cstheme="minorHAnsi"/>
          <w:color w:val="auto"/>
          <w:highlight w:val="yellow"/>
        </w:rPr>
        <w:t>repare the patient</w:t>
      </w:r>
      <w:r w:rsidR="00807214">
        <w:rPr>
          <w:rFonts w:asciiTheme="minorHAnsi" w:hAnsiTheme="minorHAnsi" w:cstheme="minorHAnsi"/>
          <w:color w:val="auto"/>
          <w:highlight w:val="yellow"/>
        </w:rPr>
        <w:t xml:space="preserve"> and place them supine while preparing</w:t>
      </w:r>
      <w:r w:rsidR="00A0560F" w:rsidRPr="00C57742">
        <w:rPr>
          <w:rFonts w:asciiTheme="minorHAnsi" w:hAnsiTheme="minorHAnsi" w:cstheme="minorHAnsi"/>
          <w:color w:val="auto"/>
          <w:highlight w:val="yellow"/>
        </w:rPr>
        <w:t xml:space="preserve"> the stereotactic robot for surgery.</w:t>
      </w:r>
    </w:p>
    <w:p w14:paraId="006D4A53" w14:textId="77777777" w:rsidR="00A0560F" w:rsidRPr="00C57742" w:rsidRDefault="00A0560F" w:rsidP="001B1519">
      <w:pPr>
        <w:rPr>
          <w:rFonts w:asciiTheme="minorHAnsi" w:hAnsiTheme="minorHAnsi" w:cstheme="minorHAnsi"/>
          <w:color w:val="auto"/>
          <w:highlight w:val="yellow"/>
        </w:rPr>
      </w:pPr>
    </w:p>
    <w:p w14:paraId="351754CA" w14:textId="036951E9" w:rsidR="00807214" w:rsidRPr="00FF2CF1" w:rsidRDefault="00A0560F" w:rsidP="001B1519">
      <w:pPr>
        <w:rPr>
          <w:rFonts w:asciiTheme="minorHAnsi" w:hAnsiTheme="minorHAnsi" w:cstheme="minorHAnsi"/>
          <w:color w:val="auto"/>
        </w:rPr>
      </w:pPr>
      <w:r w:rsidRPr="0052529E">
        <w:rPr>
          <w:rFonts w:asciiTheme="minorHAnsi" w:hAnsiTheme="minorHAnsi" w:cstheme="minorHAnsi"/>
          <w:color w:val="auto"/>
        </w:rPr>
        <w:t>2.1.1 Intubate</w:t>
      </w:r>
      <w:r w:rsidR="00D25F4F" w:rsidRPr="0052529E">
        <w:rPr>
          <w:rFonts w:asciiTheme="minorHAnsi" w:hAnsiTheme="minorHAnsi" w:cstheme="minorHAnsi"/>
          <w:color w:val="auto"/>
        </w:rPr>
        <w:t xml:space="preserve"> under general anesthesia according to the recommendations of the anesthesiologist</w:t>
      </w:r>
      <w:r w:rsidR="0052529E">
        <w:rPr>
          <w:rFonts w:asciiTheme="minorHAnsi" w:hAnsiTheme="minorHAnsi" w:cstheme="minorHAnsi"/>
          <w:color w:val="auto"/>
        </w:rPr>
        <w:t xml:space="preserve">. Use </w:t>
      </w:r>
      <w:proofErr w:type="spellStart"/>
      <w:r w:rsidR="0052529E">
        <w:rPr>
          <w:rFonts w:asciiTheme="minorHAnsi" w:hAnsiTheme="minorHAnsi" w:cstheme="minorHAnsi"/>
          <w:color w:val="auto"/>
        </w:rPr>
        <w:t>propofol</w:t>
      </w:r>
      <w:proofErr w:type="spellEnd"/>
      <w:r w:rsidR="0052529E">
        <w:rPr>
          <w:rFonts w:asciiTheme="minorHAnsi" w:hAnsiTheme="minorHAnsi" w:cstheme="minorHAnsi"/>
          <w:color w:val="auto"/>
        </w:rPr>
        <w:t xml:space="preserve"> for sufficient</w:t>
      </w:r>
      <w:r w:rsidR="00807214" w:rsidRPr="00C57742">
        <w:rPr>
          <w:rFonts w:asciiTheme="minorHAnsi" w:hAnsiTheme="minorHAnsi" w:cstheme="minorHAnsi"/>
          <w:color w:val="auto"/>
        </w:rPr>
        <w:t xml:space="preserve"> anesthesia and verif</w:t>
      </w:r>
      <w:r w:rsidR="0052529E">
        <w:rPr>
          <w:rFonts w:asciiTheme="minorHAnsi" w:hAnsiTheme="minorHAnsi" w:cstheme="minorHAnsi"/>
          <w:color w:val="auto"/>
        </w:rPr>
        <w:t>y</w:t>
      </w:r>
      <w:r w:rsidR="00807214" w:rsidRPr="00C57742">
        <w:rPr>
          <w:rFonts w:asciiTheme="minorHAnsi" w:hAnsiTheme="minorHAnsi" w:cstheme="minorHAnsi"/>
          <w:color w:val="auto"/>
        </w:rPr>
        <w:t xml:space="preserve"> by adequate electrophysiological recordings as certified by a clinical </w:t>
      </w:r>
      <w:proofErr w:type="spellStart"/>
      <w:r w:rsidR="00807214" w:rsidRPr="00C57742">
        <w:rPr>
          <w:rFonts w:asciiTheme="minorHAnsi" w:hAnsiTheme="minorHAnsi" w:cstheme="minorHAnsi"/>
          <w:color w:val="auto"/>
        </w:rPr>
        <w:t>epileptologist</w:t>
      </w:r>
      <w:proofErr w:type="spellEnd"/>
      <w:r w:rsidR="00807214" w:rsidRPr="00C57742">
        <w:rPr>
          <w:rFonts w:asciiTheme="minorHAnsi" w:hAnsiTheme="minorHAnsi" w:cstheme="minorHAnsi"/>
          <w:color w:val="auto"/>
        </w:rPr>
        <w:t>.</w:t>
      </w:r>
    </w:p>
    <w:p w14:paraId="098258D5" w14:textId="77777777" w:rsidR="00D25F4F" w:rsidRPr="00C57742" w:rsidRDefault="00D25F4F" w:rsidP="001B1519">
      <w:pPr>
        <w:rPr>
          <w:rFonts w:asciiTheme="minorHAnsi" w:hAnsiTheme="minorHAnsi" w:cstheme="minorHAnsi"/>
          <w:color w:val="auto"/>
          <w:highlight w:val="yellow"/>
        </w:rPr>
      </w:pPr>
    </w:p>
    <w:p w14:paraId="0C677D22" w14:textId="6F7835CB" w:rsidR="00D25F4F" w:rsidRPr="00C57742" w:rsidRDefault="00A0560F"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lastRenderedPageBreak/>
        <w:t>2.1.2</w:t>
      </w:r>
      <w:r w:rsidR="00D25F4F" w:rsidRPr="00C57742">
        <w:rPr>
          <w:rFonts w:asciiTheme="minorHAnsi" w:hAnsiTheme="minorHAnsi" w:cstheme="minorHAnsi"/>
          <w:color w:val="auto"/>
          <w:highlight w:val="yellow"/>
        </w:rPr>
        <w:t xml:space="preserve"> Fix the patient’s head us</w:t>
      </w:r>
      <w:r w:rsidR="001A5DDD" w:rsidRPr="00C57742">
        <w:rPr>
          <w:rFonts w:asciiTheme="minorHAnsi" w:hAnsiTheme="minorHAnsi" w:cstheme="minorHAnsi"/>
          <w:color w:val="auto"/>
          <w:highlight w:val="yellow"/>
        </w:rPr>
        <w:t xml:space="preserve">ing a </w:t>
      </w:r>
      <w:r w:rsidR="00566A2B" w:rsidRPr="00C57742">
        <w:rPr>
          <w:rFonts w:asciiTheme="minorHAnsi" w:hAnsiTheme="minorHAnsi" w:cstheme="minorHAnsi"/>
          <w:color w:val="auto"/>
          <w:highlight w:val="yellow"/>
        </w:rPr>
        <w:t>three</w:t>
      </w:r>
      <w:r w:rsidR="00D25F4F" w:rsidRPr="00C57742">
        <w:rPr>
          <w:rFonts w:asciiTheme="minorHAnsi" w:hAnsiTheme="minorHAnsi" w:cstheme="minorHAnsi"/>
          <w:color w:val="auto"/>
          <w:highlight w:val="yellow"/>
        </w:rPr>
        <w:t>-point fixation head holder.</w:t>
      </w:r>
    </w:p>
    <w:p w14:paraId="211CC7A4" w14:textId="77777777" w:rsidR="00391BAE" w:rsidRPr="00C57742" w:rsidRDefault="00391BAE" w:rsidP="001B1519">
      <w:pPr>
        <w:rPr>
          <w:rFonts w:asciiTheme="minorHAnsi" w:hAnsiTheme="minorHAnsi" w:cstheme="minorHAnsi"/>
          <w:color w:val="auto"/>
          <w:highlight w:val="yellow"/>
        </w:rPr>
      </w:pPr>
    </w:p>
    <w:p w14:paraId="237795D6" w14:textId="6A77B41F" w:rsidR="00391BAE" w:rsidRPr="00C57742" w:rsidRDefault="0052529E" w:rsidP="001B1519">
      <w:pPr>
        <w:rPr>
          <w:rFonts w:asciiTheme="minorHAnsi" w:hAnsiTheme="minorHAnsi" w:cstheme="minorHAnsi"/>
          <w:color w:val="auto"/>
          <w:highlight w:val="yellow"/>
        </w:rPr>
      </w:pPr>
      <w:r>
        <w:rPr>
          <w:rFonts w:asciiTheme="minorHAnsi" w:hAnsiTheme="minorHAnsi" w:cstheme="minorHAnsi"/>
          <w:color w:val="auto"/>
          <w:highlight w:val="yellow"/>
        </w:rPr>
        <w:t>NOTE:</w:t>
      </w:r>
      <w:r w:rsidR="00391BAE" w:rsidRPr="00C57742">
        <w:rPr>
          <w:rFonts w:asciiTheme="minorHAnsi" w:hAnsiTheme="minorHAnsi" w:cstheme="minorHAnsi"/>
          <w:color w:val="auto"/>
          <w:highlight w:val="yellow"/>
        </w:rPr>
        <w:t xml:space="preserve"> This is a standard 4-point </w:t>
      </w:r>
      <w:proofErr w:type="spellStart"/>
      <w:r w:rsidR="00391BAE" w:rsidRPr="00C57742">
        <w:rPr>
          <w:rFonts w:asciiTheme="minorHAnsi" w:hAnsiTheme="minorHAnsi" w:cstheme="minorHAnsi"/>
          <w:color w:val="auto"/>
          <w:highlight w:val="yellow"/>
        </w:rPr>
        <w:t>Lexell</w:t>
      </w:r>
      <w:proofErr w:type="spellEnd"/>
      <w:r w:rsidR="00391BAE" w:rsidRPr="00C57742">
        <w:rPr>
          <w:rFonts w:asciiTheme="minorHAnsi" w:hAnsiTheme="minorHAnsi" w:cstheme="minorHAnsi"/>
          <w:color w:val="auto"/>
          <w:highlight w:val="yellow"/>
        </w:rPr>
        <w:t xml:space="preserve"> frame. Occasionally one of the front posts will be removed in order to facilitate registration of the robot to the patient, as described later. Therefore, the fixation is referred to as 3-point.</w:t>
      </w:r>
    </w:p>
    <w:p w14:paraId="73634ECF" w14:textId="77777777" w:rsidR="00D25F4F" w:rsidRPr="00C57742" w:rsidRDefault="00D25F4F" w:rsidP="001B1519">
      <w:pPr>
        <w:rPr>
          <w:rFonts w:asciiTheme="minorHAnsi" w:hAnsiTheme="minorHAnsi" w:cstheme="minorHAnsi"/>
          <w:color w:val="auto"/>
          <w:highlight w:val="yellow"/>
        </w:rPr>
      </w:pPr>
    </w:p>
    <w:p w14:paraId="0576E157" w14:textId="75007D38" w:rsidR="00D25F4F" w:rsidRPr="00C57742" w:rsidRDefault="00A0560F"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 xml:space="preserve">2.1.3 Position the robot at the head of the patient, such that the distance between the base of the robotic arm and the midpoint of the cranium is 70 cm. Lock the robot into position and secure the </w:t>
      </w:r>
      <w:r w:rsidR="00AA58C8" w:rsidRPr="00C57742">
        <w:rPr>
          <w:rFonts w:asciiTheme="minorHAnsi" w:hAnsiTheme="minorHAnsi" w:cstheme="minorHAnsi"/>
          <w:color w:val="auto"/>
          <w:highlight w:val="yellow"/>
        </w:rPr>
        <w:t>three</w:t>
      </w:r>
      <w:r w:rsidRPr="00C57742">
        <w:rPr>
          <w:rFonts w:asciiTheme="minorHAnsi" w:hAnsiTheme="minorHAnsi" w:cstheme="minorHAnsi"/>
          <w:color w:val="auto"/>
          <w:highlight w:val="yellow"/>
        </w:rPr>
        <w:t>-point head-holder to the robot.</w:t>
      </w:r>
    </w:p>
    <w:p w14:paraId="015E0783" w14:textId="77777777" w:rsidR="00A0560F" w:rsidRPr="00C57742" w:rsidRDefault="00A0560F" w:rsidP="001B1519">
      <w:pPr>
        <w:rPr>
          <w:rFonts w:asciiTheme="minorHAnsi" w:hAnsiTheme="minorHAnsi" w:cstheme="minorHAnsi"/>
          <w:color w:val="auto"/>
          <w:highlight w:val="yellow"/>
        </w:rPr>
      </w:pPr>
    </w:p>
    <w:p w14:paraId="1E33E221" w14:textId="4FEF0E0B" w:rsidR="00A0560F" w:rsidRPr="00C57742" w:rsidRDefault="0052529E" w:rsidP="001B1519">
      <w:pPr>
        <w:rPr>
          <w:rFonts w:asciiTheme="minorHAnsi" w:hAnsiTheme="minorHAnsi" w:cstheme="minorHAnsi"/>
          <w:color w:val="auto"/>
          <w:highlight w:val="yellow"/>
        </w:rPr>
      </w:pPr>
      <w:r>
        <w:rPr>
          <w:rFonts w:asciiTheme="minorHAnsi" w:hAnsiTheme="minorHAnsi" w:cstheme="minorHAnsi"/>
          <w:color w:val="auto"/>
          <w:highlight w:val="yellow"/>
        </w:rPr>
        <w:t>NOTE:</w:t>
      </w:r>
      <w:r w:rsidR="00A0560F" w:rsidRPr="00C57742">
        <w:rPr>
          <w:rFonts w:asciiTheme="minorHAnsi" w:hAnsiTheme="minorHAnsi" w:cstheme="minorHAnsi"/>
          <w:color w:val="auto"/>
          <w:highlight w:val="yellow"/>
        </w:rPr>
        <w:t xml:space="preserve"> Do not make any more adjustments to the position of the patient or the robot </w:t>
      </w:r>
      <w:r w:rsidR="001F008D" w:rsidRPr="00C57742">
        <w:rPr>
          <w:rFonts w:asciiTheme="minorHAnsi" w:hAnsiTheme="minorHAnsi" w:cstheme="minorHAnsi"/>
          <w:color w:val="auto"/>
          <w:highlight w:val="yellow"/>
        </w:rPr>
        <w:t>after</w:t>
      </w:r>
      <w:r w:rsidR="00A0560F" w:rsidRPr="00C57742">
        <w:rPr>
          <w:rFonts w:asciiTheme="minorHAnsi" w:hAnsiTheme="minorHAnsi" w:cstheme="minorHAnsi"/>
          <w:color w:val="auto"/>
          <w:highlight w:val="yellow"/>
        </w:rPr>
        <w:t xml:space="preserve"> this time. Any further adjustment after this point will potentially result in implantation inaccuracies.</w:t>
      </w:r>
    </w:p>
    <w:p w14:paraId="10804F97" w14:textId="77777777" w:rsidR="00A0560F" w:rsidRPr="00C57742" w:rsidRDefault="00A0560F" w:rsidP="001B1519">
      <w:pPr>
        <w:rPr>
          <w:rFonts w:asciiTheme="minorHAnsi" w:hAnsiTheme="minorHAnsi" w:cstheme="minorHAnsi"/>
          <w:color w:val="auto"/>
          <w:highlight w:val="yellow"/>
        </w:rPr>
      </w:pPr>
    </w:p>
    <w:p w14:paraId="2C6588E1" w14:textId="487B0A75" w:rsidR="00A0560F" w:rsidRPr="00C57742" w:rsidRDefault="00636E88"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2.1.4</w:t>
      </w:r>
      <w:r w:rsidR="00A0560F" w:rsidRPr="00C57742">
        <w:rPr>
          <w:rFonts w:asciiTheme="minorHAnsi" w:hAnsiTheme="minorHAnsi" w:cstheme="minorHAnsi"/>
          <w:color w:val="auto"/>
          <w:highlight w:val="yellow"/>
        </w:rPr>
        <w:t xml:space="preserve"> Use the semi-automatic laser based facial recognition system to register the preoperative volumetric MRI with the patient</w:t>
      </w:r>
      <w:r w:rsidRPr="00C57742">
        <w:rPr>
          <w:rFonts w:asciiTheme="minorHAnsi" w:hAnsiTheme="minorHAnsi" w:cstheme="minorHAnsi"/>
          <w:color w:val="auto"/>
          <w:highlight w:val="yellow"/>
        </w:rPr>
        <w:t>, following all prompts given by the robot</w:t>
      </w:r>
      <w:r w:rsidR="00A0560F" w:rsidRPr="00C57742">
        <w:rPr>
          <w:rFonts w:asciiTheme="minorHAnsi" w:hAnsiTheme="minorHAnsi" w:cstheme="minorHAnsi"/>
          <w:color w:val="auto"/>
          <w:highlight w:val="yellow"/>
        </w:rPr>
        <w:t>.</w:t>
      </w:r>
    </w:p>
    <w:p w14:paraId="334CF9C7" w14:textId="77777777" w:rsidR="00636E88" w:rsidRPr="00C57742" w:rsidRDefault="00636E88" w:rsidP="001B1519">
      <w:pPr>
        <w:rPr>
          <w:rFonts w:asciiTheme="minorHAnsi" w:hAnsiTheme="minorHAnsi" w:cstheme="minorHAnsi"/>
          <w:color w:val="auto"/>
          <w:highlight w:val="yellow"/>
        </w:rPr>
      </w:pPr>
    </w:p>
    <w:p w14:paraId="2A7C509F" w14:textId="5C937254" w:rsidR="00636E88" w:rsidRPr="00C57742" w:rsidRDefault="00636E88"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2.1.4.1 Calibrate the laser using the set distance calibration tool.</w:t>
      </w:r>
    </w:p>
    <w:p w14:paraId="28338C20" w14:textId="77777777" w:rsidR="00636E88" w:rsidRPr="00C57742" w:rsidRDefault="00636E88" w:rsidP="001B1519">
      <w:pPr>
        <w:rPr>
          <w:rFonts w:asciiTheme="minorHAnsi" w:hAnsiTheme="minorHAnsi" w:cstheme="minorHAnsi"/>
          <w:color w:val="auto"/>
          <w:highlight w:val="yellow"/>
        </w:rPr>
      </w:pPr>
    </w:p>
    <w:p w14:paraId="5C72959D" w14:textId="20FAA32D" w:rsidR="00636E88" w:rsidRPr="00C57742" w:rsidRDefault="00636E88"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2.1.4.2 Select the preset anatomical facial landmarks manually with the laser. Registration is then completed as the robot automatically scans the facial surface.</w:t>
      </w:r>
    </w:p>
    <w:p w14:paraId="610E621C" w14:textId="77777777" w:rsidR="00636E88" w:rsidRPr="00C57742" w:rsidRDefault="00636E88" w:rsidP="001B1519">
      <w:pPr>
        <w:rPr>
          <w:rFonts w:asciiTheme="minorHAnsi" w:hAnsiTheme="minorHAnsi" w:cstheme="minorHAnsi"/>
          <w:color w:val="auto"/>
          <w:highlight w:val="yellow"/>
        </w:rPr>
      </w:pPr>
    </w:p>
    <w:p w14:paraId="2BF37776" w14:textId="2E00B2C3" w:rsidR="00636E88" w:rsidRPr="00C57742" w:rsidRDefault="00636E88"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2.1.4.3 Confirm the accuracy of the registration by correlating additional independent surface landmarks with the registered MRI.</w:t>
      </w:r>
    </w:p>
    <w:p w14:paraId="66D7D6FC" w14:textId="77777777" w:rsidR="00636E88" w:rsidRPr="00C57742" w:rsidRDefault="00636E88" w:rsidP="001B1519">
      <w:pPr>
        <w:rPr>
          <w:rFonts w:asciiTheme="minorHAnsi" w:hAnsiTheme="minorHAnsi" w:cstheme="minorHAnsi"/>
          <w:color w:val="auto"/>
          <w:highlight w:val="yellow"/>
        </w:rPr>
      </w:pPr>
    </w:p>
    <w:p w14:paraId="503FCE39" w14:textId="4A52AD65" w:rsidR="00636E88" w:rsidRPr="00C57742" w:rsidRDefault="0052529E" w:rsidP="001B1519">
      <w:pPr>
        <w:rPr>
          <w:rFonts w:asciiTheme="minorHAnsi" w:hAnsiTheme="minorHAnsi" w:cstheme="minorHAnsi"/>
          <w:color w:val="auto"/>
          <w:highlight w:val="yellow"/>
        </w:rPr>
      </w:pPr>
      <w:r>
        <w:rPr>
          <w:rFonts w:asciiTheme="minorHAnsi" w:hAnsiTheme="minorHAnsi" w:cstheme="minorHAnsi"/>
          <w:color w:val="auto"/>
          <w:highlight w:val="yellow"/>
        </w:rPr>
        <w:t>NOTE:</w:t>
      </w:r>
      <w:r w:rsidR="00636E88" w:rsidRPr="00C57742">
        <w:rPr>
          <w:rFonts w:asciiTheme="minorHAnsi" w:hAnsiTheme="minorHAnsi" w:cstheme="minorHAnsi"/>
          <w:color w:val="auto"/>
          <w:highlight w:val="yellow"/>
        </w:rPr>
        <w:t xml:space="preserve"> </w:t>
      </w:r>
      <w:proofErr w:type="gramStart"/>
      <w:r w:rsidR="00636E88" w:rsidRPr="00C57742">
        <w:rPr>
          <w:rFonts w:asciiTheme="minorHAnsi" w:hAnsiTheme="minorHAnsi" w:cstheme="minorHAnsi"/>
          <w:color w:val="auto"/>
          <w:highlight w:val="yellow"/>
        </w:rPr>
        <w:t>The planned trajectories are then automatically verified by the robot software</w:t>
      </w:r>
      <w:proofErr w:type="gramEnd"/>
      <w:r w:rsidR="00636E88" w:rsidRPr="00C57742">
        <w:rPr>
          <w:rFonts w:asciiTheme="minorHAnsi" w:hAnsiTheme="minorHAnsi" w:cstheme="minorHAnsi"/>
          <w:color w:val="auto"/>
          <w:highlight w:val="yellow"/>
        </w:rPr>
        <w:t>.</w:t>
      </w:r>
    </w:p>
    <w:p w14:paraId="24538F78" w14:textId="77777777" w:rsidR="00636E88" w:rsidRPr="00C57742" w:rsidRDefault="00636E88" w:rsidP="001B1519">
      <w:pPr>
        <w:rPr>
          <w:rFonts w:asciiTheme="minorHAnsi" w:hAnsiTheme="minorHAnsi" w:cstheme="minorHAnsi"/>
          <w:color w:val="auto"/>
          <w:highlight w:val="yellow"/>
        </w:rPr>
      </w:pPr>
    </w:p>
    <w:p w14:paraId="572D265C" w14:textId="623C98F4" w:rsidR="00636E88" w:rsidRPr="00C57742" w:rsidRDefault="00801877"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2.1.5 P</w:t>
      </w:r>
      <w:r w:rsidR="00636E88" w:rsidRPr="00C57742">
        <w:rPr>
          <w:rFonts w:asciiTheme="minorHAnsi" w:hAnsiTheme="minorHAnsi" w:cstheme="minorHAnsi"/>
          <w:color w:val="auto"/>
          <w:highlight w:val="yellow"/>
        </w:rPr>
        <w:t>rep</w:t>
      </w:r>
      <w:r w:rsidR="0052529E">
        <w:rPr>
          <w:rFonts w:asciiTheme="minorHAnsi" w:hAnsiTheme="minorHAnsi" w:cstheme="minorHAnsi"/>
          <w:color w:val="auto"/>
          <w:highlight w:val="yellow"/>
        </w:rPr>
        <w:t>are</w:t>
      </w:r>
      <w:r w:rsidRPr="00C57742">
        <w:rPr>
          <w:rFonts w:asciiTheme="minorHAnsi" w:hAnsiTheme="minorHAnsi" w:cstheme="minorHAnsi"/>
          <w:color w:val="auto"/>
          <w:highlight w:val="yellow"/>
        </w:rPr>
        <w:t xml:space="preserve"> and drape the patient</w:t>
      </w:r>
      <w:r w:rsidR="00636E88" w:rsidRPr="00C57742">
        <w:rPr>
          <w:rFonts w:asciiTheme="minorHAnsi" w:hAnsiTheme="minorHAnsi" w:cstheme="minorHAnsi"/>
          <w:color w:val="auto"/>
          <w:highlight w:val="yellow"/>
        </w:rPr>
        <w:t xml:space="preserve"> in standard sterile fashion.</w:t>
      </w:r>
    </w:p>
    <w:p w14:paraId="4475ABD8" w14:textId="77777777" w:rsidR="00636E88" w:rsidRPr="00C57742" w:rsidRDefault="00636E88" w:rsidP="001B1519">
      <w:pPr>
        <w:rPr>
          <w:rFonts w:asciiTheme="minorHAnsi" w:hAnsiTheme="minorHAnsi" w:cstheme="minorHAnsi"/>
          <w:color w:val="auto"/>
          <w:highlight w:val="yellow"/>
        </w:rPr>
      </w:pPr>
    </w:p>
    <w:p w14:paraId="62541575" w14:textId="15286A9E" w:rsidR="00636E88" w:rsidRPr="00C57742" w:rsidRDefault="00801877"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2.1.6 Drape the robotic working arm</w:t>
      </w:r>
      <w:r w:rsidR="00636E88" w:rsidRPr="00C57742">
        <w:rPr>
          <w:rFonts w:asciiTheme="minorHAnsi" w:hAnsiTheme="minorHAnsi" w:cstheme="minorHAnsi"/>
          <w:color w:val="auto"/>
          <w:highlight w:val="yellow"/>
        </w:rPr>
        <w:t xml:space="preserve"> using sterile plastic.</w:t>
      </w:r>
    </w:p>
    <w:p w14:paraId="4F0616D0" w14:textId="77777777" w:rsidR="00801877" w:rsidRPr="00C57742" w:rsidRDefault="00801877" w:rsidP="001B1519">
      <w:pPr>
        <w:rPr>
          <w:rFonts w:asciiTheme="minorHAnsi" w:hAnsiTheme="minorHAnsi" w:cstheme="minorHAnsi"/>
          <w:color w:val="auto"/>
          <w:highlight w:val="yellow"/>
        </w:rPr>
      </w:pPr>
    </w:p>
    <w:p w14:paraId="08B5307C" w14:textId="28682975" w:rsidR="00801877" w:rsidRPr="00C57742" w:rsidRDefault="00801877"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2.1.7 Attach the drilling platform, with a 2.5 mm working cannula, to the robotic arm.</w:t>
      </w:r>
    </w:p>
    <w:p w14:paraId="78A9E2A1" w14:textId="77777777" w:rsidR="00801877" w:rsidRPr="00C57742" w:rsidRDefault="00801877" w:rsidP="001B1519">
      <w:pPr>
        <w:rPr>
          <w:rFonts w:asciiTheme="minorHAnsi" w:hAnsiTheme="minorHAnsi" w:cstheme="minorHAnsi"/>
          <w:color w:val="auto"/>
          <w:highlight w:val="yellow"/>
        </w:rPr>
      </w:pPr>
    </w:p>
    <w:p w14:paraId="457CC007" w14:textId="60D2D06F" w:rsidR="00801877" w:rsidRPr="00C57742" w:rsidRDefault="00801877"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 xml:space="preserve">2.2 Implant the </w:t>
      </w:r>
      <w:r w:rsidR="0076380D">
        <w:rPr>
          <w:rFonts w:asciiTheme="minorHAnsi" w:hAnsiTheme="minorHAnsi" w:cstheme="minorHAnsi"/>
          <w:color w:val="auto"/>
          <w:highlight w:val="yellow"/>
        </w:rPr>
        <w:t>bolts</w:t>
      </w:r>
      <w:r w:rsidRPr="00C57742">
        <w:rPr>
          <w:rFonts w:asciiTheme="minorHAnsi" w:hAnsiTheme="minorHAnsi" w:cstheme="minorHAnsi"/>
          <w:color w:val="auto"/>
          <w:highlight w:val="yellow"/>
        </w:rPr>
        <w:t xml:space="preserve"> along their designated trajectories.</w:t>
      </w:r>
    </w:p>
    <w:p w14:paraId="2F472C17" w14:textId="77777777" w:rsidR="00801877" w:rsidRPr="00C57742" w:rsidRDefault="00801877" w:rsidP="001B1519">
      <w:pPr>
        <w:rPr>
          <w:rFonts w:asciiTheme="minorHAnsi" w:hAnsiTheme="minorHAnsi" w:cstheme="minorHAnsi"/>
          <w:color w:val="auto"/>
          <w:highlight w:val="yellow"/>
        </w:rPr>
      </w:pPr>
    </w:p>
    <w:p w14:paraId="03C1F733" w14:textId="05F7DBC3" w:rsidR="00801877" w:rsidRPr="00C57742" w:rsidRDefault="00801877"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2.2.1 Select the desired trajectory on the touch screen of the robot.</w:t>
      </w:r>
    </w:p>
    <w:p w14:paraId="7BE11BE3" w14:textId="77777777" w:rsidR="00801877" w:rsidRPr="00C57742" w:rsidRDefault="00801877" w:rsidP="001B1519">
      <w:pPr>
        <w:rPr>
          <w:rFonts w:asciiTheme="minorHAnsi" w:hAnsiTheme="minorHAnsi" w:cstheme="minorHAnsi"/>
          <w:color w:val="auto"/>
          <w:highlight w:val="yellow"/>
        </w:rPr>
      </w:pPr>
    </w:p>
    <w:p w14:paraId="16AE0501" w14:textId="60F72301" w:rsidR="00801877" w:rsidRPr="00C57742" w:rsidRDefault="00801877"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2.2.2 Step on the robot pedal to initiate movement of the robotic arm to the correct trajectory.</w:t>
      </w:r>
      <w:r w:rsidR="00DF3099" w:rsidRPr="00C57742">
        <w:rPr>
          <w:rFonts w:asciiTheme="minorHAnsi" w:hAnsiTheme="minorHAnsi" w:cstheme="minorHAnsi"/>
          <w:color w:val="auto"/>
          <w:highlight w:val="yellow"/>
        </w:rPr>
        <w:t xml:space="preserve"> When the correct position is reached, the arm is automatically locked by the robot.</w:t>
      </w:r>
    </w:p>
    <w:p w14:paraId="0DBC08BE" w14:textId="77777777" w:rsidR="00DF3099" w:rsidRPr="00C57742" w:rsidRDefault="00DF3099" w:rsidP="001B1519">
      <w:pPr>
        <w:rPr>
          <w:rFonts w:asciiTheme="minorHAnsi" w:hAnsiTheme="minorHAnsi" w:cstheme="minorHAnsi"/>
          <w:color w:val="auto"/>
          <w:highlight w:val="yellow"/>
        </w:rPr>
      </w:pPr>
    </w:p>
    <w:p w14:paraId="30060D44" w14:textId="725C156C" w:rsidR="00DF3099" w:rsidRPr="00C57742" w:rsidRDefault="00DF3099"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2.2.3 Insert a 2 mm drill through the working cannula and use it to create a pinhole through the entire thickness of the skull.</w:t>
      </w:r>
    </w:p>
    <w:p w14:paraId="667D9852" w14:textId="77777777" w:rsidR="00DF3099" w:rsidRPr="00C57742" w:rsidRDefault="00DF3099" w:rsidP="001B1519">
      <w:pPr>
        <w:rPr>
          <w:rFonts w:asciiTheme="minorHAnsi" w:hAnsiTheme="minorHAnsi" w:cstheme="minorHAnsi"/>
          <w:color w:val="auto"/>
          <w:highlight w:val="yellow"/>
        </w:rPr>
      </w:pPr>
    </w:p>
    <w:p w14:paraId="0967B45C" w14:textId="52D48E1F" w:rsidR="00DF3099" w:rsidRPr="00C57742" w:rsidRDefault="00DF3099"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 xml:space="preserve">2.2.4 Open the dura with an insulated </w:t>
      </w:r>
      <w:proofErr w:type="spellStart"/>
      <w:r w:rsidRPr="00C57742">
        <w:rPr>
          <w:rFonts w:asciiTheme="minorHAnsi" w:hAnsiTheme="minorHAnsi" w:cstheme="minorHAnsi"/>
          <w:color w:val="auto"/>
          <w:highlight w:val="yellow"/>
        </w:rPr>
        <w:t>dural</w:t>
      </w:r>
      <w:proofErr w:type="spellEnd"/>
      <w:r w:rsidRPr="00C57742">
        <w:rPr>
          <w:rFonts w:asciiTheme="minorHAnsi" w:hAnsiTheme="minorHAnsi" w:cstheme="minorHAnsi"/>
          <w:color w:val="auto"/>
          <w:highlight w:val="yellow"/>
        </w:rPr>
        <w:t xml:space="preserve"> perforator using monopolar cautery at a low setting.</w:t>
      </w:r>
    </w:p>
    <w:p w14:paraId="610D35C4" w14:textId="77777777" w:rsidR="00DF3099" w:rsidRPr="00C57742" w:rsidRDefault="00DF3099" w:rsidP="001B1519">
      <w:pPr>
        <w:rPr>
          <w:rFonts w:asciiTheme="minorHAnsi" w:hAnsiTheme="minorHAnsi" w:cstheme="minorHAnsi"/>
          <w:color w:val="auto"/>
          <w:highlight w:val="yellow"/>
        </w:rPr>
      </w:pPr>
    </w:p>
    <w:p w14:paraId="3269947E" w14:textId="12931CE0" w:rsidR="00DF3099" w:rsidRPr="00C57742" w:rsidRDefault="0052529E" w:rsidP="001B1519">
      <w:pPr>
        <w:rPr>
          <w:rFonts w:asciiTheme="minorHAnsi" w:hAnsiTheme="minorHAnsi" w:cstheme="minorHAnsi"/>
          <w:color w:val="auto"/>
          <w:highlight w:val="yellow"/>
        </w:rPr>
      </w:pPr>
      <w:r>
        <w:rPr>
          <w:rFonts w:asciiTheme="minorHAnsi" w:hAnsiTheme="minorHAnsi" w:cstheme="minorHAnsi"/>
          <w:color w:val="auto"/>
          <w:highlight w:val="yellow"/>
        </w:rPr>
        <w:t>NOTE:</w:t>
      </w:r>
      <w:r w:rsidR="00DF3099" w:rsidRPr="00C57742">
        <w:rPr>
          <w:rFonts w:asciiTheme="minorHAnsi" w:hAnsiTheme="minorHAnsi" w:cstheme="minorHAnsi"/>
          <w:color w:val="auto"/>
          <w:highlight w:val="yellow"/>
        </w:rPr>
        <w:t xml:space="preserve"> Opening the dura can be particularly challenging in small children. Because the dura is not completely adherent to the internal layers of the skull, it is very easy to displace rather than open the dura without noticing.</w:t>
      </w:r>
    </w:p>
    <w:p w14:paraId="68299630" w14:textId="77777777" w:rsidR="00DF3099" w:rsidRPr="00C57742" w:rsidRDefault="00DF3099" w:rsidP="001B1519">
      <w:pPr>
        <w:rPr>
          <w:rFonts w:asciiTheme="minorHAnsi" w:hAnsiTheme="minorHAnsi" w:cstheme="minorHAnsi"/>
          <w:color w:val="auto"/>
          <w:highlight w:val="yellow"/>
        </w:rPr>
      </w:pPr>
    </w:p>
    <w:p w14:paraId="36FD02C6" w14:textId="1A878BA2" w:rsidR="00DF3099" w:rsidRPr="00C57742" w:rsidRDefault="00DF3099"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 xml:space="preserve">2.2.5 </w:t>
      </w:r>
      <w:r w:rsidR="00AA58C8" w:rsidRPr="00C57742">
        <w:rPr>
          <w:rFonts w:asciiTheme="minorHAnsi" w:hAnsiTheme="minorHAnsi" w:cstheme="minorHAnsi"/>
          <w:color w:val="auto"/>
          <w:highlight w:val="yellow"/>
        </w:rPr>
        <w:t>Screw</w:t>
      </w:r>
      <w:r w:rsidRPr="00C57742">
        <w:rPr>
          <w:rFonts w:asciiTheme="minorHAnsi" w:hAnsiTheme="minorHAnsi" w:cstheme="minorHAnsi"/>
          <w:color w:val="auto"/>
          <w:highlight w:val="yellow"/>
        </w:rPr>
        <w:t xml:space="preserve"> guide bolt firmly into each pin hole.</w:t>
      </w:r>
    </w:p>
    <w:p w14:paraId="57655B4E" w14:textId="77777777" w:rsidR="00DF3099" w:rsidRPr="00C57742" w:rsidRDefault="00DF3099" w:rsidP="001B1519">
      <w:pPr>
        <w:rPr>
          <w:rFonts w:asciiTheme="minorHAnsi" w:hAnsiTheme="minorHAnsi" w:cstheme="minorHAnsi"/>
          <w:color w:val="auto"/>
          <w:highlight w:val="yellow"/>
        </w:rPr>
      </w:pPr>
    </w:p>
    <w:p w14:paraId="6ABDB798" w14:textId="1DBA66DB" w:rsidR="004D32C9" w:rsidRPr="00C57742" w:rsidRDefault="00DF3099"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2.2.6 Measure the distance from the drilling platform to the guide bolt</w:t>
      </w:r>
      <w:r w:rsidR="004D32C9" w:rsidRPr="00C57742">
        <w:rPr>
          <w:rFonts w:asciiTheme="minorHAnsi" w:hAnsiTheme="minorHAnsi" w:cstheme="minorHAnsi"/>
          <w:color w:val="auto"/>
          <w:highlight w:val="yellow"/>
        </w:rPr>
        <w:t xml:space="preserve"> using a sterile ruler</w:t>
      </w:r>
      <w:r w:rsidRPr="00C57742">
        <w:rPr>
          <w:rFonts w:asciiTheme="minorHAnsi" w:hAnsiTheme="minorHAnsi" w:cstheme="minorHAnsi"/>
          <w:color w:val="auto"/>
          <w:highlight w:val="yellow"/>
        </w:rPr>
        <w:t xml:space="preserve">. </w:t>
      </w:r>
    </w:p>
    <w:p w14:paraId="362AF749" w14:textId="77777777" w:rsidR="004D32C9" w:rsidRPr="00C57742" w:rsidRDefault="004D32C9" w:rsidP="001B1519">
      <w:pPr>
        <w:rPr>
          <w:rFonts w:asciiTheme="minorHAnsi" w:hAnsiTheme="minorHAnsi" w:cstheme="minorHAnsi"/>
          <w:color w:val="auto"/>
          <w:highlight w:val="yellow"/>
        </w:rPr>
      </w:pPr>
    </w:p>
    <w:p w14:paraId="33FE12C8" w14:textId="30C77C17" w:rsidR="004D32C9" w:rsidRPr="00C57742" w:rsidRDefault="00C57742" w:rsidP="001B1519">
      <w:pPr>
        <w:rPr>
          <w:rFonts w:asciiTheme="minorHAnsi" w:hAnsiTheme="minorHAnsi" w:cstheme="minorHAnsi"/>
          <w:color w:val="auto"/>
          <w:highlight w:val="yellow"/>
        </w:rPr>
      </w:pPr>
      <w:r>
        <w:rPr>
          <w:rFonts w:asciiTheme="minorHAnsi" w:hAnsiTheme="minorHAnsi" w:cstheme="minorHAnsi"/>
          <w:color w:val="auto"/>
          <w:highlight w:val="yellow"/>
        </w:rPr>
        <w:t>NOTE</w:t>
      </w:r>
      <w:r w:rsidR="004D32C9" w:rsidRPr="00C57742">
        <w:rPr>
          <w:rFonts w:asciiTheme="minorHAnsi" w:hAnsiTheme="minorHAnsi" w:cstheme="minorHAnsi"/>
          <w:color w:val="auto"/>
          <w:highlight w:val="yellow"/>
        </w:rPr>
        <w:t>: This is a fixed distance related to the length of the drilling adapter.</w:t>
      </w:r>
    </w:p>
    <w:p w14:paraId="07E5A6F5" w14:textId="77777777" w:rsidR="004D32C9" w:rsidRPr="00C57742" w:rsidRDefault="004D32C9" w:rsidP="001B1519">
      <w:pPr>
        <w:rPr>
          <w:rFonts w:asciiTheme="minorHAnsi" w:hAnsiTheme="minorHAnsi" w:cstheme="minorHAnsi"/>
          <w:color w:val="auto"/>
          <w:highlight w:val="yellow"/>
        </w:rPr>
      </w:pPr>
    </w:p>
    <w:p w14:paraId="75093903" w14:textId="77777777" w:rsidR="004D32C9" w:rsidRPr="00C57742" w:rsidRDefault="004D32C9"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 xml:space="preserve">2.2.6.1 </w:t>
      </w:r>
      <w:r w:rsidR="00DF3099" w:rsidRPr="00C57742">
        <w:rPr>
          <w:rFonts w:asciiTheme="minorHAnsi" w:hAnsiTheme="minorHAnsi" w:cstheme="minorHAnsi"/>
          <w:color w:val="auto"/>
          <w:highlight w:val="yellow"/>
        </w:rPr>
        <w:t>Subtract this</w:t>
      </w:r>
      <w:r w:rsidRPr="00C57742">
        <w:rPr>
          <w:rFonts w:asciiTheme="minorHAnsi" w:hAnsiTheme="minorHAnsi" w:cstheme="minorHAnsi"/>
          <w:color w:val="auto"/>
          <w:highlight w:val="yellow"/>
        </w:rPr>
        <w:t xml:space="preserve"> measured</w:t>
      </w:r>
      <w:r w:rsidR="00DF3099" w:rsidRPr="00C57742">
        <w:rPr>
          <w:rFonts w:asciiTheme="minorHAnsi" w:hAnsiTheme="minorHAnsi" w:cstheme="minorHAnsi"/>
          <w:color w:val="auto"/>
          <w:highlight w:val="yellow"/>
        </w:rPr>
        <w:t xml:space="preserve"> distance from the value of the distance “platform to target” used in planning the trajectory</w:t>
      </w:r>
      <w:r w:rsidRPr="00C57742">
        <w:rPr>
          <w:rFonts w:asciiTheme="minorHAnsi" w:hAnsiTheme="minorHAnsi" w:cstheme="minorHAnsi"/>
          <w:color w:val="auto"/>
          <w:highlight w:val="yellow"/>
        </w:rPr>
        <w:t>.</w:t>
      </w:r>
    </w:p>
    <w:p w14:paraId="7F7EA121" w14:textId="77777777" w:rsidR="004D32C9" w:rsidRPr="00C57742" w:rsidRDefault="004D32C9" w:rsidP="001B1519">
      <w:pPr>
        <w:rPr>
          <w:rFonts w:asciiTheme="minorHAnsi" w:hAnsiTheme="minorHAnsi" w:cstheme="minorHAnsi"/>
          <w:color w:val="auto"/>
          <w:highlight w:val="yellow"/>
        </w:rPr>
      </w:pPr>
    </w:p>
    <w:p w14:paraId="4D4048D2" w14:textId="0C1037F9" w:rsidR="004D32C9" w:rsidRPr="00C57742" w:rsidRDefault="00C57742" w:rsidP="001B1519">
      <w:pPr>
        <w:rPr>
          <w:rFonts w:asciiTheme="minorHAnsi" w:hAnsiTheme="minorHAnsi" w:cstheme="minorHAnsi"/>
          <w:color w:val="auto"/>
          <w:highlight w:val="yellow"/>
        </w:rPr>
      </w:pPr>
      <w:r>
        <w:rPr>
          <w:rFonts w:asciiTheme="minorHAnsi" w:hAnsiTheme="minorHAnsi" w:cstheme="minorHAnsi"/>
          <w:color w:val="auto"/>
          <w:highlight w:val="yellow"/>
        </w:rPr>
        <w:t>NOTE</w:t>
      </w:r>
      <w:r w:rsidR="004D32C9" w:rsidRPr="00C57742">
        <w:rPr>
          <w:rFonts w:asciiTheme="minorHAnsi" w:hAnsiTheme="minorHAnsi" w:cstheme="minorHAnsi"/>
          <w:color w:val="auto"/>
          <w:highlight w:val="yellow"/>
        </w:rPr>
        <w:t>:</w:t>
      </w:r>
      <w:r w:rsidR="00DF3099" w:rsidRPr="00C57742">
        <w:rPr>
          <w:rFonts w:asciiTheme="minorHAnsi" w:hAnsiTheme="minorHAnsi" w:cstheme="minorHAnsi"/>
          <w:color w:val="auto"/>
          <w:highlight w:val="yellow"/>
        </w:rPr>
        <w:t xml:space="preserve"> Remember</w:t>
      </w:r>
      <w:r w:rsidR="004D32C9" w:rsidRPr="00C57742">
        <w:rPr>
          <w:rFonts w:asciiTheme="minorHAnsi" w:hAnsiTheme="minorHAnsi" w:cstheme="minorHAnsi"/>
          <w:color w:val="auto"/>
          <w:highlight w:val="yellow"/>
        </w:rPr>
        <w:t xml:space="preserve"> that</w:t>
      </w:r>
      <w:r w:rsidR="00DF3099" w:rsidRPr="00C57742">
        <w:rPr>
          <w:rFonts w:asciiTheme="minorHAnsi" w:hAnsiTheme="minorHAnsi" w:cstheme="minorHAnsi"/>
          <w:color w:val="auto"/>
          <w:highlight w:val="yellow"/>
        </w:rPr>
        <w:t xml:space="preserve"> the recommendation is to always use the standard 150 mm platform to target distance unless a need arises to change this distance. Using this standard will simplify this step in the OR. </w:t>
      </w:r>
    </w:p>
    <w:p w14:paraId="40565317" w14:textId="77777777" w:rsidR="004D32C9" w:rsidRPr="00C57742" w:rsidRDefault="004D32C9" w:rsidP="001B1519">
      <w:pPr>
        <w:rPr>
          <w:rFonts w:asciiTheme="minorHAnsi" w:hAnsiTheme="minorHAnsi" w:cstheme="minorHAnsi"/>
          <w:color w:val="auto"/>
          <w:highlight w:val="yellow"/>
        </w:rPr>
      </w:pPr>
    </w:p>
    <w:p w14:paraId="21F98BA3" w14:textId="637CDEF9" w:rsidR="00DF3099" w:rsidRPr="00C57742" w:rsidRDefault="004D32C9"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 xml:space="preserve">2.2.6.2 </w:t>
      </w:r>
      <w:r w:rsidR="00DF3099" w:rsidRPr="00C57742">
        <w:rPr>
          <w:rFonts w:asciiTheme="minorHAnsi" w:hAnsiTheme="minorHAnsi" w:cstheme="minorHAnsi"/>
          <w:color w:val="auto"/>
          <w:highlight w:val="yellow"/>
        </w:rPr>
        <w:t>Record and note the result as i</w:t>
      </w:r>
      <w:r w:rsidR="008E0089" w:rsidRPr="00C57742">
        <w:rPr>
          <w:rFonts w:asciiTheme="minorHAnsi" w:hAnsiTheme="minorHAnsi" w:cstheme="minorHAnsi"/>
          <w:color w:val="auto"/>
          <w:highlight w:val="yellow"/>
        </w:rPr>
        <w:t>t will be used later as the final length of the implanted electrode.</w:t>
      </w:r>
    </w:p>
    <w:p w14:paraId="13012232" w14:textId="77777777" w:rsidR="00DF3099" w:rsidRPr="00C57742" w:rsidRDefault="00DF3099" w:rsidP="001B1519">
      <w:pPr>
        <w:rPr>
          <w:rFonts w:asciiTheme="minorHAnsi" w:hAnsiTheme="minorHAnsi" w:cstheme="minorHAnsi"/>
          <w:color w:val="auto"/>
          <w:highlight w:val="yellow"/>
        </w:rPr>
      </w:pPr>
    </w:p>
    <w:p w14:paraId="733455C4" w14:textId="423BA69D" w:rsidR="00DF3099" w:rsidRDefault="00DF3099"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 xml:space="preserve">2.2.7 </w:t>
      </w:r>
      <w:r w:rsidR="008E0089" w:rsidRPr="00C57742">
        <w:rPr>
          <w:rFonts w:asciiTheme="minorHAnsi" w:hAnsiTheme="minorHAnsi" w:cstheme="minorHAnsi"/>
          <w:color w:val="auto"/>
          <w:highlight w:val="yellow"/>
        </w:rPr>
        <w:t>Measure</w:t>
      </w:r>
      <w:r w:rsidR="0076380D">
        <w:rPr>
          <w:rFonts w:asciiTheme="minorHAnsi" w:hAnsiTheme="minorHAnsi" w:cstheme="minorHAnsi"/>
          <w:color w:val="auto"/>
          <w:highlight w:val="yellow"/>
        </w:rPr>
        <w:t xml:space="preserve"> and note</w:t>
      </w:r>
      <w:r w:rsidR="008E0089" w:rsidRPr="00C57742">
        <w:rPr>
          <w:rFonts w:asciiTheme="minorHAnsi" w:hAnsiTheme="minorHAnsi" w:cstheme="minorHAnsi"/>
          <w:color w:val="auto"/>
          <w:highlight w:val="yellow"/>
        </w:rPr>
        <w:t xml:space="preserve"> the final length of the electrode and ensure that it matches the newly calculated length</w:t>
      </w:r>
      <w:r w:rsidR="0076380D">
        <w:rPr>
          <w:rFonts w:asciiTheme="minorHAnsi" w:hAnsiTheme="minorHAnsi" w:cstheme="minorHAnsi"/>
          <w:color w:val="auto"/>
          <w:highlight w:val="yellow"/>
        </w:rPr>
        <w:t xml:space="preserve"> for the bolt. Ensure the electrode and bolt have matching labels to prevent confusion later during electrode implantation</w:t>
      </w:r>
      <w:r w:rsidR="008E0089" w:rsidRPr="00C57742">
        <w:rPr>
          <w:rFonts w:asciiTheme="minorHAnsi" w:hAnsiTheme="minorHAnsi" w:cstheme="minorHAnsi"/>
          <w:color w:val="auto"/>
          <w:highlight w:val="yellow"/>
        </w:rPr>
        <w:t>.</w:t>
      </w:r>
    </w:p>
    <w:p w14:paraId="4E47F8E0" w14:textId="77777777" w:rsidR="0076380D" w:rsidRDefault="0076380D" w:rsidP="001B1519">
      <w:pPr>
        <w:rPr>
          <w:rFonts w:asciiTheme="minorHAnsi" w:hAnsiTheme="minorHAnsi" w:cstheme="minorHAnsi"/>
          <w:color w:val="auto"/>
          <w:highlight w:val="yellow"/>
        </w:rPr>
      </w:pPr>
    </w:p>
    <w:p w14:paraId="06891BA7" w14:textId="5733951E" w:rsidR="0076380D" w:rsidRDefault="0076380D" w:rsidP="001B1519">
      <w:pPr>
        <w:rPr>
          <w:rFonts w:asciiTheme="minorHAnsi" w:hAnsiTheme="minorHAnsi" w:cstheme="minorHAnsi"/>
          <w:color w:val="auto"/>
          <w:highlight w:val="yellow"/>
        </w:rPr>
      </w:pPr>
      <w:r>
        <w:rPr>
          <w:rFonts w:asciiTheme="minorHAnsi" w:hAnsiTheme="minorHAnsi" w:cstheme="minorHAnsi"/>
          <w:color w:val="auto"/>
          <w:highlight w:val="yellow"/>
        </w:rPr>
        <w:t>2.2.8 Repeat steps 2.2.1 – 2.2.7 for every bolt (i.e.</w:t>
      </w:r>
      <w:r w:rsidR="00C57742">
        <w:rPr>
          <w:rFonts w:asciiTheme="minorHAnsi" w:hAnsiTheme="minorHAnsi" w:cstheme="minorHAnsi"/>
          <w:color w:val="auto"/>
          <w:highlight w:val="yellow"/>
        </w:rPr>
        <w:t>,</w:t>
      </w:r>
      <w:r>
        <w:rPr>
          <w:rFonts w:asciiTheme="minorHAnsi" w:hAnsiTheme="minorHAnsi" w:cstheme="minorHAnsi"/>
          <w:color w:val="auto"/>
          <w:highlight w:val="yellow"/>
        </w:rPr>
        <w:t xml:space="preserve"> implant all bolts) and mark all electrodes accordingly.</w:t>
      </w:r>
    </w:p>
    <w:p w14:paraId="0A6532E5" w14:textId="77777777" w:rsidR="0076380D" w:rsidRDefault="0076380D" w:rsidP="001B1519">
      <w:pPr>
        <w:rPr>
          <w:rFonts w:asciiTheme="minorHAnsi" w:hAnsiTheme="minorHAnsi" w:cstheme="minorHAnsi"/>
          <w:color w:val="auto"/>
          <w:highlight w:val="yellow"/>
        </w:rPr>
      </w:pPr>
    </w:p>
    <w:p w14:paraId="76FDB5CC" w14:textId="66DD0F9B" w:rsidR="0076380D" w:rsidRDefault="0076380D" w:rsidP="001B1519">
      <w:pPr>
        <w:rPr>
          <w:rFonts w:asciiTheme="minorHAnsi" w:hAnsiTheme="minorHAnsi" w:cstheme="minorHAnsi"/>
          <w:color w:val="auto"/>
          <w:highlight w:val="yellow"/>
        </w:rPr>
      </w:pPr>
      <w:r>
        <w:rPr>
          <w:rFonts w:asciiTheme="minorHAnsi" w:hAnsiTheme="minorHAnsi" w:cstheme="minorHAnsi"/>
          <w:color w:val="auto"/>
          <w:highlight w:val="yellow"/>
        </w:rPr>
        <w:t>2.3 Change surgical gloves and open a new sterile field.</w:t>
      </w:r>
    </w:p>
    <w:p w14:paraId="0E597D9C" w14:textId="77777777" w:rsidR="0076380D" w:rsidRDefault="0076380D" w:rsidP="001B1519">
      <w:pPr>
        <w:rPr>
          <w:rFonts w:asciiTheme="minorHAnsi" w:hAnsiTheme="minorHAnsi" w:cstheme="minorHAnsi"/>
          <w:color w:val="auto"/>
          <w:highlight w:val="yellow"/>
        </w:rPr>
      </w:pPr>
    </w:p>
    <w:p w14:paraId="2AE4A51D" w14:textId="79039F2C" w:rsidR="0076380D" w:rsidRPr="00C57742" w:rsidRDefault="0076380D" w:rsidP="001B1519">
      <w:pPr>
        <w:rPr>
          <w:rFonts w:asciiTheme="minorHAnsi" w:hAnsiTheme="minorHAnsi" w:cstheme="minorHAnsi"/>
          <w:color w:val="auto"/>
          <w:highlight w:val="yellow"/>
        </w:rPr>
      </w:pPr>
      <w:r>
        <w:rPr>
          <w:rFonts w:asciiTheme="minorHAnsi" w:hAnsiTheme="minorHAnsi" w:cstheme="minorHAnsi"/>
          <w:color w:val="auto"/>
          <w:highlight w:val="yellow"/>
        </w:rPr>
        <w:t>2.4 Implant all electrodes to the target depth via the implanted bolts.</w:t>
      </w:r>
    </w:p>
    <w:p w14:paraId="17EE9109" w14:textId="77777777" w:rsidR="008E0089" w:rsidRPr="00C57742" w:rsidRDefault="008E0089" w:rsidP="001B1519">
      <w:pPr>
        <w:rPr>
          <w:rFonts w:asciiTheme="minorHAnsi" w:hAnsiTheme="minorHAnsi" w:cstheme="minorHAnsi"/>
          <w:color w:val="auto"/>
          <w:highlight w:val="yellow"/>
        </w:rPr>
      </w:pPr>
    </w:p>
    <w:p w14:paraId="7C121785" w14:textId="63FB7ECB" w:rsidR="008E0089" w:rsidRPr="00C57742" w:rsidRDefault="008E0089"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2.</w:t>
      </w:r>
      <w:r w:rsidR="0076380D">
        <w:rPr>
          <w:rFonts w:asciiTheme="minorHAnsi" w:hAnsiTheme="minorHAnsi" w:cstheme="minorHAnsi"/>
          <w:color w:val="auto"/>
          <w:highlight w:val="yellow"/>
        </w:rPr>
        <w:t>4.1</w:t>
      </w:r>
      <w:r w:rsidRPr="00C57742">
        <w:rPr>
          <w:rFonts w:asciiTheme="minorHAnsi" w:hAnsiTheme="minorHAnsi" w:cstheme="minorHAnsi"/>
          <w:color w:val="auto"/>
          <w:highlight w:val="yellow"/>
        </w:rPr>
        <w:t xml:space="preserve"> </w:t>
      </w:r>
      <w:proofErr w:type="gramStart"/>
      <w:r w:rsidRPr="00C57742">
        <w:rPr>
          <w:rFonts w:asciiTheme="minorHAnsi" w:hAnsiTheme="minorHAnsi" w:cstheme="minorHAnsi"/>
          <w:color w:val="auto"/>
          <w:highlight w:val="yellow"/>
        </w:rPr>
        <w:t>Insert</w:t>
      </w:r>
      <w:proofErr w:type="gramEnd"/>
      <w:r w:rsidRPr="00C57742">
        <w:rPr>
          <w:rFonts w:asciiTheme="minorHAnsi" w:hAnsiTheme="minorHAnsi" w:cstheme="minorHAnsi"/>
          <w:color w:val="auto"/>
          <w:highlight w:val="yellow"/>
        </w:rPr>
        <w:t xml:space="preserve"> a 2 mm diameter stylet through the guide bolt to the intended depth of the final electrode as calculated </w:t>
      </w:r>
      <w:r w:rsidR="0076380D">
        <w:rPr>
          <w:rFonts w:asciiTheme="minorHAnsi" w:hAnsiTheme="minorHAnsi" w:cstheme="minorHAnsi"/>
          <w:color w:val="auto"/>
          <w:highlight w:val="yellow"/>
        </w:rPr>
        <w:t>after implantation of the bolt previously</w:t>
      </w:r>
      <w:r w:rsidRPr="00C57742">
        <w:rPr>
          <w:rFonts w:asciiTheme="minorHAnsi" w:hAnsiTheme="minorHAnsi" w:cstheme="minorHAnsi"/>
          <w:color w:val="auto"/>
          <w:highlight w:val="yellow"/>
        </w:rPr>
        <w:t>.</w:t>
      </w:r>
    </w:p>
    <w:p w14:paraId="34ECC711" w14:textId="77777777" w:rsidR="008E0089" w:rsidRPr="00C57742" w:rsidRDefault="008E0089" w:rsidP="001B1519">
      <w:pPr>
        <w:rPr>
          <w:rFonts w:asciiTheme="minorHAnsi" w:hAnsiTheme="minorHAnsi" w:cstheme="minorHAnsi"/>
          <w:color w:val="auto"/>
          <w:highlight w:val="yellow"/>
        </w:rPr>
      </w:pPr>
    </w:p>
    <w:p w14:paraId="7AECC042" w14:textId="423C2F53" w:rsidR="008E0089" w:rsidRPr="00C57742" w:rsidRDefault="008E0089"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2.</w:t>
      </w:r>
      <w:r w:rsidR="0076380D">
        <w:rPr>
          <w:rFonts w:asciiTheme="minorHAnsi" w:hAnsiTheme="minorHAnsi" w:cstheme="minorHAnsi"/>
          <w:color w:val="auto"/>
          <w:highlight w:val="yellow"/>
        </w:rPr>
        <w:t>4.2</w:t>
      </w:r>
      <w:r w:rsidRPr="00C57742">
        <w:rPr>
          <w:rFonts w:asciiTheme="minorHAnsi" w:hAnsiTheme="minorHAnsi" w:cstheme="minorHAnsi"/>
          <w:color w:val="auto"/>
          <w:highlight w:val="yellow"/>
        </w:rPr>
        <w:t xml:space="preserve"> </w:t>
      </w:r>
      <w:proofErr w:type="gramStart"/>
      <w:r w:rsidRPr="00C57742">
        <w:rPr>
          <w:rFonts w:asciiTheme="minorHAnsi" w:hAnsiTheme="minorHAnsi" w:cstheme="minorHAnsi"/>
          <w:color w:val="auto"/>
          <w:highlight w:val="yellow"/>
        </w:rPr>
        <w:t>Immediately</w:t>
      </w:r>
      <w:proofErr w:type="gramEnd"/>
      <w:r w:rsidRPr="00C57742">
        <w:rPr>
          <w:rFonts w:asciiTheme="minorHAnsi" w:hAnsiTheme="minorHAnsi" w:cstheme="minorHAnsi"/>
          <w:color w:val="auto"/>
          <w:highlight w:val="yellow"/>
        </w:rPr>
        <w:t xml:space="preserve"> insert the electrode through the bolt after removing the stylet and screw the electrode into the bolt for fixation.</w:t>
      </w:r>
    </w:p>
    <w:p w14:paraId="22557CFA" w14:textId="77777777" w:rsidR="008E0089" w:rsidRPr="00C57742" w:rsidRDefault="008E0089" w:rsidP="001B1519">
      <w:pPr>
        <w:rPr>
          <w:rFonts w:asciiTheme="minorHAnsi" w:hAnsiTheme="minorHAnsi" w:cstheme="minorHAnsi"/>
          <w:color w:val="auto"/>
          <w:highlight w:val="yellow"/>
        </w:rPr>
      </w:pPr>
    </w:p>
    <w:p w14:paraId="0A047FD6" w14:textId="19F06D7A" w:rsidR="008E0089" w:rsidRPr="00C57742" w:rsidRDefault="008E0089"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2.</w:t>
      </w:r>
      <w:r w:rsidR="0076380D">
        <w:rPr>
          <w:rFonts w:asciiTheme="minorHAnsi" w:hAnsiTheme="minorHAnsi" w:cstheme="minorHAnsi"/>
          <w:color w:val="auto"/>
          <w:highlight w:val="yellow"/>
        </w:rPr>
        <w:t>4.3</w:t>
      </w:r>
      <w:r w:rsidRPr="00C57742">
        <w:rPr>
          <w:rFonts w:asciiTheme="minorHAnsi" w:hAnsiTheme="minorHAnsi" w:cstheme="minorHAnsi"/>
          <w:color w:val="auto"/>
          <w:highlight w:val="yellow"/>
        </w:rPr>
        <w:t xml:space="preserve"> </w:t>
      </w:r>
      <w:proofErr w:type="gramStart"/>
      <w:r w:rsidRPr="00C57742">
        <w:rPr>
          <w:rFonts w:asciiTheme="minorHAnsi" w:hAnsiTheme="minorHAnsi" w:cstheme="minorHAnsi"/>
          <w:color w:val="auto"/>
          <w:highlight w:val="yellow"/>
        </w:rPr>
        <w:t>Ensure</w:t>
      </w:r>
      <w:proofErr w:type="gramEnd"/>
      <w:r w:rsidRPr="00C57742">
        <w:rPr>
          <w:rFonts w:asciiTheme="minorHAnsi" w:hAnsiTheme="minorHAnsi" w:cstheme="minorHAnsi"/>
          <w:color w:val="auto"/>
          <w:highlight w:val="yellow"/>
        </w:rPr>
        <w:t xml:space="preserve"> that the electrode is appropriately labeled.</w:t>
      </w:r>
    </w:p>
    <w:p w14:paraId="7F313242" w14:textId="77777777" w:rsidR="008E0089" w:rsidRPr="00C57742" w:rsidRDefault="008E0089" w:rsidP="001B1519">
      <w:pPr>
        <w:rPr>
          <w:rFonts w:asciiTheme="minorHAnsi" w:hAnsiTheme="minorHAnsi" w:cstheme="minorHAnsi"/>
          <w:color w:val="auto"/>
          <w:highlight w:val="yellow"/>
        </w:rPr>
      </w:pPr>
    </w:p>
    <w:p w14:paraId="5ECAC777" w14:textId="23F3813F" w:rsidR="008E0089" w:rsidRPr="00C57742" w:rsidRDefault="008E0089"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2.</w:t>
      </w:r>
      <w:r w:rsidR="0076380D">
        <w:rPr>
          <w:rFonts w:asciiTheme="minorHAnsi" w:hAnsiTheme="minorHAnsi" w:cstheme="minorHAnsi"/>
          <w:color w:val="auto"/>
          <w:highlight w:val="yellow"/>
        </w:rPr>
        <w:t>4.4</w:t>
      </w:r>
      <w:r w:rsidRPr="00C57742">
        <w:rPr>
          <w:rFonts w:asciiTheme="minorHAnsi" w:hAnsiTheme="minorHAnsi" w:cstheme="minorHAnsi"/>
          <w:color w:val="auto"/>
          <w:highlight w:val="yellow"/>
        </w:rPr>
        <w:t xml:space="preserve"> Repeat steps 2.</w:t>
      </w:r>
      <w:r w:rsidR="0076380D">
        <w:rPr>
          <w:rFonts w:asciiTheme="minorHAnsi" w:hAnsiTheme="minorHAnsi" w:cstheme="minorHAnsi"/>
          <w:color w:val="auto"/>
          <w:highlight w:val="yellow"/>
        </w:rPr>
        <w:t>4</w:t>
      </w:r>
      <w:r w:rsidRPr="00C57742">
        <w:rPr>
          <w:rFonts w:asciiTheme="minorHAnsi" w:hAnsiTheme="minorHAnsi" w:cstheme="minorHAnsi"/>
          <w:color w:val="auto"/>
          <w:highlight w:val="yellow"/>
        </w:rPr>
        <w:t>.1 – 2.</w:t>
      </w:r>
      <w:r w:rsidR="0076380D">
        <w:rPr>
          <w:rFonts w:asciiTheme="minorHAnsi" w:hAnsiTheme="minorHAnsi" w:cstheme="minorHAnsi"/>
          <w:color w:val="auto"/>
          <w:highlight w:val="yellow"/>
        </w:rPr>
        <w:t>4</w:t>
      </w:r>
      <w:r w:rsidRPr="00C57742">
        <w:rPr>
          <w:rFonts w:asciiTheme="minorHAnsi" w:hAnsiTheme="minorHAnsi" w:cstheme="minorHAnsi"/>
          <w:color w:val="auto"/>
          <w:highlight w:val="yellow"/>
        </w:rPr>
        <w:t>.</w:t>
      </w:r>
      <w:r w:rsidR="0076380D">
        <w:rPr>
          <w:rFonts w:asciiTheme="minorHAnsi" w:hAnsiTheme="minorHAnsi" w:cstheme="minorHAnsi"/>
          <w:color w:val="auto"/>
          <w:highlight w:val="yellow"/>
        </w:rPr>
        <w:t>3</w:t>
      </w:r>
      <w:r w:rsidRPr="00C57742">
        <w:rPr>
          <w:rFonts w:asciiTheme="minorHAnsi" w:hAnsiTheme="minorHAnsi" w:cstheme="minorHAnsi"/>
          <w:color w:val="auto"/>
          <w:highlight w:val="yellow"/>
        </w:rPr>
        <w:t xml:space="preserve"> for every electrode.</w:t>
      </w:r>
    </w:p>
    <w:p w14:paraId="7CB942DC" w14:textId="77777777" w:rsidR="008E0089" w:rsidRPr="00C57742" w:rsidRDefault="008E0089" w:rsidP="001B1519">
      <w:pPr>
        <w:rPr>
          <w:rFonts w:asciiTheme="minorHAnsi" w:hAnsiTheme="minorHAnsi" w:cstheme="minorHAnsi"/>
          <w:color w:val="auto"/>
          <w:highlight w:val="yellow"/>
        </w:rPr>
      </w:pPr>
    </w:p>
    <w:p w14:paraId="70ED69FC" w14:textId="4FB21392" w:rsidR="008E0089" w:rsidRPr="00C57742" w:rsidRDefault="008E0089" w:rsidP="001B1519">
      <w:pPr>
        <w:rPr>
          <w:rFonts w:asciiTheme="minorHAnsi" w:hAnsiTheme="minorHAnsi" w:cstheme="minorHAnsi"/>
          <w:color w:val="auto"/>
          <w:highlight w:val="yellow"/>
        </w:rPr>
      </w:pPr>
      <w:r w:rsidRPr="00C57742">
        <w:rPr>
          <w:rFonts w:asciiTheme="minorHAnsi" w:hAnsiTheme="minorHAnsi" w:cstheme="minorHAnsi"/>
          <w:color w:val="auto"/>
          <w:highlight w:val="yellow"/>
        </w:rPr>
        <w:t>2.</w:t>
      </w:r>
      <w:r w:rsidR="0076380D">
        <w:rPr>
          <w:rFonts w:asciiTheme="minorHAnsi" w:hAnsiTheme="minorHAnsi" w:cstheme="minorHAnsi"/>
          <w:color w:val="auto"/>
          <w:highlight w:val="yellow"/>
        </w:rPr>
        <w:t>5</w:t>
      </w:r>
      <w:r w:rsidRPr="00C57742">
        <w:rPr>
          <w:rFonts w:asciiTheme="minorHAnsi" w:hAnsiTheme="minorHAnsi" w:cstheme="minorHAnsi"/>
          <w:color w:val="auto"/>
          <w:highlight w:val="yellow"/>
        </w:rPr>
        <w:t xml:space="preserve"> Connect the electrodes to the clinical electrophysiology hardware.</w:t>
      </w:r>
    </w:p>
    <w:p w14:paraId="6473CFFF" w14:textId="77777777" w:rsidR="008E0089" w:rsidRPr="00C57742" w:rsidRDefault="008E0089" w:rsidP="001B1519">
      <w:pPr>
        <w:rPr>
          <w:rFonts w:asciiTheme="minorHAnsi" w:hAnsiTheme="minorHAnsi" w:cstheme="minorHAnsi"/>
          <w:color w:val="auto"/>
          <w:highlight w:val="yellow"/>
        </w:rPr>
      </w:pPr>
    </w:p>
    <w:p w14:paraId="556565D6" w14:textId="7DA59F07" w:rsidR="00636E88" w:rsidRPr="00D137AB" w:rsidRDefault="008E0089" w:rsidP="001B1519">
      <w:pPr>
        <w:rPr>
          <w:rFonts w:asciiTheme="minorHAnsi" w:hAnsiTheme="minorHAnsi" w:cstheme="minorHAnsi"/>
          <w:color w:val="auto"/>
        </w:rPr>
      </w:pPr>
      <w:r w:rsidRPr="00C57742">
        <w:rPr>
          <w:rFonts w:asciiTheme="minorHAnsi" w:hAnsiTheme="minorHAnsi" w:cstheme="minorHAnsi"/>
          <w:color w:val="auto"/>
          <w:highlight w:val="yellow"/>
        </w:rPr>
        <w:lastRenderedPageBreak/>
        <w:t>2.</w:t>
      </w:r>
      <w:r w:rsidR="0076380D">
        <w:rPr>
          <w:rFonts w:asciiTheme="minorHAnsi" w:hAnsiTheme="minorHAnsi" w:cstheme="minorHAnsi"/>
          <w:color w:val="auto"/>
          <w:highlight w:val="yellow"/>
        </w:rPr>
        <w:t>6</w:t>
      </w:r>
      <w:r w:rsidRPr="00C57742">
        <w:rPr>
          <w:rFonts w:asciiTheme="minorHAnsi" w:hAnsiTheme="minorHAnsi" w:cstheme="minorHAnsi"/>
          <w:color w:val="auto"/>
          <w:highlight w:val="yellow"/>
        </w:rPr>
        <w:t xml:space="preserve"> Wrap the patient’s head using standard head bandaging technique.</w:t>
      </w:r>
    </w:p>
    <w:p w14:paraId="047E9FE2" w14:textId="77777777" w:rsidR="00636E88" w:rsidRPr="00D137AB" w:rsidRDefault="00636E88" w:rsidP="001B1519">
      <w:pPr>
        <w:rPr>
          <w:rFonts w:asciiTheme="minorHAnsi" w:hAnsiTheme="minorHAnsi" w:cstheme="minorHAnsi"/>
          <w:color w:val="auto"/>
        </w:rPr>
      </w:pPr>
    </w:p>
    <w:p w14:paraId="496AB0B4" w14:textId="77777777" w:rsidR="001C1E49" w:rsidRPr="00D137AB" w:rsidRDefault="001C1E49" w:rsidP="001B1519">
      <w:pPr>
        <w:pStyle w:val="NormalWeb"/>
        <w:spacing w:before="0" w:beforeAutospacing="0" w:after="0" w:afterAutospacing="0"/>
        <w:rPr>
          <w:rFonts w:asciiTheme="minorHAnsi" w:hAnsiTheme="minorHAnsi" w:cstheme="minorHAnsi"/>
          <w:b/>
          <w:color w:val="auto"/>
        </w:rPr>
      </w:pPr>
    </w:p>
    <w:p w14:paraId="3E79FCA8" w14:textId="75A78DA6" w:rsidR="006305D7" w:rsidRPr="00D137AB" w:rsidRDefault="006305D7" w:rsidP="00B613AE">
      <w:pPr>
        <w:pStyle w:val="NormalWeb"/>
        <w:spacing w:before="0" w:beforeAutospacing="0" w:after="0" w:afterAutospacing="0"/>
        <w:outlineLvl w:val="0"/>
        <w:rPr>
          <w:rFonts w:asciiTheme="minorHAnsi" w:hAnsiTheme="minorHAnsi" w:cstheme="minorHAnsi"/>
          <w:color w:val="auto"/>
        </w:rPr>
      </w:pPr>
      <w:r w:rsidRPr="00D137AB">
        <w:rPr>
          <w:rFonts w:asciiTheme="minorHAnsi" w:hAnsiTheme="minorHAnsi" w:cstheme="minorHAnsi"/>
          <w:b/>
          <w:color w:val="auto"/>
        </w:rPr>
        <w:t>REPRESENTATIVE RESULTS</w:t>
      </w:r>
      <w:r w:rsidR="00EF1462" w:rsidRPr="00D137AB">
        <w:rPr>
          <w:rFonts w:asciiTheme="minorHAnsi" w:hAnsiTheme="minorHAnsi" w:cstheme="minorHAnsi"/>
          <w:b/>
          <w:color w:val="auto"/>
        </w:rPr>
        <w:t>:</w:t>
      </w:r>
    </w:p>
    <w:p w14:paraId="2D3F820A" w14:textId="55D2CB53" w:rsidR="007A4DD6" w:rsidRPr="00D137AB" w:rsidRDefault="00494EFA" w:rsidP="007A4DD6">
      <w:pPr>
        <w:rPr>
          <w:rFonts w:asciiTheme="minorHAnsi" w:hAnsiTheme="minorHAnsi" w:cstheme="minorHAnsi"/>
          <w:color w:val="auto"/>
        </w:rPr>
      </w:pPr>
      <w:r w:rsidRPr="00D137AB">
        <w:rPr>
          <w:rFonts w:asciiTheme="minorHAnsi" w:hAnsiTheme="minorHAnsi" w:cstheme="minorHAnsi"/>
          <w:color w:val="auto"/>
        </w:rPr>
        <w:t>The absolute indicator of success following use of the SEEG methodology is seizure freedom for the patient, which ultimately follows</w:t>
      </w:r>
      <w:r w:rsidR="001A5DDD" w:rsidRPr="00D137AB">
        <w:rPr>
          <w:rFonts w:asciiTheme="minorHAnsi" w:hAnsiTheme="minorHAnsi" w:cstheme="minorHAnsi"/>
          <w:color w:val="auto"/>
        </w:rPr>
        <w:t xml:space="preserve"> successful electrode implantations, successful electrophysiological recordings, as well as</w:t>
      </w:r>
      <w:r w:rsidRPr="00D137AB">
        <w:rPr>
          <w:rFonts w:asciiTheme="minorHAnsi" w:hAnsiTheme="minorHAnsi" w:cstheme="minorHAnsi"/>
          <w:color w:val="auto"/>
        </w:rPr>
        <w:t xml:space="preserve"> successful resection of the EZ.</w:t>
      </w:r>
      <w:r w:rsidR="001A5DDD" w:rsidRPr="00D137AB">
        <w:rPr>
          <w:rFonts w:asciiTheme="minorHAnsi" w:hAnsiTheme="minorHAnsi" w:cstheme="minorHAnsi"/>
          <w:color w:val="auto"/>
        </w:rPr>
        <w:t xml:space="preserve"> Such a case is shown in </w:t>
      </w:r>
      <w:r w:rsidR="001A5DDD" w:rsidRPr="00C57742">
        <w:rPr>
          <w:rFonts w:asciiTheme="minorHAnsi" w:hAnsiTheme="minorHAnsi" w:cstheme="minorHAnsi"/>
          <w:b/>
          <w:color w:val="auto"/>
        </w:rPr>
        <w:t>Figure 1</w:t>
      </w:r>
      <w:r w:rsidR="001A5DDD" w:rsidRPr="00D137AB">
        <w:rPr>
          <w:rFonts w:asciiTheme="minorHAnsi" w:hAnsiTheme="minorHAnsi" w:cstheme="minorHAnsi"/>
          <w:color w:val="auto"/>
        </w:rPr>
        <w:t>.</w:t>
      </w:r>
      <w:r w:rsidR="00C153B6">
        <w:rPr>
          <w:rFonts w:asciiTheme="minorHAnsi" w:hAnsiTheme="minorHAnsi" w:cstheme="minorHAnsi"/>
          <w:color w:val="auto"/>
        </w:rPr>
        <w:t xml:space="preserve"> Panels A and B of </w:t>
      </w:r>
      <w:r w:rsidR="00C57742">
        <w:rPr>
          <w:rFonts w:asciiTheme="minorHAnsi" w:hAnsiTheme="minorHAnsi" w:cstheme="minorHAnsi"/>
          <w:b/>
          <w:color w:val="auto"/>
        </w:rPr>
        <w:t>F</w:t>
      </w:r>
      <w:r w:rsidR="00C153B6" w:rsidRPr="00C57742">
        <w:rPr>
          <w:rFonts w:asciiTheme="minorHAnsi" w:hAnsiTheme="minorHAnsi" w:cstheme="minorHAnsi"/>
          <w:b/>
          <w:color w:val="auto"/>
        </w:rPr>
        <w:t>igure 1</w:t>
      </w:r>
      <w:r w:rsidR="00C153B6">
        <w:rPr>
          <w:rFonts w:asciiTheme="minorHAnsi" w:hAnsiTheme="minorHAnsi" w:cstheme="minorHAnsi"/>
          <w:color w:val="auto"/>
        </w:rPr>
        <w:t xml:space="preserve"> show two tests (single positron emission computed tomography (SPECT) and </w:t>
      </w:r>
      <w:proofErr w:type="spellStart"/>
      <w:r w:rsidR="00C153B6">
        <w:rPr>
          <w:rFonts w:asciiTheme="minorHAnsi" w:hAnsiTheme="minorHAnsi" w:cstheme="minorHAnsi"/>
          <w:color w:val="auto"/>
        </w:rPr>
        <w:t>magnetoelectroencephalography</w:t>
      </w:r>
      <w:proofErr w:type="spellEnd"/>
      <w:r w:rsidR="00C153B6">
        <w:rPr>
          <w:rFonts w:asciiTheme="minorHAnsi" w:hAnsiTheme="minorHAnsi" w:cstheme="minorHAnsi"/>
          <w:color w:val="auto"/>
        </w:rPr>
        <w:t xml:space="preserve"> (MEG), respectively) that help in the creation of the AEC hypothesis.</w:t>
      </w:r>
      <w:r w:rsidR="001A5DDD" w:rsidRPr="00D137AB">
        <w:rPr>
          <w:rFonts w:asciiTheme="minorHAnsi" w:hAnsiTheme="minorHAnsi" w:cstheme="minorHAnsi"/>
          <w:color w:val="auto"/>
        </w:rPr>
        <w:t xml:space="preserve"> However, discussion of the identification of the EZ and the completion of the subsequent</w:t>
      </w:r>
      <w:r w:rsidRPr="00D137AB">
        <w:rPr>
          <w:rFonts w:asciiTheme="minorHAnsi" w:hAnsiTheme="minorHAnsi" w:cstheme="minorHAnsi"/>
          <w:color w:val="auto"/>
        </w:rPr>
        <w:t xml:space="preserve"> resection is outside the scope of</w:t>
      </w:r>
      <w:r w:rsidR="001A5DDD" w:rsidRPr="00D137AB">
        <w:rPr>
          <w:rFonts w:asciiTheme="minorHAnsi" w:hAnsiTheme="minorHAnsi" w:cstheme="minorHAnsi"/>
          <w:color w:val="auto"/>
        </w:rPr>
        <w:t xml:space="preserve"> this article. </w:t>
      </w:r>
      <w:r w:rsidR="008728B9">
        <w:rPr>
          <w:rFonts w:asciiTheme="minorHAnsi" w:hAnsiTheme="minorHAnsi" w:cstheme="minorHAnsi"/>
          <w:color w:val="auto"/>
        </w:rPr>
        <w:t xml:space="preserve">However, when SEEG evaluation demonstrates that a patient is a poor surgical candidate for any number of reasons (AEC overlaps with eloquent cortex, multifocal </w:t>
      </w:r>
      <w:proofErr w:type="spellStart"/>
      <w:r w:rsidR="008728B9">
        <w:rPr>
          <w:rFonts w:asciiTheme="minorHAnsi" w:hAnsiTheme="minorHAnsi" w:cstheme="minorHAnsi"/>
          <w:color w:val="auto"/>
        </w:rPr>
        <w:t>epiliptogenicity</w:t>
      </w:r>
      <w:proofErr w:type="spellEnd"/>
      <w:r w:rsidR="008728B9">
        <w:rPr>
          <w:rFonts w:asciiTheme="minorHAnsi" w:hAnsiTheme="minorHAnsi" w:cstheme="minorHAnsi"/>
          <w:color w:val="auto"/>
        </w:rPr>
        <w:t xml:space="preserve">, etc.) helping a patient to avoid surgery may certainly be classified as a successful study. </w:t>
      </w:r>
      <w:r w:rsidR="001A5DDD" w:rsidRPr="00D137AB">
        <w:rPr>
          <w:rFonts w:asciiTheme="minorHAnsi" w:hAnsiTheme="minorHAnsi" w:cstheme="minorHAnsi"/>
          <w:color w:val="auto"/>
        </w:rPr>
        <w:t>Here the</w:t>
      </w:r>
      <w:r w:rsidRPr="00D137AB">
        <w:rPr>
          <w:rFonts w:asciiTheme="minorHAnsi" w:hAnsiTheme="minorHAnsi" w:cstheme="minorHAnsi"/>
          <w:color w:val="auto"/>
        </w:rPr>
        <w:t xml:space="preserve"> focus </w:t>
      </w:r>
      <w:r w:rsidR="001A5DDD" w:rsidRPr="00D137AB">
        <w:rPr>
          <w:rFonts w:asciiTheme="minorHAnsi" w:hAnsiTheme="minorHAnsi" w:cstheme="minorHAnsi"/>
          <w:color w:val="auto"/>
        </w:rPr>
        <w:t xml:space="preserve">is instead </w:t>
      </w:r>
      <w:r w:rsidRPr="00D137AB">
        <w:rPr>
          <w:rFonts w:asciiTheme="minorHAnsi" w:hAnsiTheme="minorHAnsi" w:cstheme="minorHAnsi"/>
          <w:color w:val="auto"/>
        </w:rPr>
        <w:t xml:space="preserve">on the successful anatomical placement of the electrodes </w:t>
      </w:r>
      <w:r w:rsidR="001A5DDD" w:rsidRPr="00D137AB">
        <w:rPr>
          <w:rFonts w:asciiTheme="minorHAnsi" w:hAnsiTheme="minorHAnsi" w:cstheme="minorHAnsi"/>
          <w:color w:val="auto"/>
        </w:rPr>
        <w:t>and</w:t>
      </w:r>
      <w:r w:rsidRPr="00D137AB">
        <w:rPr>
          <w:rFonts w:asciiTheme="minorHAnsi" w:hAnsiTheme="minorHAnsi" w:cstheme="minorHAnsi"/>
          <w:color w:val="auto"/>
        </w:rPr>
        <w:t xml:space="preserve"> the absence of complications as the indicator for success</w:t>
      </w:r>
      <w:r w:rsidR="001A5DDD" w:rsidRPr="00D137AB">
        <w:rPr>
          <w:rFonts w:asciiTheme="minorHAnsi" w:hAnsiTheme="minorHAnsi" w:cstheme="minorHAnsi"/>
          <w:color w:val="auto"/>
        </w:rPr>
        <w:t xml:space="preserve"> using</w:t>
      </w:r>
      <w:r w:rsidRPr="00D137AB">
        <w:rPr>
          <w:rFonts w:asciiTheme="minorHAnsi" w:hAnsiTheme="minorHAnsi" w:cstheme="minorHAnsi"/>
          <w:color w:val="auto"/>
        </w:rPr>
        <w:t xml:space="preserve"> this methodology.</w:t>
      </w:r>
      <w:r w:rsidR="00C153B6">
        <w:rPr>
          <w:rFonts w:asciiTheme="minorHAnsi" w:hAnsiTheme="minorHAnsi" w:cstheme="minorHAnsi"/>
          <w:color w:val="auto"/>
        </w:rPr>
        <w:t xml:space="preserve"> </w:t>
      </w:r>
      <w:r w:rsidR="00185C78">
        <w:rPr>
          <w:rFonts w:asciiTheme="minorHAnsi" w:hAnsiTheme="minorHAnsi" w:cstheme="minorHAnsi"/>
          <w:color w:val="auto"/>
        </w:rPr>
        <w:t xml:space="preserve">As such, </w:t>
      </w:r>
      <w:r w:rsidR="00C153B6" w:rsidRPr="00C57742">
        <w:rPr>
          <w:rFonts w:asciiTheme="minorHAnsi" w:hAnsiTheme="minorHAnsi" w:cstheme="minorHAnsi"/>
          <w:b/>
          <w:color w:val="auto"/>
        </w:rPr>
        <w:t>Figure 1C</w:t>
      </w:r>
      <w:r w:rsidR="00C153B6">
        <w:rPr>
          <w:rFonts w:asciiTheme="minorHAnsi" w:hAnsiTheme="minorHAnsi" w:cstheme="minorHAnsi"/>
          <w:color w:val="auto"/>
        </w:rPr>
        <w:t xml:space="preserve"> demonstrates the positioning of an electrode in the frontal </w:t>
      </w:r>
      <w:proofErr w:type="spellStart"/>
      <w:r w:rsidR="00C153B6">
        <w:rPr>
          <w:rFonts w:asciiTheme="minorHAnsi" w:hAnsiTheme="minorHAnsi" w:cstheme="minorHAnsi"/>
          <w:color w:val="auto"/>
        </w:rPr>
        <w:t>opercular</w:t>
      </w:r>
      <w:proofErr w:type="spellEnd"/>
      <w:r w:rsidR="00C153B6">
        <w:rPr>
          <w:rFonts w:asciiTheme="minorHAnsi" w:hAnsiTheme="minorHAnsi" w:cstheme="minorHAnsi"/>
          <w:color w:val="auto"/>
        </w:rPr>
        <w:t xml:space="preserve"> and dorsal insular area.</w:t>
      </w:r>
      <w:r w:rsidR="00185C78">
        <w:rPr>
          <w:rFonts w:asciiTheme="minorHAnsi" w:hAnsiTheme="minorHAnsi" w:cstheme="minorHAnsi"/>
          <w:color w:val="auto"/>
        </w:rPr>
        <w:t xml:space="preserve"> </w:t>
      </w:r>
      <w:r w:rsidR="00185C78" w:rsidRPr="00C57742">
        <w:rPr>
          <w:rFonts w:asciiTheme="minorHAnsi" w:hAnsiTheme="minorHAnsi" w:cstheme="minorHAnsi"/>
          <w:b/>
          <w:color w:val="auto"/>
        </w:rPr>
        <w:t>Figure 1D</w:t>
      </w:r>
      <w:r w:rsidR="00185C78">
        <w:rPr>
          <w:rFonts w:asciiTheme="minorHAnsi" w:hAnsiTheme="minorHAnsi" w:cstheme="minorHAnsi"/>
          <w:color w:val="auto"/>
        </w:rPr>
        <w:t xml:space="preserve"> shows the resection of the right operculum and insula in a post-operative T1 MRI image.</w:t>
      </w:r>
    </w:p>
    <w:p w14:paraId="33A58F01" w14:textId="77777777" w:rsidR="001A5DDD" w:rsidRPr="00D137AB" w:rsidRDefault="001A5DDD" w:rsidP="007A4DD6">
      <w:pPr>
        <w:rPr>
          <w:rFonts w:asciiTheme="minorHAnsi" w:hAnsiTheme="minorHAnsi" w:cstheme="minorHAnsi"/>
          <w:color w:val="auto"/>
        </w:rPr>
      </w:pPr>
    </w:p>
    <w:p w14:paraId="674988EC" w14:textId="5EB8476B" w:rsidR="001A5DDD" w:rsidRPr="00D137AB" w:rsidRDefault="001A5DDD" w:rsidP="007A4DD6">
      <w:pPr>
        <w:rPr>
          <w:rFonts w:asciiTheme="minorHAnsi" w:hAnsiTheme="minorHAnsi" w:cstheme="minorHAnsi"/>
          <w:color w:val="auto"/>
        </w:rPr>
      </w:pPr>
      <w:r w:rsidRPr="00C57742">
        <w:rPr>
          <w:rFonts w:asciiTheme="minorHAnsi" w:hAnsiTheme="minorHAnsi" w:cstheme="minorHAnsi"/>
          <w:b/>
          <w:color w:val="auto"/>
        </w:rPr>
        <w:t>Figure 2</w:t>
      </w:r>
      <w:r w:rsidRPr="00D137AB">
        <w:rPr>
          <w:rFonts w:asciiTheme="minorHAnsi" w:hAnsiTheme="minorHAnsi" w:cstheme="minorHAnsi"/>
          <w:color w:val="auto"/>
        </w:rPr>
        <w:t xml:space="preserve"> demonstrates the appropriate OR setup, successful bolt placement, and successful electrode implantation</w:t>
      </w:r>
      <w:r w:rsidR="003E53AF" w:rsidRPr="00D137AB">
        <w:rPr>
          <w:rFonts w:asciiTheme="minorHAnsi" w:hAnsiTheme="minorHAnsi" w:cstheme="minorHAnsi"/>
          <w:color w:val="auto"/>
        </w:rPr>
        <w:t xml:space="preserve"> for the SEEG methodology. In a study of 200 patients who underwent a total of 2,663 SEEG electrode implantations at our center only 5 patients experienced complications. The rates of wound infection, hemorrhagic complications, and transient neurological deficit were 0.08%/electrode, 0.08%/electrode, and 0.04%/electrode for a total morbidity rate of 2.5%</w:t>
      </w:r>
      <w:r w:rsidR="00C178EC">
        <w:rPr>
          <w:rFonts w:asciiTheme="minorHAnsi" w:hAnsiTheme="minorHAnsi" w:cstheme="minorHAnsi"/>
          <w:color w:val="auto"/>
        </w:rPr>
        <w:t>/patient</w:t>
      </w:r>
      <w:r w:rsidR="003E53AF" w:rsidRPr="00D137AB">
        <w:rPr>
          <w:rFonts w:asciiTheme="minorHAnsi" w:hAnsiTheme="minorHAnsi" w:cstheme="minorHAnsi"/>
          <w:color w:val="auto"/>
        </w:rPr>
        <w:t xml:space="preserve"> and a mortality rate of 0%</w:t>
      </w:r>
      <w:r w:rsidR="00C178EC">
        <w:rPr>
          <w:rFonts w:asciiTheme="minorHAnsi" w:hAnsiTheme="minorHAnsi" w:cstheme="minorHAnsi"/>
          <w:color w:val="auto"/>
        </w:rPr>
        <w:t>/patient</w:t>
      </w:r>
      <w:r w:rsidR="003E53AF" w:rsidRPr="00D137AB">
        <w:rPr>
          <w:rFonts w:asciiTheme="minorHAnsi" w:hAnsiTheme="minorHAnsi" w:cstheme="minorHAnsi"/>
          <w:color w:val="auto"/>
        </w:rPr>
        <w:t>.</w:t>
      </w:r>
    </w:p>
    <w:p w14:paraId="7F5815FC" w14:textId="3133E33C" w:rsidR="004A71E4" w:rsidRPr="00D137AB" w:rsidRDefault="004A71E4" w:rsidP="001B1519">
      <w:pPr>
        <w:rPr>
          <w:rFonts w:asciiTheme="minorHAnsi" w:hAnsiTheme="minorHAnsi" w:cstheme="minorHAnsi"/>
          <w:color w:val="auto"/>
        </w:rPr>
      </w:pPr>
    </w:p>
    <w:p w14:paraId="3C9083F6" w14:textId="64808EAE" w:rsidR="00B32616" w:rsidRPr="00D137AB" w:rsidRDefault="00B32616" w:rsidP="00B613AE">
      <w:pPr>
        <w:outlineLvl w:val="0"/>
        <w:rPr>
          <w:rFonts w:asciiTheme="minorHAnsi" w:hAnsiTheme="minorHAnsi" w:cstheme="minorHAnsi"/>
          <w:bCs/>
          <w:color w:val="auto"/>
        </w:rPr>
      </w:pPr>
      <w:r w:rsidRPr="00D137AB">
        <w:rPr>
          <w:rFonts w:asciiTheme="minorHAnsi" w:hAnsiTheme="minorHAnsi" w:cstheme="minorHAnsi"/>
          <w:b/>
          <w:color w:val="auto"/>
        </w:rPr>
        <w:t xml:space="preserve">FIGURE </w:t>
      </w:r>
      <w:r w:rsidR="0013621E" w:rsidRPr="00D137AB">
        <w:rPr>
          <w:rFonts w:asciiTheme="minorHAnsi" w:hAnsiTheme="minorHAnsi" w:cstheme="minorHAnsi"/>
          <w:b/>
          <w:color w:val="auto"/>
        </w:rPr>
        <w:t xml:space="preserve">AND TABLE </w:t>
      </w:r>
      <w:r w:rsidRPr="00D137AB">
        <w:rPr>
          <w:rFonts w:asciiTheme="minorHAnsi" w:hAnsiTheme="minorHAnsi" w:cstheme="minorHAnsi"/>
          <w:b/>
          <w:color w:val="auto"/>
        </w:rPr>
        <w:t>LEGENDS:</w:t>
      </w:r>
    </w:p>
    <w:p w14:paraId="069257D4" w14:textId="12CF0BB1" w:rsidR="007A4DD6" w:rsidRPr="00C57742" w:rsidRDefault="00FD727B" w:rsidP="007A4DD6">
      <w:pPr>
        <w:rPr>
          <w:rFonts w:asciiTheme="minorHAnsi" w:hAnsiTheme="minorHAnsi" w:cstheme="minorHAnsi"/>
          <w:b/>
          <w:color w:val="auto"/>
        </w:rPr>
      </w:pPr>
      <w:r w:rsidRPr="00C57742">
        <w:rPr>
          <w:rFonts w:asciiTheme="minorHAnsi" w:hAnsiTheme="minorHAnsi" w:cstheme="minorHAnsi"/>
          <w:b/>
          <w:color w:val="auto"/>
        </w:rPr>
        <w:t>Table</w:t>
      </w:r>
      <w:r w:rsidRPr="00D137AB">
        <w:rPr>
          <w:rFonts w:asciiTheme="minorHAnsi" w:hAnsiTheme="minorHAnsi" w:cstheme="minorHAnsi"/>
          <w:color w:val="auto"/>
        </w:rPr>
        <w:t xml:space="preserve"> </w:t>
      </w:r>
      <w:r w:rsidRPr="00C57742">
        <w:rPr>
          <w:rFonts w:asciiTheme="minorHAnsi" w:hAnsiTheme="minorHAnsi" w:cstheme="minorHAnsi"/>
          <w:b/>
          <w:color w:val="auto"/>
        </w:rPr>
        <w:t xml:space="preserve">1. </w:t>
      </w:r>
      <w:proofErr w:type="gramStart"/>
      <w:r w:rsidRPr="00C57742">
        <w:rPr>
          <w:rFonts w:asciiTheme="minorHAnsi" w:hAnsiTheme="minorHAnsi" w:cstheme="minorHAnsi"/>
          <w:b/>
          <w:color w:val="auto"/>
        </w:rPr>
        <w:t>Selection criteria for S</w:t>
      </w:r>
      <w:r w:rsidR="002F5EE3" w:rsidRPr="00C57742">
        <w:rPr>
          <w:rFonts w:asciiTheme="minorHAnsi" w:hAnsiTheme="minorHAnsi" w:cstheme="minorHAnsi"/>
          <w:b/>
          <w:color w:val="auto"/>
        </w:rPr>
        <w:t>D</w:t>
      </w:r>
      <w:r w:rsidRPr="00C57742">
        <w:rPr>
          <w:rFonts w:asciiTheme="minorHAnsi" w:hAnsiTheme="minorHAnsi" w:cstheme="minorHAnsi"/>
          <w:b/>
          <w:color w:val="auto"/>
        </w:rPr>
        <w:t>G (with or without depth electrodes) vs. SEEG for invasive monitoring of patients with medically refractory focal epilepsy.</w:t>
      </w:r>
      <w:proofErr w:type="gramEnd"/>
    </w:p>
    <w:p w14:paraId="667117D6" w14:textId="77777777" w:rsidR="0035291A" w:rsidRPr="00C57742" w:rsidRDefault="0035291A" w:rsidP="007A4DD6">
      <w:pPr>
        <w:rPr>
          <w:rFonts w:asciiTheme="minorHAnsi" w:hAnsiTheme="minorHAnsi" w:cstheme="minorHAnsi"/>
          <w:b/>
          <w:color w:val="auto"/>
        </w:rPr>
      </w:pPr>
    </w:p>
    <w:p w14:paraId="16C27DB6" w14:textId="77777777" w:rsidR="00C57742" w:rsidRDefault="0035291A" w:rsidP="007A4DD6">
      <w:pPr>
        <w:rPr>
          <w:color w:val="auto"/>
        </w:rPr>
      </w:pPr>
      <w:r w:rsidRPr="00C57742">
        <w:rPr>
          <w:rFonts w:asciiTheme="minorHAnsi" w:hAnsiTheme="minorHAnsi" w:cstheme="minorHAnsi"/>
          <w:b/>
          <w:color w:val="auto"/>
        </w:rPr>
        <w:t xml:space="preserve">Figure 1. </w:t>
      </w:r>
      <w:proofErr w:type="gramStart"/>
      <w:r w:rsidR="002C7AF9" w:rsidRPr="00C57742">
        <w:rPr>
          <w:b/>
          <w:color w:val="auto"/>
        </w:rPr>
        <w:t>Components of the STEREO-ELECTRO-ENCEPHALOGRAPHY methodology.</w:t>
      </w:r>
      <w:proofErr w:type="gramEnd"/>
      <w:r w:rsidR="002C7AF9" w:rsidRPr="002C7AF9">
        <w:rPr>
          <w:color w:val="auto"/>
        </w:rPr>
        <w:t xml:space="preserve"> Panels A and B are showing non-invasive pre-implantation localization </w:t>
      </w:r>
      <w:proofErr w:type="spellStart"/>
      <w:r w:rsidR="002C7AF9" w:rsidRPr="002C7AF9">
        <w:rPr>
          <w:color w:val="auto"/>
        </w:rPr>
        <w:t>testings</w:t>
      </w:r>
      <w:proofErr w:type="spellEnd"/>
      <w:r w:rsidR="002C7AF9" w:rsidRPr="002C7AF9">
        <w:rPr>
          <w:color w:val="auto"/>
        </w:rPr>
        <w:t xml:space="preserve"> (as ictal SPECT - </w:t>
      </w:r>
      <w:r w:rsidR="002C7AF9" w:rsidRPr="00C57742">
        <w:rPr>
          <w:b/>
          <w:color w:val="auto"/>
        </w:rPr>
        <w:t>A</w:t>
      </w:r>
      <w:r w:rsidR="002C7AF9" w:rsidRPr="002C7AF9">
        <w:rPr>
          <w:color w:val="auto"/>
        </w:rPr>
        <w:t xml:space="preserve">, and MEG scan - </w:t>
      </w:r>
      <w:r w:rsidR="002C7AF9" w:rsidRPr="00C57742">
        <w:rPr>
          <w:b/>
          <w:color w:val="auto"/>
        </w:rPr>
        <w:t>B</w:t>
      </w:r>
      <w:r w:rsidR="002C7AF9" w:rsidRPr="002C7AF9">
        <w:rPr>
          <w:color w:val="auto"/>
        </w:rPr>
        <w:t xml:space="preserve">) demonstrating potential </w:t>
      </w:r>
      <w:proofErr w:type="spellStart"/>
      <w:r w:rsidR="002C7AF9" w:rsidRPr="002C7AF9">
        <w:rPr>
          <w:color w:val="auto"/>
        </w:rPr>
        <w:t>epileptogenicity</w:t>
      </w:r>
      <w:proofErr w:type="spellEnd"/>
      <w:r w:rsidR="002C7AF9" w:rsidRPr="002C7AF9">
        <w:rPr>
          <w:color w:val="auto"/>
        </w:rPr>
        <w:t xml:space="preserve"> located in the right </w:t>
      </w:r>
      <w:proofErr w:type="spellStart"/>
      <w:r w:rsidR="002C7AF9" w:rsidRPr="002C7AF9">
        <w:rPr>
          <w:color w:val="auto"/>
        </w:rPr>
        <w:t>opercular</w:t>
      </w:r>
      <w:proofErr w:type="spellEnd"/>
      <w:r w:rsidR="002C7AF9" w:rsidRPr="002C7AF9">
        <w:rPr>
          <w:color w:val="auto"/>
        </w:rPr>
        <w:t xml:space="preserve">-insular areas. Panel </w:t>
      </w:r>
      <w:r w:rsidR="002C7AF9" w:rsidRPr="00C57742">
        <w:rPr>
          <w:b/>
          <w:color w:val="auto"/>
        </w:rPr>
        <w:t>C</w:t>
      </w:r>
      <w:r w:rsidR="002C7AF9" w:rsidRPr="002C7AF9">
        <w:rPr>
          <w:color w:val="auto"/>
        </w:rPr>
        <w:t xml:space="preserve"> depicts the location of the R electrode, in the frontal </w:t>
      </w:r>
      <w:proofErr w:type="spellStart"/>
      <w:r w:rsidR="002C7AF9" w:rsidRPr="002C7AF9">
        <w:rPr>
          <w:color w:val="auto"/>
        </w:rPr>
        <w:t>opercular</w:t>
      </w:r>
      <w:proofErr w:type="spellEnd"/>
      <w:r w:rsidR="002C7AF9" w:rsidRPr="002C7AF9">
        <w:rPr>
          <w:color w:val="auto"/>
        </w:rPr>
        <w:t xml:space="preserve"> and dorsal insular area, from which epileptic activity was demonstrated by local field potentials. Panel </w:t>
      </w:r>
      <w:r w:rsidR="002C7AF9" w:rsidRPr="00C57742">
        <w:rPr>
          <w:b/>
          <w:color w:val="auto"/>
        </w:rPr>
        <w:t>D</w:t>
      </w:r>
      <w:r w:rsidR="002C7AF9" w:rsidRPr="002C7AF9">
        <w:rPr>
          <w:color w:val="auto"/>
        </w:rPr>
        <w:t xml:space="preserve"> depicts post-operative T1 MRI image (sagittal view), demonstrating right </w:t>
      </w:r>
      <w:proofErr w:type="spellStart"/>
      <w:r w:rsidR="002C7AF9" w:rsidRPr="002C7AF9">
        <w:rPr>
          <w:color w:val="auto"/>
        </w:rPr>
        <w:t>opercular</w:t>
      </w:r>
      <w:proofErr w:type="spellEnd"/>
      <w:r w:rsidR="002C7AF9" w:rsidRPr="002C7AF9">
        <w:rPr>
          <w:color w:val="auto"/>
        </w:rPr>
        <w:t xml:space="preserve"> and insula resection. </w:t>
      </w:r>
    </w:p>
    <w:p w14:paraId="0BEE8962" w14:textId="77777777" w:rsidR="0035291A" w:rsidRPr="00C57742" w:rsidRDefault="0035291A" w:rsidP="007A4DD6">
      <w:pPr>
        <w:rPr>
          <w:b/>
          <w:color w:val="auto"/>
        </w:rPr>
      </w:pPr>
    </w:p>
    <w:p w14:paraId="167FF8E4" w14:textId="78646564" w:rsidR="0035291A" w:rsidRPr="00D137AB" w:rsidRDefault="0035291A" w:rsidP="007A4DD6">
      <w:pPr>
        <w:rPr>
          <w:rFonts w:asciiTheme="minorHAnsi" w:hAnsiTheme="minorHAnsi" w:cstheme="minorHAnsi"/>
          <w:color w:val="auto"/>
        </w:rPr>
      </w:pPr>
      <w:r w:rsidRPr="00C57742">
        <w:rPr>
          <w:b/>
          <w:color w:val="auto"/>
        </w:rPr>
        <w:t xml:space="preserve">Figure 2. </w:t>
      </w:r>
      <w:proofErr w:type="gramStart"/>
      <w:r w:rsidR="002C7AF9" w:rsidRPr="00C57742">
        <w:rPr>
          <w:b/>
          <w:color w:val="auto"/>
        </w:rPr>
        <w:t>STEREO-ELECTRO-ENCEPHALOGRAPHY robotic method.</w:t>
      </w:r>
      <w:proofErr w:type="gramEnd"/>
      <w:r w:rsidR="002C7AF9" w:rsidRPr="002C7AF9">
        <w:rPr>
          <w:color w:val="auto"/>
        </w:rPr>
        <w:t xml:space="preserve"> The figure represents an intra-operative digital picture of the robotic technique, during the drilling phase. The robotic arm precisely guides the drilling step, allowing (after opening the dura and the position of the guiding bolt) the final implantation of the depth electrode. The robotic arm is equipped with a 2.55 mm adapter, which allows precise alignment of the 2.5 mm drill bit.</w:t>
      </w:r>
    </w:p>
    <w:p w14:paraId="75182EC3" w14:textId="77777777" w:rsidR="00B32616" w:rsidRPr="00D137AB" w:rsidRDefault="00B32616" w:rsidP="001B1519">
      <w:pPr>
        <w:rPr>
          <w:rFonts w:asciiTheme="minorHAnsi" w:hAnsiTheme="minorHAnsi" w:cstheme="minorHAnsi"/>
          <w:color w:val="auto"/>
        </w:rPr>
      </w:pPr>
    </w:p>
    <w:p w14:paraId="64B8CF78" w14:textId="0CCC8AC3" w:rsidR="006305D7" w:rsidRPr="00D137AB" w:rsidRDefault="006305D7" w:rsidP="00B613AE">
      <w:pPr>
        <w:outlineLvl w:val="0"/>
        <w:rPr>
          <w:rFonts w:asciiTheme="minorHAnsi" w:hAnsiTheme="minorHAnsi" w:cstheme="minorHAnsi"/>
          <w:b/>
          <w:color w:val="auto"/>
        </w:rPr>
      </w:pPr>
      <w:r w:rsidRPr="00D137AB">
        <w:rPr>
          <w:rFonts w:asciiTheme="minorHAnsi" w:hAnsiTheme="minorHAnsi" w:cstheme="minorHAnsi"/>
          <w:b/>
          <w:color w:val="auto"/>
        </w:rPr>
        <w:t>DISCUSSION</w:t>
      </w:r>
      <w:r w:rsidRPr="00D137AB">
        <w:rPr>
          <w:rFonts w:asciiTheme="minorHAnsi" w:hAnsiTheme="minorHAnsi" w:cstheme="minorHAnsi"/>
          <w:b/>
          <w:bCs/>
          <w:color w:val="auto"/>
        </w:rPr>
        <w:t>:</w:t>
      </w:r>
    </w:p>
    <w:p w14:paraId="6A274724" w14:textId="5ADFFAD3" w:rsidR="00DE22AE" w:rsidRPr="00D137AB" w:rsidRDefault="000509E9" w:rsidP="007A4DD6">
      <w:pPr>
        <w:rPr>
          <w:rFonts w:asciiTheme="minorHAnsi" w:hAnsiTheme="minorHAnsi" w:cstheme="minorHAnsi"/>
          <w:color w:val="auto"/>
        </w:rPr>
      </w:pPr>
      <w:r w:rsidRPr="00D137AB">
        <w:rPr>
          <w:rFonts w:asciiTheme="minorHAnsi" w:hAnsiTheme="minorHAnsi" w:cstheme="minorHAnsi"/>
          <w:color w:val="auto"/>
        </w:rPr>
        <w:t xml:space="preserve">Meticulously defining of the AEC hypothesis coupled with particularly detailed attention to the </w:t>
      </w:r>
      <w:r w:rsidRPr="00D137AB">
        <w:rPr>
          <w:rFonts w:asciiTheme="minorHAnsi" w:hAnsiTheme="minorHAnsi" w:cstheme="minorHAnsi"/>
          <w:color w:val="auto"/>
        </w:rPr>
        <w:lastRenderedPageBreak/>
        <w:t xml:space="preserve">design of the implantation strategy is ultimately what will determine the success of the SEEG methodology for each individual patient. </w:t>
      </w:r>
      <w:r w:rsidR="00F627F0" w:rsidRPr="00D137AB">
        <w:rPr>
          <w:rFonts w:asciiTheme="minorHAnsi" w:hAnsiTheme="minorHAnsi" w:cstheme="minorHAnsi"/>
          <w:color w:val="auto"/>
        </w:rPr>
        <w:t xml:space="preserve">As such, careful </w:t>
      </w:r>
      <w:r w:rsidR="00610674">
        <w:rPr>
          <w:rFonts w:asciiTheme="minorHAnsi" w:hAnsiTheme="minorHAnsi" w:cstheme="minorHAnsi"/>
          <w:color w:val="auto"/>
        </w:rPr>
        <w:t xml:space="preserve">pre-surgical </w:t>
      </w:r>
      <w:r w:rsidR="00F627F0" w:rsidRPr="00D137AB">
        <w:rPr>
          <w:rFonts w:asciiTheme="minorHAnsi" w:hAnsiTheme="minorHAnsi" w:cstheme="minorHAnsi"/>
          <w:color w:val="auto"/>
        </w:rPr>
        <w:t xml:space="preserve">planning of the procedure is critical and makes for a relatively simple, low-risk surgery. </w:t>
      </w:r>
      <w:r w:rsidR="009F465C" w:rsidRPr="00D137AB">
        <w:rPr>
          <w:rFonts w:asciiTheme="minorHAnsi" w:hAnsiTheme="minorHAnsi" w:cstheme="minorHAnsi"/>
          <w:color w:val="auto"/>
        </w:rPr>
        <w:t xml:space="preserve">Generally it is best to orient the trajectories orthogonally to the sagittal midline, thereby facilitating an easier </w:t>
      </w:r>
      <w:proofErr w:type="spellStart"/>
      <w:r w:rsidR="009F465C" w:rsidRPr="00D137AB">
        <w:rPr>
          <w:rFonts w:asciiTheme="minorHAnsi" w:hAnsiTheme="minorHAnsi" w:cstheme="minorHAnsi"/>
          <w:color w:val="auto"/>
        </w:rPr>
        <w:t>anatomo</w:t>
      </w:r>
      <w:proofErr w:type="spellEnd"/>
      <w:r w:rsidR="009F465C" w:rsidRPr="00D137AB">
        <w:rPr>
          <w:rFonts w:asciiTheme="minorHAnsi" w:hAnsiTheme="minorHAnsi" w:cstheme="minorHAnsi"/>
          <w:color w:val="auto"/>
        </w:rPr>
        <w:t>-electrophysiological correlation in the future</w:t>
      </w:r>
      <w:r w:rsidR="009F465C">
        <w:rPr>
          <w:rFonts w:asciiTheme="minorHAnsi" w:hAnsiTheme="minorHAnsi" w:cstheme="minorHAnsi"/>
          <w:color w:val="auto"/>
        </w:rPr>
        <w:t xml:space="preserve"> and also obtaining higher precision during implantation</w:t>
      </w:r>
      <w:r w:rsidR="009F465C" w:rsidRPr="00D137AB">
        <w:rPr>
          <w:rFonts w:asciiTheme="minorHAnsi" w:hAnsiTheme="minorHAnsi" w:cstheme="minorHAnsi"/>
          <w:color w:val="auto"/>
        </w:rPr>
        <w:t>. However, in some cases oblique trajectories can be used. Specifically, when an oblique trajectory allows for the sampling of multiple targets within the AEC hypothesis, this may be preferable as it will reduce the total number of electrodes that must be implanted for adequate sampling. The implantation strategy should therefore account for the three-dimensional, dynamic, multidirectional spatiotemporal organization of epileptic activity and the pathways it follows.</w:t>
      </w:r>
    </w:p>
    <w:p w14:paraId="3DFB0781" w14:textId="77777777" w:rsidR="00DE22AE" w:rsidRPr="00D137AB" w:rsidRDefault="00DE22AE" w:rsidP="007A4DD6">
      <w:pPr>
        <w:rPr>
          <w:rFonts w:asciiTheme="minorHAnsi" w:hAnsiTheme="minorHAnsi" w:cstheme="minorHAnsi"/>
          <w:color w:val="auto"/>
        </w:rPr>
      </w:pPr>
    </w:p>
    <w:p w14:paraId="328C2835" w14:textId="059AEBEF" w:rsidR="00DE22AE" w:rsidRPr="00D137AB" w:rsidRDefault="00AC0C44" w:rsidP="007A4DD6">
      <w:pPr>
        <w:rPr>
          <w:rFonts w:asciiTheme="minorHAnsi" w:hAnsiTheme="minorHAnsi" w:cstheme="minorHAnsi"/>
          <w:color w:val="auto"/>
        </w:rPr>
      </w:pPr>
      <w:r w:rsidRPr="00D137AB">
        <w:rPr>
          <w:rFonts w:asciiTheme="minorHAnsi" w:hAnsiTheme="minorHAnsi" w:cstheme="minorHAnsi"/>
          <w:color w:val="auto"/>
        </w:rPr>
        <w:t>B</w:t>
      </w:r>
      <w:r w:rsidR="00F627F0" w:rsidRPr="00D137AB">
        <w:rPr>
          <w:rFonts w:asciiTheme="minorHAnsi" w:hAnsiTheme="minorHAnsi" w:cstheme="minorHAnsi"/>
          <w:color w:val="auto"/>
        </w:rPr>
        <w:t>ecause the use of the stereotactic robot is so critical to the entire operative technique outlined herein, it is recommended that a surgeon gain hands-on experience in working with one of these intraoperative robots before using it in the OR. Familiarity with the workings of the hardware and software associated with the stereotactic guidance system will not only improve patient safety, but also increase the speed of the procedure and</w:t>
      </w:r>
      <w:r w:rsidR="00AA58C8">
        <w:rPr>
          <w:rFonts w:asciiTheme="minorHAnsi" w:hAnsiTheme="minorHAnsi" w:cstheme="minorHAnsi"/>
          <w:color w:val="auto"/>
        </w:rPr>
        <w:t xml:space="preserve"> facilitates</w:t>
      </w:r>
      <w:r w:rsidR="00F627F0" w:rsidRPr="00D137AB">
        <w:rPr>
          <w:rFonts w:asciiTheme="minorHAnsi" w:hAnsiTheme="minorHAnsi" w:cstheme="minorHAnsi"/>
          <w:color w:val="auto"/>
        </w:rPr>
        <w:t xml:space="preserve"> a st</w:t>
      </w:r>
      <w:r w:rsidRPr="00D137AB">
        <w:rPr>
          <w:rFonts w:asciiTheme="minorHAnsi" w:hAnsiTheme="minorHAnsi" w:cstheme="minorHAnsi"/>
          <w:color w:val="auto"/>
        </w:rPr>
        <w:t>reamlined operative experience.</w:t>
      </w:r>
      <w:r w:rsidR="00F537B3">
        <w:rPr>
          <w:rFonts w:asciiTheme="minorHAnsi" w:hAnsiTheme="minorHAnsi" w:cstheme="minorHAnsi"/>
          <w:color w:val="auto"/>
        </w:rPr>
        <w:t xml:space="preserve"> Furthermore, as detailed in the protocol, it is important that the surgeon and all assistants change surgical gloves and open a new sterile field following the implantation of all bolts and prior to the implantation of the electrodes. This is done to prevent infection.</w:t>
      </w:r>
    </w:p>
    <w:p w14:paraId="32EF324A" w14:textId="77777777" w:rsidR="00AC0C44" w:rsidRPr="00D137AB" w:rsidRDefault="00AC0C44" w:rsidP="007A4DD6">
      <w:pPr>
        <w:rPr>
          <w:rFonts w:asciiTheme="minorHAnsi" w:hAnsiTheme="minorHAnsi" w:cstheme="minorHAnsi"/>
          <w:color w:val="auto"/>
        </w:rPr>
      </w:pPr>
    </w:p>
    <w:p w14:paraId="2ED1C9B8" w14:textId="5F4C954C" w:rsidR="00AC0C44" w:rsidRPr="00D137AB" w:rsidRDefault="00AC0C44" w:rsidP="007A4DD6">
      <w:pPr>
        <w:rPr>
          <w:rFonts w:asciiTheme="minorHAnsi" w:hAnsiTheme="minorHAnsi" w:cstheme="minorHAnsi"/>
          <w:color w:val="auto"/>
        </w:rPr>
      </w:pPr>
      <w:r w:rsidRPr="00D137AB">
        <w:rPr>
          <w:rFonts w:asciiTheme="minorHAnsi" w:hAnsiTheme="minorHAnsi" w:cstheme="minorHAnsi"/>
          <w:color w:val="auto"/>
        </w:rPr>
        <w:t>A caution to this methodology is the importance of accurately registering the patient to 3D reconstruction of the preoperative MRI. Any variance in the registration, or deviation therefrom, will manifest in decreased implantation accuracy for each electrode. It is therefore crucial that the registration be meticulously checked throughout the implantation procedure to make sure it starts off correct and remains as such. Any concern of an inaccurate implantation should be met with verification of the registration and, if necessary, reregistration.</w:t>
      </w:r>
    </w:p>
    <w:p w14:paraId="27C4E685" w14:textId="77777777" w:rsidR="00DE22AE" w:rsidRPr="00D137AB" w:rsidRDefault="00DE22AE" w:rsidP="007A4DD6">
      <w:pPr>
        <w:rPr>
          <w:rFonts w:asciiTheme="minorHAnsi" w:hAnsiTheme="minorHAnsi" w:cstheme="minorHAnsi"/>
          <w:color w:val="auto"/>
        </w:rPr>
      </w:pPr>
    </w:p>
    <w:p w14:paraId="53E8DE2D" w14:textId="1BC08CE1" w:rsidR="007A4DD6" w:rsidRPr="00092735" w:rsidRDefault="00F627F0" w:rsidP="007A4DD6">
      <w:pPr>
        <w:rPr>
          <w:rFonts w:asciiTheme="minorHAnsi" w:hAnsiTheme="minorHAnsi" w:cstheme="minorHAnsi"/>
          <w:color w:val="auto"/>
          <w:vertAlign w:val="superscript"/>
        </w:rPr>
      </w:pPr>
      <w:r w:rsidRPr="00D137AB">
        <w:rPr>
          <w:rFonts w:asciiTheme="minorHAnsi" w:hAnsiTheme="minorHAnsi" w:cstheme="minorHAnsi"/>
          <w:color w:val="auto"/>
        </w:rPr>
        <w:t>Ultimately, there are many ways of completing the stereotactic implantation of these depth electrodes, but in the experience of the authors, the use of the stereotactic robot provides a much preferable</w:t>
      </w:r>
      <w:r w:rsidR="00CE04B7" w:rsidRPr="00D137AB">
        <w:rPr>
          <w:rFonts w:asciiTheme="minorHAnsi" w:hAnsiTheme="minorHAnsi" w:cstheme="minorHAnsi"/>
          <w:color w:val="auto"/>
        </w:rPr>
        <w:t xml:space="preserve"> (</w:t>
      </w:r>
      <w:r w:rsidR="00610674">
        <w:rPr>
          <w:rFonts w:asciiTheme="minorHAnsi" w:hAnsiTheme="minorHAnsi" w:cstheme="minorHAnsi"/>
          <w:color w:val="auto"/>
        </w:rPr>
        <w:t>efficient and precise</w:t>
      </w:r>
      <w:r w:rsidR="00CE04B7" w:rsidRPr="00D137AB">
        <w:rPr>
          <w:rFonts w:asciiTheme="minorHAnsi" w:hAnsiTheme="minorHAnsi" w:cstheme="minorHAnsi"/>
          <w:color w:val="auto"/>
        </w:rPr>
        <w:t>)</w:t>
      </w:r>
      <w:r w:rsidRPr="00D137AB">
        <w:rPr>
          <w:rFonts w:asciiTheme="minorHAnsi" w:hAnsiTheme="minorHAnsi" w:cstheme="minorHAnsi"/>
          <w:color w:val="auto"/>
        </w:rPr>
        <w:t xml:space="preserve"> operative experience, as well as a </w:t>
      </w:r>
      <w:r w:rsidR="00DE22AE" w:rsidRPr="00D137AB">
        <w:rPr>
          <w:rFonts w:asciiTheme="minorHAnsi" w:hAnsiTheme="minorHAnsi" w:cstheme="minorHAnsi"/>
          <w:color w:val="auto"/>
        </w:rPr>
        <w:t>very low morbidity rate and an extremely low</w:t>
      </w:r>
      <w:r w:rsidRPr="00D137AB">
        <w:rPr>
          <w:rFonts w:asciiTheme="minorHAnsi" w:hAnsiTheme="minorHAnsi" w:cstheme="minorHAnsi"/>
          <w:color w:val="auto"/>
        </w:rPr>
        <w:t xml:space="preserve"> mortality rate.</w:t>
      </w:r>
      <w:r w:rsidR="00B43756">
        <w:rPr>
          <w:rFonts w:asciiTheme="minorHAnsi" w:hAnsiTheme="minorHAnsi" w:cstheme="minorHAnsi"/>
          <w:color w:val="auto"/>
        </w:rPr>
        <w:t xml:space="preserve"> Additionally, a previous study of the implantation accuracy achieved with this protocol has shown high levels of implantation accuracy</w:t>
      </w:r>
      <w:r w:rsidR="00C57742">
        <w:rPr>
          <w:rFonts w:asciiTheme="minorHAnsi" w:hAnsiTheme="minorHAnsi" w:cstheme="minorHAnsi"/>
          <w:color w:val="auto"/>
          <w:vertAlign w:val="superscript"/>
        </w:rPr>
        <w:t>10</w:t>
      </w:r>
      <w:r w:rsidR="00B43756">
        <w:rPr>
          <w:rFonts w:asciiTheme="minorHAnsi" w:hAnsiTheme="minorHAnsi" w:cstheme="minorHAnsi"/>
          <w:color w:val="auto"/>
        </w:rPr>
        <w:t>.</w:t>
      </w:r>
      <w:r w:rsidR="00DE22AE" w:rsidRPr="00D137AB">
        <w:rPr>
          <w:rFonts w:asciiTheme="minorHAnsi" w:hAnsiTheme="minorHAnsi" w:cstheme="minorHAnsi"/>
          <w:color w:val="auto"/>
        </w:rPr>
        <w:t xml:space="preserve"> T</w:t>
      </w:r>
      <w:r w:rsidR="00CE04B7" w:rsidRPr="00D137AB">
        <w:rPr>
          <w:rFonts w:asciiTheme="minorHAnsi" w:hAnsiTheme="minorHAnsi" w:cstheme="minorHAnsi"/>
          <w:color w:val="auto"/>
        </w:rPr>
        <w:t>he results and conclusions herein</w:t>
      </w:r>
      <w:r w:rsidR="00DE22AE" w:rsidRPr="00D137AB">
        <w:rPr>
          <w:rFonts w:asciiTheme="minorHAnsi" w:hAnsiTheme="minorHAnsi" w:cstheme="minorHAnsi"/>
          <w:color w:val="auto"/>
        </w:rPr>
        <w:t xml:space="preserve"> are congruent with previously published literature</w:t>
      </w:r>
      <w:r w:rsidR="00CE04B7" w:rsidRPr="00D137AB">
        <w:rPr>
          <w:rFonts w:asciiTheme="minorHAnsi" w:hAnsiTheme="minorHAnsi" w:cstheme="minorHAnsi"/>
          <w:color w:val="auto"/>
        </w:rPr>
        <w:t xml:space="preserve"> regarding the morbidity of the SEEG methodology</w:t>
      </w:r>
      <w:r w:rsidR="00C57742">
        <w:rPr>
          <w:rFonts w:asciiTheme="minorHAnsi" w:hAnsiTheme="minorHAnsi" w:cstheme="minorHAnsi"/>
          <w:color w:val="auto"/>
          <w:vertAlign w:val="superscript"/>
        </w:rPr>
        <w:t>11-15</w:t>
      </w:r>
      <w:r w:rsidR="00092735">
        <w:rPr>
          <w:rFonts w:asciiTheme="minorHAnsi" w:hAnsiTheme="minorHAnsi" w:cstheme="minorHAnsi"/>
          <w:color w:val="auto"/>
        </w:rPr>
        <w:t>.</w:t>
      </w:r>
    </w:p>
    <w:p w14:paraId="78728D18" w14:textId="706614AE" w:rsidR="00014314" w:rsidRPr="00D137AB" w:rsidRDefault="00014314" w:rsidP="001B1519">
      <w:pPr>
        <w:rPr>
          <w:rFonts w:asciiTheme="minorHAnsi" w:hAnsiTheme="minorHAnsi" w:cstheme="minorHAnsi"/>
          <w:color w:val="auto"/>
        </w:rPr>
      </w:pPr>
    </w:p>
    <w:p w14:paraId="1734505F" w14:textId="06DE9CF3" w:rsidR="00AA03DF" w:rsidRPr="00D137AB" w:rsidRDefault="00AA03DF" w:rsidP="00B613AE">
      <w:pPr>
        <w:pStyle w:val="NormalWeb"/>
        <w:spacing w:before="0" w:beforeAutospacing="0" w:after="0" w:afterAutospacing="0"/>
        <w:outlineLvl w:val="0"/>
        <w:rPr>
          <w:rFonts w:asciiTheme="minorHAnsi" w:hAnsiTheme="minorHAnsi" w:cstheme="minorHAnsi"/>
          <w:color w:val="auto"/>
        </w:rPr>
      </w:pPr>
      <w:r w:rsidRPr="00D137AB">
        <w:rPr>
          <w:rFonts w:asciiTheme="minorHAnsi" w:hAnsiTheme="minorHAnsi" w:cstheme="minorHAnsi"/>
          <w:b/>
          <w:bCs/>
          <w:color w:val="auto"/>
        </w:rPr>
        <w:t>ACKNOWLEDGMENTS</w:t>
      </w:r>
      <w:r w:rsidR="00D137AB">
        <w:rPr>
          <w:rFonts w:asciiTheme="minorHAnsi" w:hAnsiTheme="minorHAnsi" w:cstheme="minorHAnsi"/>
          <w:b/>
          <w:bCs/>
          <w:color w:val="auto"/>
        </w:rPr>
        <w:t>:</w:t>
      </w:r>
      <w:r w:rsidRPr="00D137AB">
        <w:rPr>
          <w:rFonts w:asciiTheme="minorHAnsi" w:hAnsiTheme="minorHAnsi" w:cstheme="minorHAnsi"/>
          <w:b/>
          <w:bCs/>
          <w:color w:val="auto"/>
        </w:rPr>
        <w:t xml:space="preserve"> </w:t>
      </w:r>
    </w:p>
    <w:p w14:paraId="246DCD94" w14:textId="3E2D3121" w:rsidR="007A4DD6" w:rsidRPr="00D137AB" w:rsidRDefault="00F806C3" w:rsidP="00B613AE">
      <w:pPr>
        <w:outlineLvl w:val="0"/>
        <w:rPr>
          <w:rFonts w:asciiTheme="minorHAnsi" w:hAnsiTheme="minorHAnsi" w:cstheme="minorHAnsi"/>
          <w:color w:val="auto"/>
        </w:rPr>
      </w:pPr>
      <w:r w:rsidRPr="00D137AB">
        <w:rPr>
          <w:rFonts w:asciiTheme="minorHAnsi" w:hAnsiTheme="minorHAnsi" w:cstheme="minorHAnsi"/>
          <w:color w:val="auto"/>
        </w:rPr>
        <w:t>The authors have no acknowledgements.</w:t>
      </w:r>
    </w:p>
    <w:p w14:paraId="2D96E92E" w14:textId="72F287DC" w:rsidR="00AA03DF" w:rsidRPr="00D137AB" w:rsidRDefault="00AA03DF" w:rsidP="001B1519">
      <w:pPr>
        <w:rPr>
          <w:rFonts w:asciiTheme="minorHAnsi" w:hAnsiTheme="minorHAnsi" w:cstheme="minorHAnsi"/>
          <w:b/>
          <w:bCs/>
          <w:color w:val="auto"/>
        </w:rPr>
      </w:pPr>
    </w:p>
    <w:p w14:paraId="5D52ED8B" w14:textId="145D2D26" w:rsidR="00AA03DF" w:rsidRPr="00D137AB" w:rsidRDefault="00AA03DF" w:rsidP="00B613AE">
      <w:pPr>
        <w:pStyle w:val="NormalWeb"/>
        <w:spacing w:before="0" w:beforeAutospacing="0" w:after="0" w:afterAutospacing="0"/>
        <w:outlineLvl w:val="0"/>
        <w:rPr>
          <w:rFonts w:asciiTheme="minorHAnsi" w:hAnsiTheme="minorHAnsi" w:cstheme="minorHAnsi"/>
          <w:color w:val="auto"/>
        </w:rPr>
      </w:pPr>
      <w:r w:rsidRPr="00D137AB">
        <w:rPr>
          <w:rFonts w:asciiTheme="minorHAnsi" w:hAnsiTheme="minorHAnsi" w:cstheme="minorHAnsi"/>
          <w:b/>
          <w:color w:val="auto"/>
        </w:rPr>
        <w:t>DISCLOSURES</w:t>
      </w:r>
      <w:r w:rsidRPr="00D137AB">
        <w:rPr>
          <w:rFonts w:asciiTheme="minorHAnsi" w:hAnsiTheme="minorHAnsi" w:cstheme="minorHAnsi"/>
          <w:b/>
          <w:bCs/>
          <w:color w:val="auto"/>
        </w:rPr>
        <w:t xml:space="preserve">: </w:t>
      </w:r>
    </w:p>
    <w:p w14:paraId="4E0C3135" w14:textId="4DAE8784" w:rsidR="007A4DD6" w:rsidRPr="00D137AB" w:rsidRDefault="00F806C3" w:rsidP="00B613AE">
      <w:pPr>
        <w:outlineLvl w:val="0"/>
        <w:rPr>
          <w:rFonts w:asciiTheme="minorHAnsi" w:hAnsiTheme="minorHAnsi" w:cstheme="minorHAnsi"/>
          <w:color w:val="auto"/>
        </w:rPr>
      </w:pPr>
      <w:r w:rsidRPr="00D137AB">
        <w:rPr>
          <w:rFonts w:asciiTheme="minorHAnsi" w:hAnsiTheme="minorHAnsi" w:cstheme="minorHAnsi"/>
          <w:color w:val="auto"/>
        </w:rPr>
        <w:t>The authors have n</w:t>
      </w:r>
      <w:r w:rsidR="00781EC1" w:rsidRPr="00D137AB">
        <w:rPr>
          <w:rFonts w:asciiTheme="minorHAnsi" w:hAnsiTheme="minorHAnsi" w:cstheme="minorHAnsi"/>
          <w:color w:val="auto"/>
        </w:rPr>
        <w:t>othing to disclose.</w:t>
      </w:r>
    </w:p>
    <w:p w14:paraId="66030076" w14:textId="77777777" w:rsidR="00AA03DF" w:rsidRPr="00D137AB" w:rsidRDefault="00AA03DF" w:rsidP="001B1519">
      <w:pPr>
        <w:rPr>
          <w:rFonts w:asciiTheme="minorHAnsi" w:hAnsiTheme="minorHAnsi" w:cstheme="minorHAnsi"/>
          <w:color w:val="auto"/>
        </w:rPr>
      </w:pPr>
    </w:p>
    <w:p w14:paraId="315B4FAD" w14:textId="19D0B2BE" w:rsidR="00B32616" w:rsidRPr="00D137AB" w:rsidRDefault="009726EE" w:rsidP="00B613AE">
      <w:pPr>
        <w:outlineLvl w:val="0"/>
        <w:rPr>
          <w:rFonts w:asciiTheme="minorHAnsi" w:hAnsiTheme="minorHAnsi" w:cstheme="minorHAnsi"/>
          <w:b/>
          <w:color w:val="auto"/>
        </w:rPr>
      </w:pPr>
      <w:r w:rsidRPr="00D137AB">
        <w:rPr>
          <w:rFonts w:asciiTheme="minorHAnsi" w:hAnsiTheme="minorHAnsi" w:cstheme="minorHAnsi"/>
          <w:b/>
          <w:bCs/>
          <w:color w:val="auto"/>
        </w:rPr>
        <w:t>REFERENCES</w:t>
      </w:r>
      <w:r w:rsidR="00D04760" w:rsidRPr="00D137AB">
        <w:rPr>
          <w:rFonts w:asciiTheme="minorHAnsi" w:hAnsiTheme="minorHAnsi" w:cstheme="minorHAnsi"/>
          <w:b/>
          <w:bCs/>
          <w:color w:val="auto"/>
        </w:rPr>
        <w:t>:</w:t>
      </w:r>
    </w:p>
    <w:p w14:paraId="50EBBE2B" w14:textId="3BCFD765" w:rsidR="007A4DD6" w:rsidRDefault="007A4DD6" w:rsidP="007A4DD6">
      <w:pPr>
        <w:rPr>
          <w:rFonts w:asciiTheme="minorHAnsi" w:hAnsiTheme="minorHAnsi" w:cstheme="minorHAnsi"/>
          <w:color w:val="auto"/>
        </w:rPr>
      </w:pPr>
    </w:p>
    <w:p w14:paraId="189585AD" w14:textId="79EC0225" w:rsidR="00092735" w:rsidRPr="00092735" w:rsidRDefault="00710CC5" w:rsidP="00EA685B">
      <w:pPr>
        <w:pStyle w:val="Bibliography"/>
        <w:numPr>
          <w:ilvl w:val="0"/>
          <w:numId w:val="28"/>
        </w:numPr>
        <w:spacing w:after="0"/>
        <w:rPr>
          <w:sz w:val="24"/>
          <w:szCs w:val="24"/>
        </w:rPr>
      </w:pPr>
      <w:r w:rsidRPr="00092735">
        <w:rPr>
          <w:noProof/>
          <w:sz w:val="24"/>
          <w:szCs w:val="24"/>
        </w:rPr>
        <w:lastRenderedPageBreak/>
        <w:t>W</w:t>
      </w:r>
      <w:r w:rsidR="003B0EA3">
        <w:rPr>
          <w:noProof/>
          <w:sz w:val="24"/>
          <w:szCs w:val="24"/>
        </w:rPr>
        <w:t xml:space="preserve">orld </w:t>
      </w:r>
      <w:r w:rsidRPr="00092735">
        <w:rPr>
          <w:noProof/>
          <w:sz w:val="24"/>
          <w:szCs w:val="24"/>
        </w:rPr>
        <w:t>H</w:t>
      </w:r>
      <w:r w:rsidR="003B0EA3">
        <w:rPr>
          <w:noProof/>
          <w:sz w:val="24"/>
          <w:szCs w:val="24"/>
        </w:rPr>
        <w:t xml:space="preserve">ealth </w:t>
      </w:r>
      <w:r w:rsidRPr="00092735">
        <w:rPr>
          <w:noProof/>
          <w:sz w:val="24"/>
          <w:szCs w:val="24"/>
        </w:rPr>
        <w:t>O</w:t>
      </w:r>
      <w:r w:rsidR="003B0EA3">
        <w:rPr>
          <w:noProof/>
          <w:sz w:val="24"/>
          <w:szCs w:val="24"/>
        </w:rPr>
        <w:t>rganization</w:t>
      </w:r>
      <w:r w:rsidRPr="00092735">
        <w:rPr>
          <w:noProof/>
          <w:sz w:val="24"/>
          <w:szCs w:val="24"/>
        </w:rPr>
        <w:t xml:space="preserve">, </w:t>
      </w:r>
      <w:r w:rsidRPr="00092735">
        <w:rPr>
          <w:i/>
          <w:iCs/>
          <w:noProof/>
          <w:sz w:val="24"/>
          <w:szCs w:val="24"/>
        </w:rPr>
        <w:t>Epilepsy</w:t>
      </w:r>
      <w:r w:rsidRPr="00092735">
        <w:rPr>
          <w:noProof/>
          <w:sz w:val="24"/>
          <w:szCs w:val="24"/>
        </w:rPr>
        <w:t xml:space="preserve">. </w:t>
      </w:r>
      <w:r w:rsidR="003B0EA3">
        <w:rPr>
          <w:noProof/>
          <w:sz w:val="24"/>
          <w:szCs w:val="24"/>
        </w:rPr>
        <w:t>(2018)</w:t>
      </w:r>
    </w:p>
    <w:p w14:paraId="591E8744" w14:textId="36515304" w:rsidR="00092735" w:rsidRDefault="003B0EA3" w:rsidP="00EA685B">
      <w:pPr>
        <w:pStyle w:val="Bibliography"/>
        <w:numPr>
          <w:ilvl w:val="0"/>
          <w:numId w:val="28"/>
        </w:numPr>
        <w:spacing w:after="0"/>
        <w:rPr>
          <w:sz w:val="24"/>
          <w:szCs w:val="24"/>
        </w:rPr>
      </w:pPr>
      <w:proofErr w:type="spellStart"/>
      <w:r>
        <w:rPr>
          <w:sz w:val="24"/>
          <w:szCs w:val="24"/>
        </w:rPr>
        <w:t>Talairach</w:t>
      </w:r>
      <w:proofErr w:type="spellEnd"/>
      <w:r>
        <w:rPr>
          <w:sz w:val="24"/>
          <w:szCs w:val="24"/>
        </w:rPr>
        <w:t xml:space="preserve">, J., </w:t>
      </w:r>
      <w:proofErr w:type="spellStart"/>
      <w:r w:rsidR="00487727" w:rsidRPr="00092735">
        <w:rPr>
          <w:sz w:val="24"/>
          <w:szCs w:val="24"/>
        </w:rPr>
        <w:t>Bancaud</w:t>
      </w:r>
      <w:proofErr w:type="spellEnd"/>
      <w:r w:rsidR="00487727" w:rsidRPr="00092735">
        <w:rPr>
          <w:sz w:val="24"/>
          <w:szCs w:val="24"/>
        </w:rPr>
        <w:t>, J. Stere</w:t>
      </w:r>
      <w:r>
        <w:rPr>
          <w:sz w:val="24"/>
          <w:szCs w:val="24"/>
        </w:rPr>
        <w:t xml:space="preserve">otaxic approach to epilepsy. </w:t>
      </w:r>
      <w:r w:rsidR="00487727" w:rsidRPr="003B0EA3">
        <w:rPr>
          <w:i/>
          <w:sz w:val="24"/>
          <w:szCs w:val="24"/>
        </w:rPr>
        <w:t>Progress in neurologic</w:t>
      </w:r>
      <w:r w:rsidRPr="003B0EA3">
        <w:rPr>
          <w:i/>
          <w:sz w:val="24"/>
          <w:szCs w:val="24"/>
        </w:rPr>
        <w:t>al surgery.</w:t>
      </w:r>
      <w:r>
        <w:rPr>
          <w:sz w:val="24"/>
          <w:szCs w:val="24"/>
        </w:rPr>
        <w:t xml:space="preserve"> </w:t>
      </w:r>
      <w:r w:rsidRPr="003B0EA3">
        <w:rPr>
          <w:b/>
          <w:sz w:val="24"/>
          <w:szCs w:val="24"/>
        </w:rPr>
        <w:t>5</w:t>
      </w:r>
      <w:r>
        <w:rPr>
          <w:sz w:val="24"/>
          <w:szCs w:val="24"/>
        </w:rPr>
        <w:t>, 297-354 (1973)</w:t>
      </w:r>
      <w:r w:rsidR="00487727" w:rsidRPr="00092735">
        <w:rPr>
          <w:sz w:val="24"/>
          <w:szCs w:val="24"/>
        </w:rPr>
        <w:t>.</w:t>
      </w:r>
    </w:p>
    <w:p w14:paraId="2EF89323" w14:textId="47868EBB" w:rsidR="00092735" w:rsidRPr="00092735" w:rsidRDefault="00092735" w:rsidP="00EA685B">
      <w:pPr>
        <w:pStyle w:val="ListParagraph"/>
        <w:numPr>
          <w:ilvl w:val="0"/>
          <w:numId w:val="28"/>
        </w:numPr>
      </w:pPr>
      <w:proofErr w:type="spellStart"/>
      <w:r w:rsidRPr="00092735">
        <w:t>Bancaud</w:t>
      </w:r>
      <w:proofErr w:type="spellEnd"/>
      <w:r w:rsidRPr="00092735">
        <w:t xml:space="preserve"> J, </w:t>
      </w:r>
      <w:proofErr w:type="spellStart"/>
      <w:r w:rsidRPr="00092735">
        <w:t>Talairach</w:t>
      </w:r>
      <w:proofErr w:type="spellEnd"/>
      <w:r w:rsidRPr="00092735">
        <w:t xml:space="preserve"> J. Functional organization of the supplementary motor area. Data obtained by stere</w:t>
      </w:r>
      <w:r w:rsidR="003B0EA3">
        <w:t xml:space="preserve">o‐E.E.G. </w:t>
      </w:r>
      <w:proofErr w:type="spellStart"/>
      <w:r w:rsidR="003B0EA3" w:rsidRPr="003B0EA3">
        <w:rPr>
          <w:i/>
        </w:rPr>
        <w:t>Neurochirurgie</w:t>
      </w:r>
      <w:proofErr w:type="spellEnd"/>
      <w:r w:rsidR="003B0EA3" w:rsidRPr="003B0EA3">
        <w:rPr>
          <w:i/>
        </w:rPr>
        <w:t>.</w:t>
      </w:r>
      <w:r w:rsidR="003B0EA3">
        <w:t xml:space="preserve"> </w:t>
      </w:r>
      <w:r w:rsidR="003B0EA3" w:rsidRPr="00C57742">
        <w:rPr>
          <w:b/>
        </w:rPr>
        <w:t>13</w:t>
      </w:r>
      <w:r w:rsidR="003B0EA3">
        <w:t xml:space="preserve">, </w:t>
      </w:r>
      <w:r w:rsidRPr="00092735">
        <w:t>343–356</w:t>
      </w:r>
      <w:r w:rsidR="003B0EA3">
        <w:t xml:space="preserve"> (1967)</w:t>
      </w:r>
      <w:r w:rsidRPr="00092735">
        <w:t>.</w:t>
      </w:r>
    </w:p>
    <w:p w14:paraId="623A6954" w14:textId="133D7081" w:rsidR="00092735" w:rsidRDefault="003B0EA3" w:rsidP="00EA685B">
      <w:pPr>
        <w:pStyle w:val="ListParagraph"/>
        <w:numPr>
          <w:ilvl w:val="0"/>
          <w:numId w:val="28"/>
        </w:numPr>
      </w:pPr>
      <w:r>
        <w:rPr>
          <w:noProof/>
        </w:rPr>
        <w:t>Jehi, L</w:t>
      </w:r>
      <w:r w:rsidR="00487727" w:rsidRPr="00092735">
        <w:rPr>
          <w:noProof/>
        </w:rPr>
        <w:t xml:space="preserve">. The Epileptogenic Zone: Concept and Definition. </w:t>
      </w:r>
      <w:r>
        <w:rPr>
          <w:i/>
          <w:iCs/>
          <w:noProof/>
        </w:rPr>
        <w:t>Epilepsy Currents.</w:t>
      </w:r>
      <w:r w:rsidR="00487727" w:rsidRPr="00092735">
        <w:rPr>
          <w:i/>
          <w:iCs/>
          <w:noProof/>
        </w:rPr>
        <w:t xml:space="preserve"> </w:t>
      </w:r>
      <w:r w:rsidR="00487727" w:rsidRPr="003B0EA3">
        <w:rPr>
          <w:b/>
          <w:iCs/>
          <w:noProof/>
        </w:rPr>
        <w:t>18</w:t>
      </w:r>
      <w:r w:rsidRPr="003B0EA3">
        <w:rPr>
          <w:b/>
          <w:iCs/>
          <w:noProof/>
        </w:rPr>
        <w:t xml:space="preserve"> </w:t>
      </w:r>
      <w:r>
        <w:rPr>
          <w:noProof/>
        </w:rPr>
        <w:t>(1), 12-16 (2018).</w:t>
      </w:r>
    </w:p>
    <w:p w14:paraId="5CD953BA" w14:textId="22042B59" w:rsidR="00DB1331" w:rsidRDefault="00DB1331" w:rsidP="00DB1331">
      <w:pPr>
        <w:pStyle w:val="ListParagraph"/>
        <w:numPr>
          <w:ilvl w:val="0"/>
          <w:numId w:val="28"/>
        </w:numPr>
      </w:pPr>
      <w:proofErr w:type="spellStart"/>
      <w:r w:rsidRPr="00DB1331">
        <w:t>Nowell</w:t>
      </w:r>
      <w:proofErr w:type="spellEnd"/>
      <w:r w:rsidRPr="00DB1331">
        <w:t>, M</w:t>
      </w:r>
      <w:r w:rsidR="00C57742">
        <w:t>. et al.</w:t>
      </w:r>
      <w:r w:rsidRPr="00DB1331">
        <w:t xml:space="preserve"> A novel method for implementation of frameless </w:t>
      </w:r>
      <w:proofErr w:type="spellStart"/>
      <w:r w:rsidRPr="00DB1331">
        <w:t>StereoEEG</w:t>
      </w:r>
      <w:proofErr w:type="spellEnd"/>
      <w:r w:rsidRPr="00DB1331">
        <w:t xml:space="preserve"> in epilepsy </w:t>
      </w:r>
      <w:r w:rsidR="003B0EA3">
        <w:t xml:space="preserve">surgery. </w:t>
      </w:r>
      <w:r w:rsidR="003B0EA3" w:rsidRPr="003B0EA3">
        <w:rPr>
          <w:i/>
        </w:rPr>
        <w:t>Operative Neurosurgery.</w:t>
      </w:r>
      <w:r w:rsidRPr="00DB1331">
        <w:t xml:space="preserve"> </w:t>
      </w:r>
      <w:r w:rsidRPr="003B0EA3">
        <w:rPr>
          <w:b/>
        </w:rPr>
        <w:t>10</w:t>
      </w:r>
      <w:r w:rsidR="003B0EA3">
        <w:t xml:space="preserve"> </w:t>
      </w:r>
      <w:r w:rsidRPr="00DB1331">
        <w:t>(4), 525-534</w:t>
      </w:r>
      <w:r w:rsidR="003B0EA3">
        <w:t xml:space="preserve"> (2014)</w:t>
      </w:r>
      <w:r w:rsidRPr="00DB1331">
        <w:t>.</w:t>
      </w:r>
    </w:p>
    <w:p w14:paraId="49459635" w14:textId="0EE24D0C" w:rsidR="00ED4F03" w:rsidRDefault="000B38C2" w:rsidP="00ED4F03">
      <w:pPr>
        <w:pStyle w:val="ListParagraph"/>
        <w:numPr>
          <w:ilvl w:val="0"/>
          <w:numId w:val="28"/>
        </w:numPr>
      </w:pPr>
      <w:r>
        <w:t>Abel, T.</w:t>
      </w:r>
      <w:r w:rsidR="00ED4F03" w:rsidRPr="000B38C2">
        <w:t>J</w:t>
      </w:r>
      <w:r w:rsidR="00C57742">
        <w:t>. et al</w:t>
      </w:r>
      <w:r w:rsidR="00ED4F03" w:rsidRPr="00ED4F03">
        <w:t xml:space="preserve"> Frameless robot-assisted </w:t>
      </w:r>
      <w:proofErr w:type="spellStart"/>
      <w:r w:rsidR="00ED4F03" w:rsidRPr="00ED4F03">
        <w:t>stereoelectroencephalography</w:t>
      </w:r>
      <w:proofErr w:type="spellEnd"/>
      <w:r w:rsidR="00ED4F03" w:rsidRPr="00ED4F03">
        <w:t xml:space="preserve"> in children: technical aspects and comparison with </w:t>
      </w:r>
      <w:proofErr w:type="spellStart"/>
      <w:r w:rsidR="00ED4F03" w:rsidRPr="00ED4F03">
        <w:t>Talairach</w:t>
      </w:r>
      <w:proofErr w:type="spellEnd"/>
      <w:r w:rsidR="00ED4F03" w:rsidRPr="00ED4F03">
        <w:t xml:space="preserve"> frame technique. </w:t>
      </w:r>
      <w:r w:rsidR="00ED4F03" w:rsidRPr="000B38C2">
        <w:rPr>
          <w:i/>
        </w:rPr>
        <w:t xml:space="preserve">Journal of </w:t>
      </w:r>
      <w:r w:rsidRPr="000B38C2">
        <w:rPr>
          <w:i/>
        </w:rPr>
        <w:t>Neurosurgery: Pediatrics.</w:t>
      </w:r>
      <w:r>
        <w:t xml:space="preserve"> </w:t>
      </w:r>
      <w:r w:rsidRPr="000B38C2">
        <w:rPr>
          <w:b/>
        </w:rPr>
        <w:t>1</w:t>
      </w:r>
      <w:r w:rsidR="00ED4F03" w:rsidRPr="00ED4F03">
        <w:t>, 1-10</w:t>
      </w:r>
      <w:r>
        <w:t xml:space="preserve"> (2018)</w:t>
      </w:r>
      <w:r w:rsidR="00ED4F03" w:rsidRPr="00ED4F03">
        <w:t>.</w:t>
      </w:r>
    </w:p>
    <w:p w14:paraId="4AB222AB" w14:textId="1B997ECF" w:rsidR="00590640" w:rsidRDefault="00590640" w:rsidP="00590640">
      <w:pPr>
        <w:pStyle w:val="ListParagraph"/>
        <w:numPr>
          <w:ilvl w:val="0"/>
          <w:numId w:val="28"/>
        </w:numPr>
      </w:pPr>
      <w:proofErr w:type="gramStart"/>
      <w:r w:rsidRPr="00590640">
        <w:t>van</w:t>
      </w:r>
      <w:proofErr w:type="gramEnd"/>
      <w:r w:rsidRPr="00590640">
        <w:t xml:space="preserve"> der Loo, L. E</w:t>
      </w:r>
      <w:r w:rsidR="00C57742">
        <w:t>. et al.</w:t>
      </w:r>
      <w:r w:rsidRPr="00590640">
        <w:t xml:space="preserve"> Methodology, outcome, safety and in vivo accuracy in traditional frame-based </w:t>
      </w:r>
      <w:proofErr w:type="spellStart"/>
      <w:r w:rsidRPr="00590640">
        <w:t>stereoelectroenceph</w:t>
      </w:r>
      <w:r w:rsidR="003806F3">
        <w:t>alography</w:t>
      </w:r>
      <w:proofErr w:type="spellEnd"/>
      <w:r w:rsidR="003806F3">
        <w:t xml:space="preserve">. </w:t>
      </w:r>
      <w:proofErr w:type="spellStart"/>
      <w:r w:rsidR="003806F3" w:rsidRPr="003806F3">
        <w:rPr>
          <w:i/>
        </w:rPr>
        <w:t>Acta</w:t>
      </w:r>
      <w:proofErr w:type="spellEnd"/>
      <w:r w:rsidR="003806F3" w:rsidRPr="003806F3">
        <w:rPr>
          <w:i/>
        </w:rPr>
        <w:t xml:space="preserve"> </w:t>
      </w:r>
      <w:proofErr w:type="spellStart"/>
      <w:r w:rsidR="003806F3" w:rsidRPr="003806F3">
        <w:rPr>
          <w:i/>
        </w:rPr>
        <w:t>neurochirurgica</w:t>
      </w:r>
      <w:proofErr w:type="spellEnd"/>
      <w:r w:rsidR="003806F3" w:rsidRPr="003806F3">
        <w:rPr>
          <w:i/>
        </w:rPr>
        <w:t>.</w:t>
      </w:r>
      <w:r w:rsidRPr="00590640">
        <w:t xml:space="preserve"> </w:t>
      </w:r>
      <w:r w:rsidRPr="003806F3">
        <w:rPr>
          <w:b/>
        </w:rPr>
        <w:t>159</w:t>
      </w:r>
      <w:r w:rsidR="003806F3">
        <w:t xml:space="preserve"> </w:t>
      </w:r>
      <w:r w:rsidRPr="00590640">
        <w:t>(9), 1733-1746</w:t>
      </w:r>
      <w:r w:rsidR="003806F3">
        <w:t xml:space="preserve"> (2017)</w:t>
      </w:r>
      <w:r w:rsidRPr="00590640">
        <w:t>.</w:t>
      </w:r>
    </w:p>
    <w:p w14:paraId="317D2D2C" w14:textId="4FCA0E0A" w:rsidR="00934CE3" w:rsidRPr="00092735" w:rsidRDefault="00934CE3" w:rsidP="00934CE3">
      <w:pPr>
        <w:pStyle w:val="ListParagraph"/>
        <w:numPr>
          <w:ilvl w:val="0"/>
          <w:numId w:val="28"/>
        </w:numPr>
      </w:pPr>
      <w:r w:rsidRPr="00934CE3">
        <w:t>González-</w:t>
      </w:r>
      <w:proofErr w:type="spellStart"/>
      <w:r w:rsidRPr="00934CE3">
        <w:t>Martínez</w:t>
      </w:r>
      <w:proofErr w:type="spellEnd"/>
      <w:r w:rsidRPr="00934CE3">
        <w:t>, J</w:t>
      </w:r>
      <w:r w:rsidR="00C57742">
        <w:t>. et al.</w:t>
      </w:r>
      <w:r w:rsidRPr="00934CE3">
        <w:t xml:space="preserve"> Technique, results, and complications related to robot-assisted </w:t>
      </w:r>
      <w:proofErr w:type="spellStart"/>
      <w:r w:rsidRPr="00934CE3">
        <w:t>stereoelect</w:t>
      </w:r>
      <w:r>
        <w:t>roencephalography</w:t>
      </w:r>
      <w:proofErr w:type="spellEnd"/>
      <w:r>
        <w:t xml:space="preserve">. </w:t>
      </w:r>
      <w:r w:rsidRPr="00C57742">
        <w:rPr>
          <w:i/>
        </w:rPr>
        <w:t>Neurosurgery</w:t>
      </w:r>
      <w:r w:rsidR="00C57742">
        <w:t>.</w:t>
      </w:r>
      <w:r w:rsidRPr="00934CE3">
        <w:t xml:space="preserve"> </w:t>
      </w:r>
      <w:r w:rsidRPr="00C57742">
        <w:rPr>
          <w:b/>
        </w:rPr>
        <w:t>78</w:t>
      </w:r>
      <w:r w:rsidR="00C57742">
        <w:rPr>
          <w:b/>
        </w:rPr>
        <w:t xml:space="preserve"> </w:t>
      </w:r>
      <w:r w:rsidRPr="00934CE3">
        <w:t>(2), 169-180</w:t>
      </w:r>
      <w:r>
        <w:t xml:space="preserve"> (2015)</w:t>
      </w:r>
      <w:r w:rsidRPr="00934CE3">
        <w:t>.</w:t>
      </w:r>
    </w:p>
    <w:p w14:paraId="06733ED7" w14:textId="0D93EEBF" w:rsidR="00487727" w:rsidRDefault="003806F3" w:rsidP="00EA685B">
      <w:pPr>
        <w:pStyle w:val="Bibliography"/>
        <w:numPr>
          <w:ilvl w:val="0"/>
          <w:numId w:val="28"/>
        </w:numPr>
        <w:spacing w:after="0"/>
        <w:rPr>
          <w:sz w:val="24"/>
          <w:szCs w:val="24"/>
        </w:rPr>
      </w:pPr>
      <w:r>
        <w:rPr>
          <w:sz w:val="24"/>
          <w:szCs w:val="24"/>
        </w:rPr>
        <w:t xml:space="preserve">Mullin, J.P., </w:t>
      </w:r>
      <w:proofErr w:type="spellStart"/>
      <w:r>
        <w:rPr>
          <w:sz w:val="24"/>
          <w:szCs w:val="24"/>
        </w:rPr>
        <w:t>Smithason</w:t>
      </w:r>
      <w:proofErr w:type="spellEnd"/>
      <w:r>
        <w:rPr>
          <w:sz w:val="24"/>
          <w:szCs w:val="24"/>
        </w:rPr>
        <w:t>, S., Gonzalez-Martinez, J.</w:t>
      </w:r>
      <w:r w:rsidR="00487727" w:rsidRPr="00092735">
        <w:rPr>
          <w:sz w:val="24"/>
          <w:szCs w:val="24"/>
        </w:rPr>
        <w:t xml:space="preserve"> Stereo-electro-</w:t>
      </w:r>
      <w:proofErr w:type="spellStart"/>
      <w:r w:rsidR="00487727" w:rsidRPr="00092735">
        <w:rPr>
          <w:sz w:val="24"/>
          <w:szCs w:val="24"/>
        </w:rPr>
        <w:t>encephalo</w:t>
      </w:r>
      <w:proofErr w:type="spellEnd"/>
      <w:r w:rsidR="00487727" w:rsidRPr="00092735">
        <w:rPr>
          <w:sz w:val="24"/>
          <w:szCs w:val="24"/>
        </w:rPr>
        <w:t>-</w:t>
      </w:r>
      <w:proofErr w:type="spellStart"/>
      <w:r w:rsidR="00487727" w:rsidRPr="00092735">
        <w:rPr>
          <w:sz w:val="24"/>
          <w:szCs w:val="24"/>
        </w:rPr>
        <w:t>graphy</w:t>
      </w:r>
      <w:proofErr w:type="spellEnd"/>
      <w:r w:rsidR="00487727" w:rsidRPr="00092735">
        <w:rPr>
          <w:sz w:val="24"/>
          <w:szCs w:val="24"/>
        </w:rPr>
        <w:t xml:space="preserve"> (SEEG) with robotic assistance in the </w:t>
      </w:r>
      <w:proofErr w:type="spellStart"/>
      <w:r w:rsidR="00487727" w:rsidRPr="00092735">
        <w:rPr>
          <w:sz w:val="24"/>
          <w:szCs w:val="24"/>
        </w:rPr>
        <w:t>presurgical</w:t>
      </w:r>
      <w:proofErr w:type="spellEnd"/>
      <w:r w:rsidR="00487727" w:rsidRPr="00092735">
        <w:rPr>
          <w:sz w:val="24"/>
          <w:szCs w:val="24"/>
        </w:rPr>
        <w:t xml:space="preserve"> evaluation of medical refractory epilepsy: a technical note. </w:t>
      </w:r>
      <w:r w:rsidR="00487727" w:rsidRPr="003806F3">
        <w:rPr>
          <w:i/>
          <w:sz w:val="24"/>
          <w:szCs w:val="24"/>
        </w:rPr>
        <w:t>Journal of vis</w:t>
      </w:r>
      <w:r w:rsidR="00C57742">
        <w:rPr>
          <w:i/>
          <w:sz w:val="24"/>
          <w:szCs w:val="24"/>
        </w:rPr>
        <w:t>ualized experiments</w:t>
      </w:r>
      <w:r>
        <w:rPr>
          <w:i/>
          <w:sz w:val="24"/>
          <w:szCs w:val="24"/>
        </w:rPr>
        <w:t>.</w:t>
      </w:r>
      <w:r>
        <w:rPr>
          <w:sz w:val="24"/>
          <w:szCs w:val="24"/>
        </w:rPr>
        <w:t xml:space="preserve"> 112 (2016)</w:t>
      </w:r>
      <w:r w:rsidR="00487727" w:rsidRPr="00092735">
        <w:rPr>
          <w:sz w:val="24"/>
          <w:szCs w:val="24"/>
        </w:rPr>
        <w:t>.</w:t>
      </w:r>
    </w:p>
    <w:p w14:paraId="252A3A2F" w14:textId="1C233279" w:rsidR="00B43756" w:rsidRPr="00B43756" w:rsidRDefault="00B43756" w:rsidP="00C57742">
      <w:pPr>
        <w:pStyle w:val="ListParagraph"/>
        <w:numPr>
          <w:ilvl w:val="0"/>
          <w:numId w:val="28"/>
        </w:numPr>
      </w:pPr>
      <w:r w:rsidRPr="00C57742">
        <w:rPr>
          <w:lang w:val="fi-FI"/>
        </w:rPr>
        <w:t>Jones, J.C</w:t>
      </w:r>
      <w:r w:rsidR="00C57742">
        <w:rPr>
          <w:lang w:val="fi-FI"/>
        </w:rPr>
        <w:t>. et al.</w:t>
      </w:r>
      <w:r w:rsidRPr="00B43756">
        <w:rPr>
          <w:lang w:val="fi-FI"/>
        </w:rPr>
        <w:t xml:space="preserve"> </w:t>
      </w:r>
      <w:r w:rsidRPr="00C57742">
        <w:t>Techniques for placement of stereotactic electroencephalographic depth electrodes: Comparison of implantation and tracking accuracies in a c</w:t>
      </w:r>
      <w:r w:rsidRPr="00B43756">
        <w:t xml:space="preserve">adaveric human study. </w:t>
      </w:r>
      <w:proofErr w:type="spellStart"/>
      <w:r w:rsidRPr="00C57742">
        <w:rPr>
          <w:i/>
        </w:rPr>
        <w:t>Epilepsia</w:t>
      </w:r>
      <w:proofErr w:type="spellEnd"/>
      <w:r w:rsidRPr="00C57742">
        <w:rPr>
          <w:i/>
        </w:rPr>
        <w:t>.</w:t>
      </w:r>
      <w:r w:rsidRPr="00C57742">
        <w:t xml:space="preserve"> </w:t>
      </w:r>
      <w:r w:rsidRPr="00C57742">
        <w:rPr>
          <w:b/>
        </w:rPr>
        <w:t>59</w:t>
      </w:r>
      <w:r>
        <w:t xml:space="preserve"> </w:t>
      </w:r>
      <w:r w:rsidRPr="00C57742">
        <w:t>(9), 1667-1675</w:t>
      </w:r>
      <w:r>
        <w:t xml:space="preserve"> (2018)</w:t>
      </w:r>
      <w:r w:rsidRPr="00C57742">
        <w:t>.</w:t>
      </w:r>
    </w:p>
    <w:p w14:paraId="727495EA" w14:textId="40FDCDD2" w:rsidR="00092735" w:rsidRDefault="003806F3" w:rsidP="00EA685B">
      <w:pPr>
        <w:pStyle w:val="ListParagraph"/>
        <w:numPr>
          <w:ilvl w:val="0"/>
          <w:numId w:val="28"/>
        </w:numPr>
      </w:pPr>
      <w:r w:rsidRPr="00FF2CF1">
        <w:rPr>
          <w:lang w:val="fi-FI"/>
        </w:rPr>
        <w:t>Mullin, J.</w:t>
      </w:r>
      <w:r w:rsidR="00092735" w:rsidRPr="00FF2CF1">
        <w:rPr>
          <w:lang w:val="fi-FI"/>
        </w:rPr>
        <w:t>P</w:t>
      </w:r>
      <w:r w:rsidR="00C57742">
        <w:rPr>
          <w:lang w:val="fi-FI"/>
        </w:rPr>
        <w:t>. et al.</w:t>
      </w:r>
      <w:r w:rsidR="00092735" w:rsidRPr="00FF2CF1">
        <w:rPr>
          <w:lang w:val="fi-FI"/>
        </w:rPr>
        <w:t xml:space="preserve"> </w:t>
      </w:r>
      <w:r w:rsidR="00092735" w:rsidRPr="00092735">
        <w:t>Is SEEG safe? A systematic review and meta‐analysis of stereo‐electroencephalography–r</w:t>
      </w:r>
      <w:r>
        <w:t xml:space="preserve">elated complications. </w:t>
      </w:r>
      <w:proofErr w:type="spellStart"/>
      <w:r w:rsidRPr="003806F3">
        <w:rPr>
          <w:i/>
        </w:rPr>
        <w:t>Epilepsia</w:t>
      </w:r>
      <w:proofErr w:type="spellEnd"/>
      <w:r w:rsidRPr="003806F3">
        <w:rPr>
          <w:i/>
        </w:rPr>
        <w:t>.</w:t>
      </w:r>
      <w:r w:rsidR="00092735" w:rsidRPr="00092735">
        <w:t xml:space="preserve"> </w:t>
      </w:r>
      <w:r w:rsidR="00092735" w:rsidRPr="003806F3">
        <w:rPr>
          <w:b/>
        </w:rPr>
        <w:t>57</w:t>
      </w:r>
      <w:r>
        <w:t xml:space="preserve"> </w:t>
      </w:r>
      <w:r w:rsidR="00092735" w:rsidRPr="00092735">
        <w:t>(3), 386-401</w:t>
      </w:r>
      <w:r>
        <w:t xml:space="preserve"> (2016)</w:t>
      </w:r>
      <w:r w:rsidR="00092735" w:rsidRPr="00092735">
        <w:t>.</w:t>
      </w:r>
    </w:p>
    <w:p w14:paraId="643BB77A" w14:textId="65649F14" w:rsidR="00694817" w:rsidRDefault="00694817" w:rsidP="00694817">
      <w:pPr>
        <w:pStyle w:val="ListParagraph"/>
        <w:numPr>
          <w:ilvl w:val="0"/>
          <w:numId w:val="28"/>
        </w:numPr>
      </w:pPr>
      <w:proofErr w:type="spellStart"/>
      <w:r w:rsidRPr="00694817">
        <w:t>Serletis</w:t>
      </w:r>
      <w:proofErr w:type="spellEnd"/>
      <w:r w:rsidR="003806F3">
        <w:t>,</w:t>
      </w:r>
      <w:r w:rsidRPr="00694817">
        <w:t xml:space="preserve"> D</w:t>
      </w:r>
      <w:r w:rsidR="00C57742">
        <w:t>. et al.</w:t>
      </w:r>
      <w:r w:rsidRPr="00694817">
        <w:t xml:space="preserve"> The stereotactic approach for mapping epileptic networks: a prospective study of 200</w:t>
      </w:r>
      <w:r w:rsidR="00C57742">
        <w:t xml:space="preserve"> patients. </w:t>
      </w:r>
      <w:r w:rsidR="00C57742" w:rsidRPr="00C57742">
        <w:rPr>
          <w:i/>
        </w:rPr>
        <w:t>Journal of Neurosurgery</w:t>
      </w:r>
      <w:r w:rsidR="003806F3">
        <w:t xml:space="preserve">. </w:t>
      </w:r>
      <w:r w:rsidR="003806F3" w:rsidRPr="003806F3">
        <w:rPr>
          <w:b/>
        </w:rPr>
        <w:t>121</w:t>
      </w:r>
      <w:r w:rsidR="003806F3">
        <w:t xml:space="preserve">, </w:t>
      </w:r>
      <w:r w:rsidRPr="00694817">
        <w:t>1239–1246</w:t>
      </w:r>
      <w:r w:rsidR="003806F3">
        <w:t xml:space="preserve"> (2014)</w:t>
      </w:r>
      <w:r w:rsidRPr="00694817">
        <w:t>.</w:t>
      </w:r>
    </w:p>
    <w:p w14:paraId="680EA7C8" w14:textId="72007474" w:rsidR="00694817" w:rsidRDefault="003806F3" w:rsidP="00694817">
      <w:pPr>
        <w:pStyle w:val="ListParagraph"/>
        <w:numPr>
          <w:ilvl w:val="0"/>
          <w:numId w:val="28"/>
        </w:numPr>
      </w:pPr>
      <w:proofErr w:type="spellStart"/>
      <w:r>
        <w:t>Taussig</w:t>
      </w:r>
      <w:proofErr w:type="spellEnd"/>
      <w:r>
        <w:t>, D</w:t>
      </w:r>
      <w:r w:rsidR="00C57742">
        <w:t>. et al.</w:t>
      </w:r>
      <w:r w:rsidR="00694817" w:rsidRPr="00694817">
        <w:t xml:space="preserve"> Stereo‐electroencephalography (SEEG) in 65 children: an effective and safe diagnostic method for pre‐surgical diagnosis, independent o</w:t>
      </w:r>
      <w:r>
        <w:t xml:space="preserve">f age. </w:t>
      </w:r>
      <w:r w:rsidRPr="003806F3">
        <w:rPr>
          <w:i/>
        </w:rPr>
        <w:t>Epileptic Disord</w:t>
      </w:r>
      <w:r w:rsidR="00C57742">
        <w:rPr>
          <w:i/>
        </w:rPr>
        <w:t>ers</w:t>
      </w:r>
      <w:r>
        <w:t xml:space="preserve">. </w:t>
      </w:r>
      <w:r w:rsidRPr="003806F3">
        <w:rPr>
          <w:b/>
        </w:rPr>
        <w:t>16</w:t>
      </w:r>
      <w:r>
        <w:t xml:space="preserve">, </w:t>
      </w:r>
      <w:r w:rsidR="00694817" w:rsidRPr="00694817">
        <w:t>280–295</w:t>
      </w:r>
      <w:r>
        <w:t xml:space="preserve"> (2014)</w:t>
      </w:r>
      <w:r w:rsidR="00694817" w:rsidRPr="00694817">
        <w:t>.</w:t>
      </w:r>
    </w:p>
    <w:p w14:paraId="3B211F4B" w14:textId="31024081" w:rsidR="00694817" w:rsidRDefault="00694817" w:rsidP="00694817">
      <w:pPr>
        <w:pStyle w:val="ListParagraph"/>
        <w:numPr>
          <w:ilvl w:val="0"/>
          <w:numId w:val="28"/>
        </w:numPr>
      </w:pPr>
      <w:proofErr w:type="spellStart"/>
      <w:r w:rsidRPr="003806F3">
        <w:t>Munyon</w:t>
      </w:r>
      <w:proofErr w:type="spellEnd"/>
      <w:r w:rsidR="003806F3" w:rsidRPr="003806F3">
        <w:t>,</w:t>
      </w:r>
      <w:r w:rsidRPr="003806F3">
        <w:t xml:space="preserve"> C</w:t>
      </w:r>
      <w:r w:rsidR="00C57742">
        <w:t>. et al.</w:t>
      </w:r>
      <w:r w:rsidRPr="003806F3">
        <w:t xml:space="preserve"> </w:t>
      </w:r>
      <w:r w:rsidRPr="00694817">
        <w:t xml:space="preserve">The 3‐dimensional grid: a novel approach to </w:t>
      </w:r>
      <w:proofErr w:type="spellStart"/>
      <w:r w:rsidRPr="00694817">
        <w:t>stereoelectroencephalography</w:t>
      </w:r>
      <w:proofErr w:type="spellEnd"/>
      <w:r w:rsidRPr="00694817">
        <w:t xml:space="preserve">. </w:t>
      </w:r>
      <w:r w:rsidRPr="003806F3">
        <w:rPr>
          <w:i/>
        </w:rPr>
        <w:t>Neurosurgery</w:t>
      </w:r>
      <w:r w:rsidR="003806F3">
        <w:t xml:space="preserve">. </w:t>
      </w:r>
      <w:r w:rsidR="003806F3" w:rsidRPr="003806F3">
        <w:rPr>
          <w:b/>
        </w:rPr>
        <w:t>11</w:t>
      </w:r>
      <w:r w:rsidR="003806F3">
        <w:t>, 27–133 (2015)</w:t>
      </w:r>
      <w:r w:rsidRPr="00694817">
        <w:t>.</w:t>
      </w:r>
    </w:p>
    <w:p w14:paraId="53480021" w14:textId="6B1A5E38" w:rsidR="00694817" w:rsidRPr="00092735" w:rsidRDefault="00694817" w:rsidP="00694817">
      <w:pPr>
        <w:pStyle w:val="ListParagraph"/>
        <w:numPr>
          <w:ilvl w:val="0"/>
          <w:numId w:val="28"/>
        </w:numPr>
      </w:pPr>
      <w:proofErr w:type="spellStart"/>
      <w:r w:rsidRPr="00694817">
        <w:t>Ortler</w:t>
      </w:r>
      <w:proofErr w:type="spellEnd"/>
      <w:r w:rsidR="00466F78">
        <w:t>,</w:t>
      </w:r>
      <w:r w:rsidRPr="00694817">
        <w:t xml:space="preserve"> M</w:t>
      </w:r>
      <w:r w:rsidR="00C57742">
        <w:t>. et al.</w:t>
      </w:r>
      <w:r w:rsidRPr="00694817">
        <w:t xml:space="preserve"> Frame‐based vs frameless placement of </w:t>
      </w:r>
      <w:proofErr w:type="spellStart"/>
      <w:r w:rsidRPr="00694817">
        <w:t>intrahippocampal</w:t>
      </w:r>
      <w:proofErr w:type="spellEnd"/>
      <w:r w:rsidRPr="00694817">
        <w:t xml:space="preserve"> depth electrodes in patients with refractory epilepsy: a c</w:t>
      </w:r>
      <w:bookmarkStart w:id="0" w:name="_GoBack"/>
      <w:bookmarkEnd w:id="0"/>
      <w:r w:rsidRPr="00694817">
        <w:t xml:space="preserve">omparative in vivo (application) study. </w:t>
      </w:r>
      <w:r w:rsidRPr="00466F78">
        <w:rPr>
          <w:i/>
        </w:rPr>
        <w:t>Neurosurgery</w:t>
      </w:r>
      <w:r w:rsidR="00466F78">
        <w:t xml:space="preserve">. </w:t>
      </w:r>
      <w:r w:rsidR="00466F78" w:rsidRPr="003806F3">
        <w:rPr>
          <w:b/>
        </w:rPr>
        <w:t>68</w:t>
      </w:r>
      <w:r w:rsidR="00466F78">
        <w:t>, 881–887 (2011)</w:t>
      </w:r>
      <w:r w:rsidRPr="00694817">
        <w:t>.</w:t>
      </w:r>
    </w:p>
    <w:p w14:paraId="2F22FC4B" w14:textId="77777777" w:rsidR="00092735" w:rsidRPr="00092735" w:rsidRDefault="00092735" w:rsidP="00092735"/>
    <w:p w14:paraId="642ED2FF" w14:textId="497F39D6" w:rsidR="00F01A99" w:rsidRPr="00FD5A6B" w:rsidRDefault="00F01A99">
      <w:pPr>
        <w:widowControl/>
        <w:autoSpaceDE/>
        <w:autoSpaceDN/>
        <w:adjustRightInd/>
        <w:jc w:val="left"/>
        <w:rPr>
          <w:rFonts w:asciiTheme="minorHAnsi" w:hAnsiTheme="minorHAnsi" w:cstheme="minorHAnsi"/>
          <w:color w:val="7F7F7F" w:themeColor="text1" w:themeTint="80"/>
        </w:rPr>
      </w:pPr>
    </w:p>
    <w:sectPr w:rsidR="00F01A99" w:rsidRPr="00FD5A6B" w:rsidSect="00B81B1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9A139" w14:textId="77777777" w:rsidR="0052529E" w:rsidRDefault="0052529E" w:rsidP="00621C4E">
      <w:r>
        <w:separator/>
      </w:r>
    </w:p>
  </w:endnote>
  <w:endnote w:type="continuationSeparator" w:id="0">
    <w:p w14:paraId="15683189" w14:textId="77777777" w:rsidR="0052529E" w:rsidRDefault="0052529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9ED86" w14:textId="77777777" w:rsidR="0052529E" w:rsidRDefault="0052529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AA51E" w14:textId="77777777" w:rsidR="0052529E" w:rsidRDefault="0052529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52529E" w:rsidRDefault="0052529E"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C32A6" w14:textId="77777777" w:rsidR="0052529E" w:rsidRDefault="0052529E" w:rsidP="00621C4E">
      <w:r>
        <w:separator/>
      </w:r>
    </w:p>
  </w:footnote>
  <w:footnote w:type="continuationSeparator" w:id="0">
    <w:p w14:paraId="17EB95A4" w14:textId="77777777" w:rsidR="0052529E" w:rsidRDefault="0052529E"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8BDC2" w14:textId="77777777" w:rsidR="0052529E" w:rsidRDefault="0052529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58B9F37" w:rsidR="0052529E" w:rsidRPr="006F06E4" w:rsidRDefault="0052529E" w:rsidP="00B81B15">
    <w:pPr>
      <w:pStyle w:val="Header"/>
      <w:tabs>
        <w:tab w:val="clear" w:pos="9360"/>
        <w:tab w:val="left" w:pos="5724"/>
      </w:tabs>
      <w:rPr>
        <w:b/>
        <w:color w:val="1F497D"/>
        <w:sz w:val="28"/>
        <w:szCs w:val="28"/>
      </w:rPr>
    </w:pPr>
    <w:r w:rsidRPr="009A38A5">
      <w:rPr>
        <w:sz w:val="22"/>
      </w:rPr>
      <w:tab/>
    </w:r>
    <w:r>
      <w:rPr>
        <w:sz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401380C7" w:rsidR="0052529E" w:rsidRPr="006F06E4" w:rsidRDefault="0052529E" w:rsidP="00F01A99">
    <w:pPr>
      <w:pStyle w:val="Header"/>
      <w:jc w:val="lef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743D5B"/>
    <w:multiLevelType w:val="hybridMultilevel"/>
    <w:tmpl w:val="2C9821C0"/>
    <w:lvl w:ilvl="0" w:tplc="19D66DBA">
      <w:start w:val="1"/>
      <w:numFmt w:val="bullet"/>
      <w:lvlText w:val="•"/>
      <w:lvlJc w:val="left"/>
      <w:pPr>
        <w:tabs>
          <w:tab w:val="num" w:pos="720"/>
        </w:tabs>
        <w:ind w:left="720" w:hanging="360"/>
      </w:pPr>
      <w:rPr>
        <w:rFonts w:ascii="Arial" w:hAnsi="Arial" w:hint="default"/>
      </w:rPr>
    </w:lvl>
    <w:lvl w:ilvl="1" w:tplc="DB3AB81E" w:tentative="1">
      <w:start w:val="1"/>
      <w:numFmt w:val="bullet"/>
      <w:lvlText w:val="•"/>
      <w:lvlJc w:val="left"/>
      <w:pPr>
        <w:tabs>
          <w:tab w:val="num" w:pos="1440"/>
        </w:tabs>
        <w:ind w:left="1440" w:hanging="360"/>
      </w:pPr>
      <w:rPr>
        <w:rFonts w:ascii="Arial" w:hAnsi="Arial" w:hint="default"/>
      </w:rPr>
    </w:lvl>
    <w:lvl w:ilvl="2" w:tplc="DBDC36CC" w:tentative="1">
      <w:start w:val="1"/>
      <w:numFmt w:val="bullet"/>
      <w:lvlText w:val="•"/>
      <w:lvlJc w:val="left"/>
      <w:pPr>
        <w:tabs>
          <w:tab w:val="num" w:pos="2160"/>
        </w:tabs>
        <w:ind w:left="2160" w:hanging="360"/>
      </w:pPr>
      <w:rPr>
        <w:rFonts w:ascii="Arial" w:hAnsi="Arial" w:hint="default"/>
      </w:rPr>
    </w:lvl>
    <w:lvl w:ilvl="3" w:tplc="9A203F06" w:tentative="1">
      <w:start w:val="1"/>
      <w:numFmt w:val="bullet"/>
      <w:lvlText w:val="•"/>
      <w:lvlJc w:val="left"/>
      <w:pPr>
        <w:tabs>
          <w:tab w:val="num" w:pos="2880"/>
        </w:tabs>
        <w:ind w:left="2880" w:hanging="360"/>
      </w:pPr>
      <w:rPr>
        <w:rFonts w:ascii="Arial" w:hAnsi="Arial" w:hint="default"/>
      </w:rPr>
    </w:lvl>
    <w:lvl w:ilvl="4" w:tplc="59D0E180" w:tentative="1">
      <w:start w:val="1"/>
      <w:numFmt w:val="bullet"/>
      <w:lvlText w:val="•"/>
      <w:lvlJc w:val="left"/>
      <w:pPr>
        <w:tabs>
          <w:tab w:val="num" w:pos="3600"/>
        </w:tabs>
        <w:ind w:left="3600" w:hanging="360"/>
      </w:pPr>
      <w:rPr>
        <w:rFonts w:ascii="Arial" w:hAnsi="Arial" w:hint="default"/>
      </w:rPr>
    </w:lvl>
    <w:lvl w:ilvl="5" w:tplc="73562E5A" w:tentative="1">
      <w:start w:val="1"/>
      <w:numFmt w:val="bullet"/>
      <w:lvlText w:val="•"/>
      <w:lvlJc w:val="left"/>
      <w:pPr>
        <w:tabs>
          <w:tab w:val="num" w:pos="4320"/>
        </w:tabs>
        <w:ind w:left="4320" w:hanging="360"/>
      </w:pPr>
      <w:rPr>
        <w:rFonts w:ascii="Arial" w:hAnsi="Arial" w:hint="default"/>
      </w:rPr>
    </w:lvl>
    <w:lvl w:ilvl="6" w:tplc="8ECA6D26" w:tentative="1">
      <w:start w:val="1"/>
      <w:numFmt w:val="bullet"/>
      <w:lvlText w:val="•"/>
      <w:lvlJc w:val="left"/>
      <w:pPr>
        <w:tabs>
          <w:tab w:val="num" w:pos="5040"/>
        </w:tabs>
        <w:ind w:left="5040" w:hanging="360"/>
      </w:pPr>
      <w:rPr>
        <w:rFonts w:ascii="Arial" w:hAnsi="Arial" w:hint="default"/>
      </w:rPr>
    </w:lvl>
    <w:lvl w:ilvl="7" w:tplc="D9EE3C5C" w:tentative="1">
      <w:start w:val="1"/>
      <w:numFmt w:val="bullet"/>
      <w:lvlText w:val="•"/>
      <w:lvlJc w:val="left"/>
      <w:pPr>
        <w:tabs>
          <w:tab w:val="num" w:pos="5760"/>
        </w:tabs>
        <w:ind w:left="5760" w:hanging="360"/>
      </w:pPr>
      <w:rPr>
        <w:rFonts w:ascii="Arial" w:hAnsi="Arial" w:hint="default"/>
      </w:rPr>
    </w:lvl>
    <w:lvl w:ilvl="8" w:tplc="0434C2D8" w:tentative="1">
      <w:start w:val="1"/>
      <w:numFmt w:val="bullet"/>
      <w:lvlText w:val="•"/>
      <w:lvlJc w:val="left"/>
      <w:pPr>
        <w:tabs>
          <w:tab w:val="num" w:pos="6480"/>
        </w:tabs>
        <w:ind w:left="6480" w:hanging="360"/>
      </w:pPr>
      <w:rPr>
        <w:rFonts w:ascii="Arial" w:hAnsi="Arial" w:hint="default"/>
      </w:r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CD1C09"/>
    <w:multiLevelType w:val="hybridMultilevel"/>
    <w:tmpl w:val="13BED6EC"/>
    <w:lvl w:ilvl="0" w:tplc="923C6F76">
      <w:start w:val="1"/>
      <w:numFmt w:val="decimal"/>
      <w:lvlText w:val="%1."/>
      <w:lvlJc w:val="left"/>
      <w:pPr>
        <w:ind w:left="1080" w:hanging="360"/>
      </w:pPr>
      <w:rPr>
        <w:rFonts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D555ED0"/>
    <w:multiLevelType w:val="hybridMultilevel"/>
    <w:tmpl w:val="5BC4C1DC"/>
    <w:lvl w:ilvl="0" w:tplc="A490B744">
      <w:start w:val="1"/>
      <w:numFmt w:val="bullet"/>
      <w:lvlText w:val="•"/>
      <w:lvlJc w:val="left"/>
      <w:pPr>
        <w:tabs>
          <w:tab w:val="num" w:pos="720"/>
        </w:tabs>
        <w:ind w:left="720" w:hanging="360"/>
      </w:pPr>
      <w:rPr>
        <w:rFonts w:ascii="Arial" w:hAnsi="Arial" w:hint="default"/>
      </w:rPr>
    </w:lvl>
    <w:lvl w:ilvl="1" w:tplc="5D10A5C2" w:tentative="1">
      <w:start w:val="1"/>
      <w:numFmt w:val="bullet"/>
      <w:lvlText w:val="•"/>
      <w:lvlJc w:val="left"/>
      <w:pPr>
        <w:tabs>
          <w:tab w:val="num" w:pos="1440"/>
        </w:tabs>
        <w:ind w:left="1440" w:hanging="360"/>
      </w:pPr>
      <w:rPr>
        <w:rFonts w:ascii="Arial" w:hAnsi="Arial" w:hint="default"/>
      </w:rPr>
    </w:lvl>
    <w:lvl w:ilvl="2" w:tplc="ACBACC14" w:tentative="1">
      <w:start w:val="1"/>
      <w:numFmt w:val="bullet"/>
      <w:lvlText w:val="•"/>
      <w:lvlJc w:val="left"/>
      <w:pPr>
        <w:tabs>
          <w:tab w:val="num" w:pos="2160"/>
        </w:tabs>
        <w:ind w:left="2160" w:hanging="360"/>
      </w:pPr>
      <w:rPr>
        <w:rFonts w:ascii="Arial" w:hAnsi="Arial" w:hint="default"/>
      </w:rPr>
    </w:lvl>
    <w:lvl w:ilvl="3" w:tplc="9C780E36" w:tentative="1">
      <w:start w:val="1"/>
      <w:numFmt w:val="bullet"/>
      <w:lvlText w:val="•"/>
      <w:lvlJc w:val="left"/>
      <w:pPr>
        <w:tabs>
          <w:tab w:val="num" w:pos="2880"/>
        </w:tabs>
        <w:ind w:left="2880" w:hanging="360"/>
      </w:pPr>
      <w:rPr>
        <w:rFonts w:ascii="Arial" w:hAnsi="Arial" w:hint="default"/>
      </w:rPr>
    </w:lvl>
    <w:lvl w:ilvl="4" w:tplc="82AA5BD6" w:tentative="1">
      <w:start w:val="1"/>
      <w:numFmt w:val="bullet"/>
      <w:lvlText w:val="•"/>
      <w:lvlJc w:val="left"/>
      <w:pPr>
        <w:tabs>
          <w:tab w:val="num" w:pos="3600"/>
        </w:tabs>
        <w:ind w:left="3600" w:hanging="360"/>
      </w:pPr>
      <w:rPr>
        <w:rFonts w:ascii="Arial" w:hAnsi="Arial" w:hint="default"/>
      </w:rPr>
    </w:lvl>
    <w:lvl w:ilvl="5" w:tplc="A40CE956" w:tentative="1">
      <w:start w:val="1"/>
      <w:numFmt w:val="bullet"/>
      <w:lvlText w:val="•"/>
      <w:lvlJc w:val="left"/>
      <w:pPr>
        <w:tabs>
          <w:tab w:val="num" w:pos="4320"/>
        </w:tabs>
        <w:ind w:left="4320" w:hanging="360"/>
      </w:pPr>
      <w:rPr>
        <w:rFonts w:ascii="Arial" w:hAnsi="Arial" w:hint="default"/>
      </w:rPr>
    </w:lvl>
    <w:lvl w:ilvl="6" w:tplc="4B543858" w:tentative="1">
      <w:start w:val="1"/>
      <w:numFmt w:val="bullet"/>
      <w:lvlText w:val="•"/>
      <w:lvlJc w:val="left"/>
      <w:pPr>
        <w:tabs>
          <w:tab w:val="num" w:pos="5040"/>
        </w:tabs>
        <w:ind w:left="5040" w:hanging="360"/>
      </w:pPr>
      <w:rPr>
        <w:rFonts w:ascii="Arial" w:hAnsi="Arial" w:hint="default"/>
      </w:rPr>
    </w:lvl>
    <w:lvl w:ilvl="7" w:tplc="DE588404" w:tentative="1">
      <w:start w:val="1"/>
      <w:numFmt w:val="bullet"/>
      <w:lvlText w:val="•"/>
      <w:lvlJc w:val="left"/>
      <w:pPr>
        <w:tabs>
          <w:tab w:val="num" w:pos="5760"/>
        </w:tabs>
        <w:ind w:left="5760" w:hanging="360"/>
      </w:pPr>
      <w:rPr>
        <w:rFonts w:ascii="Arial" w:hAnsi="Arial" w:hint="default"/>
      </w:rPr>
    </w:lvl>
    <w:lvl w:ilvl="8" w:tplc="33048864" w:tentative="1">
      <w:start w:val="1"/>
      <w:numFmt w:val="bullet"/>
      <w:lvlText w:val="•"/>
      <w:lvlJc w:val="left"/>
      <w:pPr>
        <w:tabs>
          <w:tab w:val="num" w:pos="6480"/>
        </w:tabs>
        <w:ind w:left="6480" w:hanging="360"/>
      </w:pPr>
      <w:rPr>
        <w:rFonts w:ascii="Arial" w:hAnsi="Arial" w:hint="default"/>
      </w:rPr>
    </w:lvl>
  </w:abstractNum>
  <w:abstractNum w:abstractNumId="9">
    <w:nsid w:val="2F19154E"/>
    <w:multiLevelType w:val="hybridMultilevel"/>
    <w:tmpl w:val="EFCC018E"/>
    <w:lvl w:ilvl="0" w:tplc="F1E0D536">
      <w:start w:val="1"/>
      <w:numFmt w:val="bullet"/>
      <w:lvlText w:val="•"/>
      <w:lvlJc w:val="left"/>
      <w:pPr>
        <w:tabs>
          <w:tab w:val="num" w:pos="720"/>
        </w:tabs>
        <w:ind w:left="720" w:hanging="360"/>
      </w:pPr>
      <w:rPr>
        <w:rFonts w:ascii="Arial" w:hAnsi="Arial" w:hint="default"/>
      </w:rPr>
    </w:lvl>
    <w:lvl w:ilvl="1" w:tplc="F892AF4E" w:tentative="1">
      <w:start w:val="1"/>
      <w:numFmt w:val="bullet"/>
      <w:lvlText w:val="•"/>
      <w:lvlJc w:val="left"/>
      <w:pPr>
        <w:tabs>
          <w:tab w:val="num" w:pos="1440"/>
        </w:tabs>
        <w:ind w:left="1440" w:hanging="360"/>
      </w:pPr>
      <w:rPr>
        <w:rFonts w:ascii="Arial" w:hAnsi="Arial" w:hint="default"/>
      </w:rPr>
    </w:lvl>
    <w:lvl w:ilvl="2" w:tplc="E486885C" w:tentative="1">
      <w:start w:val="1"/>
      <w:numFmt w:val="bullet"/>
      <w:lvlText w:val="•"/>
      <w:lvlJc w:val="left"/>
      <w:pPr>
        <w:tabs>
          <w:tab w:val="num" w:pos="2160"/>
        </w:tabs>
        <w:ind w:left="2160" w:hanging="360"/>
      </w:pPr>
      <w:rPr>
        <w:rFonts w:ascii="Arial" w:hAnsi="Arial" w:hint="default"/>
      </w:rPr>
    </w:lvl>
    <w:lvl w:ilvl="3" w:tplc="B5C4BFFC" w:tentative="1">
      <w:start w:val="1"/>
      <w:numFmt w:val="bullet"/>
      <w:lvlText w:val="•"/>
      <w:lvlJc w:val="left"/>
      <w:pPr>
        <w:tabs>
          <w:tab w:val="num" w:pos="2880"/>
        </w:tabs>
        <w:ind w:left="2880" w:hanging="360"/>
      </w:pPr>
      <w:rPr>
        <w:rFonts w:ascii="Arial" w:hAnsi="Arial" w:hint="default"/>
      </w:rPr>
    </w:lvl>
    <w:lvl w:ilvl="4" w:tplc="A11C17D6" w:tentative="1">
      <w:start w:val="1"/>
      <w:numFmt w:val="bullet"/>
      <w:lvlText w:val="•"/>
      <w:lvlJc w:val="left"/>
      <w:pPr>
        <w:tabs>
          <w:tab w:val="num" w:pos="3600"/>
        </w:tabs>
        <w:ind w:left="3600" w:hanging="360"/>
      </w:pPr>
      <w:rPr>
        <w:rFonts w:ascii="Arial" w:hAnsi="Arial" w:hint="default"/>
      </w:rPr>
    </w:lvl>
    <w:lvl w:ilvl="5" w:tplc="E264B91A" w:tentative="1">
      <w:start w:val="1"/>
      <w:numFmt w:val="bullet"/>
      <w:lvlText w:val="•"/>
      <w:lvlJc w:val="left"/>
      <w:pPr>
        <w:tabs>
          <w:tab w:val="num" w:pos="4320"/>
        </w:tabs>
        <w:ind w:left="4320" w:hanging="360"/>
      </w:pPr>
      <w:rPr>
        <w:rFonts w:ascii="Arial" w:hAnsi="Arial" w:hint="default"/>
      </w:rPr>
    </w:lvl>
    <w:lvl w:ilvl="6" w:tplc="974CC568" w:tentative="1">
      <w:start w:val="1"/>
      <w:numFmt w:val="bullet"/>
      <w:lvlText w:val="•"/>
      <w:lvlJc w:val="left"/>
      <w:pPr>
        <w:tabs>
          <w:tab w:val="num" w:pos="5040"/>
        </w:tabs>
        <w:ind w:left="5040" w:hanging="360"/>
      </w:pPr>
      <w:rPr>
        <w:rFonts w:ascii="Arial" w:hAnsi="Arial" w:hint="default"/>
      </w:rPr>
    </w:lvl>
    <w:lvl w:ilvl="7" w:tplc="DE1090A4" w:tentative="1">
      <w:start w:val="1"/>
      <w:numFmt w:val="bullet"/>
      <w:lvlText w:val="•"/>
      <w:lvlJc w:val="left"/>
      <w:pPr>
        <w:tabs>
          <w:tab w:val="num" w:pos="5760"/>
        </w:tabs>
        <w:ind w:left="5760" w:hanging="360"/>
      </w:pPr>
      <w:rPr>
        <w:rFonts w:ascii="Arial" w:hAnsi="Arial" w:hint="default"/>
      </w:rPr>
    </w:lvl>
    <w:lvl w:ilvl="8" w:tplc="53EC2050" w:tentative="1">
      <w:start w:val="1"/>
      <w:numFmt w:val="bullet"/>
      <w:lvlText w:val="•"/>
      <w:lvlJc w:val="left"/>
      <w:pPr>
        <w:tabs>
          <w:tab w:val="num" w:pos="6480"/>
        </w:tabs>
        <w:ind w:left="6480" w:hanging="360"/>
      </w:pPr>
      <w:rPr>
        <w:rFonts w:ascii="Arial" w:hAnsi="Arial" w:hint="default"/>
      </w:rPr>
    </w:lvl>
  </w:abstractNum>
  <w:abstractNum w:abstractNumId="1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E95B3B"/>
    <w:multiLevelType w:val="hybridMultilevel"/>
    <w:tmpl w:val="5602F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5334401B"/>
    <w:multiLevelType w:val="hybridMultilevel"/>
    <w:tmpl w:val="265CF658"/>
    <w:lvl w:ilvl="0" w:tplc="1E564C92">
      <w:start w:val="1"/>
      <w:numFmt w:val="bullet"/>
      <w:lvlText w:val="•"/>
      <w:lvlJc w:val="left"/>
      <w:pPr>
        <w:tabs>
          <w:tab w:val="num" w:pos="720"/>
        </w:tabs>
        <w:ind w:left="720" w:hanging="360"/>
      </w:pPr>
      <w:rPr>
        <w:rFonts w:ascii="Arial" w:hAnsi="Arial" w:hint="default"/>
      </w:rPr>
    </w:lvl>
    <w:lvl w:ilvl="1" w:tplc="07942860" w:tentative="1">
      <w:start w:val="1"/>
      <w:numFmt w:val="bullet"/>
      <w:lvlText w:val="•"/>
      <w:lvlJc w:val="left"/>
      <w:pPr>
        <w:tabs>
          <w:tab w:val="num" w:pos="1440"/>
        </w:tabs>
        <w:ind w:left="1440" w:hanging="360"/>
      </w:pPr>
      <w:rPr>
        <w:rFonts w:ascii="Arial" w:hAnsi="Arial" w:hint="default"/>
      </w:rPr>
    </w:lvl>
    <w:lvl w:ilvl="2" w:tplc="65004960" w:tentative="1">
      <w:start w:val="1"/>
      <w:numFmt w:val="bullet"/>
      <w:lvlText w:val="•"/>
      <w:lvlJc w:val="left"/>
      <w:pPr>
        <w:tabs>
          <w:tab w:val="num" w:pos="2160"/>
        </w:tabs>
        <w:ind w:left="2160" w:hanging="360"/>
      </w:pPr>
      <w:rPr>
        <w:rFonts w:ascii="Arial" w:hAnsi="Arial" w:hint="default"/>
      </w:rPr>
    </w:lvl>
    <w:lvl w:ilvl="3" w:tplc="6D720D2E" w:tentative="1">
      <w:start w:val="1"/>
      <w:numFmt w:val="bullet"/>
      <w:lvlText w:val="•"/>
      <w:lvlJc w:val="left"/>
      <w:pPr>
        <w:tabs>
          <w:tab w:val="num" w:pos="2880"/>
        </w:tabs>
        <w:ind w:left="2880" w:hanging="360"/>
      </w:pPr>
      <w:rPr>
        <w:rFonts w:ascii="Arial" w:hAnsi="Arial" w:hint="default"/>
      </w:rPr>
    </w:lvl>
    <w:lvl w:ilvl="4" w:tplc="FA10F012" w:tentative="1">
      <w:start w:val="1"/>
      <w:numFmt w:val="bullet"/>
      <w:lvlText w:val="•"/>
      <w:lvlJc w:val="left"/>
      <w:pPr>
        <w:tabs>
          <w:tab w:val="num" w:pos="3600"/>
        </w:tabs>
        <w:ind w:left="3600" w:hanging="360"/>
      </w:pPr>
      <w:rPr>
        <w:rFonts w:ascii="Arial" w:hAnsi="Arial" w:hint="default"/>
      </w:rPr>
    </w:lvl>
    <w:lvl w:ilvl="5" w:tplc="925EB96C" w:tentative="1">
      <w:start w:val="1"/>
      <w:numFmt w:val="bullet"/>
      <w:lvlText w:val="•"/>
      <w:lvlJc w:val="left"/>
      <w:pPr>
        <w:tabs>
          <w:tab w:val="num" w:pos="4320"/>
        </w:tabs>
        <w:ind w:left="4320" w:hanging="360"/>
      </w:pPr>
      <w:rPr>
        <w:rFonts w:ascii="Arial" w:hAnsi="Arial" w:hint="default"/>
      </w:rPr>
    </w:lvl>
    <w:lvl w:ilvl="6" w:tplc="18DABE4A" w:tentative="1">
      <w:start w:val="1"/>
      <w:numFmt w:val="bullet"/>
      <w:lvlText w:val="•"/>
      <w:lvlJc w:val="left"/>
      <w:pPr>
        <w:tabs>
          <w:tab w:val="num" w:pos="5040"/>
        </w:tabs>
        <w:ind w:left="5040" w:hanging="360"/>
      </w:pPr>
      <w:rPr>
        <w:rFonts w:ascii="Arial" w:hAnsi="Arial" w:hint="default"/>
      </w:rPr>
    </w:lvl>
    <w:lvl w:ilvl="7" w:tplc="AA3EA746" w:tentative="1">
      <w:start w:val="1"/>
      <w:numFmt w:val="bullet"/>
      <w:lvlText w:val="•"/>
      <w:lvlJc w:val="left"/>
      <w:pPr>
        <w:tabs>
          <w:tab w:val="num" w:pos="5760"/>
        </w:tabs>
        <w:ind w:left="5760" w:hanging="360"/>
      </w:pPr>
      <w:rPr>
        <w:rFonts w:ascii="Arial" w:hAnsi="Arial" w:hint="default"/>
      </w:rPr>
    </w:lvl>
    <w:lvl w:ilvl="8" w:tplc="D7E4BFD4" w:tentative="1">
      <w:start w:val="1"/>
      <w:numFmt w:val="bullet"/>
      <w:lvlText w:val="•"/>
      <w:lvlJc w:val="left"/>
      <w:pPr>
        <w:tabs>
          <w:tab w:val="num" w:pos="6480"/>
        </w:tabs>
        <w:ind w:left="6480" w:hanging="360"/>
      </w:pPr>
      <w:rPr>
        <w:rFonts w:ascii="Arial" w:hAnsi="Arial" w:hint="default"/>
      </w:rPr>
    </w:lvl>
  </w:abstractNum>
  <w:abstractNum w:abstractNumId="19">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625F25BD"/>
    <w:multiLevelType w:val="hybridMultilevel"/>
    <w:tmpl w:val="E5E05EC4"/>
    <w:lvl w:ilvl="0" w:tplc="E05A9EA6">
      <w:start w:val="1"/>
      <w:numFmt w:val="bullet"/>
      <w:lvlText w:val="•"/>
      <w:lvlJc w:val="left"/>
      <w:pPr>
        <w:tabs>
          <w:tab w:val="num" w:pos="720"/>
        </w:tabs>
        <w:ind w:left="720" w:hanging="360"/>
      </w:pPr>
      <w:rPr>
        <w:rFonts w:ascii="Arial" w:hAnsi="Arial" w:hint="default"/>
      </w:rPr>
    </w:lvl>
    <w:lvl w:ilvl="1" w:tplc="B98CA4EE" w:tentative="1">
      <w:start w:val="1"/>
      <w:numFmt w:val="bullet"/>
      <w:lvlText w:val="•"/>
      <w:lvlJc w:val="left"/>
      <w:pPr>
        <w:tabs>
          <w:tab w:val="num" w:pos="1440"/>
        </w:tabs>
        <w:ind w:left="1440" w:hanging="360"/>
      </w:pPr>
      <w:rPr>
        <w:rFonts w:ascii="Arial" w:hAnsi="Arial" w:hint="default"/>
      </w:rPr>
    </w:lvl>
    <w:lvl w:ilvl="2" w:tplc="C5A4C570" w:tentative="1">
      <w:start w:val="1"/>
      <w:numFmt w:val="bullet"/>
      <w:lvlText w:val="•"/>
      <w:lvlJc w:val="left"/>
      <w:pPr>
        <w:tabs>
          <w:tab w:val="num" w:pos="2160"/>
        </w:tabs>
        <w:ind w:left="2160" w:hanging="360"/>
      </w:pPr>
      <w:rPr>
        <w:rFonts w:ascii="Arial" w:hAnsi="Arial" w:hint="default"/>
      </w:rPr>
    </w:lvl>
    <w:lvl w:ilvl="3" w:tplc="E2C88D68" w:tentative="1">
      <w:start w:val="1"/>
      <w:numFmt w:val="bullet"/>
      <w:lvlText w:val="•"/>
      <w:lvlJc w:val="left"/>
      <w:pPr>
        <w:tabs>
          <w:tab w:val="num" w:pos="2880"/>
        </w:tabs>
        <w:ind w:left="2880" w:hanging="360"/>
      </w:pPr>
      <w:rPr>
        <w:rFonts w:ascii="Arial" w:hAnsi="Arial" w:hint="default"/>
      </w:rPr>
    </w:lvl>
    <w:lvl w:ilvl="4" w:tplc="43D0DF2A" w:tentative="1">
      <w:start w:val="1"/>
      <w:numFmt w:val="bullet"/>
      <w:lvlText w:val="•"/>
      <w:lvlJc w:val="left"/>
      <w:pPr>
        <w:tabs>
          <w:tab w:val="num" w:pos="3600"/>
        </w:tabs>
        <w:ind w:left="3600" w:hanging="360"/>
      </w:pPr>
      <w:rPr>
        <w:rFonts w:ascii="Arial" w:hAnsi="Arial" w:hint="default"/>
      </w:rPr>
    </w:lvl>
    <w:lvl w:ilvl="5" w:tplc="EC425828" w:tentative="1">
      <w:start w:val="1"/>
      <w:numFmt w:val="bullet"/>
      <w:lvlText w:val="•"/>
      <w:lvlJc w:val="left"/>
      <w:pPr>
        <w:tabs>
          <w:tab w:val="num" w:pos="4320"/>
        </w:tabs>
        <w:ind w:left="4320" w:hanging="360"/>
      </w:pPr>
      <w:rPr>
        <w:rFonts w:ascii="Arial" w:hAnsi="Arial" w:hint="default"/>
      </w:rPr>
    </w:lvl>
    <w:lvl w:ilvl="6" w:tplc="739CA638" w:tentative="1">
      <w:start w:val="1"/>
      <w:numFmt w:val="bullet"/>
      <w:lvlText w:val="•"/>
      <w:lvlJc w:val="left"/>
      <w:pPr>
        <w:tabs>
          <w:tab w:val="num" w:pos="5040"/>
        </w:tabs>
        <w:ind w:left="5040" w:hanging="360"/>
      </w:pPr>
      <w:rPr>
        <w:rFonts w:ascii="Arial" w:hAnsi="Arial" w:hint="default"/>
      </w:rPr>
    </w:lvl>
    <w:lvl w:ilvl="7" w:tplc="608E8E1E" w:tentative="1">
      <w:start w:val="1"/>
      <w:numFmt w:val="bullet"/>
      <w:lvlText w:val="•"/>
      <w:lvlJc w:val="left"/>
      <w:pPr>
        <w:tabs>
          <w:tab w:val="num" w:pos="5760"/>
        </w:tabs>
        <w:ind w:left="5760" w:hanging="360"/>
      </w:pPr>
      <w:rPr>
        <w:rFonts w:ascii="Arial" w:hAnsi="Arial" w:hint="default"/>
      </w:rPr>
    </w:lvl>
    <w:lvl w:ilvl="8" w:tplc="9D30B8F4" w:tentative="1">
      <w:start w:val="1"/>
      <w:numFmt w:val="bullet"/>
      <w:lvlText w:val="•"/>
      <w:lvlJc w:val="left"/>
      <w:pPr>
        <w:tabs>
          <w:tab w:val="num" w:pos="6480"/>
        </w:tabs>
        <w:ind w:left="6480" w:hanging="360"/>
      </w:pPr>
      <w:rPr>
        <w:rFonts w:ascii="Arial" w:hAnsi="Arial" w:hint="default"/>
      </w:rPr>
    </w:lvl>
  </w:abstractNum>
  <w:abstractNum w:abstractNumId="26">
    <w:nsid w:val="63C014A3"/>
    <w:multiLevelType w:val="hybridMultilevel"/>
    <w:tmpl w:val="E7288760"/>
    <w:lvl w:ilvl="0" w:tplc="923C6F76">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15430D"/>
    <w:multiLevelType w:val="hybridMultilevel"/>
    <w:tmpl w:val="3ACE5152"/>
    <w:lvl w:ilvl="0" w:tplc="0BFC2010">
      <w:start w:val="1"/>
      <w:numFmt w:val="bullet"/>
      <w:lvlText w:val="•"/>
      <w:lvlJc w:val="left"/>
      <w:pPr>
        <w:tabs>
          <w:tab w:val="num" w:pos="720"/>
        </w:tabs>
        <w:ind w:left="720" w:hanging="360"/>
      </w:pPr>
      <w:rPr>
        <w:rFonts w:ascii="Arial" w:hAnsi="Arial" w:hint="default"/>
      </w:rPr>
    </w:lvl>
    <w:lvl w:ilvl="1" w:tplc="63680C00" w:tentative="1">
      <w:start w:val="1"/>
      <w:numFmt w:val="bullet"/>
      <w:lvlText w:val="•"/>
      <w:lvlJc w:val="left"/>
      <w:pPr>
        <w:tabs>
          <w:tab w:val="num" w:pos="1440"/>
        </w:tabs>
        <w:ind w:left="1440" w:hanging="360"/>
      </w:pPr>
      <w:rPr>
        <w:rFonts w:ascii="Arial" w:hAnsi="Arial" w:hint="default"/>
      </w:rPr>
    </w:lvl>
    <w:lvl w:ilvl="2" w:tplc="96D4EF5A" w:tentative="1">
      <w:start w:val="1"/>
      <w:numFmt w:val="bullet"/>
      <w:lvlText w:val="•"/>
      <w:lvlJc w:val="left"/>
      <w:pPr>
        <w:tabs>
          <w:tab w:val="num" w:pos="2160"/>
        </w:tabs>
        <w:ind w:left="2160" w:hanging="360"/>
      </w:pPr>
      <w:rPr>
        <w:rFonts w:ascii="Arial" w:hAnsi="Arial" w:hint="default"/>
      </w:rPr>
    </w:lvl>
    <w:lvl w:ilvl="3" w:tplc="F704E8BC" w:tentative="1">
      <w:start w:val="1"/>
      <w:numFmt w:val="bullet"/>
      <w:lvlText w:val="•"/>
      <w:lvlJc w:val="left"/>
      <w:pPr>
        <w:tabs>
          <w:tab w:val="num" w:pos="2880"/>
        </w:tabs>
        <w:ind w:left="2880" w:hanging="360"/>
      </w:pPr>
      <w:rPr>
        <w:rFonts w:ascii="Arial" w:hAnsi="Arial" w:hint="default"/>
      </w:rPr>
    </w:lvl>
    <w:lvl w:ilvl="4" w:tplc="39E2F076" w:tentative="1">
      <w:start w:val="1"/>
      <w:numFmt w:val="bullet"/>
      <w:lvlText w:val="•"/>
      <w:lvlJc w:val="left"/>
      <w:pPr>
        <w:tabs>
          <w:tab w:val="num" w:pos="3600"/>
        </w:tabs>
        <w:ind w:left="3600" w:hanging="360"/>
      </w:pPr>
      <w:rPr>
        <w:rFonts w:ascii="Arial" w:hAnsi="Arial" w:hint="default"/>
      </w:rPr>
    </w:lvl>
    <w:lvl w:ilvl="5" w:tplc="8FB6A6DA" w:tentative="1">
      <w:start w:val="1"/>
      <w:numFmt w:val="bullet"/>
      <w:lvlText w:val="•"/>
      <w:lvlJc w:val="left"/>
      <w:pPr>
        <w:tabs>
          <w:tab w:val="num" w:pos="4320"/>
        </w:tabs>
        <w:ind w:left="4320" w:hanging="360"/>
      </w:pPr>
      <w:rPr>
        <w:rFonts w:ascii="Arial" w:hAnsi="Arial" w:hint="default"/>
      </w:rPr>
    </w:lvl>
    <w:lvl w:ilvl="6" w:tplc="72628C62" w:tentative="1">
      <w:start w:val="1"/>
      <w:numFmt w:val="bullet"/>
      <w:lvlText w:val="•"/>
      <w:lvlJc w:val="left"/>
      <w:pPr>
        <w:tabs>
          <w:tab w:val="num" w:pos="5040"/>
        </w:tabs>
        <w:ind w:left="5040" w:hanging="360"/>
      </w:pPr>
      <w:rPr>
        <w:rFonts w:ascii="Arial" w:hAnsi="Arial" w:hint="default"/>
      </w:rPr>
    </w:lvl>
    <w:lvl w:ilvl="7" w:tplc="21AC3E80" w:tentative="1">
      <w:start w:val="1"/>
      <w:numFmt w:val="bullet"/>
      <w:lvlText w:val="•"/>
      <w:lvlJc w:val="left"/>
      <w:pPr>
        <w:tabs>
          <w:tab w:val="num" w:pos="5760"/>
        </w:tabs>
        <w:ind w:left="5760" w:hanging="360"/>
      </w:pPr>
      <w:rPr>
        <w:rFonts w:ascii="Arial" w:hAnsi="Arial" w:hint="default"/>
      </w:rPr>
    </w:lvl>
    <w:lvl w:ilvl="8" w:tplc="28D49318" w:tentative="1">
      <w:start w:val="1"/>
      <w:numFmt w:val="bullet"/>
      <w:lvlText w:val="•"/>
      <w:lvlJc w:val="left"/>
      <w:pPr>
        <w:tabs>
          <w:tab w:val="num" w:pos="6480"/>
        </w:tabs>
        <w:ind w:left="6480" w:hanging="360"/>
      </w:pPr>
      <w:rPr>
        <w:rFonts w:ascii="Arial" w:hAnsi="Arial" w:hint="default"/>
      </w:rPr>
    </w:lvl>
  </w:abstractNum>
  <w:abstractNum w:abstractNumId="31">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2"/>
  </w:num>
  <w:num w:numId="3">
    <w:abstractNumId w:val="3"/>
  </w:num>
  <w:num w:numId="4">
    <w:abstractNumId w:val="20"/>
  </w:num>
  <w:num w:numId="5">
    <w:abstractNumId w:val="11"/>
  </w:num>
  <w:num w:numId="6">
    <w:abstractNumId w:val="19"/>
  </w:num>
  <w:num w:numId="7">
    <w:abstractNumId w:val="0"/>
  </w:num>
  <w:num w:numId="8">
    <w:abstractNumId w:val="12"/>
  </w:num>
  <w:num w:numId="9">
    <w:abstractNumId w:val="14"/>
  </w:num>
  <w:num w:numId="10">
    <w:abstractNumId w:val="21"/>
  </w:num>
  <w:num w:numId="11">
    <w:abstractNumId w:val="27"/>
  </w:num>
  <w:num w:numId="12">
    <w:abstractNumId w:val="1"/>
  </w:num>
  <w:num w:numId="13">
    <w:abstractNumId w:val="23"/>
  </w:num>
  <w:num w:numId="14">
    <w:abstractNumId w:val="32"/>
  </w:num>
  <w:num w:numId="15">
    <w:abstractNumId w:val="15"/>
  </w:num>
  <w:num w:numId="16">
    <w:abstractNumId w:val="10"/>
  </w:num>
  <w:num w:numId="17">
    <w:abstractNumId w:val="24"/>
  </w:num>
  <w:num w:numId="18">
    <w:abstractNumId w:val="16"/>
  </w:num>
  <w:num w:numId="19">
    <w:abstractNumId w:val="29"/>
  </w:num>
  <w:num w:numId="20">
    <w:abstractNumId w:val="2"/>
  </w:num>
  <w:num w:numId="21">
    <w:abstractNumId w:val="31"/>
  </w:num>
  <w:num w:numId="22">
    <w:abstractNumId w:val="28"/>
  </w:num>
  <w:num w:numId="23">
    <w:abstractNumId w:val="17"/>
  </w:num>
  <w:num w:numId="24">
    <w:abstractNumId w:val="33"/>
  </w:num>
  <w:num w:numId="25">
    <w:abstractNumId w:val="7"/>
  </w:num>
  <w:num w:numId="26">
    <w:abstractNumId w:val="13"/>
  </w:num>
  <w:num w:numId="27">
    <w:abstractNumId w:val="26"/>
  </w:num>
  <w:num w:numId="28">
    <w:abstractNumId w:val="6"/>
  </w:num>
  <w:num w:numId="29">
    <w:abstractNumId w:val="30"/>
  </w:num>
  <w:num w:numId="30">
    <w:abstractNumId w:val="4"/>
  </w:num>
  <w:num w:numId="31">
    <w:abstractNumId w:val="9"/>
  </w:num>
  <w:num w:numId="32">
    <w:abstractNumId w:val="8"/>
  </w:num>
  <w:num w:numId="33">
    <w:abstractNumId w:val="18"/>
  </w:num>
  <w:num w:numId="34">
    <w:abstractNumId w:val="25"/>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 Jaes">
    <w15:presenceInfo w15:providerId="AD" w15:userId="S-1-5-21-416425361-97259607-924725345-526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20D8"/>
    <w:rsid w:val="00023869"/>
    <w:rsid w:val="00024598"/>
    <w:rsid w:val="000279B0"/>
    <w:rsid w:val="00032769"/>
    <w:rsid w:val="0003311E"/>
    <w:rsid w:val="00037B58"/>
    <w:rsid w:val="000509E9"/>
    <w:rsid w:val="00051B73"/>
    <w:rsid w:val="000532C8"/>
    <w:rsid w:val="00060ABE"/>
    <w:rsid w:val="00061A50"/>
    <w:rsid w:val="0006361B"/>
    <w:rsid w:val="00064104"/>
    <w:rsid w:val="000652E3"/>
    <w:rsid w:val="00066025"/>
    <w:rsid w:val="00067A8F"/>
    <w:rsid w:val="000701D1"/>
    <w:rsid w:val="0007662E"/>
    <w:rsid w:val="00080A20"/>
    <w:rsid w:val="00082796"/>
    <w:rsid w:val="00082DF4"/>
    <w:rsid w:val="00086FF5"/>
    <w:rsid w:val="00087C0A"/>
    <w:rsid w:val="00092735"/>
    <w:rsid w:val="00093BC4"/>
    <w:rsid w:val="000943E6"/>
    <w:rsid w:val="00097929"/>
    <w:rsid w:val="000A1E80"/>
    <w:rsid w:val="000A3B70"/>
    <w:rsid w:val="000A5153"/>
    <w:rsid w:val="000B10AE"/>
    <w:rsid w:val="000B30BF"/>
    <w:rsid w:val="000B38C2"/>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104F3"/>
    <w:rsid w:val="00112EEB"/>
    <w:rsid w:val="001173FF"/>
    <w:rsid w:val="0012563A"/>
    <w:rsid w:val="001264DE"/>
    <w:rsid w:val="001313A7"/>
    <w:rsid w:val="0013276F"/>
    <w:rsid w:val="0013621E"/>
    <w:rsid w:val="0013642E"/>
    <w:rsid w:val="00142EFE"/>
    <w:rsid w:val="00152A23"/>
    <w:rsid w:val="00162CB7"/>
    <w:rsid w:val="001665C9"/>
    <w:rsid w:val="00166F32"/>
    <w:rsid w:val="00171E5B"/>
    <w:rsid w:val="00171F94"/>
    <w:rsid w:val="00175D4E"/>
    <w:rsid w:val="0017636A"/>
    <w:rsid w:val="0017668A"/>
    <w:rsid w:val="001766FE"/>
    <w:rsid w:val="001771E7"/>
    <w:rsid w:val="00185C78"/>
    <w:rsid w:val="001911FF"/>
    <w:rsid w:val="00192006"/>
    <w:rsid w:val="00193180"/>
    <w:rsid w:val="00196792"/>
    <w:rsid w:val="001A5DDD"/>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6E88"/>
    <w:rsid w:val="001E7376"/>
    <w:rsid w:val="001F008D"/>
    <w:rsid w:val="001F225C"/>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605D1"/>
    <w:rsid w:val="00260652"/>
    <w:rsid w:val="00261F25"/>
    <w:rsid w:val="002648A9"/>
    <w:rsid w:val="0026536F"/>
    <w:rsid w:val="0026553C"/>
    <w:rsid w:val="002667AA"/>
    <w:rsid w:val="00267DD5"/>
    <w:rsid w:val="00274A0A"/>
    <w:rsid w:val="00277593"/>
    <w:rsid w:val="00280909"/>
    <w:rsid w:val="00280918"/>
    <w:rsid w:val="00282AF6"/>
    <w:rsid w:val="0028596A"/>
    <w:rsid w:val="00287085"/>
    <w:rsid w:val="00290AF9"/>
    <w:rsid w:val="00294297"/>
    <w:rsid w:val="002967CF"/>
    <w:rsid w:val="00297788"/>
    <w:rsid w:val="002A3285"/>
    <w:rsid w:val="002A484B"/>
    <w:rsid w:val="002A64A6"/>
    <w:rsid w:val="002B3301"/>
    <w:rsid w:val="002C47D4"/>
    <w:rsid w:val="002C7AF9"/>
    <w:rsid w:val="002D0F38"/>
    <w:rsid w:val="002D77E3"/>
    <w:rsid w:val="002F2859"/>
    <w:rsid w:val="002F5EE3"/>
    <w:rsid w:val="002F6E3C"/>
    <w:rsid w:val="0030117D"/>
    <w:rsid w:val="003012F7"/>
    <w:rsid w:val="00301F30"/>
    <w:rsid w:val="003038FD"/>
    <w:rsid w:val="00303C87"/>
    <w:rsid w:val="003108E5"/>
    <w:rsid w:val="003120CB"/>
    <w:rsid w:val="00320153"/>
    <w:rsid w:val="00320367"/>
    <w:rsid w:val="00322871"/>
    <w:rsid w:val="00326FB3"/>
    <w:rsid w:val="003316D4"/>
    <w:rsid w:val="00333822"/>
    <w:rsid w:val="00336715"/>
    <w:rsid w:val="003401EC"/>
    <w:rsid w:val="00340DFD"/>
    <w:rsid w:val="00344954"/>
    <w:rsid w:val="00350CD7"/>
    <w:rsid w:val="0035291A"/>
    <w:rsid w:val="00360C17"/>
    <w:rsid w:val="003621C6"/>
    <w:rsid w:val="003622B8"/>
    <w:rsid w:val="00366B76"/>
    <w:rsid w:val="00373051"/>
    <w:rsid w:val="00373B8F"/>
    <w:rsid w:val="00376D95"/>
    <w:rsid w:val="00377FBB"/>
    <w:rsid w:val="003806F3"/>
    <w:rsid w:val="00385140"/>
    <w:rsid w:val="00391BAE"/>
    <w:rsid w:val="00393CC7"/>
    <w:rsid w:val="003971F7"/>
    <w:rsid w:val="003A16FC"/>
    <w:rsid w:val="003A4FCD"/>
    <w:rsid w:val="003B0944"/>
    <w:rsid w:val="003B0EA3"/>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3AF"/>
    <w:rsid w:val="003E548E"/>
    <w:rsid w:val="00407EC8"/>
    <w:rsid w:val="004110CB"/>
    <w:rsid w:val="0041110A"/>
    <w:rsid w:val="00411624"/>
    <w:rsid w:val="00411F1D"/>
    <w:rsid w:val="004148E1"/>
    <w:rsid w:val="00414CFA"/>
    <w:rsid w:val="00415EC0"/>
    <w:rsid w:val="00420BE9"/>
    <w:rsid w:val="00423AD8"/>
    <w:rsid w:val="00423FDD"/>
    <w:rsid w:val="00424C85"/>
    <w:rsid w:val="004260BD"/>
    <w:rsid w:val="0043012F"/>
    <w:rsid w:val="00430F1F"/>
    <w:rsid w:val="004326EA"/>
    <w:rsid w:val="00443485"/>
    <w:rsid w:val="0044434C"/>
    <w:rsid w:val="0044456B"/>
    <w:rsid w:val="00445CC8"/>
    <w:rsid w:val="00447BD1"/>
    <w:rsid w:val="004507F3"/>
    <w:rsid w:val="00450AF4"/>
    <w:rsid w:val="00456A57"/>
    <w:rsid w:val="004607DE"/>
    <w:rsid w:val="00466F78"/>
    <w:rsid w:val="004671C7"/>
    <w:rsid w:val="00472F4D"/>
    <w:rsid w:val="004730BF"/>
    <w:rsid w:val="00474DCB"/>
    <w:rsid w:val="0047535C"/>
    <w:rsid w:val="004762F6"/>
    <w:rsid w:val="00485870"/>
    <w:rsid w:val="00485FE8"/>
    <w:rsid w:val="00487727"/>
    <w:rsid w:val="00492473"/>
    <w:rsid w:val="00492EB5"/>
    <w:rsid w:val="00494EFA"/>
    <w:rsid w:val="00494F77"/>
    <w:rsid w:val="00497721"/>
    <w:rsid w:val="004A0229"/>
    <w:rsid w:val="004A35D2"/>
    <w:rsid w:val="004A546D"/>
    <w:rsid w:val="004A71E4"/>
    <w:rsid w:val="004B2F00"/>
    <w:rsid w:val="004B6E31"/>
    <w:rsid w:val="004C1D66"/>
    <w:rsid w:val="004C31D7"/>
    <w:rsid w:val="004C4AD2"/>
    <w:rsid w:val="004C6981"/>
    <w:rsid w:val="004D1F21"/>
    <w:rsid w:val="004D268C"/>
    <w:rsid w:val="004D32C9"/>
    <w:rsid w:val="004D59D8"/>
    <w:rsid w:val="004D5DA1"/>
    <w:rsid w:val="004E150F"/>
    <w:rsid w:val="004E1DCA"/>
    <w:rsid w:val="004E23A1"/>
    <w:rsid w:val="004E3489"/>
    <w:rsid w:val="004E358A"/>
    <w:rsid w:val="004E3AFA"/>
    <w:rsid w:val="004E6588"/>
    <w:rsid w:val="004F2742"/>
    <w:rsid w:val="00502A0A"/>
    <w:rsid w:val="00507C50"/>
    <w:rsid w:val="00514D40"/>
    <w:rsid w:val="00515C66"/>
    <w:rsid w:val="00517C3A"/>
    <w:rsid w:val="0052268F"/>
    <w:rsid w:val="0052529E"/>
    <w:rsid w:val="00527BF4"/>
    <w:rsid w:val="005324BE"/>
    <w:rsid w:val="00534F6C"/>
    <w:rsid w:val="00535994"/>
    <w:rsid w:val="0053646D"/>
    <w:rsid w:val="00540AAD"/>
    <w:rsid w:val="0054329A"/>
    <w:rsid w:val="00543EC1"/>
    <w:rsid w:val="00546458"/>
    <w:rsid w:val="0055087C"/>
    <w:rsid w:val="00553413"/>
    <w:rsid w:val="00555983"/>
    <w:rsid w:val="00560E31"/>
    <w:rsid w:val="00561BDA"/>
    <w:rsid w:val="00566A2B"/>
    <w:rsid w:val="00581B23"/>
    <w:rsid w:val="0058219C"/>
    <w:rsid w:val="0058707F"/>
    <w:rsid w:val="00590640"/>
    <w:rsid w:val="00591DBD"/>
    <w:rsid w:val="005931FE"/>
    <w:rsid w:val="005A0028"/>
    <w:rsid w:val="005A0ACC"/>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E7CB4"/>
    <w:rsid w:val="005F373A"/>
    <w:rsid w:val="005F4F87"/>
    <w:rsid w:val="005F6B0E"/>
    <w:rsid w:val="005F760E"/>
    <w:rsid w:val="005F7B1D"/>
    <w:rsid w:val="0060222A"/>
    <w:rsid w:val="006070C4"/>
    <w:rsid w:val="0061067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36E88"/>
    <w:rsid w:val="006411CA"/>
    <w:rsid w:val="0064605E"/>
    <w:rsid w:val="00656D3A"/>
    <w:rsid w:val="006619C8"/>
    <w:rsid w:val="00671710"/>
    <w:rsid w:val="00673414"/>
    <w:rsid w:val="00676079"/>
    <w:rsid w:val="00676ECD"/>
    <w:rsid w:val="00677A3A"/>
    <w:rsid w:val="00677D0A"/>
    <w:rsid w:val="0068185F"/>
    <w:rsid w:val="00694817"/>
    <w:rsid w:val="0069516F"/>
    <w:rsid w:val="006A01CF"/>
    <w:rsid w:val="006A60DD"/>
    <w:rsid w:val="006B0679"/>
    <w:rsid w:val="006B074C"/>
    <w:rsid w:val="006B3B84"/>
    <w:rsid w:val="006B4E7C"/>
    <w:rsid w:val="006B5D8C"/>
    <w:rsid w:val="006B72D4"/>
    <w:rsid w:val="006C11CC"/>
    <w:rsid w:val="006C1AEB"/>
    <w:rsid w:val="006C57FE"/>
    <w:rsid w:val="006C668E"/>
    <w:rsid w:val="006E4B63"/>
    <w:rsid w:val="006F06E4"/>
    <w:rsid w:val="006F7B41"/>
    <w:rsid w:val="00702B5D"/>
    <w:rsid w:val="00703ED2"/>
    <w:rsid w:val="00707B8D"/>
    <w:rsid w:val="00710CC5"/>
    <w:rsid w:val="0071157D"/>
    <w:rsid w:val="00713636"/>
    <w:rsid w:val="00714B8C"/>
    <w:rsid w:val="0071675D"/>
    <w:rsid w:val="00717736"/>
    <w:rsid w:val="00732B47"/>
    <w:rsid w:val="00734A03"/>
    <w:rsid w:val="00735CF5"/>
    <w:rsid w:val="0074063A"/>
    <w:rsid w:val="00742AA4"/>
    <w:rsid w:val="00743BA1"/>
    <w:rsid w:val="00745F1E"/>
    <w:rsid w:val="007466EF"/>
    <w:rsid w:val="007515FE"/>
    <w:rsid w:val="007601D0"/>
    <w:rsid w:val="007603BB"/>
    <w:rsid w:val="0076109D"/>
    <w:rsid w:val="0076380D"/>
    <w:rsid w:val="00767107"/>
    <w:rsid w:val="00773617"/>
    <w:rsid w:val="00773BFD"/>
    <w:rsid w:val="007743B3"/>
    <w:rsid w:val="00774490"/>
    <w:rsid w:val="007819FF"/>
    <w:rsid w:val="00781EC1"/>
    <w:rsid w:val="0078360C"/>
    <w:rsid w:val="00784A4C"/>
    <w:rsid w:val="00784BC6"/>
    <w:rsid w:val="0078523D"/>
    <w:rsid w:val="007931DF"/>
    <w:rsid w:val="007A0172"/>
    <w:rsid w:val="007A1804"/>
    <w:rsid w:val="007A2511"/>
    <w:rsid w:val="007A260E"/>
    <w:rsid w:val="007A4D4C"/>
    <w:rsid w:val="007A4DD6"/>
    <w:rsid w:val="007A5CB9"/>
    <w:rsid w:val="007B0D26"/>
    <w:rsid w:val="007B20AE"/>
    <w:rsid w:val="007B6B07"/>
    <w:rsid w:val="007B6D43"/>
    <w:rsid w:val="007B749A"/>
    <w:rsid w:val="007B7C6E"/>
    <w:rsid w:val="007D44D7"/>
    <w:rsid w:val="007D4F28"/>
    <w:rsid w:val="007D621A"/>
    <w:rsid w:val="007E058A"/>
    <w:rsid w:val="007E2887"/>
    <w:rsid w:val="007E5278"/>
    <w:rsid w:val="007E749C"/>
    <w:rsid w:val="007F1B5C"/>
    <w:rsid w:val="007F312D"/>
    <w:rsid w:val="00801257"/>
    <w:rsid w:val="00801877"/>
    <w:rsid w:val="00803265"/>
    <w:rsid w:val="00803B0A"/>
    <w:rsid w:val="00804DED"/>
    <w:rsid w:val="00805B96"/>
    <w:rsid w:val="00807214"/>
    <w:rsid w:val="008105BE"/>
    <w:rsid w:val="008115A5"/>
    <w:rsid w:val="00811D46"/>
    <w:rsid w:val="0081415D"/>
    <w:rsid w:val="00820229"/>
    <w:rsid w:val="00822448"/>
    <w:rsid w:val="00822ABE"/>
    <w:rsid w:val="00824344"/>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706C5"/>
    <w:rsid w:val="008728B9"/>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5218"/>
    <w:rsid w:val="008B7102"/>
    <w:rsid w:val="008C3B7D"/>
    <w:rsid w:val="008C6533"/>
    <w:rsid w:val="008D0F90"/>
    <w:rsid w:val="008D3715"/>
    <w:rsid w:val="008D5465"/>
    <w:rsid w:val="008D5E61"/>
    <w:rsid w:val="008D7EB7"/>
    <w:rsid w:val="008D7EC5"/>
    <w:rsid w:val="008E0089"/>
    <w:rsid w:val="008E3684"/>
    <w:rsid w:val="008E57F5"/>
    <w:rsid w:val="008E7606"/>
    <w:rsid w:val="008F1DAA"/>
    <w:rsid w:val="008F3EBD"/>
    <w:rsid w:val="008F60B2"/>
    <w:rsid w:val="008F7C41"/>
    <w:rsid w:val="009031E2"/>
    <w:rsid w:val="0091276C"/>
    <w:rsid w:val="009165AC"/>
    <w:rsid w:val="00916FFC"/>
    <w:rsid w:val="0092053F"/>
    <w:rsid w:val="0092340A"/>
    <w:rsid w:val="009313D9"/>
    <w:rsid w:val="0093302D"/>
    <w:rsid w:val="00934CE3"/>
    <w:rsid w:val="00935B7F"/>
    <w:rsid w:val="00941293"/>
    <w:rsid w:val="00946372"/>
    <w:rsid w:val="00950C17"/>
    <w:rsid w:val="00950CE0"/>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3887"/>
    <w:rsid w:val="009F465C"/>
    <w:rsid w:val="009F659A"/>
    <w:rsid w:val="009F732B"/>
    <w:rsid w:val="00A01FE0"/>
    <w:rsid w:val="00A0560F"/>
    <w:rsid w:val="00A06945"/>
    <w:rsid w:val="00A10656"/>
    <w:rsid w:val="00A113C0"/>
    <w:rsid w:val="00A12FA6"/>
    <w:rsid w:val="00A1339B"/>
    <w:rsid w:val="00A14ABA"/>
    <w:rsid w:val="00A24CB6"/>
    <w:rsid w:val="00A26CD2"/>
    <w:rsid w:val="00A27667"/>
    <w:rsid w:val="00A32979"/>
    <w:rsid w:val="00A34A67"/>
    <w:rsid w:val="00A37462"/>
    <w:rsid w:val="00A459E1"/>
    <w:rsid w:val="00A46AC4"/>
    <w:rsid w:val="00A52296"/>
    <w:rsid w:val="00A55661"/>
    <w:rsid w:val="00A61B70"/>
    <w:rsid w:val="00A61FA8"/>
    <w:rsid w:val="00A637F4"/>
    <w:rsid w:val="00A64DF2"/>
    <w:rsid w:val="00A65485"/>
    <w:rsid w:val="00A66E05"/>
    <w:rsid w:val="00A6705B"/>
    <w:rsid w:val="00A70753"/>
    <w:rsid w:val="00A712D2"/>
    <w:rsid w:val="00A7386D"/>
    <w:rsid w:val="00A82C8A"/>
    <w:rsid w:val="00A8346B"/>
    <w:rsid w:val="00A852FF"/>
    <w:rsid w:val="00A87337"/>
    <w:rsid w:val="00A90C97"/>
    <w:rsid w:val="00A929D1"/>
    <w:rsid w:val="00A92DDC"/>
    <w:rsid w:val="00A960C8"/>
    <w:rsid w:val="00A96604"/>
    <w:rsid w:val="00AA03DF"/>
    <w:rsid w:val="00AA1B4F"/>
    <w:rsid w:val="00AA21D8"/>
    <w:rsid w:val="00AA271A"/>
    <w:rsid w:val="00AA3270"/>
    <w:rsid w:val="00AA54F3"/>
    <w:rsid w:val="00AA58C8"/>
    <w:rsid w:val="00AA6B43"/>
    <w:rsid w:val="00AA720D"/>
    <w:rsid w:val="00AB367A"/>
    <w:rsid w:val="00AC01D1"/>
    <w:rsid w:val="00AC0AB2"/>
    <w:rsid w:val="00AC0C44"/>
    <w:rsid w:val="00AC0E9F"/>
    <w:rsid w:val="00AC52A5"/>
    <w:rsid w:val="00AC6EFD"/>
    <w:rsid w:val="00AC7151"/>
    <w:rsid w:val="00AD460A"/>
    <w:rsid w:val="00AD4A1D"/>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2692B"/>
    <w:rsid w:val="00B32616"/>
    <w:rsid w:val="00B36C42"/>
    <w:rsid w:val="00B42EA7"/>
    <w:rsid w:val="00B43756"/>
    <w:rsid w:val="00B51845"/>
    <w:rsid w:val="00B51923"/>
    <w:rsid w:val="00B5337C"/>
    <w:rsid w:val="00B53FDE"/>
    <w:rsid w:val="00B56397"/>
    <w:rsid w:val="00B571DA"/>
    <w:rsid w:val="00B6027B"/>
    <w:rsid w:val="00B613AE"/>
    <w:rsid w:val="00B636C8"/>
    <w:rsid w:val="00B65EDB"/>
    <w:rsid w:val="00B67AFF"/>
    <w:rsid w:val="00B70B59"/>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C06F06"/>
    <w:rsid w:val="00C153B6"/>
    <w:rsid w:val="00C178EC"/>
    <w:rsid w:val="00C20FAD"/>
    <w:rsid w:val="00C2375F"/>
    <w:rsid w:val="00C247CB"/>
    <w:rsid w:val="00C32E66"/>
    <w:rsid w:val="00C3355F"/>
    <w:rsid w:val="00C33A04"/>
    <w:rsid w:val="00C3569A"/>
    <w:rsid w:val="00C43F48"/>
    <w:rsid w:val="00C448FF"/>
    <w:rsid w:val="00C45E57"/>
    <w:rsid w:val="00C52F29"/>
    <w:rsid w:val="00C56CE6"/>
    <w:rsid w:val="00C5745F"/>
    <w:rsid w:val="00C57742"/>
    <w:rsid w:val="00C60005"/>
    <w:rsid w:val="00C61A98"/>
    <w:rsid w:val="00C63201"/>
    <w:rsid w:val="00C64E62"/>
    <w:rsid w:val="00C651D5"/>
    <w:rsid w:val="00C65CCC"/>
    <w:rsid w:val="00C7618F"/>
    <w:rsid w:val="00C765A9"/>
    <w:rsid w:val="00C777B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04B7"/>
    <w:rsid w:val="00CE1339"/>
    <w:rsid w:val="00CE61CC"/>
    <w:rsid w:val="00CE6E42"/>
    <w:rsid w:val="00CF20B7"/>
    <w:rsid w:val="00CF6692"/>
    <w:rsid w:val="00CF7441"/>
    <w:rsid w:val="00D00D16"/>
    <w:rsid w:val="00D03C6C"/>
    <w:rsid w:val="00D04760"/>
    <w:rsid w:val="00D04A95"/>
    <w:rsid w:val="00D06288"/>
    <w:rsid w:val="00D068C7"/>
    <w:rsid w:val="00D10329"/>
    <w:rsid w:val="00D128A4"/>
    <w:rsid w:val="00D137AB"/>
    <w:rsid w:val="00D147C8"/>
    <w:rsid w:val="00D15131"/>
    <w:rsid w:val="00D16FA2"/>
    <w:rsid w:val="00D20954"/>
    <w:rsid w:val="00D21C39"/>
    <w:rsid w:val="00D21FC6"/>
    <w:rsid w:val="00D2243A"/>
    <w:rsid w:val="00D25F4F"/>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90871"/>
    <w:rsid w:val="00D9155F"/>
    <w:rsid w:val="00D9403F"/>
    <w:rsid w:val="00D959B4"/>
    <w:rsid w:val="00DA343C"/>
    <w:rsid w:val="00DA44DE"/>
    <w:rsid w:val="00DB1331"/>
    <w:rsid w:val="00DB620A"/>
    <w:rsid w:val="00DC3832"/>
    <w:rsid w:val="00DC7A51"/>
    <w:rsid w:val="00DD3B1E"/>
    <w:rsid w:val="00DE22AE"/>
    <w:rsid w:val="00DE50E4"/>
    <w:rsid w:val="00DE5B5F"/>
    <w:rsid w:val="00DF16C3"/>
    <w:rsid w:val="00DF3099"/>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7527"/>
    <w:rsid w:val="00E87EF7"/>
    <w:rsid w:val="00E93763"/>
    <w:rsid w:val="00E96C4C"/>
    <w:rsid w:val="00EA293B"/>
    <w:rsid w:val="00EA2AAE"/>
    <w:rsid w:val="00EA2EC0"/>
    <w:rsid w:val="00EA427A"/>
    <w:rsid w:val="00EA685B"/>
    <w:rsid w:val="00EA723B"/>
    <w:rsid w:val="00EB0B28"/>
    <w:rsid w:val="00EB6350"/>
    <w:rsid w:val="00EB687A"/>
    <w:rsid w:val="00EC2F62"/>
    <w:rsid w:val="00EC62EB"/>
    <w:rsid w:val="00EC6E9F"/>
    <w:rsid w:val="00ED44F0"/>
    <w:rsid w:val="00ED4B33"/>
    <w:rsid w:val="00ED4F0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1A99"/>
    <w:rsid w:val="00F075AD"/>
    <w:rsid w:val="00F07F0D"/>
    <w:rsid w:val="00F13112"/>
    <w:rsid w:val="00F16232"/>
    <w:rsid w:val="00F16FE6"/>
    <w:rsid w:val="00F238BD"/>
    <w:rsid w:val="00F24992"/>
    <w:rsid w:val="00F32F2F"/>
    <w:rsid w:val="00F33F3F"/>
    <w:rsid w:val="00F35BDD"/>
    <w:rsid w:val="00F35EF0"/>
    <w:rsid w:val="00F3781F"/>
    <w:rsid w:val="00F403FD"/>
    <w:rsid w:val="00F41E72"/>
    <w:rsid w:val="00F45BDF"/>
    <w:rsid w:val="00F50300"/>
    <w:rsid w:val="00F537B3"/>
    <w:rsid w:val="00F5414B"/>
    <w:rsid w:val="00F56E39"/>
    <w:rsid w:val="00F623E9"/>
    <w:rsid w:val="00F627F0"/>
    <w:rsid w:val="00F63951"/>
    <w:rsid w:val="00F63C86"/>
    <w:rsid w:val="00F766BE"/>
    <w:rsid w:val="00F77EB9"/>
    <w:rsid w:val="00F80635"/>
    <w:rsid w:val="00F806C3"/>
    <w:rsid w:val="00F8115F"/>
    <w:rsid w:val="00F815D1"/>
    <w:rsid w:val="00F81E7E"/>
    <w:rsid w:val="00F81F0F"/>
    <w:rsid w:val="00F825F4"/>
    <w:rsid w:val="00F92AA1"/>
    <w:rsid w:val="00F932DE"/>
    <w:rsid w:val="00F963DD"/>
    <w:rsid w:val="00F9641A"/>
    <w:rsid w:val="00F97004"/>
    <w:rsid w:val="00FA0DBC"/>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5A6B"/>
    <w:rsid w:val="00FD6461"/>
    <w:rsid w:val="00FD727B"/>
    <w:rsid w:val="00FE0281"/>
    <w:rsid w:val="00FE7083"/>
    <w:rsid w:val="00FF019F"/>
    <w:rsid w:val="00FF1B2A"/>
    <w:rsid w:val="00FF2160"/>
    <w:rsid w:val="00FF2CF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
    <w:name w:val="Unresolved Mention"/>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710CC5"/>
    <w:pPr>
      <w:widowControl/>
      <w:autoSpaceDE/>
      <w:autoSpaceDN/>
      <w:adjustRightInd/>
      <w:spacing w:after="160" w:line="259" w:lineRule="auto"/>
      <w:jc w:val="left"/>
    </w:pPr>
    <w:rPr>
      <w:rFonts w:asciiTheme="minorHAnsi" w:eastAsiaTheme="minorHAnsi" w:hAnsiTheme="minorHAnsi" w:cstheme="minorBidi"/>
      <w:color w:val="auto"/>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
    <w:name w:val="Unresolved Mention"/>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710CC5"/>
    <w:pPr>
      <w:widowControl/>
      <w:autoSpaceDE/>
      <w:autoSpaceDN/>
      <w:adjustRightInd/>
      <w:spacing w:after="160" w:line="259" w:lineRule="auto"/>
      <w:jc w:val="left"/>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48289013">
      <w:bodyDiv w:val="1"/>
      <w:marLeft w:val="0"/>
      <w:marRight w:val="0"/>
      <w:marTop w:val="0"/>
      <w:marBottom w:val="0"/>
      <w:divBdr>
        <w:top w:val="none" w:sz="0" w:space="0" w:color="auto"/>
        <w:left w:val="none" w:sz="0" w:space="0" w:color="auto"/>
        <w:bottom w:val="none" w:sz="0" w:space="0" w:color="auto"/>
        <w:right w:val="none" w:sz="0" w:space="0" w:color="auto"/>
      </w:divBdr>
      <w:divsChild>
        <w:div w:id="120463461">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Gonzalj1@ccf.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8AFDF-E482-AF48-9B23-D6C2F8E9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2631</TotalTime>
  <Pages>8</Pages>
  <Words>2946</Words>
  <Characters>16793</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19700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 Nguyen</cp:lastModifiedBy>
  <cp:revision>18</cp:revision>
  <cp:lastPrinted>2013-05-29T14:32:00Z</cp:lastPrinted>
  <dcterms:created xsi:type="dcterms:W3CDTF">2018-11-26T18:59:00Z</dcterms:created>
  <dcterms:modified xsi:type="dcterms:W3CDTF">2019-03-04T15:34:00Z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