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Colorimetric Assay </w:t>
      </w:r>
      <w:r>
        <w:rPr>
          <w:rFonts w:ascii="Calibri" w:hAnsi="Calibri" w:cs="Calibri" w:eastAsia="Calibri"/>
          <w:color w:val="auto"/>
          <w:spacing w:val="0"/>
          <w:position w:val="0"/>
          <w:sz w:val="24"/>
          <w:shd w:fill="FFFFFF" w:val="clear"/>
        </w:rPr>
        <w:t xml:space="preserve">of C</w:t>
      </w:r>
      <w:r>
        <w:rPr>
          <w:rFonts w:ascii="Calibri" w:hAnsi="Calibri" w:cs="Calibri" w:eastAsia="Calibri"/>
          <w:color w:val="auto"/>
          <w:spacing w:val="0"/>
          <w:position w:val="0"/>
          <w:sz w:val="24"/>
          <w:shd w:fill="auto" w:val="clear"/>
        </w:rPr>
        <w:t xml:space="preserve">itrate Synthase Activity in</w:t>
      </w:r>
      <w:r>
        <w:rPr>
          <w:rFonts w:ascii="Calibri" w:hAnsi="Calibri" w:cs="Calibri" w:eastAsia="Calibri"/>
          <w:i/>
          <w:color w:val="auto"/>
          <w:spacing w:val="0"/>
          <w:position w:val="0"/>
          <w:sz w:val="24"/>
          <w:shd w:fill="auto" w:val="clear"/>
        </w:rPr>
        <w:t xml:space="preserve"> Drosophila melanogaster</w:t>
      </w:r>
    </w:p>
    <w:p>
      <w:pPr>
        <w:spacing w:before="0" w:after="0" w:line="240"/>
        <w:ind w:right="-113"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Qihong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Wen Xue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Jiwu Wang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Shanghai Diabetes Institute, Shanghai Key Laboratory of Diabetes Mellitus, Shanghai Clinical Center for Diabetes, Shanghai Jiao Tong University Affiliated Sixth People’s Hospital,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Anatomy of Physiology, Shanghai Jiao 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Wei </w:t>
        <w:tab/>
        <w:t xml:space="preserve">(wei_ping_cmu@hotmail.com)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Qihong Liu </w:t>
        <w:tab/>
        <w:t xml:space="preserve">(962620324@qq.com)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Wen Xue </w:t>
        <w:tab/>
        <w:t xml:space="preserve">(xwz517@qq.com)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Jiwu Wang </w:t>
        <w:tab/>
        <w:t xml:space="preserve">(jiwu@wang-lab.cn)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FFFFFF" w:val="clear"/>
        </w:rPr>
        <w:t xml:space="preserve">itochondrial mass, </w:t>
      </w:r>
      <w:r>
        <w:rPr>
          <w:rFonts w:ascii="Calibri" w:hAnsi="Calibri" w:cs="Calibri" w:eastAsia="Calibri"/>
          <w:color w:val="auto"/>
          <w:spacing w:val="0"/>
          <w:position w:val="0"/>
          <w:sz w:val="24"/>
          <w:shd w:fill="auto" w:val="clear"/>
        </w:rPr>
        <w:t xml:space="preserve">citrate synthase activity, colorimetric assay,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mitochondrial disfunction, metabolic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a colorimetric assay of citrate synthase activity for quantification of intact mitochondrial mass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tissue homogenates.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Mitochondria play the most prominent roles in cellular </w:t>
      </w:r>
      <w:r>
        <w:rPr>
          <w:rFonts w:ascii="Calibri" w:hAnsi="Calibri" w:cs="Calibri" w:eastAsia="Calibri"/>
          <w:color w:val="000000"/>
          <w:spacing w:val="0"/>
          <w:position w:val="0"/>
          <w:sz w:val="24"/>
          <w:shd w:fill="FFFFFF" w:val="clear"/>
        </w:rPr>
        <w:t xml:space="preserve">metabolism</w:t>
      </w:r>
      <w:r>
        <w:rPr>
          <w:rFonts w:ascii="Calibri" w:hAnsi="Calibri" w:cs="Calibri" w:eastAsia="Calibri"/>
          <w:color w:val="auto"/>
          <w:spacing w:val="0"/>
          <w:position w:val="0"/>
          <w:sz w:val="24"/>
          <w:shd w:fill="FFFFFF" w:val="clear"/>
        </w:rPr>
        <w:t xml:space="preserve"> by producing </w:t>
      </w:r>
      <w:r>
        <w:rPr>
          <w:rFonts w:ascii="Calibri" w:hAnsi="Calibri" w:cs="Calibri" w:eastAsia="Calibri"/>
          <w:color w:val="000000"/>
          <w:spacing w:val="0"/>
          <w:position w:val="0"/>
          <w:sz w:val="24"/>
          <w:shd w:fill="FFFFFF" w:val="clear"/>
        </w:rPr>
        <w:t xml:space="preserve">ATP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through oxidative phosphorylation and regulating a variety of physiological processes.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Mitochondrial dysfunction is a primary cause of </w:t>
      </w:r>
      <w:r>
        <w:rPr>
          <w:rFonts w:ascii="Calibri" w:hAnsi="Calibri" w:cs="Calibri" w:eastAsia="Calibri"/>
          <w:color w:val="auto"/>
          <w:spacing w:val="0"/>
          <w:position w:val="0"/>
          <w:sz w:val="24"/>
          <w:shd w:fill="auto" w:val="clear"/>
        </w:rPr>
        <w:t xml:space="preserve">a number of metabolic and neurodegenerative diseases. Intact mitochondria are critical for their proper functioning.</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000000"/>
          <w:spacing w:val="0"/>
          <w:position w:val="0"/>
          <w:sz w:val="24"/>
          <w:shd w:fill="FFFFFF" w:val="clear"/>
        </w:rPr>
        <w:t xml:space="preserve">enzyme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citrate synthase is localized in the </w:t>
      </w:r>
      <w:r>
        <w:rPr>
          <w:rFonts w:ascii="Calibri" w:hAnsi="Calibri" w:cs="Calibri" w:eastAsia="Calibri"/>
          <w:color w:val="000000"/>
          <w:spacing w:val="0"/>
          <w:position w:val="0"/>
          <w:sz w:val="24"/>
          <w:shd w:fill="FFFFFF" w:val="clear"/>
        </w:rPr>
        <w:t xml:space="preserve">mitochondrial matrix</w:t>
      </w:r>
      <w:r>
        <w:rPr>
          <w:rFonts w:ascii="Calibri" w:hAnsi="Calibri" w:cs="Calibri" w:eastAsia="Calibri"/>
          <w:color w:val="auto"/>
          <w:spacing w:val="0"/>
          <w:position w:val="0"/>
          <w:sz w:val="24"/>
          <w:shd w:fill="auto" w:val="clear"/>
        </w:rPr>
        <w:t xml:space="preserve"> and thus can be used as a quantitative enzyme marker of intact </w:t>
      </w:r>
      <w:r>
        <w:rPr>
          <w:rFonts w:ascii="Calibri" w:hAnsi="Calibri" w:cs="Calibri" w:eastAsia="Calibri"/>
          <w:color w:val="000000"/>
          <w:spacing w:val="0"/>
          <w:position w:val="0"/>
          <w:sz w:val="24"/>
          <w:shd w:fill="auto" w:val="clear"/>
        </w:rPr>
        <w:t xml:space="preserve">mitochondria</w:t>
      </w:r>
      <w:r>
        <w:rPr>
          <w:rFonts w:ascii="Calibri" w:hAnsi="Calibri" w:cs="Calibri" w:eastAsia="Calibri"/>
          <w:color w:val="auto"/>
          <w:spacing w:val="0"/>
          <w:position w:val="0"/>
          <w:sz w:val="24"/>
          <w:u w:val="single"/>
          <w:shd w:fill="auto" w:val="clear"/>
        </w:rPr>
        <w:t xml:space="preserve">l mass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Given that many molecules and pathways that have important functions in mitochondria are highly conserved between humans and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and that an array of powerful genetic tools are available in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serves as a good model system for studying mitochondrial function. </w:t>
      </w:r>
      <w:r>
        <w:rPr>
          <w:rFonts w:ascii="Calibri" w:hAnsi="Calibri" w:cs="Calibri" w:eastAsia="Calibri"/>
          <w:color w:val="auto"/>
          <w:spacing w:val="0"/>
          <w:position w:val="0"/>
          <w:sz w:val="24"/>
          <w:shd w:fill="auto" w:val="clear"/>
        </w:rPr>
        <w:t xml:space="preserve">Here, we present a protocol for fast and simple measurement of citrate synthase activity in tissue homogenate from adult flies without isolating mitochondria. This protocol is also suitable for measuring citrate synthase activity in larvae, cultured cells, and mammalian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Mitochondria are best known as the power-producing organelles in most eukaryotic organisms, which produce the energy currency, </w:t>
      </w:r>
      <w:r>
        <w:rPr>
          <w:rFonts w:ascii="Calibri" w:hAnsi="Calibri" w:cs="Calibri" w:eastAsia="Calibri"/>
          <w:color w:val="000000"/>
          <w:spacing w:val="0"/>
          <w:position w:val="0"/>
          <w:sz w:val="24"/>
          <w:shd w:fill="FFFFFF" w:val="clear"/>
        </w:rPr>
        <w:t xml:space="preserve">ATP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through the tricarboxylic acid cycle (i.e., Krebs cycle) and oxidative phosphorylation. Mitochondria are also found to play important roles in a lot of other physiological processes, such as regulation of apoptosis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Ca</w:t>
      </w:r>
      <w:r>
        <w:rPr>
          <w:rFonts w:ascii="Calibri" w:hAnsi="Calibri" w:cs="Calibri" w:eastAsia="Calibri"/>
          <w:color w:val="auto"/>
          <w:spacing w:val="0"/>
          <w:position w:val="0"/>
          <w:sz w:val="24"/>
          <w:shd w:fill="FFFFFF" w:val="clear"/>
          <w:vertAlign w:val="superscript"/>
        </w:rPr>
        <w:t xml:space="preserve">2+ </w:t>
      </w:r>
      <w:r>
        <w:rPr>
          <w:rFonts w:ascii="Calibri" w:hAnsi="Calibri" w:cs="Calibri" w:eastAsia="Calibri"/>
          <w:color w:val="auto"/>
          <w:spacing w:val="0"/>
          <w:position w:val="0"/>
          <w:sz w:val="24"/>
          <w:shd w:fill="FFFFFF" w:val="clear"/>
        </w:rPr>
        <w:t xml:space="preserve">homeostasis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reactive oxidation species (ROS) generation</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and endoplasmic reticulum (ER)-stress response</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Mitochondrial dysfunction can affect any organ in the body at any age and is a primary cause of </w:t>
      </w:r>
      <w:r>
        <w:rPr>
          <w:rFonts w:ascii="Calibri" w:hAnsi="Calibri" w:cs="Calibri" w:eastAsia="Calibri"/>
          <w:color w:val="auto"/>
          <w:spacing w:val="0"/>
          <w:position w:val="0"/>
          <w:sz w:val="24"/>
          <w:shd w:fill="auto" w:val="clear"/>
        </w:rPr>
        <w:t xml:space="preserve">metabolic, aging-related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neurodegenerative diseases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Intact mitochondria are mechanistically related to mitochondrial function. Thus, proper quantification of </w:t>
      </w:r>
      <w:r>
        <w:rPr>
          <w:rFonts w:ascii="Calibri" w:hAnsi="Calibri" w:cs="Calibri" w:eastAsia="Calibri"/>
          <w:color w:val="auto"/>
          <w:spacing w:val="0"/>
          <w:position w:val="0"/>
          <w:sz w:val="24"/>
          <w:shd w:fill="auto" w:val="clear"/>
        </w:rPr>
        <w:t xml:space="preserve">intact </w:t>
      </w:r>
      <w:r>
        <w:rPr>
          <w:rFonts w:ascii="Calibri" w:hAnsi="Calibri" w:cs="Calibri" w:eastAsia="Calibri"/>
          <w:color w:val="000000"/>
          <w:spacing w:val="0"/>
          <w:position w:val="0"/>
          <w:sz w:val="24"/>
          <w:shd w:fill="auto" w:val="clear"/>
        </w:rPr>
        <w:t xml:space="preserve">mitochondria</w:t>
      </w:r>
      <w:r>
        <w:rPr>
          <w:rFonts w:ascii="Calibri" w:hAnsi="Calibri" w:cs="Calibri" w:eastAsia="Calibri"/>
          <w:color w:val="auto"/>
          <w:spacing w:val="0"/>
          <w:position w:val="0"/>
          <w:sz w:val="24"/>
          <w:u w:val="single"/>
          <w:shd w:fill="auto" w:val="clear"/>
        </w:rPr>
        <w:t xml:space="preserve">l mass</w:t>
      </w:r>
      <w:r>
        <w:rPr>
          <w:rFonts w:ascii="Calibri" w:hAnsi="Calibri" w:cs="Calibri" w:eastAsia="Calibri"/>
          <w:color w:val="auto"/>
          <w:spacing w:val="0"/>
          <w:position w:val="0"/>
          <w:sz w:val="24"/>
          <w:shd w:fill="FFFFFF" w:val="clear"/>
        </w:rPr>
        <w:t xml:space="preserve"> is very important for evaluating mitochondrial function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Citrate synthase, a rate-limiting enzyme in the first step of </w:t>
      </w:r>
      <w:r>
        <w:rPr>
          <w:rFonts w:ascii="Calibri" w:hAnsi="Calibri" w:cs="Calibri" w:eastAsia="Calibri"/>
          <w:color w:val="auto"/>
          <w:spacing w:val="0"/>
          <w:position w:val="0"/>
          <w:sz w:val="24"/>
          <w:shd w:fill="FFFFFF" w:val="clear"/>
        </w:rPr>
        <w:t xml:space="preserve">the tricarboxylic acid cycle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is localized in the </w:t>
      </w:r>
      <w:r>
        <w:rPr>
          <w:rFonts w:ascii="Calibri" w:hAnsi="Calibri" w:cs="Calibri" w:eastAsia="Calibri"/>
          <w:color w:val="000000"/>
          <w:spacing w:val="0"/>
          <w:position w:val="0"/>
          <w:sz w:val="24"/>
          <w:shd w:fill="auto" w:val="clear"/>
        </w:rPr>
        <w:t xml:space="preserve">mitochondrial matrix</w:t>
      </w:r>
      <w:r>
        <w:rPr>
          <w:rFonts w:ascii="Calibri" w:hAnsi="Calibri" w:cs="Calibri" w:eastAsia="Calibri"/>
          <w:color w:val="auto"/>
          <w:spacing w:val="0"/>
          <w:position w:val="0"/>
          <w:sz w:val="24"/>
          <w:shd w:fill="auto" w:val="clear"/>
        </w:rPr>
        <w:t xml:space="preserve"> within </w:t>
      </w:r>
      <w:r>
        <w:rPr>
          <w:rFonts w:ascii="Calibri" w:hAnsi="Calibri" w:cs="Calibri" w:eastAsia="Calibri"/>
          <w:color w:val="000000"/>
          <w:spacing w:val="0"/>
          <w:position w:val="0"/>
          <w:sz w:val="24"/>
          <w:shd w:fill="auto" w:val="clear"/>
        </w:rPr>
        <w:t xml:space="preserve">eukaryotic</w:t>
      </w:r>
      <w:r>
        <w:rPr>
          <w:rFonts w:ascii="Calibri" w:hAnsi="Calibri" w:cs="Calibri" w:eastAsia="Calibri"/>
          <w:color w:val="auto"/>
          <w:spacing w:val="0"/>
          <w:position w:val="0"/>
          <w:sz w:val="24"/>
          <w:shd w:fill="auto" w:val="clear"/>
        </w:rPr>
        <w:t xml:space="preserve"> cells, and thus can be used as a quantitative marker for the presence of intact </w:t>
      </w:r>
      <w:r>
        <w:rPr>
          <w:rFonts w:ascii="Calibri" w:hAnsi="Calibri" w:cs="Calibri" w:eastAsia="Calibri"/>
          <w:color w:val="000000"/>
          <w:spacing w:val="0"/>
          <w:position w:val="0"/>
          <w:sz w:val="24"/>
          <w:shd w:fill="auto" w:val="clear"/>
        </w:rPr>
        <w:t xml:space="preserve">mitochondria</w:t>
      </w:r>
      <w:r>
        <w:rPr>
          <w:rFonts w:ascii="Calibri" w:hAnsi="Calibri" w:cs="Calibri" w:eastAsia="Calibri"/>
          <w:color w:val="auto"/>
          <w:spacing w:val="0"/>
          <w:position w:val="0"/>
          <w:sz w:val="24"/>
          <w:shd w:fill="auto" w:val="clear"/>
        </w:rPr>
        <w:t xml:space="preserve">l mass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Citrate synthase activity can also be used as a normalization factor for intact mitochondrial proteins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strike w:val="true"/>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fruit fly, </w:t>
      </w:r>
      <w:r>
        <w:rPr>
          <w:rFonts w:ascii="Calibri" w:hAnsi="Calibri" w:cs="Calibri" w:eastAsia="Calibri"/>
          <w:i/>
          <w:color w:val="auto"/>
          <w:spacing w:val="0"/>
          <w:position w:val="0"/>
          <w:sz w:val="24"/>
          <w:shd w:fill="FFFFFF" w:val="clear"/>
        </w:rPr>
        <w:t xml:space="preserve">Drosophila melanogaster</w:t>
      </w:r>
      <w:r>
        <w:rPr>
          <w:rFonts w:ascii="Calibri" w:hAnsi="Calibri" w:cs="Calibri" w:eastAsia="Calibri"/>
          <w:color w:val="auto"/>
          <w:spacing w:val="0"/>
          <w:position w:val="0"/>
          <w:sz w:val="24"/>
          <w:shd w:fill="FFFFFF" w:val="clear"/>
        </w:rPr>
        <w:t xml:space="preserve">, is an excellent model system for studying mitochondrial function, as many molecules and pathways that play pivotal roles in mitochondria are evolutionarily conserved from </w:t>
      </w:r>
      <w:r>
        <w:rPr>
          <w:rFonts w:ascii="Calibri" w:hAnsi="Calibri" w:cs="Calibri" w:eastAsia="Calibri"/>
          <w:i/>
          <w:color w:val="auto"/>
          <w:spacing w:val="0"/>
          <w:position w:val="0"/>
          <w:sz w:val="24"/>
          <w:shd w:fill="FFFFFF" w:val="clear"/>
        </w:rPr>
        <w:t xml:space="preserve">Drosophila </w:t>
      </w:r>
      <w:r>
        <w:rPr>
          <w:rFonts w:ascii="Calibri" w:hAnsi="Calibri" w:cs="Calibri" w:eastAsia="Calibri"/>
          <w:color w:val="auto"/>
          <w:spacing w:val="0"/>
          <w:position w:val="0"/>
          <w:sz w:val="24"/>
          <w:shd w:fill="FFFFFF" w:val="clear"/>
        </w:rPr>
        <w:t xml:space="preserve">to humans</w:t>
      </w:r>
      <w:r>
        <w:rPr>
          <w:rFonts w:ascii="Calibri" w:hAnsi="Calibri" w:cs="Calibri" w:eastAsia="Calibri"/>
          <w:color w:val="auto"/>
          <w:spacing w:val="0"/>
          <w:position w:val="0"/>
          <w:sz w:val="24"/>
          <w:shd w:fill="FFFFFF" w:val="clear"/>
          <w:vertAlign w:val="superscript"/>
        </w:rPr>
        <w:t xml:space="preserve">13,14,15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Here, we present a protocol for a fast and simple method for measurement of citrate synthase activity by a colorimetric assay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tissue homogenates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 96 well plate format. In the citrate synthase activity assay, citrate synthase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tissue homogenate catalyzes the reaction of oxaloacetate with acetyl coenzyme A (acetyl CoA) to form the citrate CoA-SH and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CoA-SH subsequently reacts with 5,5’-dithiobis-(2-nitrobenzoic acid) (DTNB) to generate a colored product, 2-nitro-5-thiobenzoate (TNB), which can be easily measured </w:t>
      </w:r>
      <w:r>
        <w:rPr>
          <w:rFonts w:ascii="Calibri" w:hAnsi="Calibri" w:cs="Calibri" w:eastAsia="Calibri"/>
          <w:color w:val="auto"/>
          <w:spacing w:val="0"/>
          <w:position w:val="0"/>
          <w:sz w:val="24"/>
          <w:shd w:fill="FFFFFF" w:val="clear"/>
        </w:rPr>
        <w:t xml:space="preserve">spectrophotometrically</w:t>
      </w:r>
      <w:r>
        <w:rPr>
          <w:rFonts w:ascii="Calibri" w:hAnsi="Calibri" w:cs="Calibri" w:eastAsia="Calibri"/>
          <w:color w:val="auto"/>
          <w:spacing w:val="0"/>
          <w:position w:val="0"/>
          <w:sz w:val="24"/>
          <w:shd w:fill="auto" w:val="clear"/>
        </w:rPr>
        <w:t xml:space="preserve"> at 412 nm. Citrate synthase activity can be reflected by the rate of color production.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FF" w:val="clear"/>
        </w:rPr>
        <w:t xml:space="preserve">Colorimetric citrate synthase activity assay for </w:t>
      </w:r>
      <w:r>
        <w:rPr>
          <w:rFonts w:ascii="Calibri" w:hAnsi="Calibri" w:cs="Calibri" w:eastAsia="Calibri"/>
          <w:b/>
          <w:i/>
          <w:color w:val="auto"/>
          <w:spacing w:val="0"/>
          <w:position w:val="0"/>
          <w:sz w:val="24"/>
          <w:shd w:fill="FFFFFF" w:val="clear"/>
        </w:rPr>
        <w:t xml:space="preserve">D. melanogaster</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 Collect ten adult flies </w:t>
      </w:r>
      <w:r>
        <w:rPr>
          <w:rFonts w:ascii="Calibri" w:hAnsi="Calibri" w:cs="Calibri" w:eastAsia="Calibri"/>
          <w:color w:val="auto"/>
          <w:spacing w:val="0"/>
          <w:position w:val="0"/>
          <w:sz w:val="24"/>
          <w:shd w:fill="FFFFFF" w:val="clear"/>
        </w:rPr>
        <w:t xml:space="preserve">for each sample. Collect at least triplicate samples for each genotype.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FF" w:val="clear"/>
        </w:rPr>
        <w:t xml:space="preserve">Prepare </w:t>
      </w:r>
      <w:r>
        <w:rPr>
          <w:rFonts w:ascii="Calibri" w:hAnsi="Calibri" w:cs="Calibri" w:eastAsia="Calibri"/>
          <w:color w:val="auto"/>
          <w:spacing w:val="0"/>
          <w:position w:val="0"/>
          <w:sz w:val="24"/>
          <w:shd w:fill="FFFFFF" w:val="clear"/>
        </w:rPr>
        <w:t xml:space="preserve">500 &amp;#181;L of ice-cold </w:t>
      </w:r>
      <w:r>
        <w:rPr>
          <w:rFonts w:ascii="Calibri" w:hAnsi="Calibri" w:cs="Calibri" w:eastAsia="Calibri"/>
          <w:color w:val="auto"/>
          <w:spacing w:val="0"/>
          <w:position w:val="0"/>
          <w:sz w:val="24"/>
          <w:shd w:fill="auto" w:val="clear"/>
        </w:rPr>
        <w:t xml:space="preserve">ext</w:t>
      </w:r>
      <w:r>
        <w:rPr>
          <w:rFonts w:ascii="Calibri" w:hAnsi="Calibri" w:cs="Calibri" w:eastAsia="Calibri"/>
          <w:color w:val="000000"/>
          <w:spacing w:val="0"/>
          <w:position w:val="0"/>
          <w:sz w:val="24"/>
          <w:shd w:fill="auto" w:val="clear"/>
        </w:rPr>
        <w:t xml:space="preserve">raction buffer containing 20 mM HEPES (pH = 7.2), 1 mM EDTA, and 0.1% triton X-100 </w:t>
      </w:r>
      <w:r>
        <w:rPr>
          <w:rFonts w:ascii="Calibri" w:hAnsi="Calibri" w:cs="Calibri" w:eastAsia="Calibri"/>
          <w:color w:val="000000"/>
          <w:spacing w:val="0"/>
          <w:position w:val="0"/>
          <w:sz w:val="24"/>
          <w:shd w:fill="FFFFFF" w:val="clear"/>
        </w:rPr>
        <w:t xml:space="preserve">in </w:t>
      </w:r>
      <w:r>
        <w:rPr>
          <w:rFonts w:ascii="Calibri" w:hAnsi="Calibri" w:cs="Calibri" w:eastAsia="Calibri"/>
          <w:color w:val="auto"/>
          <w:spacing w:val="0"/>
          <w:position w:val="0"/>
          <w:sz w:val="24"/>
          <w:shd w:fill="FFFFFF" w:val="clear"/>
        </w:rPr>
        <w:t xml:space="preserve">a 1.5 </w:t>
      </w:r>
      <w:r>
        <w:rPr>
          <w:rFonts w:ascii="Calibri" w:hAnsi="Calibri" w:cs="Calibri" w:eastAsia="Calibri"/>
          <w:color w:val="000000"/>
          <w:spacing w:val="0"/>
          <w:position w:val="0"/>
          <w:sz w:val="24"/>
          <w:shd w:fill="FFFFFF" w:val="clear"/>
        </w:rPr>
        <w:t xml:space="preserve">mL test tube for each sample.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FF" w:val="clear"/>
        </w:rPr>
        <w:t xml:space="preserve">Anesthetize adult flies with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on an anesthesia pad and isolate the desired tissues. To isolate the adult fly thoraxes, for example, fix t</w:t>
      </w:r>
      <w:r>
        <w:rPr>
          <w:rFonts w:ascii="Calibri" w:hAnsi="Calibri" w:cs="Calibri" w:eastAsia="Calibri"/>
          <w:color w:val="auto"/>
          <w:spacing w:val="0"/>
          <w:position w:val="0"/>
          <w:sz w:val="24"/>
          <w:shd w:fill="auto" w:val="clear"/>
        </w:rPr>
        <w:t xml:space="preserve">he fly thoraxes by a pair of </w:t>
      </w:r>
      <w:r>
        <w:rPr>
          <w:rFonts w:ascii="Calibri" w:hAnsi="Calibri" w:cs="Calibri" w:eastAsia="Calibri"/>
          <w:color w:val="auto"/>
          <w:spacing w:val="0"/>
          <w:position w:val="0"/>
          <w:sz w:val="24"/>
          <w:shd w:fill="FFFFFF" w:val="clear"/>
        </w:rPr>
        <w:t xml:space="preserve">forceps, and then isolate t</w:t>
      </w:r>
      <w:r>
        <w:rPr>
          <w:rFonts w:ascii="Calibri" w:hAnsi="Calibri" w:cs="Calibri" w:eastAsia="Calibri"/>
          <w:color w:val="auto"/>
          <w:spacing w:val="0"/>
          <w:position w:val="0"/>
          <w:sz w:val="24"/>
          <w:shd w:fill="auto" w:val="clear"/>
        </w:rPr>
        <w:t xml:space="preserve">he fly abdomens by cutting along the border of the thorax and abdomen using a pair of scissors.</w:t>
      </w:r>
      <w:r>
        <w:rPr>
          <w:rFonts w:ascii="Calibri" w:hAnsi="Calibri" w:cs="Calibri" w:eastAsia="Calibri"/>
          <w:color w:val="auto"/>
          <w:spacing w:val="0"/>
          <w:position w:val="0"/>
          <w:sz w:val="24"/>
          <w:shd w:fill="FFFFFF" w:val="clear"/>
        </w:rPr>
        <w:t xml:space="preserve"> Collect </w:t>
      </w:r>
      <w:r>
        <w:rPr>
          <w:rFonts w:ascii="Calibri" w:hAnsi="Calibri" w:cs="Calibri" w:eastAsia="Calibri"/>
          <w:color w:val="auto"/>
          <w:spacing w:val="0"/>
          <w:position w:val="0"/>
          <w:sz w:val="24"/>
          <w:shd w:fill="auto" w:val="clear"/>
        </w:rPr>
        <w:t xml:space="preserve">the fly thoraxes for the muscle citrate synthase activity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Determine the fresh weight of tissue at this step</w:t>
      </w:r>
      <w:r>
        <w:rPr>
          <w:rFonts w:ascii="Calibri" w:hAnsi="Calibri" w:cs="Calibri" w:eastAsia="Calibri"/>
          <w:color w:val="000000"/>
          <w:spacing w:val="0"/>
          <w:position w:val="0"/>
          <w:sz w:val="24"/>
          <w:shd w:fill="FFFFFF" w:val="clear"/>
        </w:rPr>
        <w:t xml:space="preserve"> if using</w:t>
      </w:r>
      <w:r>
        <w:rPr>
          <w:rFonts w:ascii="Calibri" w:hAnsi="Calibri" w:cs="Calibri" w:eastAsia="Calibri"/>
          <w:color w:val="000000"/>
          <w:spacing w:val="0"/>
          <w:position w:val="0"/>
          <w:sz w:val="24"/>
          <w:shd w:fill="auto" w:val="clear"/>
        </w:rPr>
        <w:t xml:space="preserve"> it to normalize citrate synthase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 Transfer 10 adult fly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thoraxes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100 &amp;#181;L of </w:t>
      </w:r>
      <w:r>
        <w:rPr>
          <w:rFonts w:ascii="Calibri" w:hAnsi="Calibri" w:cs="Calibri" w:eastAsia="Calibri"/>
          <w:color w:val="auto"/>
          <w:spacing w:val="0"/>
          <w:position w:val="0"/>
          <w:sz w:val="24"/>
          <w:shd w:fill="FFFFFF" w:val="clear"/>
        </w:rPr>
        <w:t xml:space="preserve">ice-cold </w:t>
      </w:r>
      <w:r>
        <w:rPr>
          <w:rFonts w:ascii="Calibri" w:hAnsi="Calibri" w:cs="Calibri" w:eastAsia="Calibri"/>
          <w:color w:val="auto"/>
          <w:spacing w:val="0"/>
          <w:position w:val="0"/>
          <w:sz w:val="24"/>
          <w:shd w:fill="auto" w:val="clear"/>
        </w:rPr>
        <w:t xml:space="preserve">extraction buffer</w:t>
      </w:r>
      <w:r>
        <w:rPr>
          <w:rFonts w:ascii="Calibri" w:hAnsi="Calibri" w:cs="Calibri" w:eastAsia="Calibri"/>
          <w:color w:val="auto"/>
          <w:spacing w:val="0"/>
          <w:position w:val="0"/>
          <w:sz w:val="24"/>
          <w:shd w:fill="FFFFFF" w:val="clear"/>
        </w:rPr>
        <w:t xml:space="preserve"> immedi</w:t>
      </w:r>
      <w:r>
        <w:rPr>
          <w:rFonts w:ascii="Calibri" w:hAnsi="Calibri" w:cs="Calibri" w:eastAsia="Calibri"/>
          <w:color w:val="000000"/>
          <w:spacing w:val="0"/>
          <w:position w:val="0"/>
          <w:sz w:val="24"/>
          <w:shd w:fill="FFFFFF" w:val="clear"/>
        </w:rPr>
        <w:t xml:space="preserve">ately and homogenize with a pellet on ice. To keep the samples ice</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cold, homogenize the samples for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 s on ice, then have the samples sit on ice for 5 s, and repeat until all the tissu</w:t>
      </w:r>
      <w:r>
        <w:rPr>
          <w:rFonts w:ascii="Calibri" w:hAnsi="Calibri" w:cs="Calibri" w:eastAsia="Calibri"/>
          <w:color w:val="auto"/>
          <w:spacing w:val="0"/>
          <w:position w:val="0"/>
          <w:sz w:val="24"/>
          <w:shd w:fill="FFFFFF" w:val="clear"/>
        </w:rPr>
        <w:t xml:space="preserve">es in the tube are homogenized </w:t>
      </w:r>
      <w:r>
        <w:rPr>
          <w:rFonts w:ascii="Calibri" w:hAnsi="Calibri" w:cs="Calibri" w:eastAsia="Calibri"/>
          <w:color w:val="000000"/>
          <w:spacing w:val="0"/>
          <w:position w:val="0"/>
          <w:sz w:val="24"/>
          <w:shd w:fill="FFFFFF" w:val="clear"/>
        </w:rPr>
        <w:t xml:space="preserve">completely.</w:t>
      </w:r>
    </w:p>
    <w:p>
      <w:pPr>
        <w:spacing w:before="0" w:after="0" w:line="240"/>
        <w:ind w:right="0" w:left="0" w:firstLine="0"/>
        <w:jc w:val="both"/>
        <w:rPr>
          <w:rFonts w:ascii="Calibri" w:hAnsi="Calibri" w:cs="Calibri" w:eastAsia="Calibri"/>
          <w:color w:val="FF0000"/>
          <w:spacing w:val="0"/>
          <w:position w:val="0"/>
          <w:sz w:val="24"/>
          <w:shd w:fill="FFFFFF" w:val="clear"/>
        </w:rPr>
      </w:pPr>
    </w:p>
    <w:p>
      <w:pPr>
        <w:tabs>
          <w:tab w:val="left" w:pos="364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Tape the tube, check the homogenates to make sure that there are no clots in the homogenates and that t</w:t>
      </w:r>
      <w:r>
        <w:rPr>
          <w:rFonts w:ascii="Calibri" w:hAnsi="Calibri" w:cs="Calibri" w:eastAsia="Calibri"/>
          <w:color w:val="000000"/>
          <w:spacing w:val="0"/>
          <w:position w:val="0"/>
          <w:sz w:val="24"/>
          <w:shd w:fill="FFFFFF" w:val="clear"/>
        </w:rPr>
        <w:t xml:space="preserve">he tissu</w:t>
      </w:r>
      <w:r>
        <w:rPr>
          <w:rFonts w:ascii="Calibri" w:hAnsi="Calibri" w:cs="Calibri" w:eastAsia="Calibri"/>
          <w:color w:val="auto"/>
          <w:spacing w:val="0"/>
          <w:position w:val="0"/>
          <w:sz w:val="24"/>
          <w:shd w:fill="FFFFFF" w:val="clear"/>
        </w:rPr>
        <w:t xml:space="preserve">es in the tube are homogenized </w:t>
      </w:r>
      <w:r>
        <w:rPr>
          <w:rFonts w:ascii="Calibri" w:hAnsi="Calibri" w:cs="Calibri" w:eastAsia="Calibri"/>
          <w:color w:val="000000"/>
          <w:spacing w:val="0"/>
          <w:position w:val="0"/>
          <w:sz w:val="24"/>
          <w:shd w:fill="FFFFFF" w:val="clear"/>
        </w:rPr>
        <w:t xml:space="preserve">completely. </w:t>
      </w:r>
      <w:r>
        <w:rPr>
          <w:rFonts w:ascii="Calibri" w:hAnsi="Calibri" w:cs="Calibri" w:eastAsia="Calibri"/>
          <w:color w:val="auto"/>
          <w:spacing w:val="0"/>
          <w:position w:val="0"/>
          <w:sz w:val="24"/>
          <w:shd w:fill="auto" w:val="clear"/>
        </w:rPr>
        <w:t xml:space="preserve">All sample treatments should be performed on ice. </w:t>
      </w:r>
    </w:p>
    <w:p>
      <w:pPr>
        <w:spacing w:before="0" w:after="0" w:line="240"/>
        <w:ind w:right="0" w:left="0" w:firstLine="0"/>
        <w:jc w:val="both"/>
        <w:rPr>
          <w:rFonts w:ascii="Calibri" w:hAnsi="Calibri" w:cs="Calibri" w:eastAsia="Calibri"/>
          <w:color w:val="FF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Take 10 &amp;#181;L of each homogenized sample in a new tube for protein content measurement. Keep the samples for protein measurement on ice.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protein samples can be frozen and stored at -80 &amp;#176;C for later analysis. The protein concentrations serve a</w:t>
      </w:r>
      <w:r>
        <w:rPr>
          <w:rFonts w:ascii="Calibri" w:hAnsi="Calibri" w:cs="Calibri" w:eastAsia="Calibri"/>
          <w:color w:val="auto"/>
          <w:spacing w:val="0"/>
          <w:position w:val="0"/>
          <w:sz w:val="24"/>
          <w:shd w:fill="auto" w:val="clear"/>
        </w:rPr>
        <w:t xml:space="preserve">s an internal parameter</w:t>
      </w:r>
      <w:r>
        <w:rPr>
          <w:rFonts w:ascii="Calibri" w:hAnsi="Calibri" w:cs="Calibri" w:eastAsia="Calibri"/>
          <w:color w:val="000000"/>
          <w:spacing w:val="0"/>
          <w:position w:val="0"/>
          <w:sz w:val="24"/>
          <w:shd w:fill="auto" w:val="clear"/>
        </w:rPr>
        <w:t xml:space="preserve"> for normalization of </w:t>
      </w:r>
      <w:r>
        <w:rPr>
          <w:rFonts w:ascii="Calibri" w:hAnsi="Calibri" w:cs="Calibri" w:eastAsia="Calibri"/>
          <w:color w:val="auto"/>
          <w:spacing w:val="0"/>
          <w:position w:val="0"/>
          <w:sz w:val="24"/>
          <w:shd w:fill="FFFFFF" w:val="clear"/>
        </w:rPr>
        <w:t xml:space="preserve">citrate synthase activities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FF" w:val="clear"/>
        </w:rPr>
        <w:t xml:space="preserve">Add 400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FF" w:val="clear"/>
        </w:rPr>
        <w:t xml:space="preserve"> of freshly prepared ice-cold </w:t>
      </w:r>
      <w:r>
        <w:rPr>
          <w:rFonts w:ascii="Calibri" w:hAnsi="Calibri" w:cs="Calibri" w:eastAsia="Calibri"/>
          <w:color w:val="auto"/>
          <w:spacing w:val="0"/>
          <w:position w:val="0"/>
          <w:sz w:val="24"/>
          <w:shd w:fill="auto" w:val="clear"/>
        </w:rPr>
        <w:t xml:space="preserve">extraction buffer </w:t>
      </w:r>
      <w:r>
        <w:rPr>
          <w:rFonts w:ascii="Calibri" w:hAnsi="Calibri" w:cs="Calibri" w:eastAsia="Calibri"/>
          <w:color w:val="auto"/>
          <w:spacing w:val="0"/>
          <w:position w:val="0"/>
          <w:sz w:val="24"/>
          <w:shd w:fill="FFFFFF" w:val="clear"/>
        </w:rPr>
        <w:t xml:space="preserve">to each remaining sample to make a total volume of 500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auto"/>
          <w:spacing w:val="0"/>
          <w:position w:val="0"/>
          <w:sz w:val="24"/>
          <w:shd w:fill="FFFFFF" w:val="clear"/>
        </w:rPr>
        <w:t xml:space="preserve">Mix well by gently </w:t>
      </w:r>
      <w:r>
        <w:rPr>
          <w:rFonts w:ascii="Calibri" w:hAnsi="Calibri" w:cs="Calibri" w:eastAsia="Calibri"/>
          <w:color w:val="auto"/>
          <w:spacing w:val="0"/>
          <w:position w:val="0"/>
          <w:sz w:val="24"/>
          <w:shd w:fill="auto" w:val="clear"/>
        </w:rPr>
        <w:t xml:space="preserve">pipetting up and down at least 5x</w:t>
      </w:r>
      <w:r>
        <w:rPr>
          <w:rFonts w:ascii="Calibri" w:hAnsi="Calibri" w:cs="Calibri" w:eastAsia="Calibri"/>
          <w:color w:val="auto"/>
          <w:spacing w:val="0"/>
          <w:position w:val="0"/>
          <w:sz w:val="24"/>
          <w:shd w:fill="FFFFFF" w:val="clear"/>
        </w:rPr>
        <w:t xml:space="preserve">, avoiding bubble formation</w:t>
      </w:r>
      <w:r>
        <w:rPr>
          <w:rFonts w:ascii="Calibri" w:hAnsi="Calibri" w:cs="Calibri" w:eastAsia="Calibri"/>
          <w:color w:val="auto"/>
          <w:spacing w:val="0"/>
          <w:position w:val="0"/>
          <w:sz w:val="24"/>
          <w:shd w:fill="auto" w:val="clear"/>
        </w:rPr>
        <w:t xml:space="preserve">.</w:t>
      </w:r>
      <w:r>
        <w:rPr>
          <w:rFonts w:ascii="Calibri" w:hAnsi="Calibri" w:cs="Calibri" w:eastAsia="Calibri"/>
          <w:color w:val="548DD4"/>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For each reaction, add 1 &amp;#181;L of diluted cell lysate to 150 &amp;#181;L of the reaction solution </w:t>
      </w:r>
      <w:r>
        <w:rPr>
          <w:rFonts w:ascii="Calibri" w:hAnsi="Calibri" w:cs="Calibri" w:eastAsia="Calibri"/>
          <w:color w:val="auto"/>
          <w:spacing w:val="0"/>
          <w:position w:val="0"/>
          <w:sz w:val="24"/>
          <w:shd w:fill="FFFFFF" w:val="clear"/>
        </w:rPr>
        <w:t xml:space="preserve">(20 mM Tris-HCl (pH 8.0), 0.1 mM DTNB, 0.3 mM acetyl CoA, 1 mM oxaloacetic acid)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Mix thoroughly and immediately by gently pipetting, avoiding bubble formation. </w:t>
      </w:r>
      <w:r>
        <w:rPr>
          <w:rFonts w:ascii="Calibri" w:hAnsi="Calibri" w:cs="Calibri" w:eastAsia="Calibri"/>
          <w:color w:val="auto"/>
          <w:spacing w:val="0"/>
          <w:position w:val="0"/>
          <w:sz w:val="24"/>
          <w:shd w:fill="auto" w:val="clear"/>
        </w:rPr>
        <w:t xml:space="preserve">Measure the absorbance at 412 nm every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for 4 min at 25 &amp;#176;C using a plate reader capable of measuring absorbance at 412 nm at minimum intervals of 10 s.</w:t>
      </w:r>
    </w:p>
    <w:p>
      <w:pPr>
        <w:spacing w:before="0" w:after="0" w:line="240"/>
        <w:ind w:right="0" w:left="0" w:firstLine="0"/>
        <w:jc w:val="both"/>
        <w:rPr>
          <w:rFonts w:ascii="Calibri" w:hAnsi="Calibri" w:cs="Calibri" w:eastAsia="Calibri"/>
          <w:color w:val="548DD4"/>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 the tip before pipetting a different reagent and avoid forming bubbles in the wells. Incomplete mixing of the reagents may cause variations in the measurements.</w:t>
      </w:r>
      <w:r>
        <w:rPr>
          <w:rFonts w:ascii="Calibri" w:hAnsi="Calibri" w:cs="Calibri" w:eastAsia="Calibri"/>
          <w:color w:val="auto"/>
          <w:spacing w:val="0"/>
          <w:position w:val="0"/>
          <w:sz w:val="24"/>
          <w:shd w:fill="auto" w:val="clear"/>
        </w:rPr>
        <w:t xml:space="preserve"> The citrate synthase activity assay should be done at room temperature immediately after the samples are collected, as this assay is used to quantify intact </w:t>
      </w:r>
      <w:r>
        <w:rPr>
          <w:rFonts w:ascii="Calibri" w:hAnsi="Calibri" w:cs="Calibri" w:eastAsia="Calibri"/>
          <w:color w:val="000000"/>
          <w:spacing w:val="0"/>
          <w:position w:val="0"/>
          <w:sz w:val="24"/>
          <w:shd w:fill="auto" w:val="clear"/>
        </w:rPr>
        <w:t xml:space="preserve">mitochondrial</w:t>
      </w:r>
      <w:r>
        <w:rPr>
          <w:rFonts w:ascii="Calibri" w:hAnsi="Calibri" w:cs="Calibri" w:eastAsia="Calibri"/>
          <w:color w:val="auto"/>
          <w:spacing w:val="0"/>
          <w:position w:val="0"/>
          <w:sz w:val="24"/>
          <w:u w:val="single"/>
          <w:shd w:fill="auto" w:val="clear"/>
        </w:rPr>
        <w:t xml:space="preserve"> mass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Plot data as </w:t>
      </w:r>
      <w:r>
        <w:rPr>
          <w:rFonts w:ascii="Calibri" w:hAnsi="Calibri" w:cs="Calibri" w:eastAsia="Calibri"/>
          <w:color w:val="auto"/>
          <w:spacing w:val="0"/>
          <w:position w:val="0"/>
          <w:sz w:val="24"/>
          <w:shd w:fill="FFFFFF" w:val="clear"/>
        </w:rPr>
        <w:t xml:space="preserve">optical density</w:t>
      </w:r>
      <w:r>
        <w:rPr>
          <w:rFonts w:ascii="Calibri" w:hAnsi="Calibri" w:cs="Calibri" w:eastAsia="Calibri"/>
          <w:color w:val="auto"/>
          <w:spacing w:val="0"/>
          <w:position w:val="0"/>
          <w:sz w:val="24"/>
          <w:shd w:fill="auto" w:val="clear"/>
        </w:rPr>
        <w:t xml:space="preserve"> (OD) </w:t>
      </w:r>
      <w:r>
        <w:rPr>
          <w:rFonts w:ascii="Calibri" w:hAnsi="Calibri" w:cs="Calibri" w:eastAsia="Calibri"/>
          <w:color w:val="000000"/>
          <w:spacing w:val="0"/>
          <w:position w:val="0"/>
          <w:sz w:val="24"/>
          <w:shd w:fill="auto" w:val="clear"/>
        </w:rPr>
        <w:t xml:space="preserve">absorbance (abs) (Y-axis) versus time (in minutes) (X-axis). Then calculate the slope for the linear portion of the curve, where the reaction rate is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Divide the value by the sample protein concentration to normalize the citrate synthase activity. The citrate synthase activity is calculated as</w:t>
      </w:r>
    </w:p>
    <w:p>
      <w:pPr>
        <w:spacing w:before="0" w:after="0" w:line="240"/>
        <w:ind w:right="0" w:left="0" w:firstLine="0"/>
        <w:jc w:val="center"/>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protein concentration can be measured by a protein concentration assay kit.</w:t>
      </w:r>
    </w:p>
    <w:p>
      <w:pPr>
        <w:spacing w:before="0" w:after="0" w:line="240"/>
        <w:ind w:right="0" w:left="0" w:firstLine="0"/>
        <w:jc w:val="both"/>
        <w:rPr>
          <w:rFonts w:ascii="Calibri" w:hAnsi="Calibri" w:cs="Calibri" w:eastAsia="Calibri"/>
          <w:color w:val="00B05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113" w:left="0" w:firstLine="0"/>
        <w:jc w:val="both"/>
        <w:rPr>
          <w:rFonts w:ascii="Calibri" w:hAnsi="Calibri" w:cs="Calibri" w:eastAsia="Calibri"/>
          <w:color w:val="00B0F0"/>
          <w:spacing w:val="0"/>
          <w:position w:val="0"/>
          <w:sz w:val="24"/>
          <w:shd w:fill="auto" w:val="clear"/>
        </w:rPr>
      </w:pPr>
      <w:r>
        <w:rPr>
          <w:rFonts w:ascii="Calibri" w:hAnsi="Calibri" w:cs="Calibri" w:eastAsia="Calibri"/>
          <w:b/>
          <w:color w:val="auto"/>
          <w:spacing w:val="0"/>
          <w:position w:val="0"/>
          <w:sz w:val="24"/>
          <w:shd w:fill="auto" w:val="clear"/>
        </w:rPr>
        <w:t xml:space="preserve">Delete Figure 1</w:t>
      </w:r>
      <w:r>
        <w:rPr>
          <w:rFonts w:ascii="Calibri" w:hAnsi="Calibri" w:cs="Calibri" w:eastAsia="Calibri"/>
          <w:color w:val="auto"/>
          <w:spacing w:val="0"/>
          <w:position w:val="0"/>
          <w:sz w:val="24"/>
          <w:shd w:fill="auto" w:val="clear"/>
        </w:rPr>
        <w:t xml:space="preserve"> presents an example of the kinetic curves for the OD absorbance at 412 nm over time obtained using the </w:t>
      </w:r>
      <w:r>
        <w:rPr>
          <w:rFonts w:ascii="Calibri" w:hAnsi="Calibri" w:cs="Calibri" w:eastAsia="Calibri"/>
          <w:color w:val="auto"/>
          <w:spacing w:val="0"/>
          <w:position w:val="0"/>
          <w:sz w:val="24"/>
          <w:shd w:fill="FFFFFF" w:val="clear"/>
        </w:rPr>
        <w:t xml:space="preserve">citrate synthase activity</w:t>
      </w:r>
      <w:r>
        <w:rPr>
          <w:rFonts w:ascii="Calibri" w:hAnsi="Calibri" w:cs="Calibri" w:eastAsia="Calibri"/>
          <w:color w:val="auto"/>
          <w:spacing w:val="0"/>
          <w:position w:val="0"/>
          <w:sz w:val="24"/>
          <w:shd w:fill="auto" w:val="clear"/>
        </w:rPr>
        <w:t xml:space="preserve"> colorimetric assay</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measure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thorax tissue homogenates of different genotypes. It is well known that PGC-1&amp;#945; is a master regulator of mitochondrial biogenesis. PGC-1&amp;#945; is functionally conserved between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humans.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RNF34 (dRNF34) is an E3 ubiquitin ligase for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PGC-1&amp;#945;, dPGC-1, and promotes dPGC-1 protein degradation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Transmission electron microscopy and mitochondrial DNA qPCR have shown that knockdown of dRNF34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muscle increases mitochondrial content, which is suppressed by knockdown of dPGC-1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Based on these results we hypothesized that knockdown of dRNF34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muscle would increase mitochondrial citrate synthase activity, which should be reversed by knockdown of dPGC-1. Indeed, using </w:t>
      </w:r>
      <w:r>
        <w:rPr>
          <w:rFonts w:ascii="Calibri" w:hAnsi="Calibri" w:cs="Calibri" w:eastAsia="Calibri"/>
          <w:color w:val="000000"/>
          <w:spacing w:val="0"/>
          <w:position w:val="0"/>
          <w:sz w:val="24"/>
          <w:shd w:fill="auto" w:val="clear"/>
        </w:rPr>
        <w:t xml:space="preserve">the colorimetric assay </w:t>
      </w:r>
      <w:r>
        <w:rPr>
          <w:rFonts w:ascii="Calibri" w:hAnsi="Calibri" w:cs="Calibri" w:eastAsia="Calibri"/>
          <w:color w:val="000000"/>
          <w:spacing w:val="0"/>
          <w:position w:val="0"/>
          <w:sz w:val="24"/>
          <w:shd w:fill="FFFFFF" w:val="clear"/>
        </w:rPr>
        <w:t xml:space="preserve">of citrate synthase activity</w:t>
      </w:r>
      <w:r>
        <w:rPr>
          <w:rFonts w:ascii="Calibri" w:hAnsi="Calibri" w:cs="Calibri" w:eastAsia="Calibri"/>
          <w:color w:val="auto"/>
          <w:spacing w:val="0"/>
          <w:position w:val="0"/>
          <w:sz w:val="24"/>
          <w:shd w:fill="auto" w:val="clear"/>
        </w:rPr>
        <w:t xml:space="preserve"> described here, we found that knockdown of dRNF34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muscle increased mitochondrial citrate synthase activity, which was reversed by knockdown of dPGC-1. Specifically using the method described here, an initial linear enzymatic rate was established for each assay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trend lines with their formulas and </w:t>
      </w:r>
      <w:r>
        <w:rPr>
          <w:rFonts w:ascii="Calibri" w:hAnsi="Calibri" w:cs="Calibri" w:eastAsia="Calibri"/>
          <w:color w:val="auto"/>
          <w:spacing w:val="0"/>
          <w:position w:val="0"/>
          <w:sz w:val="24"/>
          <w:shd w:fill="FFFFFF" w:val="clear"/>
        </w:rPr>
        <w:t xml:space="preserve">coefficient of determination (</w:t>
      </w: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shown in the graph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slopes of the trend lines represent the maximal reaction rates, which are equivalents of the maximal citrate synthase activities of the different genotypes. The slopes for the different genotypes are different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coefficient of determination </w:t>
      </w:r>
      <w:r>
        <w:rPr>
          <w:rFonts w:ascii="Calibri" w:hAnsi="Calibri" w:cs="Calibri" w:eastAsia="Calibri"/>
          <w:color w:val="auto"/>
          <w:spacing w:val="0"/>
          <w:position w:val="0"/>
          <w:sz w:val="24"/>
          <w:shd w:fill="auto" w:val="clear"/>
        </w:rPr>
        <w:t xml:space="preserve">is closer to 1; the formulas of the trend lines are more reliable. The protein concentration normalized </w:t>
      </w:r>
      <w:r>
        <w:rPr>
          <w:rFonts w:ascii="Calibri" w:hAnsi="Calibri" w:cs="Calibri" w:eastAsia="Calibri"/>
          <w:color w:val="auto"/>
          <w:spacing w:val="0"/>
          <w:position w:val="0"/>
          <w:sz w:val="24"/>
          <w:shd w:fill="FFFFFF" w:val="clear"/>
        </w:rPr>
        <w:t xml:space="preserve">maximal </w:t>
      </w:r>
      <w:r>
        <w:rPr>
          <w:rFonts w:ascii="Calibri" w:hAnsi="Calibri" w:cs="Calibri" w:eastAsia="Calibri"/>
          <w:color w:val="auto"/>
          <w:spacing w:val="0"/>
          <w:position w:val="0"/>
          <w:sz w:val="24"/>
          <w:shd w:fill="auto" w:val="clear"/>
        </w:rPr>
        <w:t xml:space="preserve">citrate synthase activities of different genotypes were calculated from the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data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w:t>
      </w:r>
      <w:r>
        <w:rPr>
          <w:rFonts w:ascii="Calibri" w:hAnsi="Calibri" w:cs="Calibri" w:eastAsia="Calibri"/>
          <w:color w:val="auto"/>
          <w:spacing w:val="0"/>
          <w:position w:val="0"/>
          <w:sz w:val="24"/>
          <w:shd w:fill="FFFFFF" w:val="clear"/>
        </w:rPr>
        <w:t xml:space="preserve">aximal citrate synthase activity of fly thoraxes with muscle-specific dRNF34 knockdown increased, which was reversed by muscle-specific dPGC-1 knockdown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113"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Figure 1: An example of </w:t>
      </w:r>
      <w:r>
        <w:rPr>
          <w:rFonts w:ascii="Calibri" w:hAnsi="Calibri" w:cs="Calibri" w:eastAsia="Calibri"/>
          <w:b/>
          <w:color w:val="000000"/>
          <w:spacing w:val="0"/>
          <w:position w:val="0"/>
          <w:sz w:val="24"/>
          <w:shd w:fill="auto" w:val="clear"/>
        </w:rPr>
        <w:t xml:space="preserve">the kinetic curves for the colorimetric assay </w:t>
      </w:r>
      <w:r>
        <w:rPr>
          <w:rFonts w:ascii="Calibri" w:hAnsi="Calibri" w:cs="Calibri" w:eastAsia="Calibri"/>
          <w:b/>
          <w:color w:val="000000"/>
          <w:spacing w:val="0"/>
          <w:position w:val="0"/>
          <w:sz w:val="24"/>
          <w:shd w:fill="FFFFFF" w:val="clear"/>
        </w:rPr>
        <w:t xml:space="preserve">of citrate synthase activity. </w:t>
      </w:r>
      <w:r>
        <w:rPr>
          <w:rFonts w:ascii="Calibri" w:hAnsi="Calibri" w:cs="Calibri" w:eastAsia="Calibri"/>
          <w:color w:val="000000"/>
          <w:spacing w:val="0"/>
          <w:position w:val="0"/>
          <w:sz w:val="24"/>
          <w:shd w:fill="auto" w:val="clear"/>
        </w:rPr>
        <w:t xml:space="preserve">The adult fly thorax homogenates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24B-G</w:t>
      </w:r>
      <w:r>
        <w:rPr>
          <w:rFonts w:ascii="Calibri" w:hAnsi="Calibri" w:cs="Calibri" w:eastAsia="Calibri"/>
          <w:color w:val="auto"/>
          <w:spacing w:val="0"/>
          <w:position w:val="0"/>
          <w:sz w:val="24"/>
          <w:shd w:fill="auto" w:val="clear"/>
        </w:rPr>
        <w:t xml:space="preserve">al4&amp;gt;+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24B-Gal4&amp;gt;dRNF34RNAi(II),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24B-Gal4&amp;gt;dRNF34RNAi(II),dPGC-1RNAi were subjected to </w:t>
      </w:r>
      <w:r>
        <w:rPr>
          <w:rFonts w:ascii="Calibri" w:hAnsi="Calibri" w:cs="Calibri" w:eastAsia="Calibri"/>
          <w:color w:val="000000"/>
          <w:spacing w:val="0"/>
          <w:position w:val="0"/>
          <w:sz w:val="24"/>
          <w:shd w:fill="auto" w:val="clear"/>
        </w:rPr>
        <w:t xml:space="preserve">the colorimetric assay </w:t>
      </w:r>
      <w:r>
        <w:rPr>
          <w:rFonts w:ascii="Calibri" w:hAnsi="Calibri" w:cs="Calibri" w:eastAsia="Calibri"/>
          <w:color w:val="000000"/>
          <w:spacing w:val="0"/>
          <w:position w:val="0"/>
          <w:sz w:val="24"/>
          <w:shd w:fill="FFFFFF" w:val="clear"/>
        </w:rPr>
        <w:t xml:space="preserve">of citrate synthase activity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horizontal axes represent reaction times</w:t>
      </w:r>
      <w:r>
        <w:rPr>
          <w:rFonts w:ascii="Calibri" w:hAnsi="Calibri" w:cs="Calibri" w:eastAsia="Calibri"/>
          <w:color w:val="auto"/>
          <w:spacing w:val="0"/>
          <w:position w:val="0"/>
          <w:sz w:val="24"/>
          <w:shd w:fill="auto" w:val="clear"/>
        </w:rPr>
        <w:t xml:space="preserve">, and the vertical axes </w:t>
      </w:r>
      <w:r>
        <w:rPr>
          <w:rFonts w:ascii="Calibri" w:hAnsi="Calibri" w:cs="Calibri" w:eastAsia="Calibri"/>
          <w:color w:val="auto"/>
          <w:spacing w:val="0"/>
          <w:position w:val="0"/>
          <w:sz w:val="24"/>
          <w:shd w:fill="FFFFFF" w:val="clear"/>
        </w:rPr>
        <w:t xml:space="preserve">represent OD </w:t>
      </w:r>
      <w:r>
        <w:rPr>
          <w:rFonts w:ascii="Calibri" w:hAnsi="Calibri" w:cs="Calibri" w:eastAsia="Calibri"/>
          <w:color w:val="auto"/>
          <w:spacing w:val="0"/>
          <w:position w:val="0"/>
          <w:sz w:val="24"/>
          <w:shd w:fill="auto" w:val="clear"/>
        </w:rPr>
        <w:t xml:space="preserve">absorbencies at 412 nm. A linear enzymatic rate was established for each genotype. The trend lines were drawn and the formulas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the trend lines are shown in the graph.</w:t>
      </w:r>
    </w:p>
    <w:p>
      <w:pPr>
        <w:spacing w:before="0" w:after="0" w:line="240"/>
        <w:ind w:right="-113" w:left="0" w:firstLine="0"/>
        <w:jc w:val="both"/>
        <w:rPr>
          <w:rFonts w:ascii="Calibri" w:hAnsi="Calibri" w:cs="Calibri" w:eastAsia="Calibri"/>
          <w:b/>
          <w:color w:val="auto"/>
          <w:spacing w:val="0"/>
          <w:position w:val="0"/>
          <w:sz w:val="24"/>
          <w:shd w:fill="auto" w:val="clear"/>
        </w:rPr>
      </w:pPr>
    </w:p>
    <w:p>
      <w:pPr>
        <w:spacing w:before="0" w:after="0" w:line="240"/>
        <w:ind w:right="-113"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The maximal citrate synthase activities calculated from the kinetic curves and normalized by protein concentration.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maximal citrate synthase activity of fly thoraxes with muscle-specific dRNF34 knockdown </w:t>
      </w:r>
      <w:r>
        <w:rPr>
          <w:rFonts w:ascii="Calibri" w:hAnsi="Calibri" w:cs="Calibri" w:eastAsia="Calibri"/>
          <w:color w:val="000000"/>
          <w:spacing w:val="0"/>
          <w:position w:val="0"/>
          <w:sz w:val="24"/>
          <w:shd w:fill="FFFFFF" w:val="clear"/>
        </w:rPr>
        <w:t xml:space="preserve">increased, which was reversed by muscle-specific dPGC-1 knockdown. All the data are represented as means &amp;plusmn; SEM (*</w:t>
      </w:r>
      <w:r>
        <w:rPr>
          <w:rFonts w:ascii="Calibri" w:hAnsi="Calibri" w:cs="Calibri" w:eastAsia="Calibri"/>
          <w:i/>
          <w:color w:val="000000"/>
          <w:spacing w:val="0"/>
          <w:position w:val="0"/>
          <w:sz w:val="24"/>
          <w:shd w:fill="FFFFFF" w:val="clear"/>
        </w:rPr>
        <w:t xml:space="preserve">p</w:t>
      </w:r>
      <w:r>
        <w:rPr>
          <w:rFonts w:ascii="Calibri" w:hAnsi="Calibri" w:cs="Calibri" w:eastAsia="Calibri"/>
          <w:color w:val="000000"/>
          <w:spacing w:val="0"/>
          <w:position w:val="0"/>
          <w:sz w:val="24"/>
          <w:shd w:fill="FFFFFF" w:val="clear"/>
        </w:rPr>
        <w:t xml:space="preserve"> &amp;lt; 0.01, by ANOVA</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test, and Tukey’s test for multiple comparisons, n = 3, 10 thoraxes per replicate). </w:t>
      </w:r>
      <w:r>
        <w:rPr>
          <w:rFonts w:ascii="Calibri" w:hAnsi="Calibri" w:cs="Calibri" w:eastAsia="Calibri"/>
          <w:color w:val="auto"/>
          <w:spacing w:val="0"/>
          <w:position w:val="0"/>
          <w:sz w:val="24"/>
          <w:shd w:fill="auto" w:val="clear"/>
        </w:rPr>
        <w:t xml:space="preserve">This figure is modified from Wei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tabs>
          <w:tab w:val="left" w:pos="2362"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studies using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as a model must take into consideration the genetic background, diet, and stock maintenance of the flies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avoid the effects of different genetic backgrounds on the measurement of citrate synthase activity, different strains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should be backcrossed to the control strain for 10 generations. The genetic background of all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strains used in our experiments is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so we used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as a control. Generally, we think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is a good control, as it is the genetic background for most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strains and is much easier to backcross than Canton-S. The diet and stock maintenance must be exactly the same for all the experimental groups. In our experiments, flies are normally maintained at 25 &amp;#176;C and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relative humidity. The sample preparation step should also be performed with caution. </w:t>
      </w:r>
      <w:r>
        <w:rPr>
          <w:rFonts w:ascii="Calibri" w:hAnsi="Calibri" w:cs="Calibri" w:eastAsia="Calibri"/>
          <w:color w:val="auto"/>
          <w:spacing w:val="0"/>
          <w:position w:val="0"/>
          <w:sz w:val="24"/>
          <w:shd w:fill="FFFFFF" w:val="clear"/>
        </w:rPr>
        <w:t xml:space="preserve">The crosses that are set up for the experiment should be in a similar and appropriate scale. To set up a cross,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female virgin adult flies are kept with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male adult flies in a 4 cm diameter, 15 cm high vial supplied with fresh food. The food recipe can vary (e.g., high fat diet, normal diet, high sugar diet), depending on the experimental design. Two days later, the parental generation of flies is transferred to a new vial with fresh food. Caring for the larvae hatched in the food includes adding some water if necessary. When the filial generation of flies starts to hatch, the vials are flipped every 24 h, the flies of the desired genotype are collected in a new vial for the experiment, and the hatch date of the flies is marked on each vial. Approximately 20-30 collected flies of the same genotype, gender, and age are kept in a vial with food. The collected flies must be transferred to fresh vials with appropriate food every two days until the experiments are performed. To avoid the effect of age on c</w:t>
      </w:r>
      <w:r>
        <w:rPr>
          <w:rFonts w:ascii="Calibri" w:hAnsi="Calibri" w:cs="Calibri" w:eastAsia="Calibri"/>
          <w:color w:val="auto"/>
          <w:spacing w:val="0"/>
          <w:position w:val="0"/>
          <w:sz w:val="24"/>
          <w:shd w:fill="auto" w:val="clear"/>
        </w:rPr>
        <w:t xml:space="preserve">itrate synthase </w:t>
      </w:r>
      <w:r>
        <w:rPr>
          <w:rFonts w:ascii="Calibri" w:hAnsi="Calibri" w:cs="Calibri" w:eastAsia="Calibri"/>
          <w:color w:val="auto"/>
          <w:spacing w:val="0"/>
          <w:position w:val="0"/>
          <w:sz w:val="24"/>
          <w:shd w:fill="FFFFFF" w:val="clear"/>
        </w:rPr>
        <w:t xml:space="preserve">activity, the flies of the different groups tested should hatch on the same day. In addition, the gender of the flies should be matched. Usually the body size of females is larger than that of males, thus the protein concentration of female bodies is higher than that of male bodies.</w:t>
      </w:r>
    </w:p>
    <w:p>
      <w:pPr>
        <w:tabs>
          <w:tab w:val="left" w:pos="3641"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citrate synthase activity assay can also be used for measuring the citrate synthase activity in larvae. To this end, each sample can consist of five wandering third instar larvae. The third instar larvae can be distinguished by </w:t>
      </w:r>
      <w:r>
        <w:rPr>
          <w:rFonts w:ascii="Calibri" w:hAnsi="Calibri" w:cs="Calibri" w:eastAsia="Calibri"/>
          <w:color w:val="auto"/>
          <w:spacing w:val="0"/>
          <w:position w:val="0"/>
          <w:sz w:val="24"/>
          <w:shd w:fill="auto" w:val="clear"/>
        </w:rPr>
        <w:t xml:space="preserve">a dark orange ring at the tip of their posterior spiracles, which is lacking or weakly present in the second instar larvae.</w:t>
      </w:r>
    </w:p>
    <w:p>
      <w:pPr>
        <w:tabs>
          <w:tab w:val="left" w:pos="3641"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6, the dilution ratios of samples may vary for different samples. For the samples that are first measured, several dilution ratios have to be tried to determine an appropriate dilution ratio to establish a linear enzymatic rate in the assay. The total measuring time for the maximal enzyme activity that establishes a linear enzymatic rate in the assay varies depending on</w:t>
      </w:r>
      <w:r>
        <w:rPr>
          <w:rFonts w:ascii="Calibri" w:hAnsi="Calibri" w:cs="Calibri" w:eastAsia="Calibri"/>
          <w:color w:val="auto"/>
          <w:spacing w:val="0"/>
          <w:position w:val="0"/>
          <w:sz w:val="24"/>
          <w:shd w:fill="FFFFFF" w:val="clear"/>
        </w:rPr>
        <w:t xml:space="preserve"> the enzyme-substrate ratio.</w:t>
      </w:r>
      <w:r>
        <w:rPr>
          <w:rFonts w:ascii="Calibri" w:hAnsi="Calibri" w:cs="Calibri" w:eastAsia="Calibri"/>
          <w:color w:val="auto"/>
          <w:spacing w:val="0"/>
          <w:position w:val="0"/>
          <w:sz w:val="24"/>
          <w:shd w:fill="auto" w:val="clear"/>
        </w:rPr>
        <w:t xml:space="preserve"> If the substrate is extremely overdosed compared to the enzyme, then the enzyme activity or the reaction rate reaches maximal, which allows the establishment of a linear enzymatic rate in the assay. As the reaction goes on, the amount of the substrate decreases, and the enzyme activity or the reaction rate slows down. If a linear enzymatic rate cannot be plotted, which means that the substrate is not overdosed compared to the enzyme, further dilute the tissue homogenates with reaction solution or shorten the interval time for the 412 nm readings until a linear enzymatic rate plot is established. The interval time for the 412 nm reading should be no more than 30 s. The duration for the 412 nm reading is based on the reaction rate and time. The spectrophotometer reading should stop when no further color change is observed for all reactions.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citrate synthase activity can be normalized by the sample protein concentration, sample fresh weight, or cell number. The sample fresh weight can be measured before homogenizing as in step 3. The cell number can also be used to normalize the lysate of cultured cells, but the cells must be completely lysed. DNA content is not a good option for an internal control, as the DNA extraction procedure may introduce variations in the samples, particularly for samples containing a small amount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color change is observed after the reaction, several different troubleshooting steps can be taken: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Check the sample preparation step, making sure to handle the samples properly, keep the samples on ice, and avoid multiple freeze-thaw cycles.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Try to use a higher protein concentration, because some samples might have much lower expression levels of </w:t>
      </w:r>
      <w:r>
        <w:rPr>
          <w:rFonts w:ascii="Calibri" w:hAnsi="Calibri" w:cs="Calibri" w:eastAsia="Calibri"/>
          <w:color w:val="000000"/>
          <w:spacing w:val="0"/>
          <w:position w:val="0"/>
          <w:sz w:val="24"/>
          <w:shd w:fill="auto" w:val="clear"/>
        </w:rPr>
        <w:t xml:space="preserve">citrate </w:t>
      </w:r>
      <w:r>
        <w:rPr>
          <w:rFonts w:ascii="Calibri" w:hAnsi="Calibri" w:cs="Calibri" w:eastAsia="Calibri"/>
          <w:color w:val="auto"/>
          <w:spacing w:val="0"/>
          <w:position w:val="0"/>
          <w:sz w:val="24"/>
          <w:shd w:fill="auto" w:val="clear"/>
        </w:rPr>
        <w:t xml:space="preserve">synthase that are undetectable by the citrate synthase activity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Note that some commercially available kits for citrate synthase activity assay </w:t>
      </w:r>
      <w:r>
        <w:rPr>
          <w:rFonts w:ascii="Calibri" w:hAnsi="Calibri" w:cs="Calibri" w:eastAsia="Calibri"/>
          <w:color w:val="auto"/>
          <w:spacing w:val="0"/>
          <w:position w:val="0"/>
          <w:sz w:val="24"/>
          <w:shd w:fill="FFFFFF" w:val="clear"/>
        </w:rPr>
        <w:t xml:space="preserve">cannot be used for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auto" w:val="clear"/>
        </w:rPr>
        <w:t xml:space="preserve">, because these kits determine mitochondrial citrate synthase activity based on immunocapture of mammalian citrate synthase and the mammalian citrate synthase antibody may not recognize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citrate synthase.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if there is a discrepancy between samples: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Make sure there are no bubbles in the wells.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Examine whether this is caused by poor pipetting technique.</w:t>
      </w:r>
    </w:p>
    <w:p>
      <w:pPr>
        <w:spacing w:before="0" w:after="0" w:line="240"/>
        <w:ind w:right="-113" w:left="0" w:firstLine="0"/>
        <w:jc w:val="both"/>
        <w:rPr>
          <w:rFonts w:ascii="Calibri" w:hAnsi="Calibri" w:cs="Calibri" w:eastAsia="Calibri"/>
          <w:color w:val="auto"/>
          <w:spacing w:val="0"/>
          <w:position w:val="0"/>
          <w:sz w:val="24"/>
          <w:shd w:fill="auto" w:val="clear"/>
        </w:rPr>
      </w:pPr>
    </w:p>
    <w:p>
      <w:pPr>
        <w:spacing w:before="0" w:after="0" w:line="240"/>
        <w:ind w:right="-113"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auto"/>
          <w:spacing w:val="0"/>
          <w:position w:val="0"/>
          <w:sz w:val="24"/>
          <w:shd w:fill="auto" w:val="clear"/>
        </w:rPr>
        <w:t xml:space="preserve">In contrast to measuring citrate synthase activity by a colorimetric assay in purified mitochondria, which requires almost 200 flies for the purification of mitochondria of each genotype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present a protocol for a fast and simple assay for measurement of citrate synthase activity by a colorimetric method in tissue homogenate or in whole cell extracts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each sample, only ten flies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hatched on the same day are needed; for triplicate samples of each genotype, 30 flies are needed. The</w:t>
      </w:r>
      <w:r>
        <w:rPr>
          <w:rFonts w:ascii="Calibri" w:hAnsi="Calibri" w:cs="Calibri" w:eastAsia="Calibri"/>
          <w:color w:val="212121"/>
          <w:spacing w:val="0"/>
          <w:position w:val="0"/>
          <w:sz w:val="24"/>
          <w:shd w:fill="auto" w:val="clear"/>
        </w:rPr>
        <w:t xml:space="preserve"> protocol described is applicable not only to </w:t>
      </w:r>
      <w:r>
        <w:rPr>
          <w:rFonts w:ascii="Calibri" w:hAnsi="Calibri" w:cs="Calibri" w:eastAsia="Calibri"/>
          <w:i/>
          <w:color w:val="212121"/>
          <w:spacing w:val="0"/>
          <w:position w:val="0"/>
          <w:sz w:val="24"/>
          <w:shd w:fill="auto" w:val="clear"/>
        </w:rPr>
        <w:t xml:space="preserve">Drosophila</w:t>
      </w:r>
      <w:r>
        <w:rPr>
          <w:rFonts w:ascii="Calibri" w:hAnsi="Calibri" w:cs="Calibri" w:eastAsia="Calibri"/>
          <w:color w:val="212121"/>
          <w:spacing w:val="0"/>
          <w:position w:val="0"/>
          <w:sz w:val="24"/>
          <w:shd w:fill="auto" w:val="clear"/>
        </w:rPr>
        <w:t xml:space="preserve"> but also to other systems, such as cultured cells and mammalian tissues.</w:t>
      </w:r>
    </w:p>
    <w:p>
      <w:pPr>
        <w:spacing w:before="0" w:after="0" w:line="240"/>
        <w:ind w:right="-113" w:left="0" w:firstLine="0"/>
        <w:jc w:val="both"/>
        <w:rPr>
          <w:rFonts w:ascii="Calibri" w:hAnsi="Calibri" w:cs="Calibri" w:eastAsia="Calibri"/>
          <w:color w:val="auto"/>
          <w:spacing w:val="0"/>
          <w:position w:val="0"/>
          <w:sz w:val="24"/>
          <w:shd w:fill="auto" w:val="clear"/>
        </w:rPr>
      </w:pPr>
    </w:p>
    <w:p>
      <w:pPr>
        <w:spacing w:before="0" w:after="0" w:line="240"/>
        <w:ind w:right="-1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citrate synthase activity assay, other methods can be used to quantify mitochondrial mass. Compared to other </w:t>
      </w:r>
      <w:r>
        <w:rPr>
          <w:rFonts w:ascii="Calibri" w:hAnsi="Calibri" w:cs="Calibri" w:eastAsia="Calibri"/>
          <w:color w:val="000000"/>
          <w:spacing w:val="0"/>
          <w:position w:val="0"/>
          <w:sz w:val="24"/>
          <w:shd w:fill="auto" w:val="clear"/>
        </w:rPr>
        <w:t xml:space="preserve">commonly used q</w:t>
      </w:r>
      <w:r>
        <w:rPr>
          <w:rFonts w:ascii="Calibri" w:hAnsi="Calibri" w:cs="Calibri" w:eastAsia="Calibri"/>
          <w:color w:val="auto"/>
          <w:spacing w:val="0"/>
          <w:position w:val="0"/>
          <w:sz w:val="24"/>
          <w:shd w:fill="auto" w:val="clear"/>
        </w:rPr>
        <w:t xml:space="preserve">uantitative methods of mitochondria, such as measurement of mitochondrial DNA content by qPCR and quantification of mitochondrial proteins by Western blotting, which detect all the mitochondria regardless of their function, the citrate synthase activity assay is used to quantify the presence of intact </w:t>
      </w:r>
      <w:r>
        <w:rPr>
          <w:rFonts w:ascii="Calibri" w:hAnsi="Calibri" w:cs="Calibri" w:eastAsia="Calibri"/>
          <w:color w:val="000000"/>
          <w:spacing w:val="0"/>
          <w:position w:val="0"/>
          <w:sz w:val="24"/>
          <w:shd w:fill="auto" w:val="clear"/>
        </w:rPr>
        <w:t xml:space="preserve">mitochondrial</w:t>
      </w:r>
      <w:r>
        <w:rPr>
          <w:rFonts w:ascii="Calibri" w:hAnsi="Calibri" w:cs="Calibri" w:eastAsia="Calibri"/>
          <w:color w:val="auto"/>
          <w:spacing w:val="0"/>
          <w:position w:val="0"/>
          <w:sz w:val="24"/>
          <w:shd w:fill="auto" w:val="clear"/>
        </w:rPr>
        <w:t xml:space="preserve"> mass. Unlike the mitochondrial respiration assay, which needs mitochondrial purification and specialized assay equipment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citrate synthase activity assay </w:t>
      </w:r>
      <w:r>
        <w:rPr>
          <w:rFonts w:ascii="Calibri" w:hAnsi="Calibri" w:cs="Calibri" w:eastAsia="Calibri"/>
          <w:color w:val="auto"/>
          <w:spacing w:val="0"/>
          <w:position w:val="0"/>
          <w:sz w:val="24"/>
          <w:shd w:fill="FFFFFF" w:val="clear"/>
        </w:rPr>
        <w:t xml:space="preserve">allows researchers to carry out rapid measurements </w:t>
      </w:r>
      <w:r>
        <w:rPr>
          <w:rFonts w:ascii="Calibri" w:hAnsi="Calibri" w:cs="Calibri" w:eastAsia="Calibri"/>
          <w:color w:val="auto"/>
          <w:spacing w:val="0"/>
          <w:position w:val="0"/>
          <w:sz w:val="24"/>
          <w:shd w:fill="auto" w:val="clear"/>
        </w:rPr>
        <w:t xml:space="preserve">by spectrophotometry </w:t>
      </w:r>
      <w:r>
        <w:rPr>
          <w:rFonts w:ascii="Calibri" w:hAnsi="Calibri" w:cs="Calibri" w:eastAsia="Calibri"/>
          <w:color w:val="auto"/>
          <w:spacing w:val="0"/>
          <w:position w:val="0"/>
          <w:sz w:val="24"/>
          <w:shd w:fill="FFFFFF" w:val="clear"/>
        </w:rPr>
        <w:t xml:space="preserve">with simple sample preparation, such as whole cell extract or tissue homogenate, and no need for mitochondrial isolation</w:t>
      </w:r>
      <w:r>
        <w:rPr>
          <w:rFonts w:ascii="Calibri" w:hAnsi="Calibri" w:cs="Calibri" w:eastAsia="Calibri"/>
          <w:color w:val="auto"/>
          <w:spacing w:val="0"/>
          <w:position w:val="0"/>
          <w:sz w:val="24"/>
          <w:shd w:fill="auto" w:val="clear"/>
        </w:rPr>
        <w:t xml:space="preserve">. Thus, the citrate synthase activity assay is a rapid and </w:t>
      </w:r>
      <w:r>
        <w:rPr>
          <w:rFonts w:ascii="Calibri" w:hAnsi="Calibri" w:cs="Calibri" w:eastAsia="Calibri"/>
          <w:color w:val="auto"/>
          <w:spacing w:val="0"/>
          <w:position w:val="0"/>
          <w:sz w:val="24"/>
          <w:shd w:fill="FFFFFF" w:val="clear"/>
        </w:rPr>
        <w:t xml:space="preserve">economical</w:t>
      </w:r>
      <w:r>
        <w:rPr>
          <w:rFonts w:ascii="Calibri" w:hAnsi="Calibri" w:cs="Calibri" w:eastAsia="Calibri"/>
          <w:color w:val="auto"/>
          <w:spacing w:val="0"/>
          <w:position w:val="0"/>
          <w:sz w:val="24"/>
          <w:shd w:fill="auto" w:val="clear"/>
        </w:rPr>
        <w:t xml:space="preserve"> assay for quantification of intact mitochondrial mass.</w:t>
      </w:r>
    </w:p>
    <w:p>
      <w:pPr>
        <w:spacing w:before="0" w:after="0" w:line="240"/>
        <w:ind w:right="-113"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This work was supported by the grants from the National Natural Science Foundation of China (</w:t>
      </w:r>
      <w:r>
        <w:rPr>
          <w:rFonts w:ascii="Calibri" w:hAnsi="Calibri" w:cs="Calibri" w:eastAsia="Calibri"/>
          <w:color w:val="000000"/>
          <w:spacing w:val="0"/>
          <w:position w:val="0"/>
          <w:sz w:val="24"/>
          <w:shd w:fill="auto" w:val="clear"/>
        </w:rPr>
        <w:t xml:space="preserve">31401013 and 31471010</w:t>
      </w:r>
      <w:r>
        <w:rPr>
          <w:rFonts w:ascii="Calibri" w:hAnsi="Calibri" w:cs="Calibri" w:eastAsia="Calibri"/>
          <w:color w:val="000000"/>
          <w:spacing w:val="0"/>
          <w:position w:val="0"/>
          <w:sz w:val="24"/>
          <w:shd w:fill="FFFFFF" w:val="clear"/>
        </w:rPr>
        <w:t xml:space="preserve">), the Science and Technology Commission of Shanghai Municipality, Shanghai Pujiang Program (14PJ1405900)</w:t>
      </w:r>
      <w:r>
        <w:rPr>
          <w:rFonts w:ascii="Calibri" w:hAnsi="Calibri" w:cs="Calibri" w:eastAsia="Calibri"/>
          <w:color w:val="000000"/>
          <w:spacing w:val="0"/>
          <w:position w:val="0"/>
          <w:sz w:val="24"/>
          <w:shd w:fill="auto" w:val="clear"/>
        </w:rPr>
        <w:t xml:space="preserve">, and Natural Science Foundation of Shanghai (19ZR1446400).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Yee, C., Yang, W., Hekimi, S. The intrinsic apoptosis pathway mediates the pro-longevity response to mitochondrial ROS in C. elegans.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(4), 897-909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Sarasija, S., Norman, K. R. A gamma-Secretase Independent Role for Presenilin in Calcium Homeostasis Impacts Mitochondrial Function and Morphology in Caenorhabditis elegans.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(4), 1453-1466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Oxenoid,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Architecture of the mitochondrial calcium uniporter.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533</w:t>
      </w:r>
      <w:r>
        <w:rPr>
          <w:rFonts w:ascii="Calibri" w:hAnsi="Calibri" w:cs="Calibri" w:eastAsia="Calibri"/>
          <w:color w:val="000000"/>
          <w:spacing w:val="0"/>
          <w:position w:val="0"/>
          <w:sz w:val="24"/>
          <w:shd w:fill="auto" w:val="clear"/>
        </w:rPr>
        <w:t xml:space="preserve"> (7602), 269-273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Hekimi, S., Wang, Y., Noe, A. Mitochondrial ROS and the Effectors of the Intrinsic Apoptotic Pathway in Aging Cells: The Discerning Killers!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161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H.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Lipid Biosynthesis Coordinates a Mitochondrial-to-Cytosolic Stress Response.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(6), 1539-1552 e1516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Y., Hekimi, S. Mitochondrial dysfunction and longevity in animals: Untangling the knot.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(6265), 1204-1207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Ray, A., Martinez, B. A., Berkowitz, L. A., Caldwell, G. A., Caldwell, K. A. Mitochondrial dysfunction, oxidative stress, and neurodegeneration elicited by a bacterial metabolite in a C. elegans Parkinson's model. </w:t>
      </w:r>
      <w:r>
        <w:rPr>
          <w:rFonts w:ascii="Calibri" w:hAnsi="Calibri" w:cs="Calibri" w:eastAsia="Calibri"/>
          <w:i/>
          <w:color w:val="000000"/>
          <w:spacing w:val="0"/>
          <w:position w:val="0"/>
          <w:sz w:val="24"/>
          <w:shd w:fill="auto" w:val="clear"/>
        </w:rPr>
        <w:t xml:space="preserve">Cell Death &amp;amp;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e984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Tronstad, K.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Regulation and quantification of cellular mitochondrial morphology and content.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(35), 5634-5652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Wiegand, G., Remington, S. J. Citrate synthase: structure, control, and mechanism. </w:t>
      </w:r>
      <w:r>
        <w:rPr>
          <w:rFonts w:ascii="Calibri" w:hAnsi="Calibri" w:cs="Calibri" w:eastAsia="Calibri"/>
          <w:i/>
          <w:color w:val="000000"/>
          <w:spacing w:val="0"/>
          <w:position w:val="0"/>
          <w:sz w:val="24"/>
          <w:shd w:fill="auto" w:val="clear"/>
        </w:rPr>
        <w:t xml:space="preserve">Annual Review of Biophysics and Biophysical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97-117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Lopez-Lluch,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Calorie restriction induces mitochondrial biogenesis and bioenergetic efficiency.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(6), 1768-1773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MacInnis,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Superior mitochondrial adaptations in human skeletal muscle after interval compared to continuous single-leg cycling matched for total work.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595</w:t>
      </w:r>
      <w:r>
        <w:rPr>
          <w:rFonts w:ascii="Calibri" w:hAnsi="Calibri" w:cs="Calibri" w:eastAsia="Calibri"/>
          <w:color w:val="000000"/>
          <w:spacing w:val="0"/>
          <w:position w:val="0"/>
          <w:sz w:val="24"/>
          <w:shd w:fill="auto" w:val="clear"/>
        </w:rPr>
        <w:t xml:space="preserve"> (9), 2955-2968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Gillen, J.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Twelve Weeks of Sprint Interval Training Improves Indices of Cardiometabolic Health Similar to Traditional Endurance Training despite a Five-Fold Lower Exercise Volume and Time Commitment.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e0154075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Mukherjee, S., Basar, M. A., Davis, C., Duttaroy, A. Emerging functional similarities and divergences between Drosophila Spargel/dPGC-1 and mammalian PGC-1 protein.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Mukherjee, S., Duttaroy, A. Spargel/dPGC-1 is a new downstream effector in the insulin-TOR signaling pathway in Drosophila.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433-441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Diop, 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PGC-1/Spargel Counteracts High-Fat-Diet-Induced Obesity and Cardiac Lipotoxicity Downstream of TOR and Brummer ATGL Lipase.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1572-1584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Rera,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Modulation of longevity and tissue homeostasis by the Drosophila PGC-1 homolog.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623-634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Wei,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RNF34 modulates the mitochondrial biogenesis and exercise capacity in muscle and lipid metabolism through ubiquitination of PGC-1 in Drosophila. </w:t>
      </w:r>
      <w:r>
        <w:rPr>
          <w:rFonts w:ascii="Calibri" w:hAnsi="Calibri" w:cs="Calibri" w:eastAsia="Calibri"/>
          <w:i/>
          <w:color w:val="000000"/>
          <w:spacing w:val="0"/>
          <w:position w:val="0"/>
          <w:sz w:val="24"/>
          <w:shd w:fill="auto" w:val="clear"/>
        </w:rPr>
        <w:t xml:space="preserve">Acta Biochimica et Biophysica Sinica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(Shanghai).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(10), 1038-1046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Tennessen, J. M., Barry, W. E., Cox, J., Thummel, C. S. Methods for studying metabolism in Drosophila.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105-115 (2014).</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Bosco,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oxygen concentration and pressure on Drosophila melanogaster: oxidative stress, mitochondrial activity, and survivorship. </w:t>
      </w:r>
      <w:r>
        <w:rPr>
          <w:rFonts w:ascii="Calibri" w:hAnsi="Calibri" w:cs="Calibri" w:eastAsia="Calibri"/>
          <w:i/>
          <w:color w:val="000000"/>
          <w:spacing w:val="0"/>
          <w:position w:val="0"/>
          <w:sz w:val="24"/>
          <w:shd w:fill="auto" w:val="clear"/>
        </w:rPr>
        <w:t xml:space="preserve">Archives of Insect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222-234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