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46438" w14:textId="04622965" w:rsidR="00C5710C" w:rsidRPr="00C5710C" w:rsidRDefault="00C5710C">
      <w:pPr>
        <w:rPr>
          <w:rStyle w:val="Strong"/>
          <w:b w:val="0"/>
          <w:color w:val="4472C4" w:themeColor="accent1"/>
          <w:sz w:val="20"/>
          <w:szCs w:val="20"/>
        </w:rPr>
      </w:pPr>
      <w:bookmarkStart w:id="0" w:name="_GoBack"/>
      <w:bookmarkEnd w:id="0"/>
      <w:r w:rsidRPr="00C5710C">
        <w:rPr>
          <w:rStyle w:val="Strong"/>
          <w:b w:val="0"/>
          <w:color w:val="4472C4" w:themeColor="accent1"/>
          <w:sz w:val="20"/>
          <w:szCs w:val="20"/>
        </w:rPr>
        <w:t>Dear Editor and Reviewers,</w:t>
      </w:r>
    </w:p>
    <w:p w14:paraId="44DAB52C" w14:textId="15653CA4" w:rsidR="00C5710C" w:rsidRPr="00C5710C" w:rsidRDefault="00C5710C">
      <w:pPr>
        <w:rPr>
          <w:rStyle w:val="Strong"/>
          <w:b w:val="0"/>
          <w:color w:val="4472C4" w:themeColor="accent1"/>
          <w:sz w:val="20"/>
          <w:szCs w:val="20"/>
        </w:rPr>
      </w:pPr>
    </w:p>
    <w:p w14:paraId="67D42961" w14:textId="6E4AB289" w:rsidR="00C5710C" w:rsidRDefault="00C5710C">
      <w:pPr>
        <w:rPr>
          <w:rStyle w:val="Strong"/>
          <w:b w:val="0"/>
          <w:color w:val="4472C4" w:themeColor="accent1"/>
          <w:sz w:val="20"/>
          <w:szCs w:val="20"/>
        </w:rPr>
      </w:pPr>
      <w:r w:rsidRPr="00C5710C">
        <w:rPr>
          <w:rStyle w:val="Strong"/>
          <w:b w:val="0"/>
          <w:color w:val="4472C4" w:themeColor="accent1"/>
          <w:sz w:val="20"/>
          <w:szCs w:val="20"/>
        </w:rPr>
        <w:t>We appreciate the</w:t>
      </w:r>
      <w:r>
        <w:rPr>
          <w:rStyle w:val="Strong"/>
          <w:b w:val="0"/>
          <w:color w:val="4472C4" w:themeColor="accent1"/>
          <w:sz w:val="20"/>
          <w:szCs w:val="20"/>
        </w:rPr>
        <w:t xml:space="preserve"> constructive</w:t>
      </w:r>
      <w:r w:rsidRPr="00C5710C">
        <w:rPr>
          <w:rStyle w:val="Strong"/>
          <w:b w:val="0"/>
          <w:color w:val="4472C4" w:themeColor="accent1"/>
          <w:sz w:val="20"/>
          <w:szCs w:val="20"/>
        </w:rPr>
        <w:t xml:space="preserve"> feedback </w:t>
      </w:r>
      <w:r>
        <w:rPr>
          <w:rStyle w:val="Strong"/>
          <w:b w:val="0"/>
          <w:color w:val="4472C4" w:themeColor="accent1"/>
          <w:sz w:val="20"/>
          <w:szCs w:val="20"/>
        </w:rPr>
        <w:t>on the manuscript “Using deuterium oxide as a non-invasive, non-lethal tool for assessing body composition and water composition in mammals”.  The comments have been addressed individually, and appropriate changes have been made to the manuscript using trac</w:t>
      </w:r>
      <w:r w:rsidR="002F318C">
        <w:rPr>
          <w:rStyle w:val="Strong"/>
          <w:b w:val="0"/>
          <w:color w:val="4472C4" w:themeColor="accent1"/>
          <w:sz w:val="20"/>
          <w:szCs w:val="20"/>
        </w:rPr>
        <w:t>k</w:t>
      </w:r>
      <w:r>
        <w:rPr>
          <w:rStyle w:val="Strong"/>
          <w:b w:val="0"/>
          <w:color w:val="4472C4" w:themeColor="accent1"/>
          <w:sz w:val="20"/>
          <w:szCs w:val="20"/>
        </w:rPr>
        <w:t xml:space="preserve"> changes.  We look forward to continuing the review processes.</w:t>
      </w:r>
    </w:p>
    <w:p w14:paraId="722CBA4D" w14:textId="38F404A6" w:rsidR="00C5710C" w:rsidRDefault="00C5710C">
      <w:pPr>
        <w:rPr>
          <w:rStyle w:val="Strong"/>
          <w:b w:val="0"/>
          <w:color w:val="4472C4" w:themeColor="accent1"/>
          <w:sz w:val="20"/>
          <w:szCs w:val="20"/>
        </w:rPr>
      </w:pPr>
    </w:p>
    <w:p w14:paraId="046324B5" w14:textId="6A0767B8" w:rsidR="00C5710C" w:rsidRDefault="00C5710C">
      <w:pPr>
        <w:rPr>
          <w:rStyle w:val="Strong"/>
          <w:b w:val="0"/>
          <w:color w:val="4472C4" w:themeColor="accent1"/>
          <w:sz w:val="20"/>
          <w:szCs w:val="20"/>
        </w:rPr>
      </w:pPr>
      <w:r>
        <w:rPr>
          <w:rStyle w:val="Strong"/>
          <w:b w:val="0"/>
          <w:color w:val="4472C4" w:themeColor="accent1"/>
          <w:sz w:val="20"/>
          <w:szCs w:val="20"/>
        </w:rPr>
        <w:t>Sincerely,</w:t>
      </w:r>
    </w:p>
    <w:p w14:paraId="3922FCB3" w14:textId="61E9B3A6" w:rsidR="00C5710C" w:rsidRPr="00C5710C" w:rsidRDefault="00C5710C">
      <w:pPr>
        <w:rPr>
          <w:rStyle w:val="Strong"/>
          <w:b w:val="0"/>
          <w:color w:val="4472C4" w:themeColor="accent1"/>
          <w:sz w:val="20"/>
          <w:szCs w:val="20"/>
        </w:rPr>
      </w:pPr>
      <w:r>
        <w:rPr>
          <w:rStyle w:val="Strong"/>
          <w:b w:val="0"/>
          <w:color w:val="4472C4" w:themeColor="accent1"/>
          <w:sz w:val="20"/>
          <w:szCs w:val="20"/>
        </w:rPr>
        <w:t>The authors</w:t>
      </w:r>
    </w:p>
    <w:p w14:paraId="7D47F7B6" w14:textId="77777777" w:rsidR="00C5710C" w:rsidRDefault="00C5710C">
      <w:pPr>
        <w:rPr>
          <w:rStyle w:val="Strong"/>
          <w:sz w:val="20"/>
          <w:szCs w:val="20"/>
        </w:rPr>
      </w:pPr>
    </w:p>
    <w:p w14:paraId="7B01FAAA" w14:textId="1FAE5036" w:rsidR="007F527C" w:rsidRDefault="00B83ADE">
      <w:pPr>
        <w:rPr>
          <w:sz w:val="20"/>
          <w:szCs w:val="20"/>
        </w:rPr>
      </w:pPr>
      <w:r>
        <w:rPr>
          <w:rStyle w:val="Strong"/>
          <w:sz w:val="20"/>
          <w:szCs w:val="20"/>
        </w:rPr>
        <w:t>Editorial comments:</w:t>
      </w:r>
      <w:r>
        <w:rPr>
          <w:sz w:val="20"/>
          <w:szCs w:val="20"/>
        </w:rPr>
        <w:br/>
        <w:t>Changes to be made by the author(s) regarding the manuscript:</w:t>
      </w:r>
      <w:r>
        <w:rPr>
          <w:sz w:val="20"/>
          <w:szCs w:val="20"/>
        </w:rPr>
        <w:br/>
        <w:t>1. Please take this opportunity to thoroughly proofread the manuscript to ensure that there are no spelling or grammar issues.</w:t>
      </w:r>
    </w:p>
    <w:p w14:paraId="497B0887" w14:textId="2825BF74" w:rsidR="007F527C" w:rsidRPr="00E20F79" w:rsidRDefault="007F527C">
      <w:pPr>
        <w:rPr>
          <w:color w:val="0070C0"/>
          <w:sz w:val="20"/>
          <w:szCs w:val="20"/>
        </w:rPr>
      </w:pPr>
      <w:r w:rsidRPr="00E20F79">
        <w:rPr>
          <w:color w:val="0070C0"/>
          <w:sz w:val="20"/>
          <w:szCs w:val="20"/>
        </w:rPr>
        <w:t xml:space="preserve">We have reviewed the manuscript </w:t>
      </w:r>
      <w:r w:rsidR="00E45C81" w:rsidRPr="00E20F79">
        <w:rPr>
          <w:color w:val="0070C0"/>
          <w:sz w:val="20"/>
          <w:szCs w:val="20"/>
        </w:rPr>
        <w:t>for</w:t>
      </w:r>
      <w:r w:rsidRPr="00E20F79">
        <w:rPr>
          <w:color w:val="0070C0"/>
          <w:sz w:val="20"/>
          <w:szCs w:val="20"/>
        </w:rPr>
        <w:t xml:space="preserve"> spelling and grammar issues</w:t>
      </w:r>
      <w:r w:rsidR="00E45C81" w:rsidRPr="00E20F79">
        <w:rPr>
          <w:color w:val="0070C0"/>
          <w:sz w:val="20"/>
          <w:szCs w:val="20"/>
        </w:rPr>
        <w:t>.</w:t>
      </w:r>
      <w:r w:rsidR="00E20F79">
        <w:rPr>
          <w:color w:val="0070C0"/>
          <w:sz w:val="20"/>
          <w:szCs w:val="20"/>
        </w:rPr>
        <w:t xml:space="preserve">  Any errors were corrected and noted by the track changes function in Microsoft Word.</w:t>
      </w:r>
    </w:p>
    <w:p w14:paraId="5934B3F1" w14:textId="7104353B" w:rsidR="009E16E8" w:rsidRDefault="00B83ADE">
      <w:pPr>
        <w:rPr>
          <w:sz w:val="20"/>
          <w:szCs w:val="20"/>
        </w:rPr>
      </w:pPr>
      <w:r>
        <w:rPr>
          <w:sz w:val="20"/>
          <w:szCs w:val="20"/>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D04CFA5" w14:textId="2853A2C2" w:rsidR="00805644" w:rsidRPr="00E20F79" w:rsidRDefault="00805644">
      <w:pPr>
        <w:rPr>
          <w:color w:val="0070C0"/>
          <w:sz w:val="20"/>
          <w:szCs w:val="20"/>
        </w:rPr>
      </w:pPr>
      <w:r w:rsidRPr="00E20F79">
        <w:rPr>
          <w:color w:val="0070C0"/>
          <w:sz w:val="20"/>
          <w:szCs w:val="20"/>
        </w:rPr>
        <w:t>The original signed Journal of Animal Physiology and Animal Nutrition copyright transfer agreement states figures may be reused in other publications</w:t>
      </w:r>
      <w:r w:rsidR="00403730" w:rsidRPr="00E20F79">
        <w:rPr>
          <w:color w:val="0070C0"/>
          <w:sz w:val="20"/>
          <w:szCs w:val="20"/>
        </w:rPr>
        <w:t>.  This</w:t>
      </w:r>
      <w:r w:rsidRPr="00E20F79">
        <w:rPr>
          <w:color w:val="0070C0"/>
          <w:sz w:val="20"/>
          <w:szCs w:val="20"/>
        </w:rPr>
        <w:t xml:space="preserve"> will be uploaded as a PDF in the Editorial Manager</w:t>
      </w:r>
      <w:r w:rsidR="00403730" w:rsidRPr="00E20F79">
        <w:rPr>
          <w:color w:val="0070C0"/>
          <w:sz w:val="20"/>
          <w:szCs w:val="20"/>
        </w:rPr>
        <w:t xml:space="preserve"> for review by JOVE editors and staff</w:t>
      </w:r>
      <w:r w:rsidRPr="00E20F79">
        <w:rPr>
          <w:color w:val="0070C0"/>
          <w:sz w:val="20"/>
          <w:szCs w:val="20"/>
        </w:rPr>
        <w:t>.</w:t>
      </w:r>
      <w:r w:rsidR="001A2B72">
        <w:rPr>
          <w:color w:val="0070C0"/>
          <w:sz w:val="20"/>
          <w:szCs w:val="20"/>
        </w:rPr>
        <w:t xml:space="preserve">  The lead and senior authors do not have the file in .doc or .docx format.</w:t>
      </w:r>
    </w:p>
    <w:p w14:paraId="29D33AEE" w14:textId="77777777" w:rsidR="008F096C" w:rsidRDefault="00805644">
      <w:pPr>
        <w:rPr>
          <w:sz w:val="20"/>
          <w:szCs w:val="20"/>
        </w:rPr>
      </w:pPr>
      <w:r>
        <w:rPr>
          <w:sz w:val="20"/>
          <w:szCs w:val="20"/>
        </w:rPr>
        <w:t xml:space="preserve"> </w:t>
      </w:r>
      <w:r w:rsidR="00B83ADE">
        <w:rPr>
          <w:sz w:val="20"/>
          <w:szCs w:val="20"/>
        </w:rPr>
        <w:br/>
        <w:t>3. Figure and table legends: Please include a title and a description of each figure and/or table. All figures and/or tables showing data must include measurement definitions, scale bars, and error bars (if applicable).</w:t>
      </w:r>
    </w:p>
    <w:p w14:paraId="11B6CCD4" w14:textId="59D5DFE4" w:rsidR="001A2B72" w:rsidRPr="007A31AE" w:rsidRDefault="008F096C">
      <w:pPr>
        <w:rPr>
          <w:color w:val="0070C0"/>
          <w:sz w:val="20"/>
          <w:szCs w:val="20"/>
        </w:rPr>
      </w:pPr>
      <w:r w:rsidRPr="007A31AE">
        <w:rPr>
          <w:color w:val="0070C0"/>
          <w:sz w:val="20"/>
          <w:szCs w:val="20"/>
        </w:rPr>
        <w:t>We have revised the figure and table legends to include a title and applicable</w:t>
      </w:r>
      <w:r w:rsidR="007A31AE">
        <w:rPr>
          <w:color w:val="0070C0"/>
          <w:sz w:val="20"/>
          <w:szCs w:val="20"/>
        </w:rPr>
        <w:t xml:space="preserve"> description</w:t>
      </w:r>
      <w:r w:rsidRPr="007A31AE">
        <w:rPr>
          <w:color w:val="0070C0"/>
          <w:sz w:val="20"/>
          <w:szCs w:val="20"/>
        </w:rPr>
        <w:t>.</w:t>
      </w:r>
    </w:p>
    <w:p w14:paraId="4EE3A331" w14:textId="77777777" w:rsidR="00E555DF" w:rsidRPr="00E555DF" w:rsidRDefault="00B83ADE">
      <w:pPr>
        <w:rPr>
          <w:sz w:val="20"/>
          <w:szCs w:val="20"/>
        </w:rPr>
      </w:pPr>
      <w:r>
        <w:rPr>
          <w:sz w:val="20"/>
          <w:szCs w:val="20"/>
        </w:rPr>
        <w:br/>
      </w:r>
      <w:r w:rsidRPr="00E555DF">
        <w:rPr>
          <w:sz w:val="20"/>
          <w:szCs w:val="20"/>
        </w:rPr>
        <w:t>4. Figure 1: Please describe what the error bars represent. What do the bright green and dark green dots represent?</w:t>
      </w:r>
    </w:p>
    <w:p w14:paraId="49D8B85C" w14:textId="75629103" w:rsidR="00E555DF" w:rsidRPr="00E555DF" w:rsidRDefault="00E555DF">
      <w:pPr>
        <w:rPr>
          <w:color w:val="4472C4" w:themeColor="accent1"/>
          <w:sz w:val="20"/>
          <w:szCs w:val="20"/>
        </w:rPr>
      </w:pPr>
      <w:r w:rsidRPr="00E555DF">
        <w:rPr>
          <w:color w:val="4472C4" w:themeColor="accent1"/>
          <w:sz w:val="20"/>
          <w:szCs w:val="20"/>
        </w:rPr>
        <w:t>We had added in the legend, “The mean is the light green point with error bards indicating the standard error of the mean.”</w:t>
      </w:r>
    </w:p>
    <w:p w14:paraId="2DB9AB33" w14:textId="77777777" w:rsidR="00E555DF" w:rsidRDefault="00B83ADE">
      <w:pPr>
        <w:rPr>
          <w:sz w:val="20"/>
          <w:szCs w:val="20"/>
        </w:rPr>
      </w:pPr>
      <w:r w:rsidRPr="00E555DF">
        <w:rPr>
          <w:sz w:val="20"/>
          <w:szCs w:val="20"/>
        </w:rPr>
        <w:br/>
        <w:t>5. Figure 2: Please describe what the blue line, dashed green line and shaded area represent.</w:t>
      </w:r>
    </w:p>
    <w:p w14:paraId="5DEC905A" w14:textId="77777777" w:rsidR="00E555DF" w:rsidRPr="00E555DF" w:rsidRDefault="00E555DF">
      <w:pPr>
        <w:rPr>
          <w:color w:val="4472C4" w:themeColor="accent1"/>
          <w:sz w:val="20"/>
          <w:szCs w:val="20"/>
        </w:rPr>
      </w:pPr>
      <w:r w:rsidRPr="00E555DF">
        <w:rPr>
          <w:color w:val="4472C4" w:themeColor="accent1"/>
          <w:sz w:val="20"/>
          <w:szCs w:val="20"/>
        </w:rPr>
        <w:t>We have described the items listed above in the figure legend.</w:t>
      </w:r>
    </w:p>
    <w:p w14:paraId="2DDB6A55" w14:textId="3EE7CE92" w:rsidR="008F096C" w:rsidRDefault="00B83ADE">
      <w:pPr>
        <w:rPr>
          <w:sz w:val="20"/>
          <w:szCs w:val="20"/>
        </w:rPr>
      </w:pPr>
      <w:r>
        <w:rPr>
          <w:sz w:val="20"/>
          <w:szCs w:val="20"/>
        </w:rPr>
        <w:br/>
        <w:t xml:space="preserve">6. Table of Materials: Please revise the Table of Materials to include the name, company, and catalog number of all </w:t>
      </w:r>
      <w:r>
        <w:rPr>
          <w:sz w:val="20"/>
          <w:szCs w:val="20"/>
        </w:rPr>
        <w:lastRenderedPageBreak/>
        <w:t xml:space="preserve">relevant supplies, reagents, equipment and software in separate columns in an </w:t>
      </w:r>
      <w:proofErr w:type="spellStart"/>
      <w:r>
        <w:rPr>
          <w:sz w:val="20"/>
          <w:szCs w:val="20"/>
        </w:rPr>
        <w:t>xls</w:t>
      </w:r>
      <w:proofErr w:type="spellEnd"/>
      <w:r>
        <w:rPr>
          <w:sz w:val="20"/>
          <w:szCs w:val="20"/>
        </w:rPr>
        <w:t>/xlsx file. Please sort the items in alphabetical order according to the name of material/equipment.</w:t>
      </w:r>
    </w:p>
    <w:p w14:paraId="18AE6A9F" w14:textId="26F28AE6" w:rsidR="000755BF" w:rsidRPr="00EA1E7C" w:rsidRDefault="008F096C" w:rsidP="000755BF">
      <w:pPr>
        <w:rPr>
          <w:rFonts w:ascii="Calibri" w:eastAsia="Times New Roman" w:hAnsi="Calibri" w:cs="Calibri"/>
          <w:color w:val="0070C0"/>
        </w:rPr>
      </w:pPr>
      <w:r w:rsidRPr="00EA1E7C">
        <w:rPr>
          <w:color w:val="0070C0"/>
          <w:sz w:val="20"/>
          <w:szCs w:val="20"/>
        </w:rPr>
        <w:t>We have sorted the items in alph</w:t>
      </w:r>
      <w:r w:rsidR="00AC0E47" w:rsidRPr="00EA1E7C">
        <w:rPr>
          <w:color w:val="0070C0"/>
          <w:sz w:val="20"/>
          <w:szCs w:val="20"/>
        </w:rPr>
        <w:t>abetical order</w:t>
      </w:r>
      <w:r w:rsidR="000755BF" w:rsidRPr="00EA1E7C">
        <w:rPr>
          <w:color w:val="0070C0"/>
          <w:sz w:val="20"/>
          <w:szCs w:val="20"/>
        </w:rPr>
        <w:t xml:space="preserve">.  </w:t>
      </w:r>
      <w:r w:rsidR="00A904D0" w:rsidRPr="00EA1E7C">
        <w:rPr>
          <w:color w:val="0070C0"/>
          <w:sz w:val="20"/>
          <w:szCs w:val="20"/>
        </w:rPr>
        <w:t xml:space="preserve">Items with a numerical value (i.e. 10 mL syringe) are listed first. </w:t>
      </w:r>
      <w:r w:rsidR="000755BF" w:rsidRPr="00EA1E7C">
        <w:rPr>
          <w:color w:val="0070C0"/>
          <w:sz w:val="20"/>
          <w:szCs w:val="20"/>
        </w:rPr>
        <w:t xml:space="preserve">We have added the </w:t>
      </w:r>
      <w:r w:rsidR="000755BF" w:rsidRPr="00EA1E7C">
        <w:rPr>
          <w:rFonts w:ascii="Calibri" w:eastAsia="Times New Roman" w:hAnsi="Calibri" w:cs="Calibri"/>
          <w:color w:val="0070C0"/>
        </w:rPr>
        <w:t>OMNIC Spectra Software</w:t>
      </w:r>
      <w:r w:rsidR="00EE2102" w:rsidRPr="00EA1E7C">
        <w:rPr>
          <w:rFonts w:ascii="Calibri" w:eastAsia="Times New Roman" w:hAnsi="Calibri" w:cs="Calibri"/>
          <w:color w:val="0070C0"/>
        </w:rPr>
        <w:t xml:space="preserve"> and FTIR equipment.</w:t>
      </w:r>
    </w:p>
    <w:p w14:paraId="6B11905E" w14:textId="2CDC9E15" w:rsidR="007C2940" w:rsidRDefault="00B83ADE">
      <w:pPr>
        <w:rPr>
          <w:sz w:val="20"/>
          <w:szCs w:val="20"/>
        </w:rPr>
      </w:pPr>
      <w:r>
        <w:rPr>
          <w:sz w:val="20"/>
          <w:szCs w:val="20"/>
        </w:rPr>
        <w:t xml:space="preserve">7. </w:t>
      </w:r>
      <w:proofErr w:type="spellStart"/>
      <w:r>
        <w:rPr>
          <w:sz w:val="20"/>
          <w:szCs w:val="20"/>
        </w:rPr>
        <w:t>JoVE</w:t>
      </w:r>
      <w:proofErr w:type="spellEnd"/>
      <w:r>
        <w:rPr>
          <w:sz w:val="20"/>
          <w:szCs w:val="2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Microsoft Excel, Vaseline, OMNIC </w:t>
      </w:r>
      <w:proofErr w:type="spellStart"/>
      <w:r>
        <w:rPr>
          <w:sz w:val="20"/>
          <w:szCs w:val="20"/>
        </w:rPr>
        <w:t>Specta</w:t>
      </w:r>
      <w:proofErr w:type="spellEnd"/>
      <w:r>
        <w:rPr>
          <w:sz w:val="20"/>
          <w:szCs w:val="20"/>
        </w:rPr>
        <w:t>, etc.</w:t>
      </w:r>
    </w:p>
    <w:p w14:paraId="388DCBAB" w14:textId="2AB421AB" w:rsidR="00806FBD" w:rsidRDefault="001A2B72">
      <w:pPr>
        <w:rPr>
          <w:sz w:val="20"/>
          <w:szCs w:val="20"/>
        </w:rPr>
      </w:pPr>
      <w:r>
        <w:rPr>
          <w:color w:val="0070C0"/>
          <w:sz w:val="20"/>
          <w:szCs w:val="20"/>
        </w:rPr>
        <w:t>We have revised the manuscript to eliminate use of commercial language except for the Table of Materials and Reagents.</w:t>
      </w:r>
      <w:r w:rsidR="00B83ADE">
        <w:rPr>
          <w:sz w:val="20"/>
          <w:szCs w:val="20"/>
        </w:rPr>
        <w:br/>
        <w:t>8. Please revise the protocol text to avoid the use of any personal pronouns (e.g., "we", "you", "our" etc.).</w:t>
      </w:r>
    </w:p>
    <w:p w14:paraId="50AD4FE2" w14:textId="77777777" w:rsidR="001A2B72" w:rsidRPr="001A2B72" w:rsidRDefault="00806FBD">
      <w:pPr>
        <w:rPr>
          <w:color w:val="0070C0"/>
          <w:sz w:val="20"/>
          <w:szCs w:val="20"/>
        </w:rPr>
      </w:pPr>
      <w:r w:rsidRPr="001A2B72">
        <w:rPr>
          <w:color w:val="0070C0"/>
          <w:sz w:val="20"/>
          <w:szCs w:val="20"/>
        </w:rPr>
        <w:t>We have revised the protocol text to reduce/eliminate the use of personal pronouns.</w:t>
      </w:r>
    </w:p>
    <w:p w14:paraId="42798BE8" w14:textId="2E92A816" w:rsidR="00806FBD" w:rsidRDefault="00B83ADE">
      <w:pPr>
        <w:rPr>
          <w:sz w:val="20"/>
          <w:szCs w:val="20"/>
        </w:rPr>
      </w:pPr>
      <w:r>
        <w:rPr>
          <w:sz w:val="20"/>
          <w:szCs w:val="20"/>
        </w:rPr>
        <w:t>9. 3.1: Please mention how proper anesthetization is confirmed.</w:t>
      </w:r>
    </w:p>
    <w:p w14:paraId="5C1D4157" w14:textId="77777777" w:rsidR="00806FBD" w:rsidRPr="006B76BB" w:rsidRDefault="00806FBD">
      <w:pPr>
        <w:rPr>
          <w:color w:val="0070C0"/>
          <w:sz w:val="20"/>
          <w:szCs w:val="20"/>
        </w:rPr>
      </w:pPr>
      <w:r w:rsidRPr="006B76BB">
        <w:rPr>
          <w:color w:val="0070C0"/>
          <w:sz w:val="20"/>
          <w:szCs w:val="20"/>
        </w:rPr>
        <w:t xml:space="preserve">Step 3.1 now includes how proper anesthesia is confirmed. </w:t>
      </w:r>
    </w:p>
    <w:p w14:paraId="01144D52" w14:textId="7D23A927" w:rsidR="009508AD" w:rsidRDefault="00B83ADE">
      <w:pPr>
        <w:rPr>
          <w:sz w:val="20"/>
          <w:szCs w:val="20"/>
        </w:rPr>
      </w:pPr>
      <w:r>
        <w:rPr>
          <w:sz w:val="20"/>
          <w:szCs w:val="20"/>
        </w:rPr>
        <w:br/>
        <w:t>10. 3.15: Please specify centrifugation parameters (force in x g and time).</w:t>
      </w:r>
    </w:p>
    <w:p w14:paraId="2DFB5312" w14:textId="77777777" w:rsidR="00EA1E7C" w:rsidRDefault="00EA1E7C">
      <w:pPr>
        <w:rPr>
          <w:color w:val="0070C0"/>
          <w:sz w:val="20"/>
          <w:szCs w:val="20"/>
        </w:rPr>
      </w:pPr>
      <w:r>
        <w:rPr>
          <w:color w:val="0070C0"/>
          <w:sz w:val="20"/>
          <w:szCs w:val="20"/>
        </w:rPr>
        <w:t>Microhematocrit centrifuges typically only allow time adjustments and not speed adjustments.  We listed the time, but now include additional information for centrifuges that allow multiple speeds.</w:t>
      </w:r>
    </w:p>
    <w:p w14:paraId="7E465FD1" w14:textId="1DAEAE6F" w:rsidR="00482384" w:rsidRDefault="00B83ADE">
      <w:pPr>
        <w:rPr>
          <w:sz w:val="20"/>
          <w:szCs w:val="20"/>
        </w:rPr>
      </w:pPr>
      <w:r>
        <w:rPr>
          <w:sz w:val="20"/>
          <w:szCs w:val="20"/>
        </w:rPr>
        <w:t>11. 4.9.1-4.9.19: Please include all parameters in a table and reference the table in step 4.9.</w:t>
      </w:r>
    </w:p>
    <w:p w14:paraId="0C348748" w14:textId="77777777" w:rsidR="00EA1E7C" w:rsidRDefault="00EA1E7C" w:rsidP="00EA1E7C">
      <w:pPr>
        <w:rPr>
          <w:color w:val="002060"/>
          <w:sz w:val="20"/>
          <w:szCs w:val="20"/>
        </w:rPr>
      </w:pPr>
      <w:r>
        <w:rPr>
          <w:color w:val="0070C0"/>
          <w:sz w:val="20"/>
          <w:szCs w:val="20"/>
        </w:rPr>
        <w:t>We have created a reference table for all parameters in step 4.9</w:t>
      </w:r>
      <w:r>
        <w:rPr>
          <w:color w:val="002060"/>
          <w:sz w:val="20"/>
          <w:szCs w:val="20"/>
        </w:rPr>
        <w:t>.</w:t>
      </w:r>
    </w:p>
    <w:p w14:paraId="249AE3B3" w14:textId="535C04E4" w:rsidR="00806FBD" w:rsidRDefault="00B83ADE" w:rsidP="00EA1E7C">
      <w:pPr>
        <w:rPr>
          <w:sz w:val="20"/>
          <w:szCs w:val="20"/>
        </w:rPr>
      </w:pPr>
      <w:r>
        <w:rPr>
          <w:sz w:val="20"/>
          <w:szCs w:val="20"/>
        </w:rPr>
        <w:t>12. Please combine some of the shorter Protocol steps so that individual steps contain 2-3 actions and maximum of 4 sentences per step.</w:t>
      </w:r>
    </w:p>
    <w:p w14:paraId="065532D2" w14:textId="47AC3612" w:rsidR="00EA1E7C" w:rsidRPr="00EA1E7C" w:rsidRDefault="00806FBD">
      <w:pPr>
        <w:rPr>
          <w:color w:val="0070C0"/>
          <w:sz w:val="20"/>
          <w:szCs w:val="20"/>
        </w:rPr>
      </w:pPr>
      <w:r w:rsidRPr="00EA1E7C">
        <w:rPr>
          <w:color w:val="0070C0"/>
          <w:sz w:val="20"/>
          <w:szCs w:val="20"/>
        </w:rPr>
        <w:t>We have combined the shorter protocol steps as request</w:t>
      </w:r>
      <w:r w:rsidR="00EA1E7C">
        <w:rPr>
          <w:color w:val="0070C0"/>
          <w:sz w:val="20"/>
          <w:szCs w:val="20"/>
        </w:rPr>
        <w:t>ed.</w:t>
      </w:r>
    </w:p>
    <w:p w14:paraId="70EB9070" w14:textId="77777777" w:rsidR="00EA1E7C" w:rsidRDefault="00B83ADE">
      <w:pPr>
        <w:rPr>
          <w:sz w:val="20"/>
          <w:szCs w:val="20"/>
        </w:rPr>
      </w:pPr>
      <w:r>
        <w:rPr>
          <w:sz w:val="20"/>
          <w:szCs w:val="20"/>
        </w:rPr>
        <w:br/>
        <w:t>13. Please include single-line spaces between all paragraphs, headings, steps, etc.</w:t>
      </w:r>
    </w:p>
    <w:p w14:paraId="2FEFDEAE" w14:textId="254F1EAC" w:rsidR="00EA1E7C" w:rsidRPr="005B4104" w:rsidRDefault="00EA1E7C">
      <w:pPr>
        <w:rPr>
          <w:color w:val="0070C0"/>
          <w:sz w:val="20"/>
          <w:szCs w:val="20"/>
        </w:rPr>
      </w:pPr>
      <w:r>
        <w:rPr>
          <w:color w:val="0070C0"/>
          <w:sz w:val="20"/>
          <w:szCs w:val="20"/>
        </w:rPr>
        <w:t>We have included single-line spaces between all paragraphs, headings, steps, etc.</w:t>
      </w:r>
      <w:r w:rsidR="00B83ADE">
        <w:rPr>
          <w:sz w:val="20"/>
          <w:szCs w:val="20"/>
        </w:rPr>
        <w:b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1A5D19C1" w14:textId="20C458C4" w:rsidR="00EA1E7C" w:rsidRDefault="005B4104">
      <w:pPr>
        <w:rPr>
          <w:sz w:val="20"/>
          <w:szCs w:val="20"/>
        </w:rPr>
      </w:pPr>
      <w:r>
        <w:rPr>
          <w:color w:val="4472C4" w:themeColor="accent1"/>
          <w:sz w:val="20"/>
          <w:szCs w:val="20"/>
        </w:rPr>
        <w:t>Once track changes are accepted, the authors should have approximately 2.75 pages highlighted.</w:t>
      </w:r>
      <w:r w:rsidR="00B83ADE">
        <w:rPr>
          <w:sz w:val="20"/>
          <w:szCs w:val="20"/>
        </w:rPr>
        <w:br/>
        <w:t>15.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40F7BD36" w14:textId="77777777" w:rsidR="005772FA" w:rsidRPr="005772FA" w:rsidRDefault="005772FA">
      <w:pPr>
        <w:rPr>
          <w:color w:val="4472C4" w:themeColor="accent1"/>
          <w:sz w:val="20"/>
          <w:szCs w:val="20"/>
        </w:rPr>
      </w:pPr>
    </w:p>
    <w:p w14:paraId="1A1B2533" w14:textId="77777777" w:rsidR="00EA1E7C" w:rsidRDefault="00B83ADE">
      <w:pPr>
        <w:rPr>
          <w:sz w:val="20"/>
          <w:szCs w:val="20"/>
        </w:rPr>
      </w:pPr>
      <w:r>
        <w:rPr>
          <w:sz w:val="20"/>
          <w:szCs w:val="20"/>
        </w:rPr>
        <w:t xml:space="preserve">16. Please include all relevant details that are required to perform the step in the highlighting. For example: If step 2.5 is highlighted for filming and the details of how to perform the step are given in steps 2.5.1 and 2.5.2, then the </w:t>
      </w:r>
      <w:r>
        <w:rPr>
          <w:sz w:val="20"/>
          <w:szCs w:val="20"/>
        </w:rPr>
        <w:lastRenderedPageBreak/>
        <w:t>sub-steps where the details are provided must be highlighted.</w:t>
      </w:r>
      <w:r>
        <w:rPr>
          <w:sz w:val="20"/>
          <w:szCs w:val="20"/>
        </w:rPr>
        <w:br/>
        <w:t>17. Line 324: Please use a reference number for Hooper et al (2018) for in-text reference.</w:t>
      </w:r>
    </w:p>
    <w:p w14:paraId="17BD0A6D" w14:textId="77777777" w:rsidR="00EA1E7C" w:rsidRDefault="00EA1E7C">
      <w:pPr>
        <w:rPr>
          <w:color w:val="0070C0"/>
          <w:sz w:val="20"/>
          <w:szCs w:val="20"/>
        </w:rPr>
      </w:pPr>
      <w:r>
        <w:rPr>
          <w:color w:val="0070C0"/>
          <w:sz w:val="20"/>
          <w:szCs w:val="20"/>
        </w:rPr>
        <w:t>Reference number provided at the end of the sentence for line 324.</w:t>
      </w:r>
    </w:p>
    <w:p w14:paraId="60F7355A" w14:textId="28BDE313" w:rsidR="00EA1E7C" w:rsidRDefault="00B83ADE">
      <w:pPr>
        <w:rPr>
          <w:sz w:val="20"/>
          <w:szCs w:val="20"/>
        </w:rPr>
      </w:pPr>
      <w:r>
        <w:rPr>
          <w:sz w:val="20"/>
          <w:szCs w:val="20"/>
        </w:rPr>
        <w:br/>
        <w:t>18. References: Please do not abbreviate journal titles.</w:t>
      </w:r>
    </w:p>
    <w:p w14:paraId="04CEC842" w14:textId="77777777" w:rsidR="00FC7994" w:rsidRDefault="00EA1E7C">
      <w:pPr>
        <w:rPr>
          <w:color w:val="4472C4" w:themeColor="accent1"/>
          <w:sz w:val="20"/>
          <w:szCs w:val="20"/>
        </w:rPr>
      </w:pPr>
      <w:r w:rsidRPr="00EA1E7C">
        <w:rPr>
          <w:color w:val="0070C0"/>
          <w:sz w:val="20"/>
          <w:szCs w:val="20"/>
        </w:rPr>
        <w:t>The authors would like to note that the citation examples included references with abbreviated journal titles (i.e. J Med Chem), and recommend that it be changed to avoid confusion for other authors.</w:t>
      </w:r>
      <w:r w:rsidR="00B83ADE">
        <w:rPr>
          <w:sz w:val="20"/>
          <w:szCs w:val="20"/>
        </w:rPr>
        <w:br/>
      </w:r>
      <w:r w:rsidR="00B83ADE">
        <w:rPr>
          <w:sz w:val="20"/>
          <w:szCs w:val="20"/>
        </w:rPr>
        <w:br/>
      </w:r>
      <w:r w:rsidR="00B83ADE">
        <w:rPr>
          <w:rStyle w:val="Strong"/>
          <w:sz w:val="20"/>
          <w:szCs w:val="20"/>
        </w:rPr>
        <w:t>Reviewers' comments:</w:t>
      </w:r>
      <w:r w:rsidR="00B83ADE">
        <w:rPr>
          <w:sz w:val="20"/>
          <w:szCs w:val="20"/>
        </w:rPr>
        <w:br/>
      </w:r>
      <w:r w:rsidR="00B83ADE">
        <w:rPr>
          <w:sz w:val="20"/>
          <w:szCs w:val="20"/>
        </w:rPr>
        <w:br/>
      </w:r>
      <w:r w:rsidR="00B83ADE">
        <w:rPr>
          <w:sz w:val="20"/>
          <w:szCs w:val="20"/>
        </w:rPr>
        <w:br/>
      </w:r>
      <w:r w:rsidR="00B83ADE">
        <w:rPr>
          <w:sz w:val="20"/>
          <w:szCs w:val="20"/>
        </w:rPr>
        <w:br/>
      </w:r>
      <w:r w:rsidR="00B83ADE">
        <w:rPr>
          <w:b/>
          <w:bCs/>
          <w:sz w:val="20"/>
          <w:szCs w:val="20"/>
        </w:rPr>
        <w:t xml:space="preserve">Reviewer #1: </w:t>
      </w:r>
      <w:r w:rsidR="00B83ADE">
        <w:rPr>
          <w:sz w:val="20"/>
          <w:szCs w:val="20"/>
        </w:rPr>
        <w:br/>
        <w:t>Manuscript Summary:</w:t>
      </w:r>
      <w:r w:rsidR="00B83ADE">
        <w:rPr>
          <w:sz w:val="20"/>
          <w:szCs w:val="20"/>
        </w:rPr>
        <w:br/>
        <w:t>This study provides a good example of the use of deuterium oxide to measure body composition and water consumption in mammals. Overall the methods and conclusions are reasonable.</w:t>
      </w:r>
      <w:r w:rsidR="00B83ADE">
        <w:rPr>
          <w:sz w:val="20"/>
          <w:szCs w:val="20"/>
        </w:rPr>
        <w:br/>
      </w:r>
      <w:r w:rsidR="00B83ADE">
        <w:rPr>
          <w:sz w:val="20"/>
          <w:szCs w:val="20"/>
        </w:rPr>
        <w:br/>
        <w:t>Major Concerns:</w:t>
      </w:r>
      <w:r w:rsidR="00B83ADE">
        <w:rPr>
          <w:sz w:val="20"/>
          <w:szCs w:val="20"/>
        </w:rPr>
        <w:br/>
        <w:t xml:space="preserve">However, while the authors highlight many of the advantages of the use of deuterium oxide in measuring body </w:t>
      </w:r>
      <w:proofErr w:type="gramStart"/>
      <w:r w:rsidR="00B83ADE">
        <w:rPr>
          <w:sz w:val="20"/>
          <w:szCs w:val="20"/>
        </w:rPr>
        <w:t>composition</w:t>
      </w:r>
      <w:proofErr w:type="gramEnd"/>
      <w:r w:rsidR="00B83ADE">
        <w:rPr>
          <w:sz w:val="20"/>
          <w:szCs w:val="20"/>
        </w:rPr>
        <w:t xml:space="preserve"> they have neglected to mention many of the disadvantages in the use of deuterium oxide. Including prolonged handling times, skill in performing injections, and costs of purchasing isotopes and performing laboratory analyses. As the authors validate their body composition measures against measures determined by dual x-ray absorptiometry (DXA), some discussion on the pros and cons of deuterium oxide versus DXA (among other methods) is warranted.</w:t>
      </w:r>
      <w:r w:rsidR="00B83ADE">
        <w:rPr>
          <w:sz w:val="20"/>
          <w:szCs w:val="20"/>
        </w:rPr>
        <w:br/>
      </w:r>
    </w:p>
    <w:p w14:paraId="01983892" w14:textId="5F84663A" w:rsidR="00802DAC" w:rsidRPr="00802DAC" w:rsidRDefault="00FC7994">
      <w:pPr>
        <w:rPr>
          <w:color w:val="4472C4" w:themeColor="accent1"/>
          <w:sz w:val="20"/>
          <w:szCs w:val="20"/>
        </w:rPr>
      </w:pPr>
      <w:r>
        <w:rPr>
          <w:color w:val="4472C4" w:themeColor="accent1"/>
          <w:sz w:val="20"/>
          <w:szCs w:val="20"/>
        </w:rPr>
        <w:t xml:space="preserve">We have included in the discussion that </w:t>
      </w:r>
      <w:r w:rsidR="00FA4A76">
        <w:rPr>
          <w:color w:val="4472C4" w:themeColor="accent1"/>
          <w:sz w:val="20"/>
          <w:szCs w:val="20"/>
        </w:rPr>
        <w:t>only skilled individuals should administer the deuterium oxide, considerations for prolong handling time, and considerations for sedation/anesthesia of an animal.  The authors discuss that FT-IR spectrometry is less expensive than other methods.  Deuterium oxide is typically considered an inexpensive method for body composition, and the readers can determine their costs by consulting the Table of Materials.</w:t>
      </w:r>
      <w:r w:rsidR="008E59D2">
        <w:rPr>
          <w:color w:val="4472C4" w:themeColor="accent1"/>
          <w:sz w:val="20"/>
          <w:szCs w:val="20"/>
        </w:rPr>
        <w:t xml:space="preserve">  We also highlight </w:t>
      </w:r>
      <w:r w:rsidR="00C93260">
        <w:rPr>
          <w:color w:val="4472C4" w:themeColor="accent1"/>
          <w:sz w:val="20"/>
          <w:szCs w:val="20"/>
        </w:rPr>
        <w:t xml:space="preserve">why we chose DXA.  There are many </w:t>
      </w:r>
      <w:r w:rsidR="0069182C">
        <w:rPr>
          <w:color w:val="4472C4" w:themeColor="accent1"/>
          <w:sz w:val="20"/>
          <w:szCs w:val="20"/>
        </w:rPr>
        <w:t xml:space="preserve">excellent </w:t>
      </w:r>
      <w:r w:rsidR="00C93260">
        <w:rPr>
          <w:color w:val="4472C4" w:themeColor="accent1"/>
          <w:sz w:val="20"/>
          <w:szCs w:val="20"/>
        </w:rPr>
        <w:t>review articles that compare non-destructive body condition methodologies, and the authors do not believe a full discussion of all of these methods is relevant to the deuterium oxide protocol.</w:t>
      </w:r>
      <w:r w:rsidR="00287EC1">
        <w:rPr>
          <w:color w:val="4472C4" w:themeColor="accent1"/>
          <w:sz w:val="20"/>
          <w:szCs w:val="20"/>
        </w:rPr>
        <w:t xml:space="preserve">  The authors can provide suggestions of review articles to the readers if this is desired</w:t>
      </w:r>
      <w:r w:rsidR="00C5710C">
        <w:rPr>
          <w:color w:val="4472C4" w:themeColor="accent1"/>
          <w:sz w:val="20"/>
          <w:szCs w:val="20"/>
        </w:rPr>
        <w:t xml:space="preserve"> by the reviewer.</w:t>
      </w:r>
    </w:p>
    <w:p w14:paraId="29716005" w14:textId="6CF156B4" w:rsidR="007C1C95" w:rsidRDefault="00B83ADE">
      <w:pPr>
        <w:rPr>
          <w:sz w:val="20"/>
          <w:szCs w:val="20"/>
        </w:rPr>
      </w:pPr>
      <w:r>
        <w:rPr>
          <w:sz w:val="20"/>
          <w:szCs w:val="20"/>
        </w:rPr>
        <w:br/>
        <w:t>Minor Concerns:</w:t>
      </w:r>
      <w:r>
        <w:rPr>
          <w:sz w:val="20"/>
          <w:szCs w:val="20"/>
        </w:rPr>
        <w:br/>
        <w:t>Introduction:</w:t>
      </w:r>
      <w:r>
        <w:rPr>
          <w:sz w:val="20"/>
          <w:szCs w:val="20"/>
        </w:rPr>
        <w:br/>
        <w:t>Lines 55-57: But deuterium oxide relies on measures of body mass and hence it can also be confounded by recent feeding.</w:t>
      </w:r>
    </w:p>
    <w:p w14:paraId="095D6473" w14:textId="58163DFD" w:rsidR="00920AA2" w:rsidRDefault="00920AA2">
      <w:pPr>
        <w:rPr>
          <w:color w:val="0070C0"/>
          <w:sz w:val="20"/>
          <w:szCs w:val="20"/>
        </w:rPr>
      </w:pPr>
      <w:r>
        <w:rPr>
          <w:color w:val="0070C0"/>
          <w:sz w:val="20"/>
          <w:szCs w:val="20"/>
        </w:rPr>
        <w:t>We have revised the discussion to expand upon the disadvantages of using deuterium oxide and addressed this comment in the discussion.</w:t>
      </w:r>
    </w:p>
    <w:p w14:paraId="1EBD5FE5" w14:textId="77777777" w:rsidR="00920AA2" w:rsidRDefault="00B83ADE">
      <w:pPr>
        <w:rPr>
          <w:sz w:val="20"/>
          <w:szCs w:val="20"/>
        </w:rPr>
      </w:pPr>
      <w:r>
        <w:rPr>
          <w:sz w:val="20"/>
          <w:szCs w:val="20"/>
        </w:rPr>
        <w:br/>
        <w:t>Line 66: No need to mention barnacle goose here. The inference is that the physiology of barnacle geese makes them unique when in fact it is the deuterium oxide technique itself that is imprecise and variable among species.</w:t>
      </w:r>
    </w:p>
    <w:p w14:paraId="2665FDFC" w14:textId="77777777" w:rsidR="00920AA2" w:rsidRDefault="00920AA2">
      <w:pPr>
        <w:rPr>
          <w:color w:val="0070C0"/>
          <w:sz w:val="20"/>
          <w:szCs w:val="20"/>
        </w:rPr>
      </w:pPr>
      <w:r>
        <w:rPr>
          <w:color w:val="0070C0"/>
          <w:sz w:val="20"/>
          <w:szCs w:val="20"/>
        </w:rPr>
        <w:lastRenderedPageBreak/>
        <w:t>We revised the sentence to say, “However, in some wildlife species, deuterium oxide (D</w:t>
      </w:r>
      <w:r w:rsidRPr="00920AA2">
        <w:rPr>
          <w:color w:val="0070C0"/>
          <w:sz w:val="20"/>
          <w:szCs w:val="20"/>
          <w:vertAlign w:val="subscript"/>
        </w:rPr>
        <w:t>2</w:t>
      </w:r>
      <w:r>
        <w:rPr>
          <w:color w:val="0070C0"/>
          <w:sz w:val="20"/>
          <w:szCs w:val="20"/>
        </w:rPr>
        <w:t>O) can overestimate actual water content.”</w:t>
      </w:r>
    </w:p>
    <w:p w14:paraId="12349B73" w14:textId="77777777" w:rsidR="00A3741F" w:rsidRDefault="00B83ADE">
      <w:pPr>
        <w:rPr>
          <w:sz w:val="20"/>
          <w:szCs w:val="20"/>
        </w:rPr>
      </w:pPr>
      <w:r>
        <w:rPr>
          <w:sz w:val="20"/>
          <w:szCs w:val="20"/>
        </w:rPr>
        <w:br/>
        <w:t>Methods:</w:t>
      </w:r>
      <w:r>
        <w:rPr>
          <w:sz w:val="20"/>
          <w:szCs w:val="20"/>
        </w:rPr>
        <w:br/>
      </w:r>
      <w:r w:rsidRPr="00ED5C4A">
        <w:rPr>
          <w:sz w:val="20"/>
          <w:szCs w:val="20"/>
        </w:rPr>
        <w:t>Mention of the statistical tests performed would be helpful here.</w:t>
      </w:r>
    </w:p>
    <w:p w14:paraId="2BF287E7" w14:textId="39E90E8E" w:rsidR="001B3CEC" w:rsidRDefault="001B3CEC">
      <w:pPr>
        <w:rPr>
          <w:color w:val="4472C4" w:themeColor="accent1"/>
          <w:sz w:val="20"/>
          <w:szCs w:val="20"/>
        </w:rPr>
      </w:pPr>
      <w:r>
        <w:rPr>
          <w:color w:val="4472C4" w:themeColor="accent1"/>
          <w:sz w:val="20"/>
          <w:szCs w:val="20"/>
        </w:rPr>
        <w:t>The figure legends and results provide information on the statistical methods used.  The statistical methods that readers will use depends upon how they incorporate deuterium oxide washout technique into their studies and their study design.</w:t>
      </w:r>
    </w:p>
    <w:p w14:paraId="1260AD25" w14:textId="672FB2FD" w:rsidR="00132836" w:rsidRDefault="00B83ADE">
      <w:pPr>
        <w:rPr>
          <w:sz w:val="20"/>
          <w:szCs w:val="20"/>
        </w:rPr>
      </w:pPr>
      <w:r>
        <w:rPr>
          <w:sz w:val="20"/>
          <w:szCs w:val="20"/>
        </w:rPr>
        <w:br/>
        <w:t>Results:</w:t>
      </w:r>
      <w:r>
        <w:rPr>
          <w:sz w:val="20"/>
          <w:szCs w:val="20"/>
        </w:rPr>
        <w:br/>
        <w:t>Lines 305-307: A figure showing the equilibration curve would be of interest.</w:t>
      </w:r>
    </w:p>
    <w:p w14:paraId="1778AEA2" w14:textId="6961F9AC" w:rsidR="00A3741F" w:rsidRDefault="00132836">
      <w:pPr>
        <w:rPr>
          <w:sz w:val="20"/>
          <w:szCs w:val="20"/>
        </w:rPr>
      </w:pPr>
      <w:r>
        <w:rPr>
          <w:color w:val="0070C0"/>
          <w:sz w:val="20"/>
          <w:szCs w:val="20"/>
        </w:rPr>
        <w:t>We could provide a re</w:t>
      </w:r>
      <w:r w:rsidR="00235E2A">
        <w:rPr>
          <w:color w:val="0070C0"/>
          <w:sz w:val="20"/>
          <w:szCs w:val="20"/>
        </w:rPr>
        <w:t>ference for a figure of a schematic illustration of theoretical enrichment</w:t>
      </w:r>
      <w:r w:rsidR="008D18C8">
        <w:rPr>
          <w:color w:val="0070C0"/>
          <w:sz w:val="20"/>
          <w:szCs w:val="20"/>
        </w:rPr>
        <w:t xml:space="preserve"> if the reviewer and editor would find this of benefit to the readers</w:t>
      </w:r>
      <w:r w:rsidR="00235E2A">
        <w:rPr>
          <w:color w:val="0070C0"/>
          <w:sz w:val="20"/>
          <w:szCs w:val="20"/>
        </w:rPr>
        <w:t xml:space="preserve">.  </w:t>
      </w:r>
      <w:r>
        <w:rPr>
          <w:color w:val="0070C0"/>
          <w:sz w:val="20"/>
          <w:szCs w:val="20"/>
        </w:rPr>
        <w:t xml:space="preserve">For our equilibration curve, we used different animals for each time point.  </w:t>
      </w:r>
      <w:r w:rsidR="00235E2A">
        <w:rPr>
          <w:color w:val="0070C0"/>
          <w:sz w:val="20"/>
          <w:szCs w:val="20"/>
        </w:rPr>
        <w:t>Because the enrichment will be different in each animal due to their weight differences and different dosages, we assessed the timing based upon the timepoint with the highest level of agreement between DXA and deuterium oxide.  This is difficult to visually graph for the readers, since many published examples of equilibration curves of deuterium enrichment are from repeated sampling of the same individual.</w:t>
      </w:r>
    </w:p>
    <w:p w14:paraId="5F686AE6" w14:textId="1D852211" w:rsidR="009B10AC" w:rsidRDefault="00B83ADE">
      <w:pPr>
        <w:rPr>
          <w:sz w:val="20"/>
          <w:szCs w:val="20"/>
        </w:rPr>
      </w:pPr>
      <w:r>
        <w:rPr>
          <w:sz w:val="20"/>
          <w:szCs w:val="20"/>
        </w:rPr>
        <w:br/>
        <w:t>Line 320: Why use a One-way ANOVA instead of a paired t-test?</w:t>
      </w:r>
    </w:p>
    <w:p w14:paraId="68060254" w14:textId="6B581834" w:rsidR="009B10AC" w:rsidRDefault="0085683B">
      <w:pPr>
        <w:rPr>
          <w:color w:val="0070C0"/>
          <w:sz w:val="20"/>
          <w:szCs w:val="20"/>
        </w:rPr>
      </w:pPr>
      <w:r>
        <w:rPr>
          <w:color w:val="0070C0"/>
          <w:sz w:val="20"/>
          <w:szCs w:val="20"/>
        </w:rPr>
        <w:t>Since t</w:t>
      </w:r>
      <w:r w:rsidRPr="0085683B">
        <w:rPr>
          <w:color w:val="0070C0"/>
          <w:sz w:val="20"/>
          <w:szCs w:val="20"/>
        </w:rPr>
        <w:t>he t-test is a special case of one-way ANOVA</w:t>
      </w:r>
      <w:r>
        <w:rPr>
          <w:color w:val="0070C0"/>
          <w:sz w:val="20"/>
          <w:szCs w:val="20"/>
        </w:rPr>
        <w:t>, and t</w:t>
      </w:r>
      <w:r w:rsidR="009B10AC">
        <w:rPr>
          <w:color w:val="0070C0"/>
          <w:sz w:val="20"/>
          <w:szCs w:val="20"/>
        </w:rPr>
        <w:t xml:space="preserve">he </w:t>
      </w:r>
      <w:r>
        <w:rPr>
          <w:color w:val="0070C0"/>
          <w:sz w:val="20"/>
          <w:szCs w:val="20"/>
        </w:rPr>
        <w:t xml:space="preserve">combined </w:t>
      </w:r>
      <w:r w:rsidR="009B10AC">
        <w:rPr>
          <w:color w:val="0070C0"/>
          <w:sz w:val="20"/>
          <w:szCs w:val="20"/>
        </w:rPr>
        <w:t xml:space="preserve">use of Deming regression and one-way ANOVA </w:t>
      </w:r>
      <w:r w:rsidR="00C2707B">
        <w:rPr>
          <w:color w:val="0070C0"/>
          <w:sz w:val="20"/>
          <w:szCs w:val="20"/>
        </w:rPr>
        <w:t>has been used widely in the literature</w:t>
      </w:r>
      <w:r>
        <w:rPr>
          <w:color w:val="0070C0"/>
          <w:sz w:val="20"/>
          <w:szCs w:val="20"/>
        </w:rPr>
        <w:t xml:space="preserve"> for comparison of two or more diagnostic methodologies, we decided to use these statistical methods.   </w:t>
      </w:r>
    </w:p>
    <w:p w14:paraId="73025BBB" w14:textId="77777777" w:rsidR="0079508E" w:rsidRDefault="00B83ADE">
      <w:pPr>
        <w:rPr>
          <w:sz w:val="20"/>
          <w:szCs w:val="20"/>
        </w:rPr>
      </w:pPr>
      <w:r>
        <w:rPr>
          <w:sz w:val="20"/>
          <w:szCs w:val="20"/>
        </w:rPr>
        <w:br/>
      </w:r>
      <w:r>
        <w:rPr>
          <w:b/>
          <w:bCs/>
          <w:sz w:val="20"/>
          <w:szCs w:val="20"/>
        </w:rPr>
        <w:t>Reviewer #2:</w:t>
      </w:r>
      <w:r>
        <w:rPr>
          <w:sz w:val="20"/>
          <w:szCs w:val="20"/>
        </w:rPr>
        <w:br/>
        <w:t>Manuscript Summary:</w:t>
      </w:r>
      <w:r>
        <w:rPr>
          <w:sz w:val="20"/>
          <w:szCs w:val="20"/>
        </w:rPr>
        <w:br/>
        <w:t>First, my best wishes for this new year.</w:t>
      </w:r>
      <w:r>
        <w:rPr>
          <w:sz w:val="20"/>
          <w:szCs w:val="20"/>
        </w:rPr>
        <w:br/>
        <w:t>Clear and useful presentation on the technique and interesting data collection in this field.</w:t>
      </w:r>
      <w:r>
        <w:rPr>
          <w:sz w:val="20"/>
          <w:szCs w:val="20"/>
        </w:rPr>
        <w:br/>
      </w:r>
      <w:r>
        <w:rPr>
          <w:sz w:val="20"/>
          <w:szCs w:val="20"/>
        </w:rPr>
        <w:br/>
        <w:t>Major Concerns:</w:t>
      </w:r>
      <w:r>
        <w:rPr>
          <w:sz w:val="20"/>
          <w:szCs w:val="20"/>
        </w:rPr>
        <w:br/>
        <w:t>No major concern</w:t>
      </w:r>
      <w:r>
        <w:rPr>
          <w:sz w:val="20"/>
          <w:szCs w:val="20"/>
        </w:rPr>
        <w:br/>
      </w:r>
      <w:r>
        <w:rPr>
          <w:sz w:val="20"/>
          <w:szCs w:val="20"/>
        </w:rPr>
        <w:br/>
        <w:t>Minor Concerns:</w:t>
      </w:r>
      <w:r>
        <w:rPr>
          <w:sz w:val="20"/>
          <w:szCs w:val="20"/>
        </w:rPr>
        <w:br/>
        <w:t>- L54: BCS 9 point scale has been validated in cats (Laflamme, 1997) and shown to be accurate when used by trained observers (</w:t>
      </w:r>
      <w:proofErr w:type="spellStart"/>
      <w:r>
        <w:rPr>
          <w:sz w:val="20"/>
          <w:szCs w:val="20"/>
        </w:rPr>
        <w:t>Bjørnvad</w:t>
      </w:r>
      <w:proofErr w:type="spellEnd"/>
      <w:r>
        <w:rPr>
          <w:sz w:val="20"/>
          <w:szCs w:val="20"/>
        </w:rPr>
        <w:t xml:space="preserve"> et al , 2011; Borges et al, 2012...). As such, it would be considered as a semi quantitative/objective measure, not a subjective measure in trained observer. It is widely accepted and used in daily practice by vets as an easy tool.</w:t>
      </w:r>
    </w:p>
    <w:p w14:paraId="2DD0F388" w14:textId="77777777" w:rsidR="0069182C" w:rsidRDefault="0079508E">
      <w:pPr>
        <w:rPr>
          <w:sz w:val="20"/>
          <w:szCs w:val="20"/>
        </w:rPr>
      </w:pPr>
      <w:r>
        <w:rPr>
          <w:color w:val="0070C0"/>
          <w:sz w:val="20"/>
          <w:szCs w:val="20"/>
        </w:rPr>
        <w:t xml:space="preserve">We have revised this to read </w:t>
      </w:r>
      <w:proofErr w:type="gramStart"/>
      <w:r>
        <w:rPr>
          <w:color w:val="0070C0"/>
          <w:sz w:val="20"/>
          <w:szCs w:val="20"/>
        </w:rPr>
        <w:t>“ …</w:t>
      </w:r>
      <w:proofErr w:type="gramEnd"/>
      <w:r>
        <w:rPr>
          <w:color w:val="0070C0"/>
          <w:sz w:val="20"/>
          <w:szCs w:val="20"/>
        </w:rPr>
        <w:t xml:space="preserve">, however BCS assessment relies upon the evaluator—meaning BCS is an objective or semiquantitative measurement when assessed by a trained evaluator.  </w:t>
      </w:r>
      <w:r w:rsidR="00B83ADE">
        <w:rPr>
          <w:sz w:val="20"/>
          <w:szCs w:val="20"/>
        </w:rPr>
        <w:br/>
      </w:r>
      <w:r w:rsidR="00B83ADE">
        <w:rPr>
          <w:sz w:val="20"/>
          <w:szCs w:val="20"/>
        </w:rPr>
        <w:br/>
      </w:r>
      <w:proofErr w:type="spellStart"/>
      <w:r w:rsidR="00B83ADE">
        <w:rPr>
          <w:sz w:val="20"/>
          <w:szCs w:val="20"/>
        </w:rPr>
        <w:t>Bjørnvad</w:t>
      </w:r>
      <w:proofErr w:type="spellEnd"/>
      <w:r w:rsidR="00B83ADE">
        <w:rPr>
          <w:sz w:val="20"/>
          <w:szCs w:val="20"/>
        </w:rPr>
        <w:t xml:space="preserve">, C. R., Nielsen, D. H., Armstrong, P. J., McEvoy, F., </w:t>
      </w:r>
      <w:proofErr w:type="spellStart"/>
      <w:r w:rsidR="00B83ADE">
        <w:rPr>
          <w:sz w:val="20"/>
          <w:szCs w:val="20"/>
        </w:rPr>
        <w:t>Hoelmkjaer</w:t>
      </w:r>
      <w:proofErr w:type="spellEnd"/>
      <w:r w:rsidR="00B83ADE">
        <w:rPr>
          <w:sz w:val="20"/>
          <w:szCs w:val="20"/>
        </w:rPr>
        <w:t>, K. M., Jensen, K. S., ... &amp; Kristensen, A. T. (2011). Evaluation of a nine-point body condition scoring system in physically inactive pet cats. American Journal of Veterinary Research, 72(4), 433-437.</w:t>
      </w:r>
      <w:r w:rsidR="00B83ADE">
        <w:rPr>
          <w:sz w:val="20"/>
          <w:szCs w:val="20"/>
        </w:rPr>
        <w:br/>
        <w:t xml:space="preserve">Borges, N. C., Vasconcellos, R. S., Carciofi, A. C., Gonçalves, K. N., Paula, F. J., </w:t>
      </w:r>
      <w:proofErr w:type="spellStart"/>
      <w:r w:rsidR="00B83ADE">
        <w:rPr>
          <w:sz w:val="20"/>
          <w:szCs w:val="20"/>
        </w:rPr>
        <w:t>Faria</w:t>
      </w:r>
      <w:proofErr w:type="spellEnd"/>
      <w:r w:rsidR="00B83ADE">
        <w:rPr>
          <w:sz w:val="20"/>
          <w:szCs w:val="20"/>
        </w:rPr>
        <w:t xml:space="preserve"> Filho, D. E., &amp; Canola, J. C. (2012). DXA, bioelectrical impedance, ultrasonography and biometry for the estimation of fat and lean mass in cats </w:t>
      </w:r>
      <w:r w:rsidR="00B83ADE">
        <w:rPr>
          <w:sz w:val="20"/>
          <w:szCs w:val="20"/>
        </w:rPr>
        <w:lastRenderedPageBreak/>
        <w:t>during weight loss. BMC Veterinary Research, 8(1), 111.</w:t>
      </w:r>
      <w:r w:rsidR="00B83ADE">
        <w:rPr>
          <w:sz w:val="20"/>
          <w:szCs w:val="20"/>
        </w:rPr>
        <w:br/>
        <w:t xml:space="preserve">Laflamme, D. (1997). Development and validation of a body condition score system for cats: a clinical tool. Feline practice (Santa Barbara, Calif.: </w:t>
      </w:r>
      <w:proofErr w:type="gramStart"/>
      <w:r w:rsidR="00B83ADE">
        <w:rPr>
          <w:sz w:val="20"/>
          <w:szCs w:val="20"/>
        </w:rPr>
        <w:t>1990)(</w:t>
      </w:r>
      <w:proofErr w:type="gramEnd"/>
      <w:r w:rsidR="00B83ADE">
        <w:rPr>
          <w:sz w:val="20"/>
          <w:szCs w:val="20"/>
        </w:rPr>
        <w:t>USA).</w:t>
      </w:r>
      <w:r w:rsidR="00B83ADE">
        <w:rPr>
          <w:sz w:val="20"/>
          <w:szCs w:val="20"/>
        </w:rPr>
        <w:br/>
      </w:r>
      <w:r w:rsidR="00B83ADE">
        <w:rPr>
          <w:sz w:val="20"/>
          <w:szCs w:val="20"/>
        </w:rPr>
        <w:br/>
        <w:t>- L316-321: it would be interesting to add information about the discrepancy between the two techniques (over/underestimation)</w:t>
      </w:r>
    </w:p>
    <w:p w14:paraId="460AE068" w14:textId="07A09A42" w:rsidR="00E22D00" w:rsidRDefault="0069182C">
      <w:pPr>
        <w:rPr>
          <w:sz w:val="20"/>
          <w:szCs w:val="20"/>
        </w:rPr>
      </w:pPr>
      <w:r w:rsidRPr="0069182C">
        <w:rPr>
          <w:color w:val="4472C4" w:themeColor="accent1"/>
          <w:sz w:val="20"/>
          <w:szCs w:val="20"/>
        </w:rPr>
        <w:t>We have included that the deuterium technique did not consistently under or overestimate the body fat mass</w:t>
      </w:r>
      <w:r w:rsidR="00DC0DFB">
        <w:rPr>
          <w:color w:val="4472C4" w:themeColor="accent1"/>
          <w:sz w:val="20"/>
          <w:szCs w:val="20"/>
        </w:rPr>
        <w:t xml:space="preserve"> in the representative results (L399-400).</w:t>
      </w:r>
      <w:r w:rsidR="00B83ADE">
        <w:rPr>
          <w:sz w:val="20"/>
          <w:szCs w:val="20"/>
        </w:rPr>
        <w:br/>
      </w:r>
      <w:r w:rsidR="00B83ADE">
        <w:rPr>
          <w:sz w:val="20"/>
          <w:szCs w:val="20"/>
        </w:rPr>
        <w:br/>
        <w:t xml:space="preserve">- L391-394: It would be interesting to remind the reader that the assumption about </w:t>
      </w:r>
      <w:proofErr w:type="gramStart"/>
      <w:r w:rsidR="00B83ADE">
        <w:rPr>
          <w:sz w:val="20"/>
          <w:szCs w:val="20"/>
        </w:rPr>
        <w:t>an</w:t>
      </w:r>
      <w:proofErr w:type="gramEnd"/>
      <w:r w:rsidR="00B83ADE">
        <w:rPr>
          <w:sz w:val="20"/>
          <w:szCs w:val="20"/>
        </w:rPr>
        <w:t xml:space="preserve"> lean mass hydration coefficient of 73.2% is only available in healthy subjects. As soon as a disease is involved, especially those driving a water shift in the body, the body composition assessment, whatever the technique used, need to be seen with cautious.</w:t>
      </w:r>
    </w:p>
    <w:p w14:paraId="7DE34740" w14:textId="6138B7F9" w:rsidR="0069182C" w:rsidRPr="0069182C" w:rsidRDefault="0069182C">
      <w:pPr>
        <w:rPr>
          <w:color w:val="4472C4" w:themeColor="accent1"/>
          <w:sz w:val="20"/>
          <w:szCs w:val="20"/>
        </w:rPr>
      </w:pPr>
      <w:r>
        <w:rPr>
          <w:color w:val="4472C4" w:themeColor="accent1"/>
          <w:sz w:val="20"/>
          <w:szCs w:val="20"/>
        </w:rPr>
        <w:t>We have revised the methods to include the suggestions of the reviewer and highlight that in bats, the lean mass hydration coefficient can be altered post-lactation.</w:t>
      </w:r>
    </w:p>
    <w:p w14:paraId="55118538" w14:textId="6D6D6B5C" w:rsidR="00EB41E4" w:rsidRDefault="00B83ADE">
      <w:pPr>
        <w:rPr>
          <w:sz w:val="20"/>
          <w:szCs w:val="20"/>
        </w:rPr>
      </w:pPr>
      <w:r>
        <w:rPr>
          <w:sz w:val="20"/>
          <w:szCs w:val="20"/>
        </w:rPr>
        <w:br/>
      </w:r>
      <w:r>
        <w:rPr>
          <w:sz w:val="20"/>
          <w:szCs w:val="20"/>
        </w:rPr>
        <w:br/>
      </w:r>
      <w:r>
        <w:rPr>
          <w:sz w:val="20"/>
          <w:szCs w:val="20"/>
        </w:rPr>
        <w:br/>
      </w:r>
      <w:r>
        <w:rPr>
          <w:b/>
          <w:bCs/>
          <w:sz w:val="20"/>
          <w:szCs w:val="20"/>
        </w:rPr>
        <w:t>Reviewer #3:</w:t>
      </w:r>
      <w:r>
        <w:rPr>
          <w:sz w:val="20"/>
          <w:szCs w:val="20"/>
        </w:rPr>
        <w:br/>
        <w:t>Manuscript Summary:</w:t>
      </w:r>
      <w:r>
        <w:rPr>
          <w:sz w:val="20"/>
          <w:szCs w:val="20"/>
        </w:rPr>
        <w:br/>
        <w:t xml:space="preserve">The manuscript details a protocol for the use of deuterium dilution for body composition and water turnover analysis in </w:t>
      </w:r>
      <w:proofErr w:type="spellStart"/>
      <w:r>
        <w:rPr>
          <w:sz w:val="20"/>
          <w:szCs w:val="20"/>
        </w:rPr>
        <w:t>examplar</w:t>
      </w:r>
      <w:proofErr w:type="spellEnd"/>
      <w:r>
        <w:rPr>
          <w:sz w:val="20"/>
          <w:szCs w:val="20"/>
        </w:rPr>
        <w:t xml:space="preserve"> wildlife. The protocol is generally well written and easy to follow. I do query, however, the need or value for this protocol since there are already well-established and published protocols, for example the series of monographs published by the IAEA. In addition, the protocol is very specific, e.g., line 116 "transfer 0.65 mL" and line 110 0.1600 "g/mL". While these may be appropriate for the D2O technique in this particular species (bats), the technique is broadly applicable across many species where concentrations and dosages may differ. It would seem more appropriate to make the protocol more generic.</w:t>
      </w:r>
    </w:p>
    <w:p w14:paraId="71317FEE" w14:textId="21ABC0D6" w:rsidR="00EF415B" w:rsidRPr="00EF415B" w:rsidRDefault="00B83ADE">
      <w:pPr>
        <w:rPr>
          <w:color w:val="0070C0"/>
          <w:sz w:val="20"/>
          <w:szCs w:val="20"/>
        </w:rPr>
      </w:pPr>
      <w:r>
        <w:rPr>
          <w:sz w:val="20"/>
          <w:szCs w:val="20"/>
        </w:rPr>
        <w:br/>
      </w:r>
      <w:r w:rsidR="005E4715">
        <w:rPr>
          <w:color w:val="0070C0"/>
          <w:sz w:val="20"/>
          <w:szCs w:val="20"/>
        </w:rPr>
        <w:t>The lead author was asked by an editor to consider publishing the deuterium oxide washout technique that she used for measuring the water consumption in cats (Hooper et al 2018 reference).  Because of the well-established and published protocols, we decided to show that the details that these general protocols lack and how using these general protocols they can be adapted for a species of interest. For those readers who are unfamiliar with the technique, the authors believe this level of detail is helpful.</w:t>
      </w:r>
      <w:r w:rsidR="00EB41E4">
        <w:rPr>
          <w:color w:val="0070C0"/>
          <w:sz w:val="20"/>
          <w:szCs w:val="20"/>
        </w:rPr>
        <w:t xml:space="preserve">  We also provide notes to the readers that certain concentrations like the stock solution can be used in mammals the size of domestic cats and for small mammals a working concentration would be required.</w:t>
      </w:r>
    </w:p>
    <w:p w14:paraId="0CB87DD9" w14:textId="77777777" w:rsidR="00EB41E4" w:rsidRDefault="00B83ADE">
      <w:pPr>
        <w:rPr>
          <w:sz w:val="20"/>
          <w:szCs w:val="20"/>
        </w:rPr>
      </w:pPr>
      <w:r>
        <w:rPr>
          <w:sz w:val="20"/>
          <w:szCs w:val="20"/>
        </w:rPr>
        <w:br/>
        <w:t xml:space="preserve">Aspects of the method are described without indication of purpose, for example what is the purpose of the </w:t>
      </w:r>
      <w:proofErr w:type="spellStart"/>
      <w:r>
        <w:rPr>
          <w:sz w:val="20"/>
          <w:szCs w:val="20"/>
        </w:rPr>
        <w:t>sandbath</w:t>
      </w:r>
      <w:proofErr w:type="spellEnd"/>
      <w:r>
        <w:rPr>
          <w:sz w:val="20"/>
          <w:szCs w:val="20"/>
        </w:rPr>
        <w:t xml:space="preserve"> heating?</w:t>
      </w:r>
    </w:p>
    <w:p w14:paraId="26FE30DD" w14:textId="77777777" w:rsidR="0067108E" w:rsidRDefault="00EB41E4">
      <w:pPr>
        <w:rPr>
          <w:sz w:val="20"/>
          <w:szCs w:val="20"/>
        </w:rPr>
      </w:pPr>
      <w:r w:rsidRPr="008F3C61">
        <w:rPr>
          <w:color w:val="0070C0"/>
          <w:sz w:val="20"/>
          <w:szCs w:val="20"/>
        </w:rPr>
        <w:t>We added “</w:t>
      </w:r>
      <w:r w:rsidR="008F3C61" w:rsidRPr="008F3C61">
        <w:rPr>
          <w:color w:val="0070C0"/>
          <w:sz w:val="20"/>
          <w:szCs w:val="20"/>
        </w:rPr>
        <w:t>….</w:t>
      </w:r>
      <w:r w:rsidRPr="008F3C61">
        <w:rPr>
          <w:color w:val="0070C0"/>
          <w:sz w:val="20"/>
          <w:szCs w:val="20"/>
        </w:rPr>
        <w:t>to allow separation of water and deuterium oxide from other blood components (distillation)</w:t>
      </w:r>
      <w:r w:rsidR="008F3C61" w:rsidRPr="008F3C61">
        <w:rPr>
          <w:color w:val="0070C0"/>
          <w:sz w:val="20"/>
          <w:szCs w:val="20"/>
        </w:rPr>
        <w:t>” to clarify why the sand bath is needed.</w:t>
      </w:r>
      <w:r w:rsidR="00B83ADE">
        <w:rPr>
          <w:sz w:val="20"/>
          <w:szCs w:val="20"/>
        </w:rPr>
        <w:br/>
      </w:r>
      <w:r w:rsidR="00B83ADE">
        <w:rPr>
          <w:sz w:val="20"/>
          <w:szCs w:val="20"/>
        </w:rPr>
        <w:br/>
        <w:t>Major Concerns:</w:t>
      </w:r>
      <w:r w:rsidR="00B83ADE">
        <w:rPr>
          <w:sz w:val="20"/>
          <w:szCs w:val="20"/>
        </w:rPr>
        <w:br/>
        <w:t>I have no major concerns regarding scientific validity of the described method but some points require attention.</w:t>
      </w:r>
      <w:r w:rsidR="00B83ADE">
        <w:rPr>
          <w:sz w:val="20"/>
          <w:szCs w:val="20"/>
        </w:rPr>
        <w:br/>
      </w:r>
      <w:r w:rsidR="00B83ADE">
        <w:rPr>
          <w:sz w:val="20"/>
          <w:szCs w:val="20"/>
        </w:rPr>
        <w:br/>
        <w:t xml:space="preserve">Lines 109-11 and the methodology in general. The concentration of the working solution is to a large extent </w:t>
      </w:r>
      <w:r w:rsidR="00B83ADE">
        <w:rPr>
          <w:sz w:val="20"/>
          <w:szCs w:val="20"/>
        </w:rPr>
        <w:lastRenderedPageBreak/>
        <w:t>immaterial. What is important is that the exact magnitude of the dose the animal receives is known and that this is administered in a volume insufficient to disturb body water volume. In practice the dose rate (expressed as D2O g/kg body-weight) is often determined by the sensitivity of the analytical method being used. This point does not come across clearly.</w:t>
      </w:r>
    </w:p>
    <w:p w14:paraId="4B68B0A4" w14:textId="1A7C5251" w:rsidR="008F3C61" w:rsidRDefault="0067108E">
      <w:pPr>
        <w:rPr>
          <w:sz w:val="20"/>
          <w:szCs w:val="20"/>
        </w:rPr>
      </w:pPr>
      <w:r w:rsidRPr="00161B96">
        <w:rPr>
          <w:color w:val="0070C0"/>
          <w:sz w:val="20"/>
          <w:szCs w:val="20"/>
        </w:rPr>
        <w:t>We revised</w:t>
      </w:r>
      <w:r w:rsidR="00161B96" w:rsidRPr="00161B96">
        <w:rPr>
          <w:color w:val="0070C0"/>
          <w:sz w:val="20"/>
          <w:szCs w:val="20"/>
        </w:rPr>
        <w:t xml:space="preserve"> the note after section 1 to read “</w:t>
      </w:r>
      <w:r w:rsidR="00161B96" w:rsidRPr="00161B96">
        <w:rPr>
          <w:rFonts w:ascii="Calibri" w:hAnsi="Calibri" w:cs="Calibri"/>
          <w:color w:val="0070C0"/>
        </w:rPr>
        <w:t>The stock solution may need to be diluted or concentrated depending on the dose required.  The dose of D</w:t>
      </w:r>
      <w:r w:rsidR="00161B96" w:rsidRPr="00161B96">
        <w:rPr>
          <w:rFonts w:ascii="Calibri" w:hAnsi="Calibri" w:cs="Calibri"/>
          <w:color w:val="0070C0"/>
          <w:vertAlign w:val="subscript"/>
        </w:rPr>
        <w:t>2</w:t>
      </w:r>
      <w:r w:rsidR="00161B96" w:rsidRPr="00161B96">
        <w:rPr>
          <w:rFonts w:ascii="Calibri" w:hAnsi="Calibri" w:cs="Calibri"/>
          <w:color w:val="0070C0"/>
        </w:rPr>
        <w:t>O will vary based upon the species and the sensitivity of the analytical method.  For cats, the working solution was used to administer a dose of 0.7 g/kg D</w:t>
      </w:r>
      <w:r w:rsidR="00161B96" w:rsidRPr="00161B96">
        <w:rPr>
          <w:rFonts w:ascii="Calibri" w:hAnsi="Calibri" w:cs="Calibri"/>
          <w:color w:val="0070C0"/>
          <w:vertAlign w:val="subscript"/>
        </w:rPr>
        <w:t>2</w:t>
      </w:r>
      <w:r w:rsidR="00161B96" w:rsidRPr="00161B96">
        <w:rPr>
          <w:rFonts w:ascii="Calibri" w:hAnsi="Calibri" w:cs="Calibri"/>
          <w:color w:val="0070C0"/>
        </w:rPr>
        <w:t>O.  The stock solution described above minimizes the amount of sodium chloride solution introduced subcutaneously to the animal while still allowing accurate measurement of the dose.  For small mammals such as bats, this concentration must be diluted to a working solution such as 0.1600 g/</w:t>
      </w:r>
      <w:proofErr w:type="spellStart"/>
      <w:r w:rsidR="00161B96" w:rsidRPr="00161B96">
        <w:rPr>
          <w:rFonts w:ascii="Calibri" w:hAnsi="Calibri" w:cs="Calibri"/>
          <w:color w:val="0070C0"/>
        </w:rPr>
        <w:t>mL.</w:t>
      </w:r>
      <w:proofErr w:type="spellEnd"/>
      <w:r w:rsidR="00161B96" w:rsidRPr="00161B96">
        <w:rPr>
          <w:rFonts w:ascii="Calibri" w:hAnsi="Calibri" w:cs="Calibri"/>
          <w:color w:val="0070C0"/>
        </w:rPr>
        <w:t xml:space="preserve"> This concentration allows the dose of 0.75 g/kg D</w:t>
      </w:r>
      <w:r w:rsidR="00161B96" w:rsidRPr="00161B96">
        <w:rPr>
          <w:rFonts w:ascii="Calibri" w:hAnsi="Calibri" w:cs="Calibri"/>
          <w:color w:val="0070C0"/>
          <w:vertAlign w:val="subscript"/>
        </w:rPr>
        <w:t>2</w:t>
      </w:r>
      <w:r w:rsidR="00161B96" w:rsidRPr="00161B96">
        <w:rPr>
          <w:rFonts w:ascii="Calibri" w:hAnsi="Calibri" w:cs="Calibri"/>
          <w:color w:val="0070C0"/>
        </w:rPr>
        <w:t>O to be accurately measured and administered in approximately 100 µL or less sodium chloride solution.</w:t>
      </w:r>
      <w:r w:rsidR="00161B96" w:rsidRPr="00161B96">
        <w:rPr>
          <w:color w:val="0070C0"/>
          <w:sz w:val="20"/>
          <w:szCs w:val="20"/>
        </w:rPr>
        <w:t>”</w:t>
      </w:r>
      <w:r w:rsidR="00B83ADE">
        <w:rPr>
          <w:sz w:val="20"/>
          <w:szCs w:val="20"/>
        </w:rPr>
        <w:br/>
      </w:r>
      <w:r w:rsidR="00B83ADE">
        <w:rPr>
          <w:sz w:val="20"/>
          <w:szCs w:val="20"/>
        </w:rPr>
        <w:br/>
        <w:t xml:space="preserve">Line 197. Why are these particular concentrations chosen for the preparation of the standard curve? It is more usual to use logical intervals e.g., 0, </w:t>
      </w:r>
      <w:proofErr w:type="gramStart"/>
      <w:r w:rsidR="00B83ADE">
        <w:rPr>
          <w:sz w:val="20"/>
          <w:szCs w:val="20"/>
        </w:rPr>
        <w:t>250 ,</w:t>
      </w:r>
      <w:proofErr w:type="gramEnd"/>
      <w:r w:rsidR="00B83ADE">
        <w:rPr>
          <w:sz w:val="20"/>
          <w:szCs w:val="20"/>
        </w:rPr>
        <w:t xml:space="preserve"> 500, 750 mg etc.</w:t>
      </w:r>
    </w:p>
    <w:p w14:paraId="7EE30A3F" w14:textId="77777777" w:rsidR="00E22D00" w:rsidRDefault="008F3C61">
      <w:pPr>
        <w:rPr>
          <w:sz w:val="20"/>
          <w:szCs w:val="20"/>
        </w:rPr>
      </w:pPr>
      <w:r>
        <w:rPr>
          <w:color w:val="0070C0"/>
          <w:sz w:val="20"/>
          <w:szCs w:val="20"/>
        </w:rPr>
        <w:t>These stan</w:t>
      </w:r>
      <w:r w:rsidRPr="00E22D00">
        <w:rPr>
          <w:color w:val="0070C0"/>
          <w:sz w:val="20"/>
          <w:szCs w:val="20"/>
        </w:rPr>
        <w:t xml:space="preserve">dards were provided by </w:t>
      </w:r>
      <w:r w:rsidR="00E22D00" w:rsidRPr="00E22D00">
        <w:rPr>
          <w:color w:val="0070C0"/>
          <w:sz w:val="20"/>
          <w:szCs w:val="20"/>
        </w:rPr>
        <w:t>Dr. Robert Backus.  We have listed this in the acknowledgements and noted</w:t>
      </w:r>
      <w:r w:rsidR="00E22D00">
        <w:rPr>
          <w:color w:val="0070C0"/>
          <w:sz w:val="20"/>
          <w:szCs w:val="20"/>
        </w:rPr>
        <w:t xml:space="preserve"> on line 209 </w:t>
      </w:r>
      <w:proofErr w:type="gramStart"/>
      <w:r w:rsidR="00E22D00">
        <w:rPr>
          <w:color w:val="0070C0"/>
          <w:sz w:val="20"/>
          <w:szCs w:val="20"/>
        </w:rPr>
        <w:t>that  “</w:t>
      </w:r>
      <w:proofErr w:type="gramEnd"/>
      <w:r w:rsidR="00E22D00">
        <w:rPr>
          <w:color w:val="0070C0"/>
          <w:sz w:val="20"/>
          <w:szCs w:val="20"/>
        </w:rPr>
        <w:t>The values above are suggested for a standard curve.  Alternative values such as 250 ppm, 500 ppm, 750 ppm, and so forth can be used.”</w:t>
      </w:r>
      <w:r w:rsidR="00B83ADE">
        <w:rPr>
          <w:sz w:val="20"/>
          <w:szCs w:val="20"/>
        </w:rPr>
        <w:br/>
      </w:r>
      <w:r w:rsidR="00B83ADE">
        <w:rPr>
          <w:sz w:val="20"/>
          <w:szCs w:val="20"/>
        </w:rPr>
        <w:br/>
        <w:t xml:space="preserve">Line 200 I question the value of the details of the FTIR spectrometry. These will be highly manufacturer specific. Problems are not addressed, for example procedures for filling the cell to ensure that no air </w:t>
      </w:r>
      <w:proofErr w:type="spellStart"/>
      <w:r w:rsidR="00B83ADE">
        <w:rPr>
          <w:sz w:val="20"/>
          <w:szCs w:val="20"/>
        </w:rPr>
        <w:t>bubles</w:t>
      </w:r>
      <w:proofErr w:type="spellEnd"/>
      <w:r w:rsidR="00B83ADE">
        <w:rPr>
          <w:sz w:val="20"/>
          <w:szCs w:val="20"/>
        </w:rPr>
        <w:t xml:space="preserve"> are introduced.</w:t>
      </w:r>
      <w:r w:rsidR="00B83ADE">
        <w:rPr>
          <w:sz w:val="20"/>
          <w:szCs w:val="20"/>
        </w:rPr>
        <w:br/>
      </w:r>
    </w:p>
    <w:p w14:paraId="47385E07" w14:textId="7D1F41DD" w:rsidR="00E22D00" w:rsidRPr="00E22D00" w:rsidRDefault="00E22D00">
      <w:pPr>
        <w:rPr>
          <w:color w:val="0070C0"/>
          <w:sz w:val="20"/>
          <w:szCs w:val="20"/>
        </w:rPr>
      </w:pPr>
      <w:r w:rsidRPr="00E22D00">
        <w:rPr>
          <w:color w:val="0070C0"/>
          <w:sz w:val="20"/>
          <w:szCs w:val="20"/>
        </w:rPr>
        <w:t xml:space="preserve">We have added the steps to </w:t>
      </w:r>
      <w:r w:rsidR="001A2B72">
        <w:rPr>
          <w:color w:val="0070C0"/>
          <w:sz w:val="20"/>
          <w:szCs w:val="20"/>
        </w:rPr>
        <w:t>describe using methanol to first fill the cell to ensure that there are no air bubbles introduced.  Additionally, we have revised the manuscript to state “Install a liquid transmission cell into the FTIR spectrometer and prepare the FTIR spectrometer software for analysis of D2O in water.  The parameter settings for the spectrometer software used in this protocol are listed in table 4.</w:t>
      </w:r>
      <w:r w:rsidR="00B45AE0">
        <w:rPr>
          <w:color w:val="0070C0"/>
          <w:sz w:val="20"/>
          <w:szCs w:val="20"/>
        </w:rPr>
        <w:t xml:space="preserve">  See the table of materials for specific software and FTIR spectrometer equipment.”</w:t>
      </w:r>
    </w:p>
    <w:p w14:paraId="7D43DBBD" w14:textId="2DFC87EA" w:rsidR="00A6712A" w:rsidRPr="00A6712A" w:rsidRDefault="00B83ADE">
      <w:pPr>
        <w:rPr>
          <w:rFonts w:ascii="Times New Roman" w:eastAsia="Times New Roman" w:hAnsi="Times New Roman" w:cs="Times New Roman"/>
          <w:color w:val="0070C0"/>
          <w:sz w:val="24"/>
          <w:szCs w:val="24"/>
        </w:rPr>
      </w:pPr>
      <w:r>
        <w:rPr>
          <w:sz w:val="20"/>
          <w:szCs w:val="20"/>
        </w:rPr>
        <w:br/>
        <w:t xml:space="preserve">Lines 378-83. FTIR when used with ATR attachment rather that a transmission cell can be used for urine since the optical face is resistant to chemical attack. Newer model FTIR-ATR </w:t>
      </w:r>
      <w:proofErr w:type="gramStart"/>
      <w:r>
        <w:rPr>
          <w:sz w:val="20"/>
          <w:szCs w:val="20"/>
        </w:rPr>
        <w:t>systems ,</w:t>
      </w:r>
      <w:proofErr w:type="gramEnd"/>
      <w:r>
        <w:rPr>
          <w:sz w:val="20"/>
          <w:szCs w:val="20"/>
        </w:rPr>
        <w:t xml:space="preserve"> e.g. the Agilent 4500 have much improved sensitivity.</w:t>
      </w:r>
      <w:r>
        <w:rPr>
          <w:sz w:val="20"/>
          <w:szCs w:val="20"/>
        </w:rPr>
        <w:br/>
      </w:r>
      <w:r w:rsidR="00B45AE0" w:rsidRPr="00A6712A">
        <w:rPr>
          <w:color w:val="0070C0"/>
          <w:sz w:val="20"/>
          <w:szCs w:val="20"/>
        </w:rPr>
        <w:t xml:space="preserve">We have revised the discussion to </w:t>
      </w:r>
      <w:r w:rsidR="00A6712A" w:rsidRPr="00A6712A">
        <w:rPr>
          <w:color w:val="0070C0"/>
          <w:sz w:val="20"/>
          <w:szCs w:val="20"/>
        </w:rPr>
        <w:t>say “</w:t>
      </w:r>
      <w:r w:rsidR="00A6712A" w:rsidRPr="00A6712A">
        <w:rPr>
          <w:rFonts w:ascii="Calibri" w:eastAsia="Times New Roman" w:hAnsi="Calibri" w:cs="Calibri"/>
          <w:color w:val="0070C0"/>
          <w:sz w:val="24"/>
          <w:szCs w:val="24"/>
        </w:rPr>
        <w:t xml:space="preserve">FTIR spectrometry can be used to measure deuterium enrichment in plasma and saliva, but it is not recommended to use </w:t>
      </w:r>
      <w:r w:rsidR="00A6712A">
        <w:rPr>
          <w:rFonts w:ascii="Calibri" w:eastAsia="Times New Roman" w:hAnsi="Calibri" w:cs="Calibri"/>
          <w:color w:val="0070C0"/>
          <w:sz w:val="24"/>
          <w:szCs w:val="24"/>
        </w:rPr>
        <w:t xml:space="preserve">an </w:t>
      </w:r>
      <w:r w:rsidR="00A6712A" w:rsidRPr="00A6712A">
        <w:rPr>
          <w:rFonts w:ascii="Calibri" w:eastAsia="Times New Roman" w:hAnsi="Calibri" w:cs="Calibri"/>
          <w:color w:val="0070C0"/>
          <w:sz w:val="24"/>
          <w:szCs w:val="24"/>
        </w:rPr>
        <w:t>FTIR transmission cell to analyze deuterium enrichment in urine</w:t>
      </w:r>
      <w:r w:rsidR="00A6712A" w:rsidRPr="00A6712A">
        <w:rPr>
          <w:rFonts w:ascii="Calibri" w:eastAsia="Times New Roman" w:hAnsi="Calibri" w:cs="Calibri"/>
          <w:color w:val="0070C0"/>
          <w:sz w:val="24"/>
          <w:szCs w:val="24"/>
          <w:vertAlign w:val="superscript"/>
        </w:rPr>
        <w:t>18</w:t>
      </w:r>
      <w:r w:rsidR="00A6712A" w:rsidRPr="00A6712A">
        <w:rPr>
          <w:rFonts w:ascii="Calibri" w:eastAsia="Times New Roman" w:hAnsi="Calibri" w:cs="Calibri"/>
          <w:color w:val="0070C0"/>
          <w:sz w:val="24"/>
          <w:szCs w:val="24"/>
        </w:rPr>
        <w:t>.   If urine is the desired sample type, then an attenuated total reflection (ATR) attachment should be used with the FTIR</w:t>
      </w:r>
      <w:r w:rsidR="00A6712A">
        <w:rPr>
          <w:rFonts w:ascii="Calibri" w:eastAsia="Times New Roman" w:hAnsi="Calibri" w:cs="Calibri"/>
          <w:color w:val="0070C0"/>
          <w:sz w:val="24"/>
          <w:szCs w:val="24"/>
        </w:rPr>
        <w:t xml:space="preserve"> or </w:t>
      </w:r>
      <w:r w:rsidR="00A6712A" w:rsidRPr="00A6712A">
        <w:rPr>
          <w:rFonts w:ascii="Calibri" w:eastAsia="Times New Roman" w:hAnsi="Calibri" w:cs="Calibri"/>
          <w:color w:val="0070C0"/>
          <w:sz w:val="24"/>
          <w:szCs w:val="24"/>
        </w:rPr>
        <w:t>IRMS should be used to assess deuterium enrichment for calculation of TBW</w:t>
      </w:r>
      <w:r w:rsidR="00A6712A" w:rsidRPr="00A6712A">
        <w:rPr>
          <w:rFonts w:ascii="Times New Roman" w:eastAsia="Times New Roman" w:hAnsi="Times New Roman" w:cs="Times New Roman"/>
          <w:color w:val="0070C0"/>
          <w:sz w:val="24"/>
          <w:szCs w:val="24"/>
        </w:rPr>
        <w:t>.”</w:t>
      </w:r>
    </w:p>
    <w:p w14:paraId="55783176" w14:textId="77777777" w:rsidR="006F795C" w:rsidRDefault="00B83ADE">
      <w:pPr>
        <w:rPr>
          <w:sz w:val="20"/>
          <w:szCs w:val="20"/>
        </w:rPr>
      </w:pPr>
      <w:r>
        <w:rPr>
          <w:sz w:val="20"/>
          <w:szCs w:val="20"/>
        </w:rPr>
        <w:br/>
        <w:t>Line 370. What is appropriate, by what criteria?</w:t>
      </w:r>
    </w:p>
    <w:p w14:paraId="0CA42526" w14:textId="77777777" w:rsidR="008048F8" w:rsidRDefault="006F795C">
      <w:pPr>
        <w:rPr>
          <w:sz w:val="20"/>
          <w:szCs w:val="20"/>
        </w:rPr>
      </w:pPr>
      <w:r>
        <w:rPr>
          <w:color w:val="4472C4" w:themeColor="accent1"/>
          <w:sz w:val="20"/>
          <w:szCs w:val="20"/>
        </w:rPr>
        <w:t>In the discussion, we state “To avoid altering the total body water of small mammals, dilute the dose of deuterium oxide as minimally as possible, just enough to ensure the dose can be measured accurately.”</w:t>
      </w:r>
      <w:r w:rsidR="00B83ADE">
        <w:rPr>
          <w:sz w:val="20"/>
          <w:szCs w:val="20"/>
        </w:rPr>
        <w:br/>
      </w:r>
      <w:r w:rsidR="00B83ADE">
        <w:rPr>
          <w:sz w:val="20"/>
          <w:szCs w:val="20"/>
        </w:rPr>
        <w:br/>
        <w:t xml:space="preserve">Lines 316-21. </w:t>
      </w:r>
      <w:proofErr w:type="spellStart"/>
      <w:r w:rsidR="00B83ADE">
        <w:rPr>
          <w:sz w:val="20"/>
          <w:szCs w:val="20"/>
        </w:rPr>
        <w:t>Pearsons</w:t>
      </w:r>
      <w:proofErr w:type="spellEnd"/>
      <w:r w:rsidR="00B83ADE">
        <w:rPr>
          <w:sz w:val="20"/>
          <w:szCs w:val="20"/>
        </w:rPr>
        <w:t xml:space="preserve"> correlation is inappropriate to use for method comparison - use concordance correlation. </w:t>
      </w:r>
      <w:r w:rsidR="00B83ADE">
        <w:rPr>
          <w:sz w:val="20"/>
          <w:szCs w:val="20"/>
        </w:rPr>
        <w:lastRenderedPageBreak/>
        <w:t>Equally for method agreement, ANOVA is inappropriate, Bland and Altman's Limits of Agreement analysis should be used.</w:t>
      </w:r>
    </w:p>
    <w:p w14:paraId="6BB3EBE8" w14:textId="725FD3B1" w:rsidR="00FE0D58" w:rsidRPr="00FE0D58" w:rsidRDefault="00B83ADE">
      <w:pPr>
        <w:rPr>
          <w:color w:val="4472C4" w:themeColor="accent1"/>
          <w:sz w:val="20"/>
          <w:szCs w:val="20"/>
        </w:rPr>
      </w:pPr>
      <w:r>
        <w:rPr>
          <w:sz w:val="20"/>
          <w:szCs w:val="20"/>
        </w:rPr>
        <w:br/>
      </w:r>
      <w:r w:rsidR="00DC1C65">
        <w:rPr>
          <w:color w:val="4472C4" w:themeColor="accent1"/>
          <w:sz w:val="20"/>
          <w:szCs w:val="20"/>
        </w:rPr>
        <w:t xml:space="preserve">We used Deming regression and one-way ANOVA as these are typically used for comparing two different diagnostic methodologies in veterinary medicine.  </w:t>
      </w:r>
      <w:r w:rsidR="00B118E8">
        <w:rPr>
          <w:color w:val="4472C4" w:themeColor="accent1"/>
          <w:sz w:val="20"/>
          <w:szCs w:val="20"/>
        </w:rPr>
        <w:t xml:space="preserve">Deming regression is appropriate for when both data sets can contain errors (when both methods have some degree of imprecision).  </w:t>
      </w:r>
      <w:r w:rsidR="00DC1C65">
        <w:rPr>
          <w:color w:val="4472C4" w:themeColor="accent1"/>
          <w:sz w:val="20"/>
          <w:szCs w:val="20"/>
        </w:rPr>
        <w:t>Bland-Altman plots are visual representations, and we did not believe were relevant to include as a representative result.</w:t>
      </w:r>
      <w:r w:rsidR="008A0FA7">
        <w:rPr>
          <w:color w:val="4472C4" w:themeColor="accent1"/>
          <w:sz w:val="20"/>
          <w:szCs w:val="20"/>
        </w:rPr>
        <w:t xml:space="preserve">  </w:t>
      </w:r>
    </w:p>
    <w:p w14:paraId="5F2E5BA5" w14:textId="7151D70C" w:rsidR="00FE0D58" w:rsidRDefault="00B83ADE">
      <w:pPr>
        <w:rPr>
          <w:sz w:val="20"/>
          <w:szCs w:val="20"/>
        </w:rPr>
      </w:pPr>
      <w:r>
        <w:rPr>
          <w:sz w:val="20"/>
          <w:szCs w:val="20"/>
        </w:rPr>
        <w:br/>
        <w:t>I understand why DXA was used as the comparator method but it is incorrect to say that it is a reference method. Indeed, D2O dilution is the acknowledged reference method for body composition to which DXA is compared. DXA is the reference for bone mineral but not soft tissue. I suggest rephrasing simply in terms of comparison rather than setting one up as a gold standard.</w:t>
      </w:r>
      <w:r>
        <w:rPr>
          <w:sz w:val="20"/>
          <w:szCs w:val="20"/>
        </w:rPr>
        <w:br/>
      </w:r>
    </w:p>
    <w:p w14:paraId="68737F15" w14:textId="7A462DA4" w:rsidR="00FE0D58" w:rsidRPr="00FE0D58" w:rsidRDefault="00FE0D58">
      <w:pPr>
        <w:rPr>
          <w:color w:val="4472C4" w:themeColor="accent1"/>
          <w:sz w:val="20"/>
          <w:szCs w:val="20"/>
        </w:rPr>
      </w:pPr>
      <w:r>
        <w:rPr>
          <w:color w:val="4472C4" w:themeColor="accent1"/>
          <w:sz w:val="20"/>
          <w:szCs w:val="20"/>
        </w:rPr>
        <w:t>We have altered the language in the introduction and throughout the manuscript to reflect that DXA is a comparison method and not the gold standard.</w:t>
      </w:r>
    </w:p>
    <w:p w14:paraId="1BE38DF4" w14:textId="0938B2C1" w:rsidR="00C8665B" w:rsidRDefault="00B83ADE">
      <w:pPr>
        <w:rPr>
          <w:sz w:val="20"/>
          <w:szCs w:val="20"/>
        </w:rPr>
      </w:pPr>
      <w:r>
        <w:rPr>
          <w:sz w:val="20"/>
          <w:szCs w:val="20"/>
        </w:rPr>
        <w:br/>
        <w:t>Calculation of TBW. There appears to be no correction for deuterium exchange. Why not the usual 1.04 correction? It is also not clear whether the authors are advocating back-projection to time zero or end-point calculation. If the latter are calculations based on the last sample only (it seems so) or the average of two sample taken a short period apart (IAEA protocol). There is no indication that sample analyses should be replicated.</w:t>
      </w:r>
      <w:r>
        <w:rPr>
          <w:sz w:val="20"/>
          <w:szCs w:val="20"/>
        </w:rPr>
        <w:br/>
      </w:r>
    </w:p>
    <w:p w14:paraId="689D2259" w14:textId="7440D18F" w:rsidR="00C8665B" w:rsidRPr="00C74073" w:rsidRDefault="00C8665B">
      <w:pPr>
        <w:rPr>
          <w:color w:val="0070C0"/>
          <w:sz w:val="20"/>
          <w:szCs w:val="20"/>
        </w:rPr>
      </w:pPr>
      <w:r w:rsidRPr="00C74073">
        <w:rPr>
          <w:color w:val="0070C0"/>
          <w:sz w:val="20"/>
          <w:szCs w:val="20"/>
        </w:rPr>
        <w:t xml:space="preserve">The authors are unfamiliar with a 1.04 correction.  We have added a clarity note </w:t>
      </w:r>
      <w:r w:rsidR="00C74073" w:rsidRPr="00C74073">
        <w:rPr>
          <w:color w:val="0070C0"/>
          <w:sz w:val="20"/>
          <w:szCs w:val="20"/>
        </w:rPr>
        <w:t xml:space="preserve">that deuterium exchange with labile hydrogen results in a 2% overestimation of total body water mass and this should be corrected for.  </w:t>
      </w:r>
    </w:p>
    <w:p w14:paraId="75B44EEF" w14:textId="0FE7E610" w:rsidR="00C74073" w:rsidRDefault="00C74073">
      <w:pPr>
        <w:rPr>
          <w:color w:val="0070C0"/>
          <w:sz w:val="20"/>
          <w:szCs w:val="20"/>
        </w:rPr>
      </w:pPr>
      <w:r w:rsidRPr="00C74073">
        <w:rPr>
          <w:color w:val="0070C0"/>
          <w:sz w:val="20"/>
          <w:szCs w:val="20"/>
        </w:rPr>
        <w:t>Ref: Backus et. al. 2000. Relationship between serum leptin immunoreactivity and body fat mass as estimated by use of a novel gas-phase Fourier transform infrared spectroscopy deuterium dilution method in cats.</w:t>
      </w:r>
    </w:p>
    <w:p w14:paraId="4E71B407" w14:textId="7F43507F" w:rsidR="00C74073" w:rsidRPr="00C74073" w:rsidRDefault="00C74073">
      <w:pPr>
        <w:rPr>
          <w:color w:val="0070C0"/>
          <w:sz w:val="20"/>
          <w:szCs w:val="20"/>
        </w:rPr>
      </w:pPr>
      <w:r>
        <w:rPr>
          <w:color w:val="0070C0"/>
          <w:sz w:val="20"/>
          <w:szCs w:val="20"/>
        </w:rPr>
        <w:t xml:space="preserve">Due to the limited amount of blood that can safely be collected and the high pack cell volume (PCV) of big brown bats, we were not able to </w:t>
      </w:r>
      <w:r w:rsidR="007D2F7D">
        <w:rPr>
          <w:color w:val="0070C0"/>
          <w:sz w:val="20"/>
          <w:szCs w:val="20"/>
        </w:rPr>
        <w:t xml:space="preserve">run the analysis in triplicate as was done for the cats.  We revised the protocol to highlight ideally samples and average of three samples is reported. </w:t>
      </w:r>
    </w:p>
    <w:p w14:paraId="5474F1D7" w14:textId="08F81BC7" w:rsidR="00732531" w:rsidRPr="00732531" w:rsidRDefault="00B83ADE">
      <w:pPr>
        <w:rPr>
          <w:color w:val="0070C0"/>
          <w:sz w:val="20"/>
          <w:szCs w:val="20"/>
        </w:rPr>
      </w:pPr>
      <w:r>
        <w:rPr>
          <w:sz w:val="20"/>
          <w:szCs w:val="20"/>
        </w:rPr>
        <w:br/>
        <w:t xml:space="preserve">Line 256. 0.732 is only applicable in </w:t>
      </w:r>
      <w:proofErr w:type="spellStart"/>
      <w:r>
        <w:rPr>
          <w:sz w:val="20"/>
          <w:szCs w:val="20"/>
        </w:rPr>
        <w:t>euhydrated</w:t>
      </w:r>
      <w:proofErr w:type="spellEnd"/>
      <w:r>
        <w:rPr>
          <w:sz w:val="20"/>
          <w:szCs w:val="20"/>
        </w:rPr>
        <w:t xml:space="preserve"> individuals and may not be applicable across all species. This point should be made.</w:t>
      </w:r>
      <w:r>
        <w:rPr>
          <w:sz w:val="20"/>
          <w:szCs w:val="20"/>
        </w:rPr>
        <w:br/>
      </w:r>
      <w:r w:rsidR="00732531">
        <w:rPr>
          <w:color w:val="0070C0"/>
          <w:sz w:val="20"/>
          <w:szCs w:val="20"/>
        </w:rPr>
        <w:t>We have clarified this point</w:t>
      </w:r>
      <w:r w:rsidR="003B1DC1">
        <w:rPr>
          <w:color w:val="0070C0"/>
          <w:sz w:val="20"/>
          <w:szCs w:val="20"/>
        </w:rPr>
        <w:t xml:space="preserve"> and specified to use the value for healthy, </w:t>
      </w:r>
      <w:proofErr w:type="spellStart"/>
      <w:r w:rsidR="003B1DC1">
        <w:rPr>
          <w:color w:val="0070C0"/>
          <w:sz w:val="20"/>
          <w:szCs w:val="20"/>
        </w:rPr>
        <w:t>euhydrated</w:t>
      </w:r>
      <w:proofErr w:type="spellEnd"/>
      <w:r w:rsidR="003B1DC1">
        <w:rPr>
          <w:color w:val="0070C0"/>
          <w:sz w:val="20"/>
          <w:szCs w:val="20"/>
        </w:rPr>
        <w:t>, non-lactating bats.  We also provide a reference showing the change in fractional moisture content based upon lactation.  Furthermore</w:t>
      </w:r>
      <w:r w:rsidR="00656CA7">
        <w:rPr>
          <w:color w:val="0070C0"/>
          <w:sz w:val="20"/>
          <w:szCs w:val="20"/>
        </w:rPr>
        <w:t>,</w:t>
      </w:r>
      <w:r w:rsidR="003B1DC1">
        <w:rPr>
          <w:color w:val="0070C0"/>
          <w:sz w:val="20"/>
          <w:szCs w:val="20"/>
        </w:rPr>
        <w:t xml:space="preserve"> we clarify for other species that published values should be used or values determined prior to performing calculations.</w:t>
      </w:r>
    </w:p>
    <w:p w14:paraId="3A09E067" w14:textId="77777777" w:rsidR="00AC7CA2" w:rsidRDefault="00B83ADE">
      <w:pPr>
        <w:rPr>
          <w:sz w:val="20"/>
          <w:szCs w:val="20"/>
        </w:rPr>
      </w:pPr>
      <w:r>
        <w:rPr>
          <w:sz w:val="20"/>
          <w:szCs w:val="20"/>
        </w:rPr>
        <w:br/>
        <w:t>Line 252. It is not lean mass that is calculated but fat-free mass, i.e., everything but fat, which is why fat can be estimated by difference with body weight. This is important since FFM includes bone mineral not just conventional lean.</w:t>
      </w:r>
    </w:p>
    <w:p w14:paraId="530B0094" w14:textId="77777777" w:rsidR="00041D74" w:rsidRDefault="00AC7CA2">
      <w:pPr>
        <w:rPr>
          <w:sz w:val="20"/>
          <w:szCs w:val="20"/>
        </w:rPr>
      </w:pPr>
      <w:r w:rsidRPr="000D1A4D">
        <w:rPr>
          <w:color w:val="0070C0"/>
          <w:sz w:val="20"/>
          <w:szCs w:val="20"/>
        </w:rPr>
        <w:t xml:space="preserve">We have </w:t>
      </w:r>
      <w:r w:rsidR="000D1A4D" w:rsidRPr="000D1A4D">
        <w:rPr>
          <w:color w:val="0070C0"/>
          <w:sz w:val="20"/>
          <w:szCs w:val="20"/>
        </w:rPr>
        <w:t>replaced lean body mass</w:t>
      </w:r>
      <w:r w:rsidR="000D1A4D">
        <w:rPr>
          <w:color w:val="0070C0"/>
          <w:sz w:val="20"/>
          <w:szCs w:val="20"/>
        </w:rPr>
        <w:t xml:space="preserve"> with</w:t>
      </w:r>
      <w:r w:rsidR="000D1A4D" w:rsidRPr="000D1A4D">
        <w:rPr>
          <w:color w:val="0070C0"/>
          <w:sz w:val="20"/>
          <w:szCs w:val="20"/>
        </w:rPr>
        <w:t xml:space="preserve"> fat-free mass </w:t>
      </w:r>
      <w:r w:rsidR="000D1A4D">
        <w:rPr>
          <w:color w:val="0070C0"/>
          <w:sz w:val="20"/>
          <w:szCs w:val="20"/>
        </w:rPr>
        <w:t>to provide clarity to the readers.</w:t>
      </w:r>
      <w:r w:rsidR="00B83ADE" w:rsidRPr="000D1A4D">
        <w:rPr>
          <w:color w:val="0070C0"/>
          <w:sz w:val="20"/>
          <w:szCs w:val="20"/>
        </w:rPr>
        <w:br/>
      </w:r>
      <w:r w:rsidR="00B83ADE">
        <w:rPr>
          <w:sz w:val="20"/>
          <w:szCs w:val="20"/>
        </w:rPr>
        <w:br/>
        <w:t>There are no details of quality assurance and control procedures that should be adopted.</w:t>
      </w:r>
    </w:p>
    <w:p w14:paraId="700FD095" w14:textId="2FFC4184" w:rsidR="00F07589" w:rsidRDefault="00041D74">
      <w:pPr>
        <w:rPr>
          <w:sz w:val="20"/>
          <w:szCs w:val="20"/>
        </w:rPr>
      </w:pPr>
      <w:r>
        <w:rPr>
          <w:color w:val="0070C0"/>
          <w:sz w:val="20"/>
          <w:szCs w:val="20"/>
        </w:rPr>
        <w:lastRenderedPageBreak/>
        <w:t xml:space="preserve">We have revised where relevant to include details of quality assurance and control procedures including that </w:t>
      </w:r>
      <w:r w:rsidR="003A357F">
        <w:rPr>
          <w:color w:val="0070C0"/>
          <w:sz w:val="20"/>
          <w:szCs w:val="20"/>
        </w:rPr>
        <w:t>a sample of known concentration should be included in the analysis, triplicate analysis should be done on each sample, etc.</w:t>
      </w:r>
      <w:r w:rsidR="00B83ADE">
        <w:rPr>
          <w:sz w:val="20"/>
          <w:szCs w:val="20"/>
        </w:rPr>
        <w:br/>
      </w:r>
      <w:r w:rsidR="00B83ADE">
        <w:rPr>
          <w:sz w:val="20"/>
          <w:szCs w:val="20"/>
        </w:rPr>
        <w:br/>
        <w:t>Minor Concerns:</w:t>
      </w:r>
      <w:r w:rsidR="00B83ADE">
        <w:rPr>
          <w:sz w:val="20"/>
          <w:szCs w:val="20"/>
        </w:rPr>
        <w:br/>
        <w:t>Line 97 through not thru</w:t>
      </w:r>
    </w:p>
    <w:p w14:paraId="0DEB8802" w14:textId="77777777" w:rsidR="00F07589" w:rsidRPr="00F07589" w:rsidRDefault="00F07589" w:rsidP="00F07589">
      <w:pPr>
        <w:rPr>
          <w:color w:val="0070C0"/>
        </w:rPr>
      </w:pPr>
      <w:r>
        <w:rPr>
          <w:color w:val="0070C0"/>
        </w:rPr>
        <w:t>Changed as the review suggested.</w:t>
      </w:r>
    </w:p>
    <w:p w14:paraId="1E4478F6" w14:textId="0CDC0746" w:rsidR="00B97614" w:rsidRDefault="00B83ADE">
      <w:pPr>
        <w:rPr>
          <w:sz w:val="20"/>
          <w:szCs w:val="20"/>
        </w:rPr>
      </w:pPr>
      <w:r>
        <w:rPr>
          <w:sz w:val="20"/>
          <w:szCs w:val="20"/>
        </w:rPr>
        <w:br/>
        <w:t>line 137 define IACUC here on first use not later at line 145.</w:t>
      </w:r>
    </w:p>
    <w:p w14:paraId="7CD4D3B8" w14:textId="3F3FC7AD" w:rsidR="00F07589" w:rsidRPr="00F07589" w:rsidRDefault="00F07589">
      <w:pPr>
        <w:rPr>
          <w:color w:val="0070C0"/>
        </w:rPr>
      </w:pPr>
      <w:r>
        <w:rPr>
          <w:color w:val="0070C0"/>
        </w:rPr>
        <w:t>Changed as the review suggested.</w:t>
      </w:r>
    </w:p>
    <w:sectPr w:rsidR="00F07589" w:rsidRPr="00F0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DE"/>
    <w:rsid w:val="00022701"/>
    <w:rsid w:val="00041D74"/>
    <w:rsid w:val="000755BF"/>
    <w:rsid w:val="000D1A4D"/>
    <w:rsid w:val="00132836"/>
    <w:rsid w:val="00161B96"/>
    <w:rsid w:val="001A2B72"/>
    <w:rsid w:val="001A3A9C"/>
    <w:rsid w:val="001B3CEC"/>
    <w:rsid w:val="00235E2A"/>
    <w:rsid w:val="00287EC1"/>
    <w:rsid w:val="002D536A"/>
    <w:rsid w:val="002F318C"/>
    <w:rsid w:val="00302490"/>
    <w:rsid w:val="003A357F"/>
    <w:rsid w:val="003B1DC1"/>
    <w:rsid w:val="003C42B3"/>
    <w:rsid w:val="00403730"/>
    <w:rsid w:val="00482384"/>
    <w:rsid w:val="005772FA"/>
    <w:rsid w:val="005B4104"/>
    <w:rsid w:val="005E4715"/>
    <w:rsid w:val="00656CA7"/>
    <w:rsid w:val="0067108E"/>
    <w:rsid w:val="0069182C"/>
    <w:rsid w:val="006B76BB"/>
    <w:rsid w:val="006F795C"/>
    <w:rsid w:val="00732531"/>
    <w:rsid w:val="0079508E"/>
    <w:rsid w:val="007A31AE"/>
    <w:rsid w:val="007C1C95"/>
    <w:rsid w:val="007C2940"/>
    <w:rsid w:val="007D2F7D"/>
    <w:rsid w:val="007F527C"/>
    <w:rsid w:val="00802DAC"/>
    <w:rsid w:val="008048F8"/>
    <w:rsid w:val="00805644"/>
    <w:rsid w:val="00806FBD"/>
    <w:rsid w:val="00827EB8"/>
    <w:rsid w:val="0085683B"/>
    <w:rsid w:val="00870BA1"/>
    <w:rsid w:val="008A0FA7"/>
    <w:rsid w:val="008D18C8"/>
    <w:rsid w:val="008E59D2"/>
    <w:rsid w:val="008F096C"/>
    <w:rsid w:val="008F3C61"/>
    <w:rsid w:val="00920AA2"/>
    <w:rsid w:val="009508AD"/>
    <w:rsid w:val="009B10AC"/>
    <w:rsid w:val="009E16E8"/>
    <w:rsid w:val="00A3741F"/>
    <w:rsid w:val="00A6712A"/>
    <w:rsid w:val="00A904D0"/>
    <w:rsid w:val="00AC0E47"/>
    <w:rsid w:val="00AC7CA2"/>
    <w:rsid w:val="00B118E8"/>
    <w:rsid w:val="00B45AE0"/>
    <w:rsid w:val="00B83ADE"/>
    <w:rsid w:val="00B97614"/>
    <w:rsid w:val="00C2707B"/>
    <w:rsid w:val="00C5710C"/>
    <w:rsid w:val="00C74073"/>
    <w:rsid w:val="00C8665B"/>
    <w:rsid w:val="00C93260"/>
    <w:rsid w:val="00DC0DFB"/>
    <w:rsid w:val="00DC1C65"/>
    <w:rsid w:val="00E20F79"/>
    <w:rsid w:val="00E22D00"/>
    <w:rsid w:val="00E4194D"/>
    <w:rsid w:val="00E45C81"/>
    <w:rsid w:val="00E555DF"/>
    <w:rsid w:val="00EA1E7C"/>
    <w:rsid w:val="00EB41E4"/>
    <w:rsid w:val="00EC5CDE"/>
    <w:rsid w:val="00ED5C4A"/>
    <w:rsid w:val="00EE2102"/>
    <w:rsid w:val="00EF415B"/>
    <w:rsid w:val="00F07589"/>
    <w:rsid w:val="00FA4A76"/>
    <w:rsid w:val="00FC7994"/>
    <w:rsid w:val="00FE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FDB0"/>
  <w15:chartTrackingRefBased/>
  <w15:docId w15:val="{6A08E59A-70F8-4683-BC15-D3605127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3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31634">
      <w:bodyDiv w:val="1"/>
      <w:marLeft w:val="0"/>
      <w:marRight w:val="0"/>
      <w:marTop w:val="0"/>
      <w:marBottom w:val="0"/>
      <w:divBdr>
        <w:top w:val="none" w:sz="0" w:space="0" w:color="auto"/>
        <w:left w:val="none" w:sz="0" w:space="0" w:color="auto"/>
        <w:bottom w:val="none" w:sz="0" w:space="0" w:color="auto"/>
        <w:right w:val="none" w:sz="0" w:space="0" w:color="auto"/>
      </w:divBdr>
    </w:div>
    <w:div w:id="2136361140">
      <w:bodyDiv w:val="1"/>
      <w:marLeft w:val="0"/>
      <w:marRight w:val="0"/>
      <w:marTop w:val="0"/>
      <w:marBottom w:val="0"/>
      <w:divBdr>
        <w:top w:val="none" w:sz="0" w:space="0" w:color="auto"/>
        <w:left w:val="none" w:sz="0" w:space="0" w:color="auto"/>
        <w:bottom w:val="none" w:sz="0" w:space="0" w:color="auto"/>
        <w:right w:val="none" w:sz="0" w:space="0" w:color="auto"/>
      </w:divBdr>
      <w:divsChild>
        <w:div w:id="114080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2</cp:revision>
  <dcterms:created xsi:type="dcterms:W3CDTF">2019-01-31T20:51:00Z</dcterms:created>
  <dcterms:modified xsi:type="dcterms:W3CDTF">2019-01-31T20:51:00Z</dcterms:modified>
</cp:coreProperties>
</file>