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5F6AF" w14:textId="77777777" w:rsidR="00465B35" w:rsidRPr="00A36A01" w:rsidRDefault="001E3959">
      <w:pPr>
        <w:rPr>
          <w:color w:val="0070C0"/>
        </w:rPr>
      </w:pPr>
      <w:r w:rsidRPr="00A36A01">
        <w:rPr>
          <w:color w:val="0070C0"/>
        </w:rPr>
        <w:t xml:space="preserve">Dear Editor, </w:t>
      </w:r>
    </w:p>
    <w:p w14:paraId="7CC56918" w14:textId="77777777" w:rsidR="00465B35" w:rsidRPr="00A36A01" w:rsidRDefault="00465B35">
      <w:pPr>
        <w:rPr>
          <w:color w:val="0070C0"/>
        </w:rPr>
      </w:pPr>
    </w:p>
    <w:p w14:paraId="3C5DAF89" w14:textId="33F5B880" w:rsidR="00465B35" w:rsidRPr="00A36A01" w:rsidRDefault="001E3959">
      <w:pPr>
        <w:rPr>
          <w:color w:val="0070C0"/>
        </w:rPr>
      </w:pPr>
      <w:r>
        <w:rPr>
          <w:color w:val="0070C0"/>
        </w:rPr>
        <w:t>We t</w:t>
      </w:r>
      <w:r w:rsidRPr="00A36A01">
        <w:rPr>
          <w:color w:val="0070C0"/>
        </w:rPr>
        <w:t xml:space="preserve">hank-you for your helpful editorial comments, and appreciate critiques made by two external reviewers. Please see our point-by-point responses to each comment below (in blue). All changes have been tracked in our revised manuscript. </w:t>
      </w:r>
    </w:p>
    <w:p w14:paraId="7123F14F" w14:textId="77777777" w:rsidR="00465B35" w:rsidRPr="00A36A01" w:rsidRDefault="00465B35">
      <w:pPr>
        <w:rPr>
          <w:color w:val="0070C0"/>
        </w:rPr>
      </w:pPr>
    </w:p>
    <w:p w14:paraId="0AED5C0A" w14:textId="77777777" w:rsidR="00465B35" w:rsidRPr="00A36A01" w:rsidRDefault="001E3959">
      <w:pPr>
        <w:rPr>
          <w:color w:val="0070C0"/>
        </w:rPr>
      </w:pPr>
      <w:r w:rsidRPr="00A36A01">
        <w:rPr>
          <w:color w:val="0070C0"/>
        </w:rPr>
        <w:t>On behalf of all authors,</w:t>
      </w:r>
    </w:p>
    <w:p w14:paraId="4EF09451" w14:textId="77777777" w:rsidR="00465B35" w:rsidRPr="00A36A01" w:rsidRDefault="001E3959">
      <w:pPr>
        <w:rPr>
          <w:color w:val="0070C0"/>
        </w:rPr>
      </w:pPr>
      <w:r w:rsidRPr="00A36A01">
        <w:rPr>
          <w:color w:val="0070C0"/>
        </w:rPr>
        <w:t xml:space="preserve">Jacqueline Monaghan </w:t>
      </w:r>
    </w:p>
    <w:p w14:paraId="7E76D977" w14:textId="5883046F" w:rsidR="00465B35" w:rsidRPr="00A36A01" w:rsidRDefault="00465B35"/>
    <w:p w14:paraId="3081959B" w14:textId="77777777" w:rsidR="00465B35" w:rsidRPr="00A36A01" w:rsidRDefault="00465B35"/>
    <w:p w14:paraId="76551A05" w14:textId="77777777" w:rsidR="00465B35" w:rsidRPr="00A36A01" w:rsidRDefault="001E3959">
      <w:r w:rsidRPr="00A36A01">
        <w:t>-----</w:t>
      </w:r>
    </w:p>
    <w:p w14:paraId="39D4334B" w14:textId="77777777" w:rsidR="00465B35" w:rsidRPr="00A36A01" w:rsidRDefault="001E3959">
      <w:pPr>
        <w:pStyle w:val="Title"/>
        <w:rPr>
          <w:b/>
          <w:sz w:val="22"/>
          <w:szCs w:val="22"/>
        </w:rPr>
      </w:pPr>
      <w:bookmarkStart w:id="0" w:name="_ji4xz3om5u77" w:colFirst="0" w:colLast="0"/>
      <w:bookmarkEnd w:id="0"/>
      <w:r w:rsidRPr="00A36A01">
        <w:rPr>
          <w:b/>
          <w:sz w:val="22"/>
          <w:szCs w:val="22"/>
        </w:rPr>
        <w:t>Editorial comments:</w:t>
      </w:r>
    </w:p>
    <w:p w14:paraId="1CC0994B" w14:textId="77777777" w:rsidR="00465B35" w:rsidRPr="00A36A01" w:rsidRDefault="00465B35"/>
    <w:p w14:paraId="23C58BF1" w14:textId="77777777" w:rsidR="00465B35" w:rsidRPr="00A36A01" w:rsidRDefault="001E3959">
      <w:r w:rsidRPr="00A36A01">
        <w:t>Changes to be made by the Author(s):</w:t>
      </w:r>
    </w:p>
    <w:p w14:paraId="6C967124" w14:textId="77777777" w:rsidR="00465B35" w:rsidRPr="00A36A01" w:rsidRDefault="00465B35"/>
    <w:p w14:paraId="627F750D" w14:textId="77777777" w:rsidR="00465B35" w:rsidRPr="00A36A01" w:rsidRDefault="001E3959">
      <w:r w:rsidRPr="00A36A01">
        <w:t xml:space="preserve">1. Please take this opportunity to thoroughly proofread the manuscript to ensure that there are no spelling or grammar issues. The </w:t>
      </w:r>
      <w:proofErr w:type="spellStart"/>
      <w:r w:rsidRPr="00A36A01">
        <w:t>JoVE</w:t>
      </w:r>
      <w:proofErr w:type="spellEnd"/>
      <w:r w:rsidRPr="00A36A01">
        <w:t xml:space="preserve"> editor will not copy-edit your manuscript and any errors in the submitted revision may be present in the published version.</w:t>
      </w:r>
    </w:p>
    <w:p w14:paraId="4EBA610B" w14:textId="77777777" w:rsidR="00465B35" w:rsidRPr="00A36A01" w:rsidRDefault="00465B35">
      <w:pPr>
        <w:rPr>
          <w:color w:val="7030A0"/>
        </w:rPr>
      </w:pPr>
    </w:p>
    <w:p w14:paraId="5F29BD5C" w14:textId="77777777" w:rsidR="00465B35" w:rsidRPr="00A36A01" w:rsidRDefault="001E3959">
      <w:pPr>
        <w:numPr>
          <w:ilvl w:val="0"/>
          <w:numId w:val="15"/>
        </w:numPr>
        <w:rPr>
          <w:color w:val="0070C0"/>
        </w:rPr>
      </w:pPr>
      <w:r w:rsidRPr="00A36A01">
        <w:rPr>
          <w:color w:val="0070C0"/>
        </w:rPr>
        <w:t>All authors have proofread the manuscript.</w:t>
      </w:r>
    </w:p>
    <w:p w14:paraId="5F524E82" w14:textId="77777777" w:rsidR="00465B35" w:rsidRPr="00A36A01" w:rsidRDefault="00465B35"/>
    <w:p w14:paraId="739AB421" w14:textId="77777777" w:rsidR="00465B35" w:rsidRPr="00A36A01" w:rsidRDefault="001E3959">
      <w:r w:rsidRPr="00A36A01">
        <w:t>2. Please provide an email address for each author.</w:t>
      </w:r>
    </w:p>
    <w:p w14:paraId="10FD4D34" w14:textId="77777777" w:rsidR="00465B35" w:rsidRPr="00A36A01" w:rsidRDefault="00465B35">
      <w:pPr>
        <w:rPr>
          <w:color w:val="0000FF"/>
        </w:rPr>
      </w:pPr>
    </w:p>
    <w:p w14:paraId="60877711" w14:textId="77777777" w:rsidR="00465B35" w:rsidRPr="00A36A01" w:rsidRDefault="001E3959">
      <w:pPr>
        <w:numPr>
          <w:ilvl w:val="0"/>
          <w:numId w:val="1"/>
        </w:numPr>
        <w:rPr>
          <w:color w:val="0070C0"/>
        </w:rPr>
      </w:pPr>
      <w:r w:rsidRPr="00A36A01">
        <w:rPr>
          <w:color w:val="0070C0"/>
        </w:rPr>
        <w:t>We have provided e-mail addresses for all authors.</w:t>
      </w:r>
    </w:p>
    <w:p w14:paraId="47EFA356" w14:textId="77777777" w:rsidR="00465B35" w:rsidRPr="00A36A01" w:rsidRDefault="00465B35"/>
    <w:p w14:paraId="4F5A041E" w14:textId="77777777" w:rsidR="00465B35" w:rsidRPr="00A36A01" w:rsidRDefault="001E3959">
      <w:r w:rsidRPr="00A36A01">
        <w:t>3. Please provide at least 6 keywords or phrases.</w:t>
      </w:r>
    </w:p>
    <w:p w14:paraId="4B5CBFA0" w14:textId="77777777" w:rsidR="00465B35" w:rsidRPr="00A36A01" w:rsidRDefault="00465B35"/>
    <w:p w14:paraId="403036F7" w14:textId="77777777" w:rsidR="00465B35" w:rsidRPr="00A36A01" w:rsidRDefault="001E3959">
      <w:pPr>
        <w:numPr>
          <w:ilvl w:val="0"/>
          <w:numId w:val="13"/>
        </w:numPr>
        <w:rPr>
          <w:color w:val="0070C0"/>
        </w:rPr>
      </w:pPr>
      <w:r w:rsidRPr="00A36A01">
        <w:rPr>
          <w:color w:val="0070C0"/>
        </w:rPr>
        <w:t xml:space="preserve">We have now included the following keywords in addition to those already provided: </w:t>
      </w:r>
      <w:r w:rsidRPr="00A36A01">
        <w:rPr>
          <w:i/>
          <w:color w:val="0070C0"/>
        </w:rPr>
        <w:t>Arabidopsis thaliana</w:t>
      </w:r>
      <w:r w:rsidRPr="00A36A01">
        <w:rPr>
          <w:color w:val="0070C0"/>
        </w:rPr>
        <w:t xml:space="preserve"> and pattern recognition receptor. </w:t>
      </w:r>
    </w:p>
    <w:p w14:paraId="14B97368" w14:textId="77777777" w:rsidR="00465B35" w:rsidRPr="00A36A01" w:rsidRDefault="00465B35"/>
    <w:p w14:paraId="298D0FCF" w14:textId="77777777" w:rsidR="00465B35" w:rsidRPr="00A36A01" w:rsidRDefault="001E3959">
      <w:r w:rsidRPr="00A36A01">
        <w:t>4. Please revise the protocol text to avoid the use of any personal pronouns (e.g., "we", "you", "our" etc.).</w:t>
      </w:r>
    </w:p>
    <w:p w14:paraId="23A4466D" w14:textId="77777777" w:rsidR="00465B35" w:rsidRPr="00A36A01" w:rsidRDefault="00465B35">
      <w:pPr>
        <w:rPr>
          <w:color w:val="F1C232"/>
        </w:rPr>
      </w:pPr>
    </w:p>
    <w:p w14:paraId="702E8F59" w14:textId="77777777" w:rsidR="00465B35" w:rsidRPr="00A36A01" w:rsidRDefault="001E3959">
      <w:pPr>
        <w:numPr>
          <w:ilvl w:val="0"/>
          <w:numId w:val="12"/>
        </w:numPr>
        <w:rPr>
          <w:color w:val="0070C0"/>
        </w:rPr>
      </w:pPr>
      <w:r w:rsidRPr="00A36A01">
        <w:rPr>
          <w:color w:val="0070C0"/>
        </w:rPr>
        <w:t>We removed all personal pronouns from the text.</w:t>
      </w:r>
    </w:p>
    <w:p w14:paraId="453E3BAC" w14:textId="77777777" w:rsidR="00465B35" w:rsidRPr="00A36A01" w:rsidRDefault="00465B35"/>
    <w:p w14:paraId="7F841683" w14:textId="77777777" w:rsidR="00465B35" w:rsidRPr="00A36A01" w:rsidRDefault="001E3959">
      <w:r w:rsidRPr="00A36A01">
        <w:t xml:space="preserve">5. </w:t>
      </w:r>
      <w:proofErr w:type="spellStart"/>
      <w:r w:rsidRPr="00A36A01">
        <w:t>JoVE</w:t>
      </w:r>
      <w:proofErr w:type="spellEnd"/>
      <w:r w:rsidRPr="00A36A01">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A36A01">
        <w:t>plantprod</w:t>
      </w:r>
      <w:proofErr w:type="spellEnd"/>
      <w:r w:rsidRPr="00A36A01">
        <w:t xml:space="preserve"> 20-20-20, sunshine mix, Microsoft excel, etc.</w:t>
      </w:r>
    </w:p>
    <w:p w14:paraId="0960A86A" w14:textId="77777777" w:rsidR="00A36A01" w:rsidRPr="00A36A01" w:rsidRDefault="00A36A01">
      <w:pPr>
        <w:rPr>
          <w:color w:val="0070C0"/>
        </w:rPr>
      </w:pPr>
    </w:p>
    <w:p w14:paraId="2878409A" w14:textId="77777777" w:rsidR="002A57B7" w:rsidRDefault="001E3959">
      <w:pPr>
        <w:numPr>
          <w:ilvl w:val="0"/>
          <w:numId w:val="11"/>
        </w:numPr>
        <w:rPr>
          <w:color w:val="0070C0"/>
        </w:rPr>
      </w:pPr>
      <w:r w:rsidRPr="00A36A01">
        <w:rPr>
          <w:color w:val="0070C0"/>
        </w:rPr>
        <w:t xml:space="preserve">We removed “Sunshine Mix #1” from Step 1.1.2, rephrased Step 1.1.3 to exclude reference to </w:t>
      </w:r>
      <w:proofErr w:type="spellStart"/>
      <w:r w:rsidRPr="00A36A01">
        <w:rPr>
          <w:color w:val="0070C0"/>
        </w:rPr>
        <w:t>PlantProd</w:t>
      </w:r>
      <w:proofErr w:type="spellEnd"/>
      <w:r w:rsidRPr="00A36A01">
        <w:rPr>
          <w:color w:val="0070C0"/>
        </w:rPr>
        <w:t xml:space="preserve"> (“</w:t>
      </w:r>
      <w:r w:rsidRPr="00A36A01">
        <w:rPr>
          <w:b/>
          <w:i/>
          <w:color w:val="0070C0"/>
        </w:rPr>
        <w:t>with 1 g/L of 20-20-20 fertilizer every 2 weeks</w:t>
      </w:r>
      <w:r w:rsidRPr="00A36A01">
        <w:rPr>
          <w:color w:val="0070C0"/>
        </w:rPr>
        <w:t>”), and rephrased Step 2.3.1 to exclude reference to Microsoft Excel (“...</w:t>
      </w:r>
      <w:r w:rsidRPr="00A36A01">
        <w:rPr>
          <w:b/>
          <w:i/>
          <w:color w:val="0070C0"/>
        </w:rPr>
        <w:t>on a spreadsheet</w:t>
      </w:r>
      <w:r w:rsidRPr="00A36A01">
        <w:rPr>
          <w:color w:val="0070C0"/>
        </w:rPr>
        <w:t>”).</w:t>
      </w:r>
      <w:r w:rsidR="002A57B7">
        <w:rPr>
          <w:color w:val="0070C0"/>
        </w:rPr>
        <w:t xml:space="preserve"> </w:t>
      </w:r>
    </w:p>
    <w:p w14:paraId="5C2991B2" w14:textId="0958A32A" w:rsidR="00465B35" w:rsidRPr="00A36A01" w:rsidRDefault="002A57B7">
      <w:pPr>
        <w:numPr>
          <w:ilvl w:val="0"/>
          <w:numId w:val="11"/>
        </w:numPr>
        <w:rPr>
          <w:color w:val="0070C0"/>
        </w:rPr>
      </w:pPr>
      <w:r>
        <w:rPr>
          <w:color w:val="0070C0"/>
        </w:rPr>
        <w:lastRenderedPageBreak/>
        <w:t xml:space="preserve">Sunshine Mix #1 and </w:t>
      </w:r>
      <w:proofErr w:type="spellStart"/>
      <w:r>
        <w:rPr>
          <w:color w:val="0070C0"/>
        </w:rPr>
        <w:t>PlantProd</w:t>
      </w:r>
      <w:proofErr w:type="spellEnd"/>
      <w:r>
        <w:rPr>
          <w:color w:val="0070C0"/>
        </w:rPr>
        <w:t xml:space="preserve"> fertilizers have been added to the Table of Materials and Reagents. </w:t>
      </w:r>
    </w:p>
    <w:p w14:paraId="41C7336E" w14:textId="77777777" w:rsidR="00465B35" w:rsidRPr="00A36A01" w:rsidRDefault="00465B35"/>
    <w:p w14:paraId="120CCDAB" w14:textId="77777777" w:rsidR="00465B35" w:rsidRPr="00A36A01" w:rsidRDefault="001E3959">
      <w:r w:rsidRPr="00A36A01">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103AD046" w14:textId="77777777" w:rsidR="00465B35" w:rsidRPr="00A36A01" w:rsidRDefault="00465B35"/>
    <w:p w14:paraId="3B54B4EB" w14:textId="77777777" w:rsidR="00465B35" w:rsidRPr="00A36A01" w:rsidRDefault="001E3959">
      <w:pPr>
        <w:numPr>
          <w:ilvl w:val="0"/>
          <w:numId w:val="4"/>
        </w:numPr>
        <w:rPr>
          <w:color w:val="0070C0"/>
        </w:rPr>
      </w:pPr>
      <w:r w:rsidRPr="00A36A01">
        <w:rPr>
          <w:color w:val="0070C0"/>
        </w:rPr>
        <w:t>All text is now written in imperative tense and phrases “should be”, “could be”, and “can be” have been removed.</w:t>
      </w:r>
    </w:p>
    <w:p w14:paraId="3BAD6AA5" w14:textId="77777777" w:rsidR="00465B35" w:rsidRPr="00A36A01" w:rsidRDefault="00465B35"/>
    <w:p w14:paraId="06E11C87" w14:textId="77777777" w:rsidR="00465B35" w:rsidRPr="00A36A01" w:rsidRDefault="001E3959">
      <w:r w:rsidRPr="00A36A01">
        <w:t xml:space="preserve">7. The Protocol should contain only action items that direct the reader to do something. </w:t>
      </w:r>
    </w:p>
    <w:p w14:paraId="05101FB1" w14:textId="77777777" w:rsidR="00465B35" w:rsidRPr="00A36A01" w:rsidRDefault="00465B35">
      <w:pPr>
        <w:rPr>
          <w:color w:val="6AA84F"/>
        </w:rPr>
      </w:pPr>
    </w:p>
    <w:p w14:paraId="569C8910" w14:textId="77777777" w:rsidR="00465B35" w:rsidRPr="00A36A01" w:rsidRDefault="001E3959">
      <w:pPr>
        <w:numPr>
          <w:ilvl w:val="0"/>
          <w:numId w:val="16"/>
        </w:numPr>
        <w:rPr>
          <w:color w:val="0070C0"/>
        </w:rPr>
      </w:pPr>
      <w:r w:rsidRPr="00A36A01">
        <w:rPr>
          <w:color w:val="0070C0"/>
        </w:rPr>
        <w:t>Protocol text now only states action items.</w:t>
      </w:r>
    </w:p>
    <w:p w14:paraId="4E431AC1" w14:textId="77777777" w:rsidR="00465B35" w:rsidRPr="00A36A01" w:rsidRDefault="00465B35"/>
    <w:p w14:paraId="7F66462F" w14:textId="77777777" w:rsidR="00465B35" w:rsidRPr="00A36A01" w:rsidRDefault="001E3959">
      <w:r w:rsidRPr="00A36A01">
        <w:t>8. Please add more details to your protocol steps. Please ensure you answer the “how” question, i.e., how is the step performed?</w:t>
      </w:r>
    </w:p>
    <w:p w14:paraId="119F84BE" w14:textId="77777777" w:rsidR="00465B35" w:rsidRPr="00A36A01" w:rsidRDefault="00465B35"/>
    <w:p w14:paraId="2FB436AE" w14:textId="77777777" w:rsidR="00465B35" w:rsidRPr="00A36A01" w:rsidRDefault="001E3959">
      <w:pPr>
        <w:ind w:left="720"/>
        <w:rPr>
          <w:color w:val="70AD47"/>
        </w:rPr>
      </w:pPr>
      <w:r w:rsidRPr="00A36A01">
        <w:t>9. 1.1.3: how do you transplant? Please quantify sufficient spacings</w:t>
      </w:r>
    </w:p>
    <w:p w14:paraId="2FA279E5" w14:textId="77777777" w:rsidR="00465B35" w:rsidRPr="00A36A01" w:rsidRDefault="00465B35">
      <w:pPr>
        <w:ind w:left="720"/>
        <w:rPr>
          <w:color w:val="70AD47"/>
        </w:rPr>
      </w:pPr>
    </w:p>
    <w:p w14:paraId="072B0104" w14:textId="77777777" w:rsidR="00465B35" w:rsidRPr="00A36A01" w:rsidRDefault="001E3959">
      <w:pPr>
        <w:numPr>
          <w:ilvl w:val="0"/>
          <w:numId w:val="2"/>
        </w:numPr>
        <w:rPr>
          <w:color w:val="0070C0"/>
        </w:rPr>
      </w:pPr>
      <w:r w:rsidRPr="00A36A01">
        <w:rPr>
          <w:color w:val="0070C0"/>
        </w:rPr>
        <w:t xml:space="preserve">We have expanded on how to transplant seedlings: </w:t>
      </w:r>
    </w:p>
    <w:p w14:paraId="17D29A1F" w14:textId="77777777" w:rsidR="00465B35" w:rsidRPr="00A36A01" w:rsidRDefault="00465B35">
      <w:pPr>
        <w:ind w:left="1440"/>
        <w:rPr>
          <w:i/>
          <w:color w:val="0070C0"/>
        </w:rPr>
      </w:pPr>
    </w:p>
    <w:p w14:paraId="056F5C6D" w14:textId="77777777" w:rsidR="00465B35" w:rsidRPr="00A36A01" w:rsidRDefault="001E3959">
      <w:pPr>
        <w:ind w:left="1440"/>
        <w:rPr>
          <w:i/>
          <w:color w:val="0070C0"/>
        </w:rPr>
      </w:pPr>
      <w:r w:rsidRPr="00A36A01">
        <w:rPr>
          <w:i/>
          <w:color w:val="0070C0"/>
        </w:rPr>
        <w:t xml:space="preserve">“After approximately 7 days, </w:t>
      </w:r>
      <w:r w:rsidRPr="00A36A01">
        <w:rPr>
          <w:b/>
          <w:i/>
          <w:color w:val="0070C0"/>
        </w:rPr>
        <w:t xml:space="preserve">use forceps to transplant individual seedlings, separated by at least 4 cm </w:t>
      </w:r>
      <w:r w:rsidRPr="00A36A01">
        <w:rPr>
          <w:i/>
          <w:color w:val="0070C0"/>
        </w:rPr>
        <w:t>to permit full rosette development.”</w:t>
      </w:r>
    </w:p>
    <w:p w14:paraId="1C3967D0" w14:textId="77777777" w:rsidR="00465B35" w:rsidRPr="00A36A01" w:rsidRDefault="00465B35">
      <w:pPr>
        <w:ind w:left="720"/>
      </w:pPr>
    </w:p>
    <w:p w14:paraId="61506277" w14:textId="77777777" w:rsidR="00465B35" w:rsidRPr="00A36A01" w:rsidRDefault="001E3959">
      <w:pPr>
        <w:ind w:left="720"/>
      </w:pPr>
      <w:r w:rsidRPr="00A36A01">
        <w:t>10. 1.2: How do you identify leaf disc?</w:t>
      </w:r>
    </w:p>
    <w:p w14:paraId="63DE4924" w14:textId="77777777" w:rsidR="00465B35" w:rsidRPr="00A36A01" w:rsidRDefault="00465B35">
      <w:pPr>
        <w:ind w:left="720"/>
      </w:pPr>
    </w:p>
    <w:p w14:paraId="61A8E914" w14:textId="77777777" w:rsidR="00465B35" w:rsidRPr="00A36A01" w:rsidRDefault="001E3959">
      <w:pPr>
        <w:numPr>
          <w:ilvl w:val="0"/>
          <w:numId w:val="3"/>
        </w:numPr>
        <w:rPr>
          <w:color w:val="0070C0"/>
        </w:rPr>
      </w:pPr>
      <w:r w:rsidRPr="00A36A01">
        <w:rPr>
          <w:color w:val="0070C0"/>
        </w:rPr>
        <w:t>Step 1.2 is a section heading and therefore does not contain any specific details however this information can be found in step 1.2.1:</w:t>
      </w:r>
    </w:p>
    <w:p w14:paraId="28029FE6" w14:textId="77777777" w:rsidR="00465B35" w:rsidRPr="00A36A01" w:rsidRDefault="00465B35">
      <w:pPr>
        <w:ind w:left="1440"/>
        <w:rPr>
          <w:color w:val="0070C0"/>
        </w:rPr>
      </w:pPr>
    </w:p>
    <w:p w14:paraId="07BD0929" w14:textId="77777777" w:rsidR="00465B35" w:rsidRPr="00A36A01" w:rsidRDefault="001E3959">
      <w:pPr>
        <w:ind w:left="1440"/>
        <w:rPr>
          <w:color w:val="0070C0"/>
        </w:rPr>
      </w:pPr>
      <w:r w:rsidRPr="00A36A01">
        <w:rPr>
          <w:color w:val="0070C0"/>
        </w:rPr>
        <w:t xml:space="preserve"> “</w:t>
      </w:r>
      <w:r w:rsidRPr="00A36A01">
        <w:rPr>
          <w:i/>
          <w:color w:val="0070C0"/>
        </w:rPr>
        <w:t xml:space="preserve">...use a sharp 4 mm biopsy punch to remove </w:t>
      </w:r>
      <w:r w:rsidRPr="00A36A01">
        <w:rPr>
          <w:rFonts w:eastAsia="Calibri"/>
          <w:i/>
          <w:color w:val="0070C0"/>
        </w:rPr>
        <w:t>one leaf disc per plant, avoiding the mid-vein and being careful to limit wounding.</w:t>
      </w:r>
      <w:r w:rsidRPr="00A36A01">
        <w:rPr>
          <w:rFonts w:eastAsia="Calibri"/>
          <w:color w:val="0070C0"/>
        </w:rPr>
        <w:t>”</w:t>
      </w:r>
    </w:p>
    <w:p w14:paraId="7A150BC2" w14:textId="77777777" w:rsidR="00465B35" w:rsidRPr="00A36A01" w:rsidRDefault="00465B35">
      <w:pPr>
        <w:ind w:left="720"/>
      </w:pPr>
    </w:p>
    <w:p w14:paraId="14711594" w14:textId="77777777" w:rsidR="00465B35" w:rsidRPr="00A36A01" w:rsidRDefault="001E3959">
      <w:pPr>
        <w:ind w:left="720"/>
      </w:pPr>
      <w:r w:rsidRPr="00A36A01">
        <w:t>11. 1.2.2: When was an elicitor added? What concentration?</w:t>
      </w:r>
    </w:p>
    <w:p w14:paraId="51558B3B" w14:textId="77777777" w:rsidR="00465B35" w:rsidRPr="00A36A01" w:rsidRDefault="00465B35">
      <w:pPr>
        <w:ind w:left="720"/>
        <w:rPr>
          <w:color w:val="0070C0"/>
        </w:rPr>
      </w:pPr>
    </w:p>
    <w:p w14:paraId="59CB46AD" w14:textId="77777777" w:rsidR="00465B35" w:rsidRPr="00A36A01" w:rsidRDefault="001E3959">
      <w:pPr>
        <w:numPr>
          <w:ilvl w:val="0"/>
          <w:numId w:val="5"/>
        </w:numPr>
        <w:rPr>
          <w:color w:val="0070C0"/>
        </w:rPr>
      </w:pPr>
      <w:r w:rsidRPr="00A36A01">
        <w:rPr>
          <w:color w:val="0070C0"/>
        </w:rPr>
        <w:t xml:space="preserve">Since this section of the protocol details leaf disc collection and recovery we have not yet described adding elicitor treatments to leaf discs. However, we now include the specific elicitor concentrations used, in step 1.3.2: </w:t>
      </w:r>
    </w:p>
    <w:p w14:paraId="6663386E" w14:textId="77777777" w:rsidR="00465B35" w:rsidRPr="00A36A01" w:rsidRDefault="00465B35">
      <w:pPr>
        <w:rPr>
          <w:color w:val="0070C0"/>
        </w:rPr>
      </w:pPr>
    </w:p>
    <w:p w14:paraId="0778CF26" w14:textId="77777777" w:rsidR="00465B35" w:rsidRPr="00A36A01" w:rsidRDefault="001E3959">
      <w:pPr>
        <w:ind w:left="1440"/>
        <w:rPr>
          <w:i/>
          <w:color w:val="0070C0"/>
        </w:rPr>
      </w:pPr>
      <w:r w:rsidRPr="00A36A01">
        <w:rPr>
          <w:i/>
          <w:color w:val="0070C0"/>
        </w:rPr>
        <w:t xml:space="preserve">“Prepare a reaction solution containing 100 </w:t>
      </w:r>
      <w:proofErr w:type="spellStart"/>
      <w:r w:rsidRPr="00A36A01">
        <w:rPr>
          <w:i/>
          <w:color w:val="0070C0"/>
        </w:rPr>
        <w:t>μM</w:t>
      </w:r>
      <w:proofErr w:type="spellEnd"/>
      <w:r w:rsidRPr="00A36A01">
        <w:rPr>
          <w:i/>
          <w:color w:val="0070C0"/>
        </w:rPr>
        <w:t xml:space="preserve"> luminol, 10 </w:t>
      </w:r>
      <w:proofErr w:type="spellStart"/>
      <w:r w:rsidRPr="00A36A01">
        <w:rPr>
          <w:i/>
          <w:color w:val="0070C0"/>
        </w:rPr>
        <w:t>μg</w:t>
      </w:r>
      <w:proofErr w:type="spellEnd"/>
      <w:r w:rsidRPr="00A36A01">
        <w:rPr>
          <w:i/>
          <w:color w:val="0070C0"/>
        </w:rPr>
        <w:t xml:space="preserve">/mL HRP, and the desired </w:t>
      </w:r>
      <w:r w:rsidRPr="00A36A01">
        <w:rPr>
          <w:rFonts w:eastAsia="Calibri"/>
          <w:i/>
          <w:color w:val="0070C0"/>
        </w:rPr>
        <w:t>concentration of elicitor</w:t>
      </w:r>
      <w:r w:rsidRPr="00A36A01">
        <w:rPr>
          <w:rFonts w:eastAsia="Calibri"/>
          <w:b/>
          <w:i/>
          <w:color w:val="0070C0"/>
        </w:rPr>
        <w:t xml:space="preserve"> (For example,  elf18 at 1 nM, 10 nM, 100 nM, or 1000 nM)</w:t>
      </w:r>
      <w:r w:rsidRPr="00A36A01">
        <w:rPr>
          <w:rFonts w:eastAsia="Calibri"/>
          <w:i/>
          <w:color w:val="0070C0"/>
        </w:rPr>
        <w:t xml:space="preserve"> in sterile ddH</w:t>
      </w:r>
      <w:r w:rsidRPr="00A36A01">
        <w:rPr>
          <w:rFonts w:eastAsia="Calibri"/>
          <w:i/>
          <w:color w:val="0070C0"/>
          <w:vertAlign w:val="subscript"/>
        </w:rPr>
        <w:t>2</w:t>
      </w:r>
      <w:r w:rsidRPr="00A36A01">
        <w:rPr>
          <w:rFonts w:eastAsia="Calibri"/>
          <w:i/>
          <w:color w:val="0070C0"/>
        </w:rPr>
        <w:t>O.”</w:t>
      </w:r>
    </w:p>
    <w:p w14:paraId="40AF8998" w14:textId="77777777" w:rsidR="00465B35" w:rsidRPr="00A36A01" w:rsidRDefault="001E3959">
      <w:pPr>
        <w:ind w:left="720"/>
      </w:pPr>
      <w:r w:rsidRPr="00A36A01">
        <w:tab/>
      </w:r>
    </w:p>
    <w:p w14:paraId="293E6D2D" w14:textId="77777777" w:rsidR="00465B35" w:rsidRPr="00A36A01" w:rsidRDefault="001E3959">
      <w:pPr>
        <w:ind w:left="720"/>
      </w:pPr>
      <w:r w:rsidRPr="00A36A01">
        <w:t>12. 1.2.3: Is this done before adding the elicitor?</w:t>
      </w:r>
    </w:p>
    <w:p w14:paraId="5AEF32D5" w14:textId="77777777" w:rsidR="00465B35" w:rsidRPr="00A36A01" w:rsidRDefault="00465B35">
      <w:pPr>
        <w:ind w:left="720"/>
      </w:pPr>
    </w:p>
    <w:p w14:paraId="257E0D44" w14:textId="77777777" w:rsidR="00465B35" w:rsidRPr="00A36A01" w:rsidRDefault="001E3959">
      <w:pPr>
        <w:numPr>
          <w:ilvl w:val="0"/>
          <w:numId w:val="7"/>
        </w:numPr>
        <w:rPr>
          <w:color w:val="0070C0"/>
        </w:rPr>
      </w:pPr>
      <w:r w:rsidRPr="00A36A01">
        <w:rPr>
          <w:color w:val="0070C0"/>
        </w:rPr>
        <w:t xml:space="preserve">Section 1.2 describes leaf disc collection and recovery prior to measuring elicitor-induced ROS production. To make this clearer, we have now changed </w:t>
      </w:r>
      <w:r w:rsidRPr="00A36A01">
        <w:rPr>
          <w:color w:val="0070C0"/>
        </w:rPr>
        <w:lastRenderedPageBreak/>
        <w:t>the title of section 1.3 from “</w:t>
      </w:r>
      <w:r w:rsidRPr="00A36A01">
        <w:rPr>
          <w:rFonts w:eastAsia="Calibri"/>
          <w:color w:val="0070C0"/>
        </w:rPr>
        <w:t>Measure ROS response following elicitor treatment” to “Add elicitor treatment and measure ROS production”.</w:t>
      </w:r>
    </w:p>
    <w:p w14:paraId="6FCFB527" w14:textId="77777777" w:rsidR="00465B35" w:rsidRPr="00A36A01" w:rsidRDefault="00465B35">
      <w:pPr>
        <w:ind w:left="720"/>
      </w:pPr>
    </w:p>
    <w:p w14:paraId="0E659600" w14:textId="77777777" w:rsidR="00465B35" w:rsidRPr="00A36A01" w:rsidRDefault="001E3959">
      <w:pPr>
        <w:ind w:left="720"/>
      </w:pPr>
      <w:r w:rsidRPr="00A36A01">
        <w:t>13. 1.3.2: What is the volume of the solution prepared? Please mention the elicitor and concentration used in your study. What is the control in this case? Do you use multichannel pipette for this step? What absorbance is used to measure the light emission?</w:t>
      </w:r>
    </w:p>
    <w:p w14:paraId="6A384927" w14:textId="77777777" w:rsidR="00465B35" w:rsidRPr="00A36A01" w:rsidRDefault="00465B35">
      <w:pPr>
        <w:ind w:left="720"/>
      </w:pPr>
    </w:p>
    <w:p w14:paraId="0C5B3E21" w14:textId="354DF7A8" w:rsidR="00465B35" w:rsidRDefault="001E3959">
      <w:pPr>
        <w:numPr>
          <w:ilvl w:val="0"/>
          <w:numId w:val="6"/>
        </w:numPr>
        <w:rPr>
          <w:color w:val="0070C0"/>
        </w:rPr>
      </w:pPr>
      <w:r w:rsidRPr="00A36A01">
        <w:rPr>
          <w:color w:val="0070C0"/>
        </w:rPr>
        <w:t xml:space="preserve">This section has been rephrased to address reviewer comments as follows: </w:t>
      </w:r>
    </w:p>
    <w:p w14:paraId="0B22C000" w14:textId="77777777" w:rsidR="001E3959" w:rsidRPr="00A36A01" w:rsidRDefault="001E3959" w:rsidP="001E3959">
      <w:pPr>
        <w:ind w:left="1440"/>
        <w:rPr>
          <w:color w:val="0070C0"/>
        </w:rPr>
      </w:pPr>
    </w:p>
    <w:p w14:paraId="236B2D1D" w14:textId="77777777" w:rsidR="00465B35" w:rsidRPr="00A36A01" w:rsidRDefault="001E3959">
      <w:pPr>
        <w:numPr>
          <w:ilvl w:val="1"/>
          <w:numId w:val="6"/>
        </w:numPr>
        <w:rPr>
          <w:color w:val="0070C0"/>
        </w:rPr>
      </w:pPr>
      <w:r w:rsidRPr="00A36A01">
        <w:rPr>
          <w:i/>
          <w:color w:val="0070C0"/>
        </w:rPr>
        <w:t xml:space="preserve">“Prepare a reaction solution containing 100 </w:t>
      </w:r>
      <w:proofErr w:type="spellStart"/>
      <w:r w:rsidRPr="00A36A01">
        <w:rPr>
          <w:i/>
          <w:color w:val="0070C0"/>
        </w:rPr>
        <w:t>μM</w:t>
      </w:r>
      <w:proofErr w:type="spellEnd"/>
      <w:r w:rsidRPr="00A36A01">
        <w:rPr>
          <w:i/>
          <w:color w:val="0070C0"/>
        </w:rPr>
        <w:t xml:space="preserve"> luminol, 10 </w:t>
      </w:r>
      <w:proofErr w:type="spellStart"/>
      <w:r w:rsidRPr="00A36A01">
        <w:rPr>
          <w:i/>
          <w:color w:val="0070C0"/>
        </w:rPr>
        <w:t>μg</w:t>
      </w:r>
      <w:proofErr w:type="spellEnd"/>
      <w:r w:rsidRPr="00A36A01">
        <w:rPr>
          <w:i/>
          <w:color w:val="0070C0"/>
        </w:rPr>
        <w:t xml:space="preserve">/mL HRP, and the desired concentration of elicitor </w:t>
      </w:r>
      <w:r w:rsidRPr="00A36A01">
        <w:rPr>
          <w:b/>
          <w:i/>
          <w:color w:val="0070C0"/>
        </w:rPr>
        <w:t>(elf18 at 1 nM, 10 nM, 100 nM, or 1000 nM)</w:t>
      </w:r>
      <w:r w:rsidRPr="00A36A01">
        <w:rPr>
          <w:i/>
          <w:color w:val="0070C0"/>
        </w:rPr>
        <w:t xml:space="preserve"> in sterile ddH</w:t>
      </w:r>
      <w:r w:rsidRPr="00A36A01">
        <w:rPr>
          <w:i/>
          <w:color w:val="0070C0"/>
          <w:vertAlign w:val="subscript"/>
        </w:rPr>
        <w:t>2</w:t>
      </w:r>
      <w:r w:rsidRPr="00A36A01">
        <w:rPr>
          <w:i/>
          <w:color w:val="0070C0"/>
        </w:rPr>
        <w:t xml:space="preserve">O </w:t>
      </w:r>
      <w:r w:rsidRPr="00A36A01">
        <w:rPr>
          <w:rFonts w:eastAsia="Calibri"/>
          <w:b/>
          <w:i/>
          <w:color w:val="0070C0"/>
        </w:rPr>
        <w:t>using 10 mL of solution for one 96-well plate</w:t>
      </w:r>
      <w:r w:rsidRPr="00A36A01">
        <w:rPr>
          <w:b/>
          <w:i/>
          <w:color w:val="0070C0"/>
        </w:rPr>
        <w:t>.</w:t>
      </w:r>
      <w:r w:rsidRPr="00A36A01">
        <w:rPr>
          <w:i/>
          <w:color w:val="0070C0"/>
        </w:rPr>
        <w:t>”</w:t>
      </w:r>
    </w:p>
    <w:p w14:paraId="61AE830E" w14:textId="77777777" w:rsidR="00465B35" w:rsidRPr="00A36A01" w:rsidRDefault="00465B35">
      <w:pPr>
        <w:rPr>
          <w:i/>
          <w:color w:val="0070C0"/>
        </w:rPr>
      </w:pPr>
    </w:p>
    <w:p w14:paraId="7EE6A1E6" w14:textId="6BF7B195" w:rsidR="00465B35" w:rsidRPr="00A36A01" w:rsidRDefault="001E3959">
      <w:pPr>
        <w:numPr>
          <w:ilvl w:val="1"/>
          <w:numId w:val="6"/>
        </w:numPr>
        <w:rPr>
          <w:color w:val="0070C0"/>
        </w:rPr>
      </w:pPr>
      <w:r w:rsidRPr="00A36A01">
        <w:rPr>
          <w:color w:val="0070C0"/>
        </w:rPr>
        <w:t>We have now included information on controls in step 1.1.1:</w:t>
      </w:r>
    </w:p>
    <w:p w14:paraId="70DDF162" w14:textId="77777777" w:rsidR="00465B35" w:rsidRPr="00A36A01" w:rsidRDefault="00465B35">
      <w:pPr>
        <w:ind w:left="1440"/>
        <w:rPr>
          <w:color w:val="0070C0"/>
        </w:rPr>
      </w:pPr>
    </w:p>
    <w:p w14:paraId="0D822E1F" w14:textId="77777777" w:rsidR="00465B35" w:rsidRPr="00A36A01" w:rsidRDefault="001E3959">
      <w:pPr>
        <w:ind w:left="1440" w:firstLine="720"/>
        <w:rPr>
          <w:i/>
          <w:color w:val="0070C0"/>
        </w:rPr>
      </w:pPr>
      <w:r w:rsidRPr="00A36A01">
        <w:rPr>
          <w:i/>
          <w:color w:val="0070C0"/>
        </w:rPr>
        <w:t xml:space="preserve">“Note: Stratify a wild-type background control (for example, Col-0) and </w:t>
      </w:r>
    </w:p>
    <w:p w14:paraId="563015EE" w14:textId="77777777" w:rsidR="00465B35" w:rsidRPr="00A36A01" w:rsidRDefault="001E3959">
      <w:pPr>
        <w:ind w:left="1440" w:firstLine="720"/>
        <w:rPr>
          <w:i/>
          <w:color w:val="0070C0"/>
        </w:rPr>
      </w:pPr>
      <w:r w:rsidRPr="00A36A01">
        <w:rPr>
          <w:i/>
          <w:color w:val="0070C0"/>
        </w:rPr>
        <w:t xml:space="preserve">genotypes with high and low immune outputs (for example, cpk28-1 </w:t>
      </w:r>
    </w:p>
    <w:p w14:paraId="0DC62DEC" w14:textId="77777777" w:rsidR="00465B35" w:rsidRPr="00A36A01" w:rsidRDefault="001E3959">
      <w:pPr>
        <w:ind w:left="1440" w:firstLine="720"/>
        <w:rPr>
          <w:i/>
          <w:color w:val="0070C0"/>
        </w:rPr>
      </w:pPr>
      <w:r w:rsidRPr="00A36A01">
        <w:rPr>
          <w:i/>
          <w:color w:val="0070C0"/>
        </w:rPr>
        <w:t>and bak1-5, respectively) to serve as internal controls.”</w:t>
      </w:r>
    </w:p>
    <w:p w14:paraId="06DC5DC7" w14:textId="65E48BA4" w:rsidR="00465B35" w:rsidRDefault="00465B35">
      <w:pPr>
        <w:pBdr>
          <w:top w:val="nil"/>
          <w:left w:val="nil"/>
          <w:bottom w:val="nil"/>
          <w:right w:val="nil"/>
          <w:between w:val="nil"/>
        </w:pBdr>
        <w:ind w:left="1440"/>
        <w:rPr>
          <w:color w:val="0070C0"/>
          <w:highlight w:val="yellow"/>
        </w:rPr>
      </w:pPr>
    </w:p>
    <w:p w14:paraId="0BCDFACF" w14:textId="79073CBA" w:rsidR="00C12BC2" w:rsidRPr="00C12BC2" w:rsidRDefault="00C12BC2" w:rsidP="00C12BC2">
      <w:pPr>
        <w:pStyle w:val="ListParagraph"/>
        <w:numPr>
          <w:ilvl w:val="0"/>
          <w:numId w:val="22"/>
        </w:numPr>
        <w:pBdr>
          <w:top w:val="nil"/>
          <w:left w:val="nil"/>
          <w:bottom w:val="nil"/>
          <w:right w:val="nil"/>
          <w:between w:val="nil"/>
        </w:pBdr>
        <w:rPr>
          <w:color w:val="0070C0"/>
        </w:rPr>
      </w:pPr>
      <w:r w:rsidRPr="00C12BC2">
        <w:rPr>
          <w:color w:val="0070C0"/>
        </w:rPr>
        <w:t>We have also now included information on controls in step 1.3.2:</w:t>
      </w:r>
    </w:p>
    <w:p w14:paraId="25B1A987" w14:textId="17936CDB" w:rsidR="00C12BC2" w:rsidRPr="0012439F" w:rsidRDefault="00C12BC2" w:rsidP="00C12BC2">
      <w:pPr>
        <w:pBdr>
          <w:top w:val="nil"/>
          <w:left w:val="nil"/>
          <w:bottom w:val="nil"/>
          <w:right w:val="nil"/>
          <w:between w:val="nil"/>
        </w:pBdr>
        <w:rPr>
          <w:i/>
          <w:color w:val="0070C0"/>
        </w:rPr>
      </w:pPr>
    </w:p>
    <w:p w14:paraId="02DD0F8C" w14:textId="77777777" w:rsidR="0012439F" w:rsidRPr="0012439F" w:rsidRDefault="00C12BC2" w:rsidP="0012439F">
      <w:pPr>
        <w:ind w:left="2160"/>
        <w:rPr>
          <w:color w:val="0070C0"/>
        </w:rPr>
      </w:pPr>
      <w:r w:rsidRPr="0012439F">
        <w:rPr>
          <w:i/>
          <w:color w:val="0070C0"/>
        </w:rPr>
        <w:t>“</w:t>
      </w:r>
      <w:r w:rsidR="0012439F" w:rsidRPr="0012439F">
        <w:rPr>
          <w:color w:val="0070C0"/>
        </w:rPr>
        <w:t>Note: Include a control reaction (no elicitor) for each genotype to assess basal ROS levels in the absence of elicitation.</w:t>
      </w:r>
    </w:p>
    <w:p w14:paraId="0DC3DB1D" w14:textId="12C3F6BB" w:rsidR="00C12BC2" w:rsidRPr="00C12BC2" w:rsidRDefault="00C12BC2" w:rsidP="0012439F">
      <w:pPr>
        <w:rPr>
          <w:i/>
          <w:color w:val="0070C0"/>
        </w:rPr>
      </w:pPr>
    </w:p>
    <w:p w14:paraId="51B296E4" w14:textId="77777777" w:rsidR="00C12BC2" w:rsidRPr="00A36A01" w:rsidRDefault="00C12BC2">
      <w:pPr>
        <w:pBdr>
          <w:top w:val="nil"/>
          <w:left w:val="nil"/>
          <w:bottom w:val="nil"/>
          <w:right w:val="nil"/>
          <w:between w:val="nil"/>
        </w:pBdr>
        <w:ind w:left="1440"/>
        <w:rPr>
          <w:color w:val="0070C0"/>
          <w:highlight w:val="yellow"/>
        </w:rPr>
      </w:pPr>
    </w:p>
    <w:p w14:paraId="4F0640C2" w14:textId="2B3DBFA3" w:rsidR="00465B35" w:rsidRPr="00A36A01" w:rsidRDefault="001E3959">
      <w:pPr>
        <w:numPr>
          <w:ilvl w:val="1"/>
          <w:numId w:val="6"/>
        </w:numPr>
        <w:rPr>
          <w:color w:val="0070C0"/>
        </w:rPr>
      </w:pPr>
      <w:r w:rsidRPr="00A36A01">
        <w:rPr>
          <w:color w:val="0070C0"/>
        </w:rPr>
        <w:t>A multichannel pipette is indeed used to distribute the reaction solution to the 96-well plate, and is referenced in this step: “</w:t>
      </w:r>
      <w:r w:rsidRPr="00A36A01">
        <w:rPr>
          <w:i/>
          <w:color w:val="0070C0"/>
        </w:rPr>
        <w:t xml:space="preserve">Use a multichannel pipette to </w:t>
      </w:r>
      <w:r w:rsidR="0012439F">
        <w:rPr>
          <w:i/>
          <w:color w:val="0070C0"/>
        </w:rPr>
        <w:t>dispense</w:t>
      </w:r>
      <w:r w:rsidRPr="00A36A01">
        <w:rPr>
          <w:i/>
          <w:color w:val="0070C0"/>
        </w:rPr>
        <w:t xml:space="preserve"> 100 </w:t>
      </w:r>
      <w:proofErr w:type="spellStart"/>
      <w:r w:rsidRPr="00A36A01">
        <w:rPr>
          <w:i/>
          <w:color w:val="0070C0"/>
        </w:rPr>
        <w:t>μL</w:t>
      </w:r>
      <w:proofErr w:type="spellEnd"/>
      <w:r w:rsidRPr="00A36A01">
        <w:rPr>
          <w:i/>
          <w:color w:val="0070C0"/>
        </w:rPr>
        <w:t xml:space="preserve"> of reaction mixture to each well…</w:t>
      </w:r>
      <w:r w:rsidRPr="00A36A01">
        <w:rPr>
          <w:color w:val="0070C0"/>
        </w:rPr>
        <w:t>”</w:t>
      </w:r>
    </w:p>
    <w:p w14:paraId="3DEF256C" w14:textId="77777777" w:rsidR="00465B35" w:rsidRPr="00A36A01" w:rsidRDefault="00465B35">
      <w:pPr>
        <w:rPr>
          <w:color w:val="0070C0"/>
        </w:rPr>
      </w:pPr>
    </w:p>
    <w:p w14:paraId="1A7B7D00" w14:textId="77777777" w:rsidR="00465B35" w:rsidRPr="00A36A01" w:rsidRDefault="001E3959">
      <w:pPr>
        <w:numPr>
          <w:ilvl w:val="1"/>
          <w:numId w:val="6"/>
        </w:numPr>
        <w:rPr>
          <w:color w:val="0070C0"/>
        </w:rPr>
      </w:pPr>
      <w:r w:rsidRPr="00A36A01">
        <w:rPr>
          <w:color w:val="0070C0"/>
        </w:rPr>
        <w:t>We have now included the spectrum at which light emission is measured as “</w:t>
      </w:r>
      <w:r w:rsidRPr="00A36A01">
        <w:rPr>
          <w:b/>
          <w:i/>
          <w:color w:val="0070C0"/>
        </w:rPr>
        <w:t>all wavelengths in the visible spectrum</w:t>
      </w:r>
      <w:r w:rsidRPr="00A36A01">
        <w:rPr>
          <w:color w:val="0070C0"/>
        </w:rPr>
        <w:t>”.</w:t>
      </w:r>
    </w:p>
    <w:p w14:paraId="0E771789" w14:textId="77777777" w:rsidR="00465B35" w:rsidRPr="00A36A01" w:rsidRDefault="00465B35">
      <w:pPr>
        <w:ind w:left="720"/>
      </w:pPr>
    </w:p>
    <w:p w14:paraId="09CE8E88" w14:textId="77777777" w:rsidR="00465B35" w:rsidRPr="00A36A01" w:rsidRDefault="001E3959">
      <w:pPr>
        <w:ind w:left="720"/>
      </w:pPr>
      <w:r w:rsidRPr="00A36A01">
        <w:t>14. 1.3.3. How is this set up?</w:t>
      </w:r>
    </w:p>
    <w:p w14:paraId="543EADE1" w14:textId="77777777" w:rsidR="00465B35" w:rsidRPr="00A36A01" w:rsidRDefault="00465B35">
      <w:pPr>
        <w:ind w:left="720"/>
      </w:pPr>
    </w:p>
    <w:p w14:paraId="03A16C9B" w14:textId="77777777" w:rsidR="00465B35" w:rsidRPr="00A36A01" w:rsidRDefault="001E3959">
      <w:pPr>
        <w:numPr>
          <w:ilvl w:val="0"/>
          <w:numId w:val="14"/>
        </w:numPr>
        <w:rPr>
          <w:color w:val="0070C0"/>
        </w:rPr>
      </w:pPr>
      <w:r w:rsidRPr="00A36A01">
        <w:rPr>
          <w:color w:val="0070C0"/>
        </w:rPr>
        <w:t xml:space="preserve">Microplate reader set-up will vary based on the manufacturer and model. Since </w:t>
      </w:r>
      <w:proofErr w:type="spellStart"/>
      <w:r w:rsidRPr="00A36A01">
        <w:rPr>
          <w:color w:val="0070C0"/>
        </w:rPr>
        <w:t>JoVE</w:t>
      </w:r>
      <w:proofErr w:type="spellEnd"/>
      <w:r w:rsidRPr="00A36A01">
        <w:rPr>
          <w:color w:val="0070C0"/>
        </w:rPr>
        <w:t xml:space="preserve"> manuscripts cannot contain commercial language we have not included this information.</w:t>
      </w:r>
    </w:p>
    <w:p w14:paraId="62D01DF2" w14:textId="77777777" w:rsidR="00465B35" w:rsidRPr="00A36A01" w:rsidRDefault="00465B35">
      <w:pPr>
        <w:ind w:left="720"/>
      </w:pPr>
    </w:p>
    <w:p w14:paraId="6519AA1F" w14:textId="77777777" w:rsidR="00465B35" w:rsidRPr="00A36A01" w:rsidRDefault="001E3959">
      <w:pPr>
        <w:ind w:left="720"/>
      </w:pPr>
      <w:r w:rsidRPr="00A36A01">
        <w:t>15. 1.4.1 How do you calculate the average photon count? Is this displayed on the software?</w:t>
      </w:r>
    </w:p>
    <w:p w14:paraId="24A065F8" w14:textId="77777777" w:rsidR="00465B35" w:rsidRPr="00A36A01" w:rsidRDefault="00465B35">
      <w:pPr>
        <w:ind w:left="720"/>
        <w:rPr>
          <w:color w:val="6AA84F"/>
        </w:rPr>
      </w:pPr>
    </w:p>
    <w:p w14:paraId="3874947D" w14:textId="77777777" w:rsidR="00465B35" w:rsidRPr="00A36A01" w:rsidRDefault="001E3959">
      <w:pPr>
        <w:numPr>
          <w:ilvl w:val="0"/>
          <w:numId w:val="9"/>
        </w:numPr>
        <w:rPr>
          <w:color w:val="0070C0"/>
        </w:rPr>
      </w:pPr>
      <w:r w:rsidRPr="00A36A01">
        <w:rPr>
          <w:color w:val="0070C0"/>
        </w:rPr>
        <w:t>We have now included formulas for calculating both average and cumulative photon count in Step 1.4.1.</w:t>
      </w:r>
    </w:p>
    <w:p w14:paraId="6B715E7E" w14:textId="77777777" w:rsidR="00465B35" w:rsidRPr="00A36A01" w:rsidRDefault="00465B35">
      <w:pPr>
        <w:ind w:left="720"/>
      </w:pPr>
    </w:p>
    <w:p w14:paraId="7742F4DE" w14:textId="77777777" w:rsidR="00465B35" w:rsidRPr="00A36A01" w:rsidRDefault="001E3959">
      <w:pPr>
        <w:ind w:left="720"/>
      </w:pPr>
      <w:r w:rsidRPr="00A36A01">
        <w:t>16. 2.2. Please include volume and concentration for the same.</w:t>
      </w:r>
    </w:p>
    <w:p w14:paraId="5EB8D478" w14:textId="77777777" w:rsidR="00465B35" w:rsidRPr="00A36A01" w:rsidRDefault="00465B35">
      <w:pPr>
        <w:ind w:left="720"/>
      </w:pPr>
    </w:p>
    <w:p w14:paraId="73BBE81E" w14:textId="77777777" w:rsidR="00465B35" w:rsidRPr="00A36A01" w:rsidRDefault="001E3959">
      <w:pPr>
        <w:numPr>
          <w:ilvl w:val="0"/>
          <w:numId w:val="8"/>
        </w:numPr>
        <w:rPr>
          <w:color w:val="0070C0"/>
        </w:rPr>
      </w:pPr>
      <w:r w:rsidRPr="00A36A01">
        <w:rPr>
          <w:color w:val="0070C0"/>
        </w:rPr>
        <w:t xml:space="preserve">It is now specified in step 2.2.2 to prepare 25 mL of peptide solution for each 48-well plate. Recommended peptide dilutions are also provided (1 nM, 10 nM, 100 nM, and 1000 nM). </w:t>
      </w:r>
    </w:p>
    <w:p w14:paraId="0AC4AFA7" w14:textId="77777777" w:rsidR="00465B35" w:rsidRPr="00A36A01" w:rsidRDefault="00465B35"/>
    <w:p w14:paraId="36934ABF" w14:textId="77777777" w:rsidR="00465B35" w:rsidRDefault="001E3959">
      <w:r w:rsidRPr="00A36A01">
        <w:t>17.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p>
    <w:p w14:paraId="4BA75A40" w14:textId="77777777" w:rsidR="00A36A01" w:rsidRPr="00A36A01" w:rsidRDefault="00A36A01">
      <w:pPr>
        <w:rPr>
          <w:color w:val="0070C0"/>
        </w:rPr>
      </w:pPr>
    </w:p>
    <w:p w14:paraId="6E3E336C" w14:textId="77777777" w:rsidR="00465B35" w:rsidRPr="00A36A01" w:rsidRDefault="001E3959">
      <w:pPr>
        <w:numPr>
          <w:ilvl w:val="0"/>
          <w:numId w:val="10"/>
        </w:numPr>
        <w:rPr>
          <w:color w:val="0070C0"/>
        </w:rPr>
      </w:pPr>
      <w:r w:rsidRPr="00A36A01">
        <w:rPr>
          <w:color w:val="0070C0"/>
        </w:rPr>
        <w:t>We have highlighted all critical steps for the video protocol.</w:t>
      </w:r>
    </w:p>
    <w:p w14:paraId="63479ED5" w14:textId="77777777" w:rsidR="00465B35" w:rsidRPr="00A36A01" w:rsidRDefault="00465B35"/>
    <w:p w14:paraId="4DA54119" w14:textId="77777777" w:rsidR="00465B35" w:rsidRDefault="001E3959">
      <w:r w:rsidRPr="00A36A01">
        <w:t xml:space="preserve">18. Please expand the Representative Results in the context of the technique you have described, e.g., how do these results show the technique, suggestions about how to </w:t>
      </w:r>
      <w:proofErr w:type="spellStart"/>
      <w:r w:rsidRPr="00A36A01">
        <w:t>analyze</w:t>
      </w:r>
      <w:proofErr w:type="spellEnd"/>
      <w:r w:rsidRPr="00A36A01">
        <w:t xml:space="preserve"> the outcome, etc.</w:t>
      </w:r>
    </w:p>
    <w:p w14:paraId="57BF2F40" w14:textId="77777777" w:rsidR="00A36A01" w:rsidRPr="00A36A01" w:rsidRDefault="00A36A01"/>
    <w:p w14:paraId="5C849BEA" w14:textId="77777777" w:rsidR="00465B35" w:rsidRPr="00A36A01" w:rsidRDefault="001E3959">
      <w:pPr>
        <w:numPr>
          <w:ilvl w:val="0"/>
          <w:numId w:val="10"/>
        </w:numPr>
        <w:rPr>
          <w:color w:val="0070C0"/>
        </w:rPr>
      </w:pPr>
      <w:r w:rsidRPr="00A36A01">
        <w:rPr>
          <w:color w:val="0070C0"/>
        </w:rPr>
        <w:t xml:space="preserve">We have expanded the results section to better describe how the results are interpreted and how they demonstrate the technique as follows: </w:t>
      </w:r>
    </w:p>
    <w:p w14:paraId="665E4EE6" w14:textId="77777777" w:rsidR="00465B35" w:rsidRPr="00A36A01" w:rsidRDefault="00465B35">
      <w:pPr>
        <w:ind w:left="1440"/>
        <w:rPr>
          <w:color w:val="0070C0"/>
        </w:rPr>
      </w:pPr>
    </w:p>
    <w:p w14:paraId="4B05C72A" w14:textId="223B8D67" w:rsidR="00465B35" w:rsidRPr="00A36A01" w:rsidRDefault="001E3959">
      <w:pPr>
        <w:ind w:left="1440"/>
        <w:rPr>
          <w:i/>
          <w:color w:val="0070C0"/>
        </w:rPr>
      </w:pPr>
      <w:r w:rsidRPr="00A36A01">
        <w:rPr>
          <w:i/>
          <w:color w:val="0070C0"/>
        </w:rPr>
        <w:t>“cpk28-1</w:t>
      </w:r>
      <w:r w:rsidRPr="00A36A01">
        <w:rPr>
          <w:i/>
          <w:color w:val="0070C0"/>
          <w:vertAlign w:val="superscript"/>
        </w:rPr>
        <w:t>19, 26</w:t>
      </w:r>
      <w:r w:rsidRPr="00A36A01">
        <w:rPr>
          <w:i/>
          <w:color w:val="0070C0"/>
        </w:rPr>
        <w:t xml:space="preserve"> and bak1-5</w:t>
      </w:r>
      <w:r w:rsidRPr="00A36A01">
        <w:rPr>
          <w:i/>
          <w:color w:val="0070C0"/>
          <w:vertAlign w:val="superscript"/>
        </w:rPr>
        <w:t>17</w:t>
      </w:r>
      <w:r w:rsidRPr="00A36A01">
        <w:rPr>
          <w:i/>
          <w:color w:val="0070C0"/>
        </w:rPr>
        <w:t xml:space="preserve"> were used to </w:t>
      </w:r>
      <w:r w:rsidRPr="00A36A01">
        <w:rPr>
          <w:b/>
          <w:i/>
          <w:color w:val="0070C0"/>
        </w:rPr>
        <w:t>demonstrate expected outcomes for loss-of-function lines with high and low immune responses, respectively, in oxidative burst and SGI assays relative to a wild-type background control (Col-0).</w:t>
      </w:r>
      <w:r w:rsidRPr="00A36A01">
        <w:rPr>
          <w:i/>
          <w:color w:val="0070C0"/>
        </w:rPr>
        <w:t xml:space="preserve"> </w:t>
      </w:r>
      <w:r w:rsidRPr="00A36A01">
        <w:rPr>
          <w:b/>
          <w:i/>
          <w:color w:val="0070C0"/>
        </w:rPr>
        <w:t>To identify an appropriate elicitor concentration to distinguish between immune outputs, a</w:t>
      </w:r>
      <w:r w:rsidRPr="00A36A01">
        <w:rPr>
          <w:i/>
          <w:color w:val="0070C0"/>
        </w:rPr>
        <w:t xml:space="preserve"> 10-fold peptide dilution series (1-1000 nM) of elf18 was used. Concentrations between 10 nM and 1000 nM could differentiate between all three genotypes in oxidative burst assays using elf18 (Figure 3) </w:t>
      </w:r>
      <w:r w:rsidRPr="00A36A01">
        <w:rPr>
          <w:b/>
          <w:i/>
          <w:color w:val="0070C0"/>
        </w:rPr>
        <w:t>and would therefore act as suitable elicitor treatments.</w:t>
      </w:r>
      <w:r w:rsidRPr="00A36A01">
        <w:rPr>
          <w:i/>
          <w:color w:val="0070C0"/>
        </w:rPr>
        <w:t xml:space="preserve"> </w:t>
      </w:r>
      <w:r w:rsidRPr="00A36A01">
        <w:rPr>
          <w:b/>
          <w:i/>
          <w:color w:val="0070C0"/>
        </w:rPr>
        <w:t xml:space="preserve">As expected, cpk28-1 loss-of-function lines had a higher cumulative and average ROS burst than Col-0, indicative of a high immune output, whereas bak1-5 displayed reduced oxidative burst production due to low immune </w:t>
      </w:r>
      <w:proofErr w:type="spellStart"/>
      <w:r w:rsidRPr="00A36A01">
        <w:rPr>
          <w:b/>
          <w:i/>
          <w:color w:val="0070C0"/>
        </w:rPr>
        <w:t>signaling</w:t>
      </w:r>
      <w:proofErr w:type="spellEnd"/>
      <w:r w:rsidRPr="00A36A01">
        <w:rPr>
          <w:b/>
          <w:i/>
          <w:color w:val="0070C0"/>
        </w:rPr>
        <w:t xml:space="preserve"> (Figure 3).</w:t>
      </w:r>
      <w:r w:rsidRPr="00A36A01">
        <w:rPr>
          <w:i/>
          <w:color w:val="0070C0"/>
        </w:rPr>
        <w:t xml:space="preserve"> </w:t>
      </w:r>
      <w:r w:rsidRPr="00A36A01">
        <w:rPr>
          <w:b/>
          <w:i/>
          <w:color w:val="0070C0"/>
        </w:rPr>
        <w:t>Differences in SGI could be discerned between all genotypes</w:t>
      </w:r>
      <w:r w:rsidRPr="00A36A01">
        <w:rPr>
          <w:i/>
          <w:color w:val="0070C0"/>
        </w:rPr>
        <w:t xml:space="preserve"> with 100 nM and 1000 nM elf18 (Figure 4), </w:t>
      </w:r>
      <w:r w:rsidRPr="00A36A01">
        <w:rPr>
          <w:b/>
          <w:i/>
          <w:color w:val="0070C0"/>
        </w:rPr>
        <w:t xml:space="preserve">which could also be visually observed in the 1000 nM elf18 treatment </w:t>
      </w:r>
      <w:r w:rsidRPr="00A36A01">
        <w:rPr>
          <w:i/>
          <w:color w:val="0070C0"/>
        </w:rPr>
        <w:t xml:space="preserve">(Figure 4B). </w:t>
      </w:r>
      <w:r w:rsidRPr="00A36A01">
        <w:rPr>
          <w:b/>
          <w:i/>
          <w:color w:val="0070C0"/>
        </w:rPr>
        <w:t xml:space="preserve">Characteristic of high immune </w:t>
      </w:r>
      <w:proofErr w:type="spellStart"/>
      <w:r w:rsidRPr="00A36A01">
        <w:rPr>
          <w:b/>
          <w:i/>
          <w:color w:val="0070C0"/>
        </w:rPr>
        <w:t>signaling</w:t>
      </w:r>
      <w:proofErr w:type="spellEnd"/>
      <w:r w:rsidRPr="00A36A01">
        <w:rPr>
          <w:b/>
          <w:i/>
          <w:color w:val="0070C0"/>
        </w:rPr>
        <w:t xml:space="preserve">, cpk28-1 loss-of-function lines were markedly smaller than Col-0 with continuous </w:t>
      </w:r>
      <w:r w:rsidR="003B723E">
        <w:rPr>
          <w:b/>
          <w:i/>
          <w:color w:val="0070C0"/>
        </w:rPr>
        <w:t>M</w:t>
      </w:r>
      <w:r w:rsidRPr="00A36A01">
        <w:rPr>
          <w:b/>
          <w:i/>
          <w:color w:val="0070C0"/>
        </w:rPr>
        <w:t>AMP detection, while bak1-5 mutants displayed weak growth inhibition relative to Col-0 due to a low immune output</w:t>
      </w:r>
      <w:r w:rsidRPr="00A36A01">
        <w:rPr>
          <w:i/>
          <w:color w:val="0070C0"/>
        </w:rPr>
        <w:t>.”</w:t>
      </w:r>
    </w:p>
    <w:p w14:paraId="37B66888" w14:textId="77777777" w:rsidR="00465B35" w:rsidRPr="00A36A01" w:rsidRDefault="00465B35">
      <w:pPr>
        <w:rPr>
          <w:color w:val="9900FF"/>
          <w:highlight w:val="yellow"/>
        </w:rPr>
      </w:pPr>
    </w:p>
    <w:p w14:paraId="6BD4EDD0" w14:textId="77777777" w:rsidR="00465B35" w:rsidRPr="00A36A01" w:rsidRDefault="00465B35"/>
    <w:p w14:paraId="62B43E8B" w14:textId="77777777" w:rsidR="00465B35" w:rsidRDefault="001E3959">
      <w:r w:rsidRPr="00A36A01">
        <w:t>19. Please format the units as mg/mL and not mg ml-1. Please leave a single space between number and units.</w:t>
      </w:r>
    </w:p>
    <w:p w14:paraId="37D04F9C" w14:textId="77777777" w:rsidR="00A36A01" w:rsidRPr="00A36A01" w:rsidRDefault="00A36A01">
      <w:pPr>
        <w:rPr>
          <w:color w:val="9900FF"/>
        </w:rPr>
      </w:pPr>
    </w:p>
    <w:p w14:paraId="4D8AE9D7" w14:textId="1C364662" w:rsidR="00465B35" w:rsidRPr="003B723E" w:rsidRDefault="001E3959">
      <w:pPr>
        <w:numPr>
          <w:ilvl w:val="0"/>
          <w:numId w:val="10"/>
        </w:numPr>
        <w:rPr>
          <w:color w:val="0070C0"/>
        </w:rPr>
      </w:pPr>
      <w:r w:rsidRPr="00A36A01">
        <w:rPr>
          <w:color w:val="0070C0"/>
        </w:rPr>
        <w:t xml:space="preserve">We have ensured that there are no superscripts notations for units in the text or the material sheet. </w:t>
      </w:r>
      <w:r w:rsidR="00D85125" w:rsidRPr="003B723E">
        <w:rPr>
          <w:color w:val="0070C0"/>
        </w:rPr>
        <w:t xml:space="preserve">Note that we also changed light intensity units from the format </w:t>
      </w:r>
      <w:r w:rsidR="00D85125" w:rsidRPr="003B723E">
        <w:rPr>
          <w:color w:val="0070C0"/>
        </w:rPr>
        <w:sym w:font="Symbol" w:char="F06D"/>
      </w:r>
      <w:r w:rsidR="00D85125" w:rsidRPr="003B723E">
        <w:rPr>
          <w:color w:val="0070C0"/>
        </w:rPr>
        <w:t>E m</w:t>
      </w:r>
      <w:r w:rsidR="00D85125" w:rsidRPr="003B723E">
        <w:rPr>
          <w:color w:val="0070C0"/>
          <w:vertAlign w:val="superscript"/>
        </w:rPr>
        <w:t>-2</w:t>
      </w:r>
      <w:r w:rsidR="00D85125" w:rsidRPr="003B723E">
        <w:rPr>
          <w:color w:val="0070C0"/>
        </w:rPr>
        <w:t xml:space="preserve"> s</w:t>
      </w:r>
      <w:r w:rsidR="00D85125" w:rsidRPr="003B723E">
        <w:rPr>
          <w:color w:val="0070C0"/>
          <w:vertAlign w:val="superscript"/>
        </w:rPr>
        <w:t>-1</w:t>
      </w:r>
      <w:r w:rsidR="00D85125" w:rsidRPr="003B723E">
        <w:rPr>
          <w:color w:val="0070C0"/>
        </w:rPr>
        <w:t xml:space="preserve"> to the format </w:t>
      </w:r>
      <w:r w:rsidR="00D85125" w:rsidRPr="003B723E">
        <w:rPr>
          <w:color w:val="0070C0"/>
        </w:rPr>
        <w:sym w:font="Symbol" w:char="F06D"/>
      </w:r>
      <w:r w:rsidR="00D85125" w:rsidRPr="003B723E">
        <w:rPr>
          <w:color w:val="0070C0"/>
        </w:rPr>
        <w:t>E/m</w:t>
      </w:r>
      <w:r w:rsidR="00D85125" w:rsidRPr="003B723E">
        <w:rPr>
          <w:color w:val="0070C0"/>
          <w:vertAlign w:val="superscript"/>
        </w:rPr>
        <w:t>2</w:t>
      </w:r>
      <w:r w:rsidR="00D85125" w:rsidRPr="003B723E">
        <w:rPr>
          <w:color w:val="0070C0"/>
        </w:rPr>
        <w:t>/s.</w:t>
      </w:r>
    </w:p>
    <w:p w14:paraId="6539B299" w14:textId="77777777" w:rsidR="00465B35" w:rsidRPr="00A36A01" w:rsidRDefault="00465B35"/>
    <w:p w14:paraId="71857B16" w14:textId="77777777" w:rsidR="00465B35" w:rsidRDefault="001E3959">
      <w:r w:rsidRPr="00A36A01">
        <w:t xml:space="preserve">20. Please obtain explicit copyright permission to reuse any figures from a previous publication. Explicit permission can be expressed in the form of a letter from the editor or a </w:t>
      </w:r>
      <w:r w:rsidRPr="00A36A01">
        <w:lastRenderedPageBreak/>
        <w:t>link to the editorial policy that allows re-prints. Please upload this information as a .doc or .docx file to your Editorial Manager account. The Figure must be cited appropriately in the Figure Legend, i.e. “This figure has been modified from [citation].”</w:t>
      </w:r>
    </w:p>
    <w:p w14:paraId="28CFDD3A" w14:textId="77777777" w:rsidR="00A36A01" w:rsidRPr="00A36A01" w:rsidRDefault="00A36A01"/>
    <w:p w14:paraId="4966B2A4" w14:textId="77777777" w:rsidR="00465B35" w:rsidRPr="00A36A01" w:rsidRDefault="001E3959">
      <w:pPr>
        <w:numPr>
          <w:ilvl w:val="0"/>
          <w:numId w:val="10"/>
        </w:numPr>
        <w:rPr>
          <w:color w:val="0070C0"/>
        </w:rPr>
      </w:pPr>
      <w:r w:rsidRPr="00A36A01">
        <w:rPr>
          <w:color w:val="0070C0"/>
        </w:rPr>
        <w:t>Copyright permission is not necessary as all figures are original for this work.</w:t>
      </w:r>
    </w:p>
    <w:p w14:paraId="03E01CBE" w14:textId="77777777" w:rsidR="00465B35" w:rsidRPr="00A36A01" w:rsidRDefault="00465B35"/>
    <w:p w14:paraId="47BB4C5C" w14:textId="77777777" w:rsidR="00465B35" w:rsidRDefault="001E3959">
      <w:r w:rsidRPr="00A36A01">
        <w:t>21. Please alphabetically sort the materials table.</w:t>
      </w:r>
    </w:p>
    <w:p w14:paraId="776D4D1F" w14:textId="77777777" w:rsidR="00A36A01" w:rsidRPr="00A36A01" w:rsidRDefault="00A36A01">
      <w:pPr>
        <w:rPr>
          <w:color w:val="9900FF"/>
        </w:rPr>
      </w:pPr>
    </w:p>
    <w:p w14:paraId="37348716" w14:textId="77777777" w:rsidR="00465B35" w:rsidRPr="00A36A01" w:rsidRDefault="001E3959">
      <w:pPr>
        <w:numPr>
          <w:ilvl w:val="0"/>
          <w:numId w:val="10"/>
        </w:numPr>
        <w:rPr>
          <w:color w:val="0070C0"/>
        </w:rPr>
      </w:pPr>
      <w:r w:rsidRPr="00A36A01">
        <w:rPr>
          <w:color w:val="0070C0"/>
        </w:rPr>
        <w:t>The materials table has been sorted alphabetically.</w:t>
      </w:r>
    </w:p>
    <w:p w14:paraId="752F3553" w14:textId="77777777" w:rsidR="00465B35" w:rsidRPr="00A36A01" w:rsidRDefault="00465B35"/>
    <w:p w14:paraId="2F64AE4D" w14:textId="77777777" w:rsidR="003B723E" w:rsidRDefault="003B723E">
      <w:pPr>
        <w:pStyle w:val="Title"/>
        <w:rPr>
          <w:sz w:val="22"/>
          <w:szCs w:val="22"/>
        </w:rPr>
      </w:pPr>
      <w:bookmarkStart w:id="1" w:name="_czzuy9v6i35n" w:colFirst="0" w:colLast="0"/>
      <w:bookmarkEnd w:id="1"/>
    </w:p>
    <w:p w14:paraId="2F1DA54B" w14:textId="61AC707F" w:rsidR="00465B35" w:rsidRPr="00A36A01" w:rsidRDefault="001E3959">
      <w:pPr>
        <w:pStyle w:val="Title"/>
        <w:rPr>
          <w:sz w:val="22"/>
          <w:szCs w:val="22"/>
        </w:rPr>
      </w:pPr>
      <w:r w:rsidRPr="00A36A01">
        <w:rPr>
          <w:sz w:val="22"/>
          <w:szCs w:val="22"/>
        </w:rPr>
        <w:t>Reviewers' comments:</w:t>
      </w:r>
    </w:p>
    <w:p w14:paraId="1F5AF6B4" w14:textId="77777777" w:rsidR="00465B35" w:rsidRPr="00A36A01" w:rsidRDefault="00465B35"/>
    <w:p w14:paraId="7FB723AA" w14:textId="77777777" w:rsidR="00465B35" w:rsidRPr="00A36A01" w:rsidRDefault="001E3959">
      <w:pPr>
        <w:rPr>
          <w:b/>
        </w:rPr>
      </w:pPr>
      <w:r w:rsidRPr="00A36A01">
        <w:rPr>
          <w:b/>
        </w:rPr>
        <w:t>Reviewer #1:</w:t>
      </w:r>
    </w:p>
    <w:p w14:paraId="2FE02D84" w14:textId="77777777" w:rsidR="00465B35" w:rsidRPr="00A36A01" w:rsidRDefault="001E3959">
      <w:r w:rsidRPr="00A36A01">
        <w:t>This manuscript describes two very useful methods for monitoring the production of ROS and measuring SGI. The authors provide very detail and complete protocols which others can follow the methods easily without doubt. However, there are some places need to improve to make the manuscript more complete.</w:t>
      </w:r>
    </w:p>
    <w:p w14:paraId="463EE510" w14:textId="77777777" w:rsidR="00465B35" w:rsidRPr="00A36A01" w:rsidRDefault="00465B35"/>
    <w:p w14:paraId="75E674EB" w14:textId="77777777" w:rsidR="00465B35" w:rsidRPr="00A36A01" w:rsidRDefault="001E3959">
      <w:r w:rsidRPr="00A36A01">
        <w:t>Minor Concerns:</w:t>
      </w:r>
    </w:p>
    <w:p w14:paraId="252060F8" w14:textId="77777777" w:rsidR="00465B35" w:rsidRPr="00A36A01" w:rsidRDefault="00465B35"/>
    <w:p w14:paraId="6634DED6" w14:textId="77777777" w:rsidR="00465B35" w:rsidRDefault="001E3959">
      <w:r w:rsidRPr="00A36A01">
        <w:t>1.Line 122,"Collect leaf discs in 96-well plates for overnight recovery. "Why not place the leaf discs in reaction solution after removing from the plant but recovering in ddH2O overnight?</w:t>
      </w:r>
    </w:p>
    <w:p w14:paraId="1555A24B" w14:textId="77777777" w:rsidR="00A36A01" w:rsidRPr="00A36A01" w:rsidRDefault="00A36A01">
      <w:pPr>
        <w:rPr>
          <w:color w:val="351C75"/>
        </w:rPr>
      </w:pPr>
    </w:p>
    <w:p w14:paraId="2E8E4708" w14:textId="77777777" w:rsidR="00EF68E1" w:rsidRPr="00612127" w:rsidRDefault="00EF68E1" w:rsidP="00612127">
      <w:pPr>
        <w:pStyle w:val="ListParagraph"/>
        <w:numPr>
          <w:ilvl w:val="0"/>
          <w:numId w:val="23"/>
        </w:numPr>
        <w:spacing w:line="240" w:lineRule="auto"/>
        <w:rPr>
          <w:rFonts w:ascii="Times New Roman" w:eastAsia="Times New Roman" w:hAnsi="Times New Roman" w:cs="Times New Roman"/>
          <w:color w:val="0070C0"/>
          <w:sz w:val="24"/>
          <w:szCs w:val="24"/>
          <w:lang w:val="en-CA"/>
        </w:rPr>
      </w:pPr>
      <w:r w:rsidRPr="00612127">
        <w:rPr>
          <w:rFonts w:eastAsia="Times New Roman" w:cs="Times New Roman"/>
          <w:color w:val="0070C0"/>
          <w:lang w:val="en-CA"/>
        </w:rPr>
        <w:t xml:space="preserve">We include this information in step 1.2.2: </w:t>
      </w:r>
      <w:r w:rsidRPr="00612127">
        <w:rPr>
          <w:rFonts w:eastAsia="Times New Roman" w:cs="Times New Roman"/>
          <w:i/>
          <w:iCs/>
          <w:color w:val="0070C0"/>
          <w:lang w:val="en-CA"/>
        </w:rPr>
        <w:t>“Recover overnight at room temperature to prevent the interference of ROS produced by wounding during leaf disc collection.”</w:t>
      </w:r>
    </w:p>
    <w:p w14:paraId="5900197B" w14:textId="77777777" w:rsidR="00465B35" w:rsidRPr="00A36A01" w:rsidRDefault="00465B35"/>
    <w:p w14:paraId="73DE58B9" w14:textId="77777777" w:rsidR="00465B35" w:rsidRDefault="001E3959">
      <w:pPr>
        <w:rPr>
          <w:color w:val="000000" w:themeColor="text1"/>
        </w:rPr>
      </w:pPr>
      <w:r w:rsidRPr="00A36A01">
        <w:t xml:space="preserve">2.Line 127,"adaxial side facing upwards", please </w:t>
      </w:r>
      <w:r w:rsidRPr="00A36A01">
        <w:rPr>
          <w:color w:val="000000" w:themeColor="text1"/>
        </w:rPr>
        <w:t>explain why.</w:t>
      </w:r>
    </w:p>
    <w:p w14:paraId="33FEB7A1" w14:textId="77777777" w:rsidR="00A36A01" w:rsidRPr="00612127" w:rsidRDefault="00A36A01">
      <w:pPr>
        <w:rPr>
          <w:color w:val="0070C0"/>
        </w:rPr>
      </w:pPr>
    </w:p>
    <w:p w14:paraId="5C436E86" w14:textId="20343623" w:rsidR="00EF68E1" w:rsidRPr="00612127" w:rsidRDefault="00EF68E1" w:rsidP="00612127">
      <w:pPr>
        <w:pStyle w:val="NormalWeb"/>
        <w:numPr>
          <w:ilvl w:val="0"/>
          <w:numId w:val="23"/>
        </w:numPr>
        <w:spacing w:before="0" w:beforeAutospacing="0" w:after="0" w:afterAutospacing="0"/>
        <w:textAlignment w:val="baseline"/>
        <w:rPr>
          <w:rFonts w:ascii="Arial" w:hAnsi="Arial"/>
          <w:color w:val="0070C0"/>
          <w:sz w:val="22"/>
          <w:szCs w:val="22"/>
        </w:rPr>
      </w:pPr>
      <w:r w:rsidRPr="00612127">
        <w:rPr>
          <w:rFonts w:ascii="Arial" w:hAnsi="Arial"/>
          <w:color w:val="0070C0"/>
          <w:sz w:val="22"/>
          <w:szCs w:val="22"/>
        </w:rPr>
        <w:t>We have modified this statement to clarify that leaf discs do not need to be submerged but rather need to be in contact with the water surface to prevent desiccation during recovery:</w:t>
      </w:r>
      <w:r w:rsidRPr="00612127">
        <w:rPr>
          <w:rFonts w:ascii="Arial" w:hAnsi="Arial"/>
          <w:i/>
          <w:iCs/>
          <w:color w:val="0070C0"/>
          <w:sz w:val="22"/>
          <w:szCs w:val="22"/>
        </w:rPr>
        <w:t xml:space="preserve"> “Place leaf discs in an unused 96-well luminometer plate containing 100 </w:t>
      </w:r>
      <w:proofErr w:type="spellStart"/>
      <w:r w:rsidRPr="00612127">
        <w:rPr>
          <w:rFonts w:ascii="Arial" w:hAnsi="Arial"/>
          <w:i/>
          <w:iCs/>
          <w:color w:val="0070C0"/>
          <w:sz w:val="22"/>
          <w:szCs w:val="22"/>
        </w:rPr>
        <w:t>μL</w:t>
      </w:r>
      <w:proofErr w:type="spellEnd"/>
      <w:r w:rsidRPr="00612127">
        <w:rPr>
          <w:rFonts w:ascii="Arial" w:hAnsi="Arial"/>
          <w:i/>
          <w:iCs/>
          <w:color w:val="0070C0"/>
          <w:sz w:val="22"/>
          <w:szCs w:val="22"/>
        </w:rPr>
        <w:t xml:space="preserve"> of ddH</w:t>
      </w:r>
      <w:r w:rsidRPr="00612127">
        <w:rPr>
          <w:rFonts w:ascii="Arial" w:hAnsi="Arial"/>
          <w:i/>
          <w:iCs/>
          <w:color w:val="0070C0"/>
          <w:sz w:val="13"/>
          <w:szCs w:val="13"/>
          <w:vertAlign w:val="subscript"/>
        </w:rPr>
        <w:t>2</w:t>
      </w:r>
      <w:r w:rsidRPr="00612127">
        <w:rPr>
          <w:rFonts w:ascii="Arial" w:hAnsi="Arial"/>
          <w:i/>
          <w:iCs/>
          <w:color w:val="0070C0"/>
          <w:sz w:val="22"/>
          <w:szCs w:val="22"/>
        </w:rPr>
        <w:t xml:space="preserve">O adaxial side facing upwards </w:t>
      </w:r>
      <w:r w:rsidRPr="00612127">
        <w:rPr>
          <w:rFonts w:ascii="Arial" w:hAnsi="Arial"/>
          <w:b/>
          <w:bCs/>
          <w:i/>
          <w:iCs/>
          <w:color w:val="0070C0"/>
          <w:sz w:val="22"/>
          <w:szCs w:val="22"/>
        </w:rPr>
        <w:t>to prevent desiccation</w:t>
      </w:r>
      <w:r w:rsidRPr="00612127">
        <w:rPr>
          <w:rFonts w:ascii="Arial" w:hAnsi="Arial"/>
          <w:i/>
          <w:iCs/>
          <w:color w:val="0070C0"/>
          <w:sz w:val="22"/>
          <w:szCs w:val="22"/>
        </w:rPr>
        <w:t xml:space="preserve"> (Figure 1C)”.</w:t>
      </w:r>
    </w:p>
    <w:p w14:paraId="3D3B61C1" w14:textId="77777777" w:rsidR="00EF68E1" w:rsidRPr="00612127" w:rsidRDefault="00EF68E1" w:rsidP="00EF68E1">
      <w:pPr>
        <w:pStyle w:val="NormalWeb"/>
        <w:spacing w:before="0" w:beforeAutospacing="0" w:after="0" w:afterAutospacing="0"/>
        <w:textAlignment w:val="baseline"/>
        <w:rPr>
          <w:rFonts w:ascii="Arial" w:hAnsi="Arial"/>
          <w:color w:val="0070C0"/>
          <w:sz w:val="22"/>
          <w:szCs w:val="22"/>
        </w:rPr>
      </w:pPr>
    </w:p>
    <w:p w14:paraId="21F3F528" w14:textId="50BB51BB" w:rsidR="00EF68E1" w:rsidRPr="00612127" w:rsidRDefault="00EF68E1" w:rsidP="00612127">
      <w:pPr>
        <w:pStyle w:val="NormalWeb"/>
        <w:numPr>
          <w:ilvl w:val="0"/>
          <w:numId w:val="23"/>
        </w:numPr>
        <w:spacing w:before="0" w:beforeAutospacing="0" w:after="0" w:afterAutospacing="0"/>
        <w:textAlignment w:val="baseline"/>
        <w:rPr>
          <w:rFonts w:ascii="Arial" w:hAnsi="Arial"/>
          <w:color w:val="0070C0"/>
          <w:sz w:val="22"/>
          <w:szCs w:val="22"/>
        </w:rPr>
      </w:pPr>
      <w:r w:rsidRPr="00612127">
        <w:rPr>
          <w:rFonts w:ascii="Arial" w:hAnsi="Arial"/>
          <w:color w:val="0070C0"/>
          <w:sz w:val="22"/>
          <w:szCs w:val="22"/>
        </w:rPr>
        <w:t>We reference the following article: Sang and Macho (2016) Methods in Molecular Biology (https://www.ncbi.nlm.nih.gov/pubmed/26867635)</w:t>
      </w:r>
    </w:p>
    <w:p w14:paraId="5CF971FB" w14:textId="77777777" w:rsidR="00465B35" w:rsidRPr="00A36A01" w:rsidRDefault="00465B35"/>
    <w:p w14:paraId="68968F42" w14:textId="77777777" w:rsidR="00465B35" w:rsidRDefault="001E3959">
      <w:r w:rsidRPr="00A36A01">
        <w:t>3.Line 137,"Cover plates with a lid" explain whether this lid needs to protect from light, because light could affect the production of ROS</w:t>
      </w:r>
    </w:p>
    <w:p w14:paraId="7302D873" w14:textId="77777777" w:rsidR="00A36A01" w:rsidRPr="00A36A01" w:rsidRDefault="00A36A01">
      <w:pPr>
        <w:rPr>
          <w:color w:val="FF0000"/>
        </w:rPr>
      </w:pPr>
    </w:p>
    <w:p w14:paraId="7FC473A5" w14:textId="77777777" w:rsidR="00EF68E1" w:rsidRPr="00612127" w:rsidRDefault="00EF68E1" w:rsidP="00612127">
      <w:pPr>
        <w:pStyle w:val="ListParagraph"/>
        <w:numPr>
          <w:ilvl w:val="0"/>
          <w:numId w:val="24"/>
        </w:numPr>
        <w:spacing w:line="240" w:lineRule="auto"/>
        <w:rPr>
          <w:rFonts w:ascii="Times New Roman" w:eastAsia="Times New Roman" w:hAnsi="Times New Roman" w:cs="Times New Roman"/>
          <w:color w:val="0070C0"/>
          <w:sz w:val="24"/>
          <w:szCs w:val="24"/>
          <w:lang w:val="en-CA"/>
        </w:rPr>
      </w:pPr>
      <w:r w:rsidRPr="00612127">
        <w:rPr>
          <w:rFonts w:eastAsia="Times New Roman" w:cs="Times New Roman"/>
          <w:color w:val="0070C0"/>
          <w:lang w:val="en-CA"/>
        </w:rPr>
        <w:t xml:space="preserve">Normal light conditions as well as low light conditions are conducive to recovery prior to oxidative burst assays. We have now included the following statement to clarify that lids are used to prevent evaporation of water during overnight recovery: </w:t>
      </w:r>
      <w:r w:rsidRPr="00612127">
        <w:rPr>
          <w:rFonts w:eastAsia="Times New Roman" w:cs="Times New Roman"/>
          <w:i/>
          <w:iCs/>
          <w:color w:val="0070C0"/>
          <w:lang w:val="en-CA"/>
        </w:rPr>
        <w:t>“Recover overnight at room temperature to prevent the interference of ROS produced by wounding during leaf disc collection.</w:t>
      </w:r>
      <w:r w:rsidRPr="00612127">
        <w:rPr>
          <w:rFonts w:eastAsia="Times New Roman" w:cs="Times New Roman"/>
          <w:b/>
          <w:bCs/>
          <w:i/>
          <w:iCs/>
          <w:color w:val="0070C0"/>
          <w:lang w:val="en-CA"/>
        </w:rPr>
        <w:t xml:space="preserve"> Cover plates with a lid to prevent evaporation.</w:t>
      </w:r>
      <w:r w:rsidRPr="00612127">
        <w:rPr>
          <w:rFonts w:eastAsia="Times New Roman" w:cs="Times New Roman"/>
          <w:i/>
          <w:iCs/>
          <w:color w:val="0070C0"/>
          <w:lang w:val="en-CA"/>
        </w:rPr>
        <w:t>”</w:t>
      </w:r>
    </w:p>
    <w:p w14:paraId="085592D2" w14:textId="77777777" w:rsidR="00465B35" w:rsidRPr="00A36A01" w:rsidRDefault="00465B35"/>
    <w:p w14:paraId="55EE3491" w14:textId="77777777" w:rsidR="00465B35" w:rsidRDefault="001E3959">
      <w:r w:rsidRPr="00A36A01">
        <w:lastRenderedPageBreak/>
        <w:t xml:space="preserve">4.Line 164 to 165,"Measure light emission with a 1000 </w:t>
      </w:r>
      <w:proofErr w:type="spellStart"/>
      <w:r w:rsidRPr="00A36A01">
        <w:t>ms</w:t>
      </w:r>
      <w:proofErr w:type="spellEnd"/>
      <w:r w:rsidRPr="00A36A01">
        <w:t xml:space="preserve"> integration time in 2 min intervals over a 40-60 min period in a microplate reader". please </w:t>
      </w:r>
      <w:r w:rsidR="00A36A01">
        <w:t>e</w:t>
      </w:r>
      <w:r w:rsidRPr="00A36A01">
        <w:t xml:space="preserve">xplain why to choose 1000 </w:t>
      </w:r>
      <w:proofErr w:type="spellStart"/>
      <w:r w:rsidRPr="00A36A01">
        <w:t>ms</w:t>
      </w:r>
      <w:proofErr w:type="spellEnd"/>
      <w:r w:rsidRPr="00A36A01">
        <w:t xml:space="preserve"> integration time in 2 min intervals over a 40-60 min.</w:t>
      </w:r>
    </w:p>
    <w:p w14:paraId="2E6373F2" w14:textId="77777777" w:rsidR="00A36A01" w:rsidRPr="00A36A01" w:rsidRDefault="00A36A01">
      <w:pPr>
        <w:rPr>
          <w:color w:val="0070C0"/>
        </w:rPr>
      </w:pPr>
    </w:p>
    <w:p w14:paraId="3863D984" w14:textId="078422D9" w:rsidR="00465B35" w:rsidRPr="00612127" w:rsidRDefault="001E3959">
      <w:pPr>
        <w:numPr>
          <w:ilvl w:val="0"/>
          <w:numId w:val="10"/>
        </w:numPr>
        <w:rPr>
          <w:color w:val="0070C0"/>
        </w:rPr>
      </w:pPr>
      <w:r w:rsidRPr="00A36A01">
        <w:rPr>
          <w:color w:val="0070C0"/>
        </w:rPr>
        <w:t xml:space="preserve">We have modified this sentence as follows: </w:t>
      </w:r>
      <w:r w:rsidRPr="00A36A01">
        <w:rPr>
          <w:i/>
          <w:color w:val="0070C0"/>
        </w:rPr>
        <w:t xml:space="preserve">“Measure light emission with a 1000 </w:t>
      </w:r>
      <w:proofErr w:type="spellStart"/>
      <w:r w:rsidRPr="00A36A01">
        <w:rPr>
          <w:i/>
          <w:color w:val="0070C0"/>
        </w:rPr>
        <w:t>ms</w:t>
      </w:r>
      <w:proofErr w:type="spellEnd"/>
      <w:r w:rsidRPr="00A36A01">
        <w:rPr>
          <w:i/>
          <w:color w:val="0070C0"/>
        </w:rPr>
        <w:t xml:space="preserve"> integration time in 2 min intervals over a 40-60 min period in a microplate reader </w:t>
      </w:r>
      <w:r w:rsidRPr="00A36A01">
        <w:rPr>
          <w:b/>
          <w:i/>
          <w:color w:val="0070C0"/>
        </w:rPr>
        <w:t xml:space="preserve">in order to capture the dynamic oxidative burst </w:t>
      </w:r>
      <w:r w:rsidRPr="00A36A01">
        <w:rPr>
          <w:i/>
          <w:color w:val="0070C0"/>
        </w:rPr>
        <w:t>(Figure 1D).”</w:t>
      </w:r>
    </w:p>
    <w:p w14:paraId="73399A06" w14:textId="77777777" w:rsidR="00612127" w:rsidRPr="00A36A01" w:rsidRDefault="00612127" w:rsidP="00612127">
      <w:pPr>
        <w:ind w:left="1440"/>
        <w:rPr>
          <w:color w:val="0070C0"/>
        </w:rPr>
      </w:pPr>
    </w:p>
    <w:p w14:paraId="699C652F" w14:textId="169C229B" w:rsidR="00465B35" w:rsidRPr="00612127" w:rsidRDefault="001E3959" w:rsidP="00A36A01">
      <w:pPr>
        <w:numPr>
          <w:ilvl w:val="0"/>
          <w:numId w:val="10"/>
        </w:numPr>
        <w:rPr>
          <w:color w:val="0070C0"/>
        </w:rPr>
      </w:pPr>
      <w:r w:rsidRPr="00612127">
        <w:rPr>
          <w:color w:val="0070C0"/>
        </w:rPr>
        <w:t xml:space="preserve">We have also included a note which </w:t>
      </w:r>
      <w:r w:rsidR="00C12BC2" w:rsidRPr="00612127">
        <w:rPr>
          <w:color w:val="0070C0"/>
        </w:rPr>
        <w:t>provides further detail on</w:t>
      </w:r>
      <w:r w:rsidRPr="00612127">
        <w:rPr>
          <w:color w:val="0070C0"/>
        </w:rPr>
        <w:t xml:space="preserve"> the choice of integration time:</w:t>
      </w:r>
    </w:p>
    <w:p w14:paraId="7EE85F29" w14:textId="77777777" w:rsidR="00C12BC2" w:rsidRPr="00612127" w:rsidRDefault="00C12BC2" w:rsidP="00C12BC2">
      <w:pPr>
        <w:ind w:left="1440"/>
        <w:rPr>
          <w:color w:val="0070C0"/>
        </w:rPr>
      </w:pPr>
    </w:p>
    <w:p w14:paraId="2FE299D0" w14:textId="447F849B" w:rsidR="00465B35" w:rsidRPr="00612127" w:rsidRDefault="001E3959" w:rsidP="00A36A01">
      <w:pPr>
        <w:ind w:left="1440"/>
        <w:rPr>
          <w:i/>
          <w:color w:val="0070C0"/>
        </w:rPr>
      </w:pPr>
      <w:r w:rsidRPr="00612127">
        <w:rPr>
          <w:i/>
          <w:color w:val="0070C0"/>
        </w:rPr>
        <w:t xml:space="preserve">“Note: </w:t>
      </w:r>
      <w:r w:rsidR="00C12BC2" w:rsidRPr="00612127">
        <w:rPr>
          <w:i/>
          <w:color w:val="0070C0"/>
        </w:rPr>
        <w:t>Use a longer integration time to improve assay sensitivity</w:t>
      </w:r>
      <w:r w:rsidR="00C12BC2" w:rsidRPr="00612127">
        <w:rPr>
          <w:i/>
          <w:color w:val="0070C0"/>
          <w:vertAlign w:val="superscript"/>
        </w:rPr>
        <w:t>11</w:t>
      </w:r>
      <w:r w:rsidR="00C12BC2" w:rsidRPr="00612127">
        <w:rPr>
          <w:i/>
          <w:color w:val="0070C0"/>
        </w:rPr>
        <w:t>, while ensuring that all samples in a 96-well plate can be measured within one interval</w:t>
      </w:r>
      <w:bookmarkStart w:id="2" w:name="_GoBack"/>
      <w:bookmarkEnd w:id="2"/>
      <w:r w:rsidRPr="00612127">
        <w:rPr>
          <w:i/>
          <w:color w:val="0070C0"/>
        </w:rPr>
        <w:t>.”</w:t>
      </w:r>
    </w:p>
    <w:p w14:paraId="094D85EB" w14:textId="77777777" w:rsidR="00465B35" w:rsidRPr="00A36A01" w:rsidRDefault="00465B35"/>
    <w:p w14:paraId="7E1743B6" w14:textId="77777777" w:rsidR="00465B35" w:rsidRPr="00A36A01" w:rsidRDefault="00465B35"/>
    <w:p w14:paraId="5D8D97EC" w14:textId="77777777" w:rsidR="00465B35" w:rsidRPr="00A36A01" w:rsidRDefault="001E3959">
      <w:pPr>
        <w:rPr>
          <w:b/>
        </w:rPr>
      </w:pPr>
      <w:r w:rsidRPr="00A36A01">
        <w:rPr>
          <w:b/>
        </w:rPr>
        <w:t>Reviewer #2:</w:t>
      </w:r>
    </w:p>
    <w:p w14:paraId="1C0A2DDA" w14:textId="77777777" w:rsidR="00465B35" w:rsidRPr="00A36A01" w:rsidRDefault="001E3959">
      <w:r w:rsidRPr="00A36A01">
        <w:t>The manuscript entitled "Pattern-triggered oxidative burst and seedling growth inhibition assays in Arabidopsis thaliana" describes two method for evaluating early and late immune responses; reactive oxygen species (ROS) production and seedlings growth inhibition (SGI), respectively, triggered by pattern-recognition receptor activation in Arabidopsis.</w:t>
      </w:r>
    </w:p>
    <w:p w14:paraId="4D8DB400" w14:textId="77777777" w:rsidR="00465B35" w:rsidRPr="00A36A01" w:rsidRDefault="00465B35"/>
    <w:p w14:paraId="503F397E" w14:textId="77777777" w:rsidR="00465B35" w:rsidRPr="00A36A01" w:rsidRDefault="001E3959">
      <w:r w:rsidRPr="00A36A01">
        <w:t>The manuscript is written very well and concisely with various useful information. All the experimental steps are also explained very well. With many valuable information written in the manuscript, not only the protocol part but also introduction and discussion, the manuscript have value for researchers exploring plant immunity. I support publishing this article after addressing the following minor points;</w:t>
      </w:r>
    </w:p>
    <w:p w14:paraId="248D7A48" w14:textId="77777777" w:rsidR="00465B35" w:rsidRPr="00A36A01" w:rsidRDefault="00465B35"/>
    <w:p w14:paraId="6298D806" w14:textId="77777777" w:rsidR="00465B35" w:rsidRPr="00A36A01" w:rsidRDefault="001E3959">
      <w:r w:rsidRPr="00A36A01">
        <w:t>Point 1</w:t>
      </w:r>
    </w:p>
    <w:p w14:paraId="1CA43D0B" w14:textId="77777777" w:rsidR="00465B35" w:rsidRDefault="001E3959">
      <w:r w:rsidRPr="00A36A01">
        <w:t xml:space="preserve">The arrangement of Figures appears to be odd since the numbering does not match to the order in which they appear in the text. (Fig 1 &gt; Fig. 3 &gt; Fig. 2 &gt; Fig. 4 in the text) This point should be considered according to the </w:t>
      </w:r>
      <w:proofErr w:type="spellStart"/>
      <w:r w:rsidRPr="00A36A01">
        <w:t>JoVE</w:t>
      </w:r>
      <w:proofErr w:type="spellEnd"/>
      <w:r w:rsidRPr="00A36A01">
        <w:t xml:space="preserve"> guideline.</w:t>
      </w:r>
    </w:p>
    <w:p w14:paraId="63C680D2" w14:textId="77777777" w:rsidR="00A36A01" w:rsidRPr="00A36A01" w:rsidRDefault="00A36A01"/>
    <w:p w14:paraId="5148F079" w14:textId="469DD422" w:rsidR="00465B35" w:rsidRPr="00A36A01" w:rsidRDefault="001E3959">
      <w:pPr>
        <w:numPr>
          <w:ilvl w:val="0"/>
          <w:numId w:val="10"/>
        </w:numPr>
        <w:rPr>
          <w:color w:val="0070C0"/>
        </w:rPr>
      </w:pPr>
      <w:r w:rsidRPr="00A36A01">
        <w:rPr>
          <w:color w:val="0070C0"/>
        </w:rPr>
        <w:t xml:space="preserve">Thank you for catching this- we have </w:t>
      </w:r>
      <w:r w:rsidR="00E50C9A">
        <w:rPr>
          <w:color w:val="0070C0"/>
        </w:rPr>
        <w:t xml:space="preserve">corrected the </w:t>
      </w:r>
      <w:r w:rsidRPr="00A36A01">
        <w:rPr>
          <w:color w:val="0070C0"/>
        </w:rPr>
        <w:t>figure numbering in the text.</w:t>
      </w:r>
    </w:p>
    <w:p w14:paraId="763E3948" w14:textId="77777777" w:rsidR="00465B35" w:rsidRPr="00A36A01" w:rsidRDefault="00465B35"/>
    <w:p w14:paraId="4C286B81" w14:textId="77777777" w:rsidR="00465B35" w:rsidRPr="00A36A01" w:rsidRDefault="001E3959">
      <w:r w:rsidRPr="00A36A01">
        <w:t>Point 2, page 2, PROTOCOL 1.2.2</w:t>
      </w:r>
    </w:p>
    <w:p w14:paraId="45B10084" w14:textId="77777777" w:rsidR="00465B35" w:rsidRDefault="001E3959">
      <w:r w:rsidRPr="00A36A01">
        <w:t>The leaf disks are usually hydrophobic. Is there any method to "ensure that leaf discs are submerged" without physical wounding damages?</w:t>
      </w:r>
    </w:p>
    <w:p w14:paraId="326D9AD3" w14:textId="77777777" w:rsidR="00A36A01" w:rsidRPr="00EF68E1" w:rsidRDefault="00A36A01">
      <w:pPr>
        <w:rPr>
          <w:color w:val="7030A0"/>
        </w:rPr>
      </w:pPr>
    </w:p>
    <w:p w14:paraId="42A3F215" w14:textId="3B1167EC" w:rsidR="00EF68E1" w:rsidRPr="00612127" w:rsidRDefault="00EF68E1" w:rsidP="00612127">
      <w:pPr>
        <w:pStyle w:val="ListParagraph"/>
        <w:numPr>
          <w:ilvl w:val="0"/>
          <w:numId w:val="24"/>
        </w:numPr>
        <w:spacing w:line="240" w:lineRule="auto"/>
        <w:textAlignment w:val="baseline"/>
        <w:rPr>
          <w:rFonts w:eastAsia="Times New Roman" w:cs="Times New Roman"/>
          <w:i/>
          <w:iCs/>
          <w:color w:val="0070C0"/>
          <w:lang w:val="en-CA"/>
        </w:rPr>
      </w:pPr>
      <w:r w:rsidRPr="00612127">
        <w:rPr>
          <w:rFonts w:eastAsia="Times New Roman" w:cs="Times New Roman"/>
          <w:color w:val="0070C0"/>
          <w:lang w:val="en-CA"/>
        </w:rPr>
        <w:t>We have modified this statement to clarify that leaf discs do not need to be submerged but rather simply need to be in contact with the water surface to prevent desiccation:</w:t>
      </w:r>
      <w:r w:rsidRPr="00612127">
        <w:rPr>
          <w:rFonts w:eastAsia="Times New Roman" w:cs="Times New Roman"/>
          <w:i/>
          <w:iCs/>
          <w:color w:val="0070C0"/>
          <w:lang w:val="en-CA"/>
        </w:rPr>
        <w:t xml:space="preserve"> “Place leaf discs in an unused 96-well luminometer plate containing 100 </w:t>
      </w:r>
      <w:proofErr w:type="spellStart"/>
      <w:r w:rsidRPr="00612127">
        <w:rPr>
          <w:rFonts w:eastAsia="Times New Roman" w:cs="Times New Roman"/>
          <w:i/>
          <w:iCs/>
          <w:color w:val="0070C0"/>
          <w:lang w:val="en-CA"/>
        </w:rPr>
        <w:t>μL</w:t>
      </w:r>
      <w:proofErr w:type="spellEnd"/>
      <w:r w:rsidRPr="00612127">
        <w:rPr>
          <w:rFonts w:eastAsia="Times New Roman" w:cs="Times New Roman"/>
          <w:i/>
          <w:iCs/>
          <w:color w:val="0070C0"/>
          <w:lang w:val="en-CA"/>
        </w:rPr>
        <w:t xml:space="preserve"> of ddH</w:t>
      </w:r>
      <w:r w:rsidRPr="00612127">
        <w:rPr>
          <w:rFonts w:eastAsia="Times New Roman" w:cs="Times New Roman"/>
          <w:i/>
          <w:iCs/>
          <w:color w:val="0070C0"/>
          <w:sz w:val="13"/>
          <w:szCs w:val="13"/>
          <w:vertAlign w:val="subscript"/>
          <w:lang w:val="en-CA"/>
        </w:rPr>
        <w:t>2</w:t>
      </w:r>
      <w:r w:rsidRPr="00612127">
        <w:rPr>
          <w:rFonts w:eastAsia="Times New Roman" w:cs="Times New Roman"/>
          <w:i/>
          <w:iCs/>
          <w:color w:val="0070C0"/>
          <w:lang w:val="en-CA"/>
        </w:rPr>
        <w:t xml:space="preserve">O adaxial side facing upwards </w:t>
      </w:r>
      <w:r w:rsidRPr="00612127">
        <w:rPr>
          <w:rFonts w:eastAsia="Times New Roman" w:cs="Times New Roman"/>
          <w:b/>
          <w:bCs/>
          <w:i/>
          <w:iCs/>
          <w:color w:val="0070C0"/>
          <w:lang w:val="en-CA"/>
        </w:rPr>
        <w:t>to prevent desiccation</w:t>
      </w:r>
      <w:r w:rsidRPr="00612127">
        <w:rPr>
          <w:rFonts w:eastAsia="Times New Roman" w:cs="Times New Roman"/>
          <w:i/>
          <w:iCs/>
          <w:color w:val="0070C0"/>
          <w:lang w:val="en-CA"/>
        </w:rPr>
        <w:t xml:space="preserve"> (Figure 1C)”.</w:t>
      </w:r>
    </w:p>
    <w:p w14:paraId="25CC8B59" w14:textId="77777777" w:rsidR="00EF68E1" w:rsidRPr="00612127" w:rsidRDefault="00EF68E1" w:rsidP="00EF68E1">
      <w:pPr>
        <w:spacing w:line="240" w:lineRule="auto"/>
        <w:textAlignment w:val="baseline"/>
        <w:rPr>
          <w:rFonts w:eastAsia="Times New Roman" w:cs="Times New Roman"/>
          <w:color w:val="0070C0"/>
          <w:lang w:val="en-CA"/>
        </w:rPr>
      </w:pPr>
    </w:p>
    <w:p w14:paraId="268AEF77" w14:textId="77777777" w:rsidR="00EF68E1" w:rsidRPr="00612127" w:rsidRDefault="00EF68E1" w:rsidP="00612127">
      <w:pPr>
        <w:pStyle w:val="ListParagraph"/>
        <w:numPr>
          <w:ilvl w:val="0"/>
          <w:numId w:val="24"/>
        </w:numPr>
        <w:spacing w:line="240" w:lineRule="auto"/>
        <w:textAlignment w:val="baseline"/>
        <w:rPr>
          <w:rFonts w:eastAsia="Times New Roman" w:cs="Times New Roman"/>
          <w:color w:val="0070C0"/>
          <w:lang w:val="en-CA"/>
        </w:rPr>
      </w:pPr>
      <w:r w:rsidRPr="00612127">
        <w:rPr>
          <w:rFonts w:eastAsia="Times New Roman" w:cs="Times New Roman"/>
          <w:color w:val="0070C0"/>
          <w:lang w:val="en-CA"/>
        </w:rPr>
        <w:t>We reference the following article: Sang and Macho (2016) Methods in Molecular Biology (https://www.ncbi.nlm.nih.gov/pubmed/26867635)</w:t>
      </w:r>
    </w:p>
    <w:p w14:paraId="7C3BFC6D" w14:textId="77777777" w:rsidR="00465B35" w:rsidRPr="00A36A01" w:rsidRDefault="00465B35">
      <w:pPr>
        <w:rPr>
          <w:rFonts w:eastAsia="Calibri"/>
          <w:color w:val="7030A0"/>
        </w:rPr>
      </w:pPr>
    </w:p>
    <w:p w14:paraId="244FD9B6" w14:textId="77777777" w:rsidR="00465B35" w:rsidRPr="00A36A01" w:rsidRDefault="00465B35"/>
    <w:p w14:paraId="265FD530" w14:textId="77777777" w:rsidR="00465B35" w:rsidRPr="00A36A01" w:rsidRDefault="001E3959">
      <w:r w:rsidRPr="00A36A01">
        <w:t>Point 3, page 3, PROTOCOL 1.2.3</w:t>
      </w:r>
    </w:p>
    <w:p w14:paraId="45826383" w14:textId="77777777" w:rsidR="00465B35" w:rsidRPr="00A36A01" w:rsidRDefault="001E3959">
      <w:pPr>
        <w:rPr>
          <w:color w:val="7030A0"/>
        </w:rPr>
      </w:pPr>
      <w:r w:rsidRPr="00A36A01">
        <w:t>Is the plate stored for recovery in a dark condition or in a normal short day growth chamber? Since immunity is affected very much by the presence of light, it would be useful to describe precisely about the "recovering" condition.</w:t>
      </w:r>
    </w:p>
    <w:p w14:paraId="2E85C58C" w14:textId="77777777" w:rsidR="00EF68E1" w:rsidRPr="00612127" w:rsidRDefault="00EF68E1" w:rsidP="00EF68E1">
      <w:pPr>
        <w:spacing w:line="240" w:lineRule="auto"/>
        <w:rPr>
          <w:rFonts w:eastAsia="Times New Roman" w:cs="Times New Roman"/>
          <w:color w:val="0070C0"/>
          <w:lang w:val="en-CA"/>
        </w:rPr>
      </w:pPr>
    </w:p>
    <w:p w14:paraId="3024A8B8" w14:textId="75B226C2" w:rsidR="00EF68E1" w:rsidRPr="00612127" w:rsidRDefault="00EF68E1" w:rsidP="00612127">
      <w:pPr>
        <w:pStyle w:val="ListParagraph"/>
        <w:numPr>
          <w:ilvl w:val="0"/>
          <w:numId w:val="25"/>
        </w:numPr>
        <w:spacing w:line="240" w:lineRule="auto"/>
        <w:rPr>
          <w:rFonts w:ascii="Times New Roman" w:eastAsia="Times New Roman" w:hAnsi="Times New Roman" w:cs="Times New Roman"/>
          <w:color w:val="0070C0"/>
          <w:sz w:val="24"/>
          <w:szCs w:val="24"/>
          <w:lang w:val="en-CA"/>
        </w:rPr>
      </w:pPr>
      <w:r w:rsidRPr="00612127">
        <w:rPr>
          <w:rFonts w:eastAsia="Times New Roman" w:cs="Times New Roman"/>
          <w:color w:val="0070C0"/>
          <w:lang w:val="en-CA"/>
        </w:rPr>
        <w:t xml:space="preserve">Normal light conditions as well as low light conditions are conducive to recovery prior to oxidative burst assays. We have now included the following statement to clarify that lids are used to prevent evaporation of water during overnight recovery: </w:t>
      </w:r>
      <w:r w:rsidRPr="00612127">
        <w:rPr>
          <w:rFonts w:eastAsia="Times New Roman" w:cs="Times New Roman"/>
          <w:i/>
          <w:iCs/>
          <w:color w:val="0070C0"/>
          <w:lang w:val="en-CA"/>
        </w:rPr>
        <w:t>“Recover overnight at room temperature to prevent the interference of ROS produced by wounding during leaf disc collection.</w:t>
      </w:r>
      <w:r w:rsidRPr="00612127">
        <w:rPr>
          <w:rFonts w:eastAsia="Times New Roman" w:cs="Times New Roman"/>
          <w:b/>
          <w:bCs/>
          <w:i/>
          <w:iCs/>
          <w:color w:val="0070C0"/>
          <w:lang w:val="en-CA"/>
        </w:rPr>
        <w:t xml:space="preserve"> Cover plates with a lid to prevent evaporation.</w:t>
      </w:r>
      <w:r w:rsidRPr="00612127">
        <w:rPr>
          <w:rFonts w:eastAsia="Times New Roman" w:cs="Times New Roman"/>
          <w:i/>
          <w:iCs/>
          <w:color w:val="0070C0"/>
          <w:lang w:val="en-CA"/>
        </w:rPr>
        <w:t>”</w:t>
      </w:r>
    </w:p>
    <w:p w14:paraId="26F52944" w14:textId="77777777" w:rsidR="00465B35" w:rsidRPr="00A36A01" w:rsidRDefault="00465B35">
      <w:pPr>
        <w:ind w:left="1440"/>
        <w:rPr>
          <w:rFonts w:eastAsia="Times New Roman"/>
          <w:b/>
          <w:color w:val="7030A0"/>
          <w:highlight w:val="white"/>
        </w:rPr>
      </w:pPr>
    </w:p>
    <w:p w14:paraId="263CD791" w14:textId="77777777" w:rsidR="00465B35" w:rsidRPr="00A36A01" w:rsidRDefault="00465B35"/>
    <w:p w14:paraId="0726A28E" w14:textId="77777777" w:rsidR="00465B35" w:rsidRPr="00A36A01" w:rsidRDefault="001E3959">
      <w:r w:rsidRPr="00A36A01">
        <w:t>Point 4, page 3, PROTOCOL 1.3.2</w:t>
      </w:r>
    </w:p>
    <w:p w14:paraId="7036E2FF" w14:textId="77777777" w:rsidR="00465B35" w:rsidRPr="00A36A01" w:rsidRDefault="001E3959">
      <w:r w:rsidRPr="00A36A01">
        <w:t>Does the 10 mM peptide stock solution require sterilization, for example, by sterile filtration? Is the use of sterile ddH20 for dissolving the lyophilized peptide sufficient to avoid contamination? It might be useful to explain the requirement of sterilization here clearly because this would be a big issue in the SGI assay that require 8-12 days incubation.</w:t>
      </w:r>
    </w:p>
    <w:p w14:paraId="04AF406F" w14:textId="77777777" w:rsidR="00465B35" w:rsidRPr="00A36A01" w:rsidRDefault="00465B35"/>
    <w:p w14:paraId="52479619" w14:textId="77777777" w:rsidR="00465B35" w:rsidRPr="00A36A01" w:rsidRDefault="001E3959">
      <w:pPr>
        <w:numPr>
          <w:ilvl w:val="0"/>
          <w:numId w:val="10"/>
        </w:numPr>
        <w:rPr>
          <w:color w:val="0070C0"/>
        </w:rPr>
      </w:pPr>
      <w:r w:rsidRPr="00A36A01">
        <w:rPr>
          <w:color w:val="0070C0"/>
        </w:rPr>
        <w:t>We have not found it necessary to sterilize peptide solutions by filtration, however, we use sterile water for resuspending the lyophilized solution and we have clarified this in the text.</w:t>
      </w:r>
    </w:p>
    <w:p w14:paraId="1F562AA1" w14:textId="77777777" w:rsidR="00465B35" w:rsidRPr="00A36A01" w:rsidRDefault="00465B35"/>
    <w:p w14:paraId="47AE2B65" w14:textId="77777777" w:rsidR="00465B35" w:rsidRPr="00A36A01" w:rsidRDefault="001E3959">
      <w:r w:rsidRPr="00A36A01">
        <w:t>Point 5, page 5, PROTOCOL 2.2.4</w:t>
      </w:r>
    </w:p>
    <w:p w14:paraId="7FC39169" w14:textId="77777777" w:rsidR="00465B35" w:rsidRDefault="001E3959">
      <w:r w:rsidRPr="00A36A01">
        <w:t>Hydroponic culturing of Arabidopsis seedlings is usually performed with gentle agitation. Does the incubation for 8-12 days here require gentle agitation/shaking of the plate?</w:t>
      </w:r>
    </w:p>
    <w:p w14:paraId="0CAE738A" w14:textId="77777777" w:rsidR="00A36A01" w:rsidRPr="00A36A01" w:rsidRDefault="00A36A01"/>
    <w:p w14:paraId="1B933B7E" w14:textId="77777777" w:rsidR="00465B35" w:rsidRPr="00A36A01" w:rsidRDefault="001E3959">
      <w:pPr>
        <w:numPr>
          <w:ilvl w:val="0"/>
          <w:numId w:val="10"/>
        </w:numPr>
        <w:rPr>
          <w:color w:val="0070C0"/>
        </w:rPr>
      </w:pPr>
      <w:r w:rsidRPr="00A36A01">
        <w:rPr>
          <w:color w:val="0070C0"/>
        </w:rPr>
        <w:t xml:space="preserve">Over the 8-12 days that seedlings are growing in MS liquid media agitation/shaking is not required. </w:t>
      </w:r>
    </w:p>
    <w:p w14:paraId="7A5E19C0" w14:textId="77777777" w:rsidR="00465B35" w:rsidRPr="00A36A01" w:rsidRDefault="00465B35"/>
    <w:p w14:paraId="070ED7CF" w14:textId="77777777" w:rsidR="00465B35" w:rsidRPr="00A36A01" w:rsidRDefault="00465B35">
      <w:pPr>
        <w:rPr>
          <w:i/>
        </w:rPr>
      </w:pPr>
    </w:p>
    <w:p w14:paraId="5F79D9D1" w14:textId="77777777" w:rsidR="00465B35" w:rsidRPr="00A36A01" w:rsidRDefault="00465B35"/>
    <w:sectPr w:rsidR="00465B35" w:rsidRPr="00A36A0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93D"/>
    <w:multiLevelType w:val="multilevel"/>
    <w:tmpl w:val="42B8F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C6216"/>
    <w:multiLevelType w:val="multilevel"/>
    <w:tmpl w:val="598CD8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A994C1F"/>
    <w:multiLevelType w:val="hybridMultilevel"/>
    <w:tmpl w:val="07AC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73A2D"/>
    <w:multiLevelType w:val="multilevel"/>
    <w:tmpl w:val="28E897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A254A7"/>
    <w:multiLevelType w:val="multilevel"/>
    <w:tmpl w:val="B1D0E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87D2085"/>
    <w:multiLevelType w:val="multilevel"/>
    <w:tmpl w:val="9B849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4F1ABF"/>
    <w:multiLevelType w:val="multilevel"/>
    <w:tmpl w:val="750E2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34714A2"/>
    <w:multiLevelType w:val="hybridMultilevel"/>
    <w:tmpl w:val="84AC5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CE4EB6"/>
    <w:multiLevelType w:val="hybridMultilevel"/>
    <w:tmpl w:val="D01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30626"/>
    <w:multiLevelType w:val="multilevel"/>
    <w:tmpl w:val="1BC6DC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49D18E4"/>
    <w:multiLevelType w:val="multilevel"/>
    <w:tmpl w:val="460EE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AC1D9F"/>
    <w:multiLevelType w:val="multilevel"/>
    <w:tmpl w:val="1C040E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42FB4B99"/>
    <w:multiLevelType w:val="multilevel"/>
    <w:tmpl w:val="F4F4D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1077B"/>
    <w:multiLevelType w:val="multilevel"/>
    <w:tmpl w:val="56625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8E62F5"/>
    <w:multiLevelType w:val="multilevel"/>
    <w:tmpl w:val="32E2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5342A"/>
    <w:multiLevelType w:val="hybridMultilevel"/>
    <w:tmpl w:val="D0A62D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4D190959"/>
    <w:multiLevelType w:val="multilevel"/>
    <w:tmpl w:val="A0DEEF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3842A29"/>
    <w:multiLevelType w:val="multilevel"/>
    <w:tmpl w:val="5C327E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5170FE5"/>
    <w:multiLevelType w:val="multilevel"/>
    <w:tmpl w:val="E8B63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661C1A"/>
    <w:multiLevelType w:val="hybridMultilevel"/>
    <w:tmpl w:val="445A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E7C7A"/>
    <w:multiLevelType w:val="multilevel"/>
    <w:tmpl w:val="35A41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BEF2B89"/>
    <w:multiLevelType w:val="multilevel"/>
    <w:tmpl w:val="E6444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7A4C92"/>
    <w:multiLevelType w:val="hybridMultilevel"/>
    <w:tmpl w:val="76E47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E71A51"/>
    <w:multiLevelType w:val="multilevel"/>
    <w:tmpl w:val="7F928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D44255"/>
    <w:multiLevelType w:val="hybridMultilevel"/>
    <w:tmpl w:val="072EA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
  </w:num>
  <w:num w:numId="3">
    <w:abstractNumId w:val="9"/>
  </w:num>
  <w:num w:numId="4">
    <w:abstractNumId w:val="12"/>
  </w:num>
  <w:num w:numId="5">
    <w:abstractNumId w:val="16"/>
  </w:num>
  <w:num w:numId="6">
    <w:abstractNumId w:val="17"/>
  </w:num>
  <w:num w:numId="7">
    <w:abstractNumId w:val="20"/>
  </w:num>
  <w:num w:numId="8">
    <w:abstractNumId w:val="6"/>
  </w:num>
  <w:num w:numId="9">
    <w:abstractNumId w:val="5"/>
  </w:num>
  <w:num w:numId="10">
    <w:abstractNumId w:val="1"/>
  </w:num>
  <w:num w:numId="11">
    <w:abstractNumId w:val="13"/>
  </w:num>
  <w:num w:numId="12">
    <w:abstractNumId w:val="21"/>
  </w:num>
  <w:num w:numId="13">
    <w:abstractNumId w:val="23"/>
  </w:num>
  <w:num w:numId="14">
    <w:abstractNumId w:val="4"/>
  </w:num>
  <w:num w:numId="15">
    <w:abstractNumId w:val="0"/>
  </w:num>
  <w:num w:numId="16">
    <w:abstractNumId w:val="10"/>
  </w:num>
  <w:num w:numId="17">
    <w:abstractNumId w:val="11"/>
  </w:num>
  <w:num w:numId="18">
    <w:abstractNumId w:val="24"/>
  </w:num>
  <w:num w:numId="19">
    <w:abstractNumId w:val="22"/>
  </w:num>
  <w:num w:numId="20">
    <w:abstractNumId w:val="7"/>
  </w:num>
  <w:num w:numId="21">
    <w:abstractNumId w:val="14"/>
  </w:num>
  <w:num w:numId="22">
    <w:abstractNumId w:val="15"/>
  </w:num>
  <w:num w:numId="23">
    <w:abstractNumId w:val="19"/>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35"/>
    <w:rsid w:val="00060441"/>
    <w:rsid w:val="00063373"/>
    <w:rsid w:val="0012439F"/>
    <w:rsid w:val="001E3959"/>
    <w:rsid w:val="002A57B7"/>
    <w:rsid w:val="002A5E0F"/>
    <w:rsid w:val="00331649"/>
    <w:rsid w:val="00384E02"/>
    <w:rsid w:val="003B723E"/>
    <w:rsid w:val="0045462A"/>
    <w:rsid w:val="00465B35"/>
    <w:rsid w:val="00612127"/>
    <w:rsid w:val="00933229"/>
    <w:rsid w:val="00A36A01"/>
    <w:rsid w:val="00B356E3"/>
    <w:rsid w:val="00B56AB0"/>
    <w:rsid w:val="00C12BC2"/>
    <w:rsid w:val="00CB434E"/>
    <w:rsid w:val="00D85125"/>
    <w:rsid w:val="00E2073E"/>
    <w:rsid w:val="00E50C9A"/>
    <w:rsid w:val="00EF68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6B5F"/>
  <w15:docId w15:val="{3D258ECA-3A97-324C-BA00-2ECEC2E2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6A0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A0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E3959"/>
    <w:rPr>
      <w:b/>
      <w:bCs/>
    </w:rPr>
  </w:style>
  <w:style w:type="character" w:customStyle="1" w:styleId="CommentSubjectChar">
    <w:name w:val="Comment Subject Char"/>
    <w:basedOn w:val="CommentTextChar"/>
    <w:link w:val="CommentSubject"/>
    <w:uiPriority w:val="99"/>
    <w:semiHidden/>
    <w:rsid w:val="001E3959"/>
    <w:rPr>
      <w:b/>
      <w:bCs/>
      <w:sz w:val="20"/>
      <w:szCs w:val="20"/>
    </w:rPr>
  </w:style>
  <w:style w:type="paragraph" w:styleId="NormalWeb">
    <w:name w:val="Normal (Web)"/>
    <w:basedOn w:val="Normal"/>
    <w:uiPriority w:val="99"/>
    <w:semiHidden/>
    <w:unhideWhenUsed/>
    <w:rsid w:val="00EF68E1"/>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EF6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5760">
      <w:bodyDiv w:val="1"/>
      <w:marLeft w:val="0"/>
      <w:marRight w:val="0"/>
      <w:marTop w:val="0"/>
      <w:marBottom w:val="0"/>
      <w:divBdr>
        <w:top w:val="none" w:sz="0" w:space="0" w:color="auto"/>
        <w:left w:val="none" w:sz="0" w:space="0" w:color="auto"/>
        <w:bottom w:val="none" w:sz="0" w:space="0" w:color="auto"/>
        <w:right w:val="none" w:sz="0" w:space="0" w:color="auto"/>
      </w:divBdr>
    </w:div>
    <w:div w:id="399793782">
      <w:bodyDiv w:val="1"/>
      <w:marLeft w:val="0"/>
      <w:marRight w:val="0"/>
      <w:marTop w:val="0"/>
      <w:marBottom w:val="0"/>
      <w:divBdr>
        <w:top w:val="none" w:sz="0" w:space="0" w:color="auto"/>
        <w:left w:val="none" w:sz="0" w:space="0" w:color="auto"/>
        <w:bottom w:val="none" w:sz="0" w:space="0" w:color="auto"/>
        <w:right w:val="none" w:sz="0" w:space="0" w:color="auto"/>
      </w:divBdr>
    </w:div>
    <w:div w:id="1419594768">
      <w:bodyDiv w:val="1"/>
      <w:marLeft w:val="0"/>
      <w:marRight w:val="0"/>
      <w:marTop w:val="0"/>
      <w:marBottom w:val="0"/>
      <w:divBdr>
        <w:top w:val="none" w:sz="0" w:space="0" w:color="auto"/>
        <w:left w:val="none" w:sz="0" w:space="0" w:color="auto"/>
        <w:bottom w:val="none" w:sz="0" w:space="0" w:color="auto"/>
        <w:right w:val="none" w:sz="0" w:space="0" w:color="auto"/>
      </w:divBdr>
    </w:div>
    <w:div w:id="1458450154">
      <w:bodyDiv w:val="1"/>
      <w:marLeft w:val="0"/>
      <w:marRight w:val="0"/>
      <w:marTop w:val="0"/>
      <w:marBottom w:val="0"/>
      <w:divBdr>
        <w:top w:val="none" w:sz="0" w:space="0" w:color="auto"/>
        <w:left w:val="none" w:sz="0" w:space="0" w:color="auto"/>
        <w:bottom w:val="none" w:sz="0" w:space="0" w:color="auto"/>
        <w:right w:val="none" w:sz="0" w:space="0" w:color="auto"/>
      </w:divBdr>
    </w:div>
    <w:div w:id="1501430504">
      <w:bodyDiv w:val="1"/>
      <w:marLeft w:val="0"/>
      <w:marRight w:val="0"/>
      <w:marTop w:val="0"/>
      <w:marBottom w:val="0"/>
      <w:divBdr>
        <w:top w:val="none" w:sz="0" w:space="0" w:color="auto"/>
        <w:left w:val="none" w:sz="0" w:space="0" w:color="auto"/>
        <w:bottom w:val="none" w:sz="0" w:space="0" w:color="auto"/>
        <w:right w:val="none" w:sz="0" w:space="0" w:color="auto"/>
      </w:divBdr>
    </w:div>
    <w:div w:id="208483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Jacqueline Monaghan</cp:lastModifiedBy>
  <cp:revision>6</cp:revision>
  <dcterms:created xsi:type="dcterms:W3CDTF">2019-01-16T02:45:00Z</dcterms:created>
  <dcterms:modified xsi:type="dcterms:W3CDTF">2019-01-19T03:44:00Z</dcterms:modified>
</cp:coreProperties>
</file>