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3539D" w14:textId="77777777" w:rsidR="00E8305F" w:rsidRPr="00817A38" w:rsidRDefault="00691DBF" w:rsidP="00817A38">
      <w:pPr>
        <w:pStyle w:val="a3"/>
        <w:spacing w:before="0" w:beforeAutospacing="0" w:after="0" w:afterAutospacing="0"/>
        <w:rPr>
          <w:rFonts w:asciiTheme="minorHAnsi" w:hAnsiTheme="minorHAnsi" w:cstheme="minorHAnsi"/>
          <w:color w:val="auto"/>
        </w:rPr>
      </w:pPr>
      <w:r w:rsidRPr="00817A38">
        <w:rPr>
          <w:rFonts w:asciiTheme="minorHAnsi" w:hAnsiTheme="minorHAnsi" w:cstheme="minorHAnsi"/>
          <w:b/>
          <w:bCs/>
          <w:color w:val="auto"/>
        </w:rPr>
        <w:t>TITLE:</w:t>
      </w:r>
      <w:r w:rsidRPr="00817A38">
        <w:rPr>
          <w:rFonts w:asciiTheme="minorHAnsi" w:hAnsiTheme="minorHAnsi" w:cstheme="minorHAnsi"/>
          <w:color w:val="auto"/>
        </w:rPr>
        <w:t xml:space="preserve"> </w:t>
      </w:r>
    </w:p>
    <w:p w14:paraId="108B73A6" w14:textId="77777777" w:rsidR="00E8305F" w:rsidRPr="00817A38" w:rsidRDefault="00691DBF" w:rsidP="00817A38">
      <w:pPr>
        <w:rPr>
          <w:rFonts w:asciiTheme="minorHAnsi" w:hAnsiTheme="minorHAnsi" w:cstheme="minorHAnsi"/>
          <w:bCs/>
          <w:color w:val="auto"/>
        </w:rPr>
      </w:pPr>
      <w:r w:rsidRPr="00817A38">
        <w:rPr>
          <w:rFonts w:asciiTheme="minorHAnsi" w:hAnsiTheme="minorHAnsi" w:cstheme="minorHAnsi"/>
          <w:bCs/>
          <w:color w:val="auto"/>
        </w:rPr>
        <w:t xml:space="preserve">An </w:t>
      </w:r>
      <w:r w:rsidR="00045BF1" w:rsidRPr="00817A38">
        <w:rPr>
          <w:rFonts w:asciiTheme="minorHAnsi" w:hAnsiTheme="minorHAnsi" w:cstheme="minorHAnsi"/>
          <w:bCs/>
          <w:color w:val="auto"/>
        </w:rPr>
        <w:t xml:space="preserve">In Vitro Model </w:t>
      </w:r>
      <w:r w:rsidRPr="00817A38">
        <w:rPr>
          <w:rFonts w:asciiTheme="minorHAnsi" w:hAnsiTheme="minorHAnsi" w:cstheme="minorHAnsi"/>
          <w:bCs/>
          <w:color w:val="auto"/>
        </w:rPr>
        <w:t xml:space="preserve">for </w:t>
      </w:r>
      <w:r w:rsidR="00045BF1" w:rsidRPr="00817A38">
        <w:rPr>
          <w:rFonts w:asciiTheme="minorHAnsi" w:hAnsiTheme="minorHAnsi" w:cstheme="minorHAnsi"/>
          <w:bCs/>
          <w:color w:val="auto"/>
        </w:rPr>
        <w:t>Studying Tau Aggregation Using Lentiviral-Mediated Transduction of Human Neurons</w:t>
      </w:r>
    </w:p>
    <w:p w14:paraId="50E050F7" w14:textId="77777777" w:rsidR="00E8305F" w:rsidRPr="00817A38" w:rsidRDefault="00E8305F" w:rsidP="00817A38">
      <w:pPr>
        <w:rPr>
          <w:rFonts w:asciiTheme="minorHAnsi" w:hAnsiTheme="minorHAnsi" w:cstheme="minorHAnsi"/>
          <w:b/>
          <w:bCs/>
          <w:color w:val="auto"/>
        </w:rPr>
      </w:pPr>
    </w:p>
    <w:p w14:paraId="488EED45" w14:textId="77777777" w:rsidR="00E8305F" w:rsidRPr="00817A38" w:rsidRDefault="00691DBF" w:rsidP="00817A38">
      <w:pPr>
        <w:rPr>
          <w:rFonts w:asciiTheme="minorHAnsi" w:hAnsiTheme="minorHAnsi" w:cstheme="minorHAnsi"/>
          <w:b/>
          <w:bCs/>
          <w:color w:val="auto"/>
        </w:rPr>
      </w:pPr>
      <w:r w:rsidRPr="00817A38">
        <w:rPr>
          <w:rFonts w:asciiTheme="minorHAnsi" w:hAnsiTheme="minorHAnsi" w:cstheme="minorHAnsi"/>
          <w:b/>
          <w:bCs/>
          <w:color w:val="auto"/>
        </w:rPr>
        <w:t xml:space="preserve">AUTHORS &amp; AFFILIATIONS: </w:t>
      </w:r>
    </w:p>
    <w:p w14:paraId="2E314C3B" w14:textId="77777777" w:rsidR="00E8305F" w:rsidRDefault="00691DBF" w:rsidP="00817A38">
      <w:pPr>
        <w:rPr>
          <w:rFonts w:asciiTheme="minorHAnsi" w:hAnsiTheme="minorHAnsi" w:cstheme="minorHAnsi"/>
          <w:bCs/>
          <w:color w:val="auto"/>
          <w:vertAlign w:val="superscript"/>
        </w:rPr>
      </w:pPr>
      <w:r w:rsidRPr="00817A38">
        <w:rPr>
          <w:rFonts w:asciiTheme="minorHAnsi" w:hAnsiTheme="minorHAnsi" w:cstheme="minorHAnsi"/>
          <w:bCs/>
          <w:color w:val="auto"/>
        </w:rPr>
        <w:t>Brent Aulston</w:t>
      </w:r>
      <w:r w:rsidRPr="00817A38">
        <w:rPr>
          <w:rFonts w:asciiTheme="minorHAnsi" w:hAnsiTheme="minorHAnsi" w:cstheme="minorHAnsi"/>
          <w:bCs/>
          <w:color w:val="auto"/>
          <w:vertAlign w:val="superscript"/>
        </w:rPr>
        <w:t>1</w:t>
      </w:r>
      <w:r w:rsidRPr="00817A38">
        <w:rPr>
          <w:rFonts w:asciiTheme="minorHAnsi" w:hAnsiTheme="minorHAnsi" w:cstheme="minorHAnsi"/>
          <w:bCs/>
          <w:color w:val="auto"/>
        </w:rPr>
        <w:t>, Qing Liu</w:t>
      </w:r>
      <w:r w:rsidRPr="00817A38">
        <w:rPr>
          <w:rFonts w:asciiTheme="minorHAnsi" w:hAnsiTheme="minorHAnsi" w:cstheme="minorHAnsi"/>
          <w:bCs/>
          <w:color w:val="auto"/>
          <w:vertAlign w:val="superscript"/>
        </w:rPr>
        <w:t>1</w:t>
      </w:r>
      <w:r w:rsidRPr="00817A38">
        <w:rPr>
          <w:rFonts w:asciiTheme="minorHAnsi" w:hAnsiTheme="minorHAnsi" w:cstheme="minorHAnsi"/>
          <w:bCs/>
          <w:color w:val="auto"/>
        </w:rPr>
        <w:t>, Patrick Reilly</w:t>
      </w:r>
      <w:r w:rsidRPr="00817A38">
        <w:rPr>
          <w:rFonts w:asciiTheme="minorHAnsi" w:hAnsiTheme="minorHAnsi" w:cstheme="minorHAnsi"/>
          <w:bCs/>
          <w:color w:val="auto"/>
          <w:vertAlign w:val="superscript"/>
        </w:rPr>
        <w:t>1</w:t>
      </w:r>
      <w:r w:rsidRPr="00817A38">
        <w:rPr>
          <w:rFonts w:asciiTheme="minorHAnsi" w:hAnsiTheme="minorHAnsi" w:cstheme="minorHAnsi"/>
          <w:bCs/>
          <w:color w:val="auto"/>
        </w:rPr>
        <w:t>, Shauna H. Yuan</w:t>
      </w:r>
      <w:r w:rsidRPr="00817A38">
        <w:rPr>
          <w:rFonts w:asciiTheme="minorHAnsi" w:hAnsiTheme="minorHAnsi" w:cstheme="minorHAnsi"/>
          <w:bCs/>
          <w:color w:val="auto"/>
          <w:vertAlign w:val="superscript"/>
        </w:rPr>
        <w:t>1</w:t>
      </w:r>
    </w:p>
    <w:p w14:paraId="344636F2" w14:textId="77777777" w:rsidR="00746203" w:rsidRPr="00746203" w:rsidRDefault="00746203" w:rsidP="00817A38">
      <w:pPr>
        <w:rPr>
          <w:rFonts w:asciiTheme="minorHAnsi" w:hAnsiTheme="minorHAnsi" w:cstheme="minorHAnsi"/>
          <w:bCs/>
          <w:color w:val="auto"/>
        </w:rPr>
      </w:pPr>
    </w:p>
    <w:p w14:paraId="04B6AEA5" w14:textId="77777777" w:rsidR="00E8305F" w:rsidRPr="00817A38" w:rsidRDefault="00691DBF" w:rsidP="00817A38">
      <w:pPr>
        <w:rPr>
          <w:rFonts w:asciiTheme="minorHAnsi" w:hAnsiTheme="minorHAnsi" w:cstheme="minorHAnsi"/>
          <w:bCs/>
          <w:color w:val="auto"/>
        </w:rPr>
      </w:pPr>
      <w:r w:rsidRPr="00817A38">
        <w:rPr>
          <w:rFonts w:asciiTheme="minorHAnsi" w:hAnsiTheme="minorHAnsi" w:cstheme="minorHAnsi"/>
          <w:bCs/>
          <w:color w:val="auto"/>
          <w:vertAlign w:val="superscript"/>
        </w:rPr>
        <w:t>1</w:t>
      </w:r>
      <w:r w:rsidRPr="00817A38">
        <w:rPr>
          <w:rFonts w:asciiTheme="minorHAnsi" w:hAnsiTheme="minorHAnsi" w:cstheme="minorHAnsi"/>
          <w:bCs/>
          <w:color w:val="auto"/>
        </w:rPr>
        <w:t>Department of Neurosciences, University of California, San Diego</w:t>
      </w:r>
      <w:r w:rsidR="00746203">
        <w:rPr>
          <w:rFonts w:asciiTheme="minorHAnsi" w:hAnsiTheme="minorHAnsi" w:cstheme="minorHAnsi"/>
          <w:bCs/>
          <w:color w:val="auto"/>
        </w:rPr>
        <w:t>, CA</w:t>
      </w:r>
    </w:p>
    <w:p w14:paraId="6F56A36A" w14:textId="77777777" w:rsidR="00045BF1" w:rsidRPr="00746203" w:rsidRDefault="00045BF1" w:rsidP="00817A38">
      <w:pPr>
        <w:rPr>
          <w:rFonts w:asciiTheme="minorHAnsi" w:hAnsiTheme="minorHAnsi" w:cstheme="minorHAnsi"/>
          <w:bCs/>
          <w:color w:val="auto"/>
        </w:rPr>
      </w:pPr>
    </w:p>
    <w:p w14:paraId="69C8118A" w14:textId="77777777" w:rsidR="00E8305F" w:rsidRPr="001362CF" w:rsidRDefault="00045BF1" w:rsidP="00817A38">
      <w:pPr>
        <w:rPr>
          <w:rFonts w:asciiTheme="minorHAnsi" w:hAnsiTheme="minorHAnsi" w:cstheme="minorHAnsi"/>
          <w:bCs/>
          <w:color w:val="auto"/>
        </w:rPr>
      </w:pPr>
      <w:r w:rsidRPr="001362CF">
        <w:rPr>
          <w:rFonts w:asciiTheme="minorHAnsi" w:hAnsiTheme="minorHAnsi" w:cstheme="minorHAnsi"/>
          <w:bCs/>
          <w:color w:val="auto"/>
        </w:rPr>
        <w:t>C</w:t>
      </w:r>
      <w:r w:rsidR="00691DBF" w:rsidRPr="001362CF">
        <w:rPr>
          <w:rFonts w:asciiTheme="minorHAnsi" w:hAnsiTheme="minorHAnsi" w:cstheme="minorHAnsi"/>
          <w:bCs/>
          <w:color w:val="auto"/>
        </w:rPr>
        <w:t xml:space="preserve">orresponding </w:t>
      </w:r>
      <w:r w:rsidR="00746203" w:rsidRPr="001362CF">
        <w:rPr>
          <w:rFonts w:asciiTheme="minorHAnsi" w:hAnsiTheme="minorHAnsi" w:cstheme="minorHAnsi"/>
          <w:bCs/>
          <w:color w:val="auto"/>
        </w:rPr>
        <w:t>author:</w:t>
      </w:r>
    </w:p>
    <w:p w14:paraId="3B55DB09" w14:textId="77777777" w:rsidR="00E8305F" w:rsidRPr="00817A38" w:rsidRDefault="00045BF1" w:rsidP="00817A38">
      <w:pPr>
        <w:rPr>
          <w:rFonts w:asciiTheme="minorHAnsi" w:hAnsiTheme="minorHAnsi" w:cstheme="minorHAnsi"/>
          <w:bCs/>
          <w:color w:val="auto"/>
        </w:rPr>
      </w:pPr>
      <w:r w:rsidRPr="00817A38">
        <w:rPr>
          <w:rFonts w:asciiTheme="minorHAnsi" w:hAnsiTheme="minorHAnsi" w:cstheme="minorHAnsi"/>
          <w:bCs/>
          <w:color w:val="auto"/>
        </w:rPr>
        <w:t>Shauna H. Yuan</w:t>
      </w:r>
      <w:r w:rsidR="00746203">
        <w:rPr>
          <w:rFonts w:asciiTheme="minorHAnsi" w:hAnsiTheme="minorHAnsi" w:cstheme="minorHAnsi"/>
          <w:bCs/>
          <w:color w:val="auto"/>
        </w:rPr>
        <w:tab/>
        <w:t>(</w:t>
      </w:r>
      <w:r w:rsidR="00746203" w:rsidRPr="00817A38">
        <w:rPr>
          <w:rStyle w:val="a4"/>
          <w:rFonts w:asciiTheme="minorHAnsi" w:hAnsiTheme="minorHAnsi" w:cstheme="minorHAnsi"/>
          <w:bCs/>
          <w:color w:val="auto"/>
          <w:u w:val="none"/>
        </w:rPr>
        <w:t>shyuan@ucsd.edu</w:t>
      </w:r>
      <w:r w:rsidR="00746203">
        <w:rPr>
          <w:rStyle w:val="a4"/>
          <w:rFonts w:asciiTheme="minorHAnsi" w:hAnsiTheme="minorHAnsi" w:cstheme="minorHAnsi"/>
          <w:bCs/>
          <w:color w:val="auto"/>
          <w:u w:val="none"/>
        </w:rPr>
        <w:t>)</w:t>
      </w:r>
    </w:p>
    <w:p w14:paraId="67C0C46E" w14:textId="77777777" w:rsidR="00045BF1" w:rsidRPr="00817A38" w:rsidRDefault="00045BF1" w:rsidP="00817A38">
      <w:pPr>
        <w:rPr>
          <w:rFonts w:asciiTheme="minorHAnsi" w:hAnsiTheme="minorHAnsi" w:cstheme="minorHAnsi"/>
          <w:bCs/>
          <w:color w:val="auto"/>
        </w:rPr>
      </w:pPr>
    </w:p>
    <w:p w14:paraId="693C99D5" w14:textId="77777777" w:rsidR="00E8305F" w:rsidRPr="00817A38" w:rsidRDefault="00045BF1" w:rsidP="00817A38">
      <w:pPr>
        <w:rPr>
          <w:rFonts w:asciiTheme="minorHAnsi" w:hAnsiTheme="minorHAnsi" w:cstheme="minorHAnsi"/>
          <w:b/>
          <w:bCs/>
          <w:color w:val="auto"/>
        </w:rPr>
      </w:pPr>
      <w:r w:rsidRPr="00817A38">
        <w:rPr>
          <w:rFonts w:asciiTheme="minorHAnsi" w:hAnsiTheme="minorHAnsi" w:cstheme="minorHAnsi"/>
          <w:b/>
          <w:bCs/>
          <w:color w:val="auto"/>
        </w:rPr>
        <w:t>Email Addresses</w:t>
      </w:r>
      <w:r w:rsidR="00691DBF" w:rsidRPr="00817A38">
        <w:rPr>
          <w:rFonts w:asciiTheme="minorHAnsi" w:hAnsiTheme="minorHAnsi" w:cstheme="minorHAnsi"/>
          <w:b/>
          <w:bCs/>
          <w:color w:val="auto"/>
        </w:rPr>
        <w:t>:</w:t>
      </w:r>
    </w:p>
    <w:p w14:paraId="54E67378" w14:textId="5F3C0B8D" w:rsidR="00E8305F" w:rsidRPr="00817A38" w:rsidRDefault="00691DBF" w:rsidP="00817A38">
      <w:pPr>
        <w:rPr>
          <w:rFonts w:asciiTheme="minorHAnsi" w:hAnsiTheme="minorHAnsi" w:cstheme="minorHAnsi"/>
          <w:bCs/>
          <w:color w:val="auto"/>
        </w:rPr>
      </w:pPr>
      <w:r w:rsidRPr="00817A38">
        <w:rPr>
          <w:rFonts w:asciiTheme="minorHAnsi" w:hAnsiTheme="minorHAnsi" w:cstheme="minorHAnsi"/>
          <w:bCs/>
          <w:color w:val="auto"/>
        </w:rPr>
        <w:t xml:space="preserve">Brent </w:t>
      </w:r>
      <w:proofErr w:type="spellStart"/>
      <w:r w:rsidRPr="00817A38">
        <w:rPr>
          <w:rFonts w:asciiTheme="minorHAnsi" w:hAnsiTheme="minorHAnsi" w:cstheme="minorHAnsi"/>
          <w:bCs/>
          <w:color w:val="auto"/>
        </w:rPr>
        <w:t>Aulston</w:t>
      </w:r>
      <w:proofErr w:type="spellEnd"/>
      <w:r w:rsidR="00746203">
        <w:rPr>
          <w:rFonts w:asciiTheme="minorHAnsi" w:hAnsiTheme="minorHAnsi" w:cstheme="minorHAnsi"/>
          <w:bCs/>
          <w:color w:val="auto"/>
        </w:rPr>
        <w:tab/>
      </w:r>
      <w:r w:rsidR="00746203">
        <w:rPr>
          <w:rFonts w:asciiTheme="minorHAnsi" w:hAnsiTheme="minorHAnsi" w:cstheme="minorHAnsi"/>
          <w:bCs/>
          <w:color w:val="auto"/>
        </w:rPr>
        <w:tab/>
        <w:t>(</w:t>
      </w:r>
      <w:r w:rsidRPr="00817A38">
        <w:rPr>
          <w:rStyle w:val="a4"/>
          <w:rFonts w:asciiTheme="minorHAnsi" w:hAnsiTheme="minorHAnsi" w:cstheme="minorHAnsi"/>
          <w:bCs/>
          <w:color w:val="auto"/>
          <w:u w:val="none"/>
        </w:rPr>
        <w:t>baulston@ucsd.edu</w:t>
      </w:r>
      <w:r w:rsidR="00746203">
        <w:rPr>
          <w:rStyle w:val="a4"/>
          <w:rFonts w:asciiTheme="minorHAnsi" w:hAnsiTheme="minorHAnsi" w:cstheme="minorHAnsi"/>
          <w:bCs/>
          <w:color w:val="auto"/>
          <w:u w:val="none"/>
        </w:rPr>
        <w:t>)</w:t>
      </w:r>
    </w:p>
    <w:p w14:paraId="27E89C6F" w14:textId="1D94169D" w:rsidR="00E8305F" w:rsidRPr="00817A38" w:rsidRDefault="00691DBF" w:rsidP="00817A38">
      <w:pPr>
        <w:rPr>
          <w:rFonts w:asciiTheme="minorHAnsi" w:hAnsiTheme="minorHAnsi" w:cstheme="minorHAnsi"/>
          <w:bCs/>
          <w:color w:val="auto"/>
        </w:rPr>
      </w:pPr>
      <w:r w:rsidRPr="00817A38">
        <w:rPr>
          <w:rFonts w:asciiTheme="minorHAnsi" w:hAnsiTheme="minorHAnsi" w:cstheme="minorHAnsi"/>
          <w:bCs/>
          <w:color w:val="auto"/>
        </w:rPr>
        <w:t xml:space="preserve">Qing Liu </w:t>
      </w:r>
      <w:r w:rsidR="00746203">
        <w:rPr>
          <w:rFonts w:asciiTheme="minorHAnsi" w:hAnsiTheme="minorHAnsi" w:cstheme="minorHAnsi"/>
          <w:bCs/>
          <w:color w:val="auto"/>
        </w:rPr>
        <w:tab/>
      </w:r>
      <w:r w:rsidR="00746203">
        <w:rPr>
          <w:rFonts w:asciiTheme="minorHAnsi" w:hAnsiTheme="minorHAnsi" w:cstheme="minorHAnsi"/>
          <w:bCs/>
          <w:color w:val="auto"/>
        </w:rPr>
        <w:tab/>
        <w:t>(</w:t>
      </w:r>
      <w:r w:rsidRPr="00817A38">
        <w:rPr>
          <w:rStyle w:val="a4"/>
          <w:rFonts w:asciiTheme="minorHAnsi" w:hAnsiTheme="minorHAnsi" w:cstheme="minorHAnsi"/>
          <w:bCs/>
          <w:color w:val="auto"/>
          <w:u w:val="none"/>
        </w:rPr>
        <w:t>qiliu@ucsd.edu</w:t>
      </w:r>
      <w:r w:rsidR="00746203">
        <w:rPr>
          <w:rStyle w:val="a4"/>
          <w:rFonts w:asciiTheme="minorHAnsi" w:hAnsiTheme="minorHAnsi" w:cstheme="minorHAnsi"/>
          <w:bCs/>
          <w:color w:val="auto"/>
          <w:u w:val="none"/>
        </w:rPr>
        <w:t>)</w:t>
      </w:r>
    </w:p>
    <w:p w14:paraId="21C62000" w14:textId="55344699" w:rsidR="00E8305F" w:rsidRPr="00817A38" w:rsidRDefault="00691DBF" w:rsidP="00817A38">
      <w:pPr>
        <w:rPr>
          <w:rFonts w:asciiTheme="minorHAnsi" w:hAnsiTheme="minorHAnsi" w:cstheme="minorHAnsi"/>
          <w:bCs/>
          <w:color w:val="auto"/>
        </w:rPr>
      </w:pPr>
      <w:r w:rsidRPr="00817A38">
        <w:rPr>
          <w:rFonts w:asciiTheme="minorHAnsi" w:hAnsiTheme="minorHAnsi" w:cstheme="minorHAnsi"/>
          <w:bCs/>
          <w:color w:val="auto"/>
        </w:rPr>
        <w:t xml:space="preserve">Patrick Reilly </w:t>
      </w:r>
      <w:r w:rsidR="00746203">
        <w:rPr>
          <w:rFonts w:asciiTheme="minorHAnsi" w:hAnsiTheme="minorHAnsi" w:cstheme="minorHAnsi"/>
          <w:bCs/>
          <w:color w:val="auto"/>
        </w:rPr>
        <w:tab/>
      </w:r>
      <w:r w:rsidR="00746203">
        <w:rPr>
          <w:rFonts w:asciiTheme="minorHAnsi" w:hAnsiTheme="minorHAnsi" w:cstheme="minorHAnsi"/>
          <w:bCs/>
          <w:color w:val="auto"/>
        </w:rPr>
        <w:tab/>
        <w:t>(</w:t>
      </w:r>
      <w:r w:rsidRPr="00817A38">
        <w:rPr>
          <w:rStyle w:val="a4"/>
          <w:rFonts w:asciiTheme="minorHAnsi" w:hAnsiTheme="minorHAnsi" w:cstheme="minorHAnsi"/>
          <w:bCs/>
          <w:color w:val="auto"/>
          <w:u w:val="none"/>
        </w:rPr>
        <w:t>p.reilly1227@gmail.com</w:t>
      </w:r>
      <w:r w:rsidR="00746203">
        <w:rPr>
          <w:rStyle w:val="a4"/>
          <w:rFonts w:asciiTheme="minorHAnsi" w:hAnsiTheme="minorHAnsi" w:cstheme="minorHAnsi"/>
          <w:bCs/>
          <w:color w:val="auto"/>
          <w:u w:val="none"/>
        </w:rPr>
        <w:t>)</w:t>
      </w:r>
    </w:p>
    <w:p w14:paraId="7B6C01C4" w14:textId="77777777" w:rsidR="00E8305F" w:rsidRPr="00817A38" w:rsidRDefault="00E8305F" w:rsidP="00817A38">
      <w:pPr>
        <w:rPr>
          <w:rFonts w:asciiTheme="minorHAnsi" w:hAnsiTheme="minorHAnsi" w:cstheme="minorHAnsi"/>
          <w:bCs/>
          <w:color w:val="auto"/>
        </w:rPr>
      </w:pPr>
    </w:p>
    <w:p w14:paraId="798CAE51" w14:textId="77777777" w:rsidR="00E8305F" w:rsidRPr="00817A38" w:rsidRDefault="00691DBF" w:rsidP="00817A38">
      <w:pPr>
        <w:pStyle w:val="a3"/>
        <w:spacing w:before="0" w:beforeAutospacing="0" w:after="0" w:afterAutospacing="0"/>
        <w:rPr>
          <w:rFonts w:asciiTheme="minorHAnsi" w:hAnsiTheme="minorHAnsi" w:cstheme="minorHAnsi"/>
          <w:color w:val="auto"/>
        </w:rPr>
      </w:pPr>
      <w:r w:rsidRPr="00817A38">
        <w:rPr>
          <w:rFonts w:asciiTheme="minorHAnsi" w:hAnsiTheme="minorHAnsi" w:cstheme="minorHAnsi"/>
          <w:b/>
          <w:bCs/>
          <w:color w:val="auto"/>
        </w:rPr>
        <w:t>KEYWORDS:</w:t>
      </w:r>
      <w:r w:rsidRPr="00817A38">
        <w:rPr>
          <w:rFonts w:asciiTheme="minorHAnsi" w:hAnsiTheme="minorHAnsi" w:cstheme="minorHAnsi"/>
          <w:color w:val="auto"/>
        </w:rPr>
        <w:t xml:space="preserve"> </w:t>
      </w:r>
    </w:p>
    <w:p w14:paraId="25084BD8" w14:textId="77777777" w:rsidR="00E8305F" w:rsidRPr="00817A38" w:rsidRDefault="00045BF1" w:rsidP="00817A38">
      <w:pPr>
        <w:pStyle w:val="a3"/>
        <w:spacing w:before="0" w:beforeAutospacing="0" w:after="0" w:afterAutospacing="0"/>
        <w:rPr>
          <w:rFonts w:asciiTheme="minorHAnsi" w:hAnsiTheme="minorHAnsi" w:cstheme="minorHAnsi"/>
          <w:color w:val="auto"/>
        </w:rPr>
      </w:pPr>
      <w:r w:rsidRPr="00817A38">
        <w:rPr>
          <w:rFonts w:asciiTheme="minorHAnsi" w:hAnsiTheme="minorHAnsi" w:cstheme="minorHAnsi"/>
          <w:color w:val="auto"/>
        </w:rPr>
        <w:t>t</w:t>
      </w:r>
      <w:r w:rsidR="00691DBF" w:rsidRPr="00817A38">
        <w:rPr>
          <w:rFonts w:asciiTheme="minorHAnsi" w:hAnsiTheme="minorHAnsi" w:cstheme="minorHAnsi"/>
          <w:color w:val="auto"/>
        </w:rPr>
        <w:t>au, neuron, neural stem cells, Alzheimer’s disease, frontotemporal dementia, neurodegeneration, lentivirus, tauopathy</w:t>
      </w:r>
    </w:p>
    <w:p w14:paraId="4A525F08" w14:textId="77777777" w:rsidR="00E8305F" w:rsidRPr="00817A38" w:rsidRDefault="00E8305F" w:rsidP="00817A38">
      <w:pPr>
        <w:pStyle w:val="a3"/>
        <w:spacing w:before="0" w:beforeAutospacing="0" w:after="0" w:afterAutospacing="0"/>
        <w:rPr>
          <w:rFonts w:asciiTheme="minorHAnsi" w:hAnsiTheme="minorHAnsi" w:cstheme="minorHAnsi"/>
          <w:color w:val="auto"/>
        </w:rPr>
      </w:pPr>
    </w:p>
    <w:p w14:paraId="55148D46" w14:textId="705C9447" w:rsidR="00E8305F" w:rsidRPr="00817A38" w:rsidRDefault="00570BB3" w:rsidP="00817A38">
      <w:pPr>
        <w:rPr>
          <w:rFonts w:asciiTheme="minorHAnsi" w:hAnsiTheme="minorHAnsi" w:cstheme="minorHAnsi"/>
          <w:color w:val="auto"/>
        </w:rPr>
      </w:pPr>
      <w:r>
        <w:rPr>
          <w:rFonts w:asciiTheme="minorHAnsi" w:hAnsiTheme="minorHAnsi" w:cstheme="minorHAnsi"/>
          <w:b/>
          <w:bCs/>
          <w:color w:val="auto"/>
        </w:rPr>
        <w:t>SUMMARY</w:t>
      </w:r>
      <w:r w:rsidR="00691DBF" w:rsidRPr="00817A38">
        <w:rPr>
          <w:rFonts w:asciiTheme="minorHAnsi" w:hAnsiTheme="minorHAnsi" w:cstheme="minorHAnsi"/>
          <w:b/>
          <w:bCs/>
          <w:color w:val="auto"/>
        </w:rPr>
        <w:t>:</w:t>
      </w:r>
      <w:r w:rsidR="00691DBF" w:rsidRPr="00817A38">
        <w:rPr>
          <w:rFonts w:asciiTheme="minorHAnsi" w:hAnsiTheme="minorHAnsi" w:cstheme="minorHAnsi"/>
          <w:color w:val="auto"/>
        </w:rPr>
        <w:t xml:space="preserve"> </w:t>
      </w:r>
    </w:p>
    <w:p w14:paraId="107C8854" w14:textId="77777777" w:rsidR="00E8305F" w:rsidRPr="00817A38" w:rsidRDefault="00691DBF" w:rsidP="00817A38">
      <w:pPr>
        <w:rPr>
          <w:rFonts w:asciiTheme="minorHAnsi" w:hAnsiTheme="minorHAnsi" w:cstheme="minorHAnsi"/>
          <w:color w:val="auto"/>
        </w:rPr>
      </w:pPr>
      <w:r w:rsidRPr="00817A38">
        <w:rPr>
          <w:rFonts w:asciiTheme="minorHAnsi" w:hAnsiTheme="minorHAnsi" w:cstheme="minorHAnsi"/>
          <w:color w:val="auto"/>
        </w:rPr>
        <w:t xml:space="preserve">This protocol details a procedure in which human neuronal cultures are transduced with lentiviral constructs coding for mutant human tau. Transduced cultures display tau aggregates and associated pathologies. </w:t>
      </w:r>
    </w:p>
    <w:p w14:paraId="1486C673" w14:textId="77777777" w:rsidR="00E8305F" w:rsidRPr="00817A38" w:rsidRDefault="00E8305F" w:rsidP="00817A38">
      <w:pPr>
        <w:rPr>
          <w:rFonts w:asciiTheme="minorHAnsi" w:hAnsiTheme="minorHAnsi" w:cstheme="minorHAnsi"/>
          <w:color w:val="auto"/>
        </w:rPr>
      </w:pPr>
    </w:p>
    <w:p w14:paraId="1177EBA4" w14:textId="2AB15005" w:rsidR="00E8305F" w:rsidRPr="00817A38" w:rsidRDefault="00691DBF" w:rsidP="00817A38">
      <w:pPr>
        <w:rPr>
          <w:rFonts w:asciiTheme="minorHAnsi" w:hAnsiTheme="minorHAnsi" w:cstheme="minorHAnsi"/>
          <w:color w:val="auto"/>
        </w:rPr>
      </w:pPr>
      <w:r w:rsidRPr="00817A38">
        <w:rPr>
          <w:rFonts w:asciiTheme="minorHAnsi" w:hAnsiTheme="minorHAnsi" w:cstheme="minorHAnsi"/>
          <w:b/>
          <w:bCs/>
          <w:color w:val="auto"/>
        </w:rPr>
        <w:t>ABSTRACT:</w:t>
      </w:r>
      <w:r w:rsidRPr="00817A38">
        <w:rPr>
          <w:rFonts w:asciiTheme="minorHAnsi" w:hAnsiTheme="minorHAnsi" w:cstheme="minorHAnsi"/>
          <w:color w:val="auto"/>
        </w:rPr>
        <w:t xml:space="preserve"> </w:t>
      </w:r>
    </w:p>
    <w:p w14:paraId="4097BF74" w14:textId="77777777" w:rsidR="00E8305F" w:rsidRPr="00817A38" w:rsidRDefault="00691DBF" w:rsidP="00817A38">
      <w:pPr>
        <w:rPr>
          <w:rFonts w:asciiTheme="minorHAnsi" w:hAnsiTheme="minorHAnsi" w:cstheme="minorHAnsi"/>
          <w:color w:val="auto"/>
        </w:rPr>
      </w:pPr>
      <w:r w:rsidRPr="00817A38">
        <w:rPr>
          <w:rFonts w:asciiTheme="minorHAnsi" w:hAnsiTheme="minorHAnsi" w:cstheme="minorHAnsi"/>
          <w:color w:val="auto"/>
        </w:rPr>
        <w:t xml:space="preserve">Aberrant aggregation of the protein tau is pathogenically involved in </w:t>
      </w:r>
      <w:proofErr w:type="gramStart"/>
      <w:r w:rsidRPr="00817A38">
        <w:rPr>
          <w:rFonts w:asciiTheme="minorHAnsi" w:hAnsiTheme="minorHAnsi" w:cstheme="minorHAnsi"/>
          <w:color w:val="auto"/>
        </w:rPr>
        <w:t>a number of</w:t>
      </w:r>
      <w:proofErr w:type="gramEnd"/>
      <w:r w:rsidRPr="00817A38">
        <w:rPr>
          <w:rFonts w:asciiTheme="minorHAnsi" w:hAnsiTheme="minorHAnsi" w:cstheme="minorHAnsi"/>
          <w:color w:val="auto"/>
        </w:rPr>
        <w:t xml:space="preserve"> neurodegenerative diseases</w:t>
      </w:r>
      <w:r w:rsidR="00570BB3">
        <w:rPr>
          <w:rFonts w:asciiTheme="minorHAnsi" w:hAnsiTheme="minorHAnsi" w:cstheme="minorHAnsi"/>
          <w:color w:val="auto"/>
        </w:rPr>
        <w:t>,</w:t>
      </w:r>
      <w:r w:rsidRPr="00817A38">
        <w:rPr>
          <w:rFonts w:asciiTheme="minorHAnsi" w:hAnsiTheme="minorHAnsi" w:cstheme="minorHAnsi"/>
          <w:color w:val="auto"/>
        </w:rPr>
        <w:t xml:space="preserve"> including Alzheimer’s disease (AD). Although mouse models of tauopathy have provided a valuable resource for investigating the neurotoxic mechanisms of aggregated tau, it is becoming increasingly apparent that</w:t>
      </w:r>
      <w:r w:rsidR="00570BB3">
        <w:rPr>
          <w:rFonts w:asciiTheme="minorHAnsi" w:hAnsiTheme="minorHAnsi" w:cstheme="minorHAnsi"/>
          <w:color w:val="auto"/>
        </w:rPr>
        <w:t>,</w:t>
      </w:r>
      <w:r w:rsidRPr="00817A38">
        <w:rPr>
          <w:rFonts w:asciiTheme="minorHAnsi" w:hAnsiTheme="minorHAnsi" w:cstheme="minorHAnsi"/>
          <w:color w:val="auto"/>
        </w:rPr>
        <w:t xml:space="preserve"> due to interspecies differences in neurophysiology</w:t>
      </w:r>
      <w:r w:rsidR="00570BB3">
        <w:rPr>
          <w:rFonts w:asciiTheme="minorHAnsi" w:hAnsiTheme="minorHAnsi" w:cstheme="minorHAnsi"/>
          <w:color w:val="auto"/>
        </w:rPr>
        <w:t>,</w:t>
      </w:r>
      <w:r w:rsidRPr="00817A38">
        <w:rPr>
          <w:rFonts w:asciiTheme="minorHAnsi" w:hAnsiTheme="minorHAnsi" w:cstheme="minorHAnsi"/>
          <w:color w:val="auto"/>
        </w:rPr>
        <w:t xml:space="preserve"> the mouse brain is unsuitable for modeling the human condition.</w:t>
      </w:r>
      <w:r w:rsidR="00045BF1" w:rsidRPr="00817A38">
        <w:rPr>
          <w:rFonts w:asciiTheme="minorHAnsi" w:hAnsiTheme="minorHAnsi" w:cstheme="minorHAnsi"/>
          <w:color w:val="auto"/>
        </w:rPr>
        <w:t xml:space="preserve"> </w:t>
      </w:r>
      <w:r w:rsidRPr="00817A38">
        <w:rPr>
          <w:rFonts w:asciiTheme="minorHAnsi" w:hAnsiTheme="minorHAnsi" w:cstheme="minorHAnsi"/>
          <w:color w:val="auto"/>
        </w:rPr>
        <w:t>Advances in cell culture methods have made human neuronal cultures accessible for experimental use in vitro and have aided in the development of neurotherapeutics. However, despite the adaptation of human neuronal cell cultures, in vitro models of human tauopathy are not yet widely available. This protocol describes a cellular model of tau aggregation in which human neurons are transduced with lentiviral-derived vectors that code for pathogenically mutated tau fused to a yellow fluorescent protein (YFP) reporter. Transduced cultures produce tau aggregates that stain positively for thioflavin and display markers of neurotoxicity</w:t>
      </w:r>
      <w:r w:rsidR="00570BB3">
        <w:rPr>
          <w:rFonts w:asciiTheme="minorHAnsi" w:hAnsiTheme="minorHAnsi" w:cstheme="minorHAnsi"/>
          <w:color w:val="auto"/>
        </w:rPr>
        <w:t>,</w:t>
      </w:r>
      <w:r w:rsidRPr="00817A38">
        <w:rPr>
          <w:rFonts w:asciiTheme="minorHAnsi" w:hAnsiTheme="minorHAnsi" w:cstheme="minorHAnsi"/>
          <w:color w:val="auto"/>
        </w:rPr>
        <w:t xml:space="preserve"> such as decreased axonal length and increased lysosomal volume. This procedure may be a useful and cost-effective model for studying human tauopathies.</w:t>
      </w:r>
    </w:p>
    <w:p w14:paraId="1898ACEB" w14:textId="77777777" w:rsidR="00E8305F" w:rsidRPr="00817A38" w:rsidRDefault="00E8305F" w:rsidP="00817A38">
      <w:pPr>
        <w:rPr>
          <w:rFonts w:asciiTheme="minorHAnsi" w:hAnsiTheme="minorHAnsi" w:cstheme="minorHAnsi"/>
          <w:color w:val="auto"/>
        </w:rPr>
      </w:pPr>
    </w:p>
    <w:p w14:paraId="342E7CCD" w14:textId="77777777" w:rsidR="00E8305F" w:rsidRPr="00817A38" w:rsidRDefault="00691DBF" w:rsidP="00817A38">
      <w:pPr>
        <w:rPr>
          <w:rFonts w:asciiTheme="minorHAnsi" w:hAnsiTheme="minorHAnsi" w:cstheme="minorHAnsi"/>
          <w:color w:val="auto"/>
        </w:rPr>
      </w:pPr>
      <w:r w:rsidRPr="00817A38">
        <w:rPr>
          <w:rFonts w:asciiTheme="minorHAnsi" w:hAnsiTheme="minorHAnsi" w:cstheme="minorHAnsi"/>
          <w:b/>
          <w:color w:val="auto"/>
        </w:rPr>
        <w:t>INTRODUCTION</w:t>
      </w:r>
      <w:r w:rsidRPr="00817A38">
        <w:rPr>
          <w:rFonts w:asciiTheme="minorHAnsi" w:hAnsiTheme="minorHAnsi" w:cstheme="minorHAnsi"/>
          <w:b/>
          <w:bCs/>
          <w:color w:val="auto"/>
        </w:rPr>
        <w:t>:</w:t>
      </w:r>
      <w:r w:rsidRPr="00817A38">
        <w:rPr>
          <w:rFonts w:asciiTheme="minorHAnsi" w:hAnsiTheme="minorHAnsi" w:cstheme="minorHAnsi"/>
          <w:color w:val="auto"/>
        </w:rPr>
        <w:t xml:space="preserve"> </w:t>
      </w:r>
    </w:p>
    <w:p w14:paraId="76769E9C" w14:textId="3AA3718F" w:rsidR="00E8305F" w:rsidRPr="00817A38" w:rsidRDefault="00691DBF" w:rsidP="00817A38">
      <w:pPr>
        <w:rPr>
          <w:rFonts w:asciiTheme="minorHAnsi" w:hAnsiTheme="minorHAnsi" w:cstheme="minorHAnsi"/>
          <w:color w:val="auto"/>
        </w:rPr>
      </w:pPr>
      <w:r w:rsidRPr="00817A38">
        <w:rPr>
          <w:rFonts w:asciiTheme="minorHAnsi" w:hAnsiTheme="minorHAnsi" w:cstheme="minorHAnsi"/>
          <w:color w:val="auto"/>
        </w:rPr>
        <w:t>Pathological aggregation of the microtubule</w:t>
      </w:r>
      <w:r w:rsidR="001A4DAB">
        <w:rPr>
          <w:rFonts w:asciiTheme="minorHAnsi" w:hAnsiTheme="minorHAnsi" w:cstheme="minorHAnsi"/>
          <w:color w:val="auto"/>
        </w:rPr>
        <w:t>-</w:t>
      </w:r>
      <w:r w:rsidRPr="00817A38">
        <w:rPr>
          <w:rFonts w:asciiTheme="minorHAnsi" w:hAnsiTheme="minorHAnsi" w:cstheme="minorHAnsi"/>
          <w:color w:val="auto"/>
        </w:rPr>
        <w:t xml:space="preserve">associated protein tau is a defining feature of many </w:t>
      </w:r>
      <w:r w:rsidRPr="00817A38">
        <w:rPr>
          <w:rFonts w:asciiTheme="minorHAnsi" w:hAnsiTheme="minorHAnsi" w:cstheme="minorHAnsi"/>
          <w:color w:val="auto"/>
        </w:rPr>
        <w:lastRenderedPageBreak/>
        <w:t>neurodegenerative diseases</w:t>
      </w:r>
      <w:r w:rsidR="00570BB3">
        <w:rPr>
          <w:rFonts w:asciiTheme="minorHAnsi" w:hAnsiTheme="minorHAnsi" w:cstheme="minorHAnsi"/>
          <w:color w:val="auto"/>
        </w:rPr>
        <w:t>,</w:t>
      </w:r>
      <w:r w:rsidRPr="00817A38">
        <w:rPr>
          <w:rFonts w:asciiTheme="minorHAnsi" w:hAnsiTheme="minorHAnsi" w:cstheme="minorHAnsi"/>
          <w:color w:val="auto"/>
        </w:rPr>
        <w:t xml:space="preserve"> including AD, </w:t>
      </w:r>
      <w:bookmarkStart w:id="0" w:name="_Hlk530558066"/>
      <w:r w:rsidR="00570BB3">
        <w:rPr>
          <w:rFonts w:asciiTheme="minorHAnsi" w:hAnsiTheme="minorHAnsi" w:cstheme="minorHAnsi"/>
          <w:color w:val="auto"/>
        </w:rPr>
        <w:t>f</w:t>
      </w:r>
      <w:r w:rsidRPr="00817A38">
        <w:rPr>
          <w:rFonts w:asciiTheme="minorHAnsi" w:hAnsiTheme="minorHAnsi" w:cstheme="minorHAnsi"/>
          <w:color w:val="auto"/>
        </w:rPr>
        <w:t xml:space="preserve">rontotemporal dementia </w:t>
      </w:r>
      <w:bookmarkEnd w:id="0"/>
      <w:r w:rsidRPr="00817A38">
        <w:rPr>
          <w:rFonts w:asciiTheme="minorHAnsi" w:hAnsiTheme="minorHAnsi" w:cstheme="minorHAnsi"/>
          <w:color w:val="auto"/>
        </w:rPr>
        <w:t xml:space="preserve">(FTD), Pick’s disease, </w:t>
      </w:r>
      <w:r w:rsidR="00570BB3">
        <w:rPr>
          <w:rFonts w:asciiTheme="minorHAnsi" w:hAnsiTheme="minorHAnsi" w:cstheme="minorHAnsi"/>
          <w:color w:val="auto"/>
        </w:rPr>
        <w:t xml:space="preserve">and </w:t>
      </w:r>
      <w:r w:rsidRPr="00817A38">
        <w:rPr>
          <w:rFonts w:asciiTheme="minorHAnsi" w:hAnsiTheme="minorHAnsi" w:cstheme="minorHAnsi"/>
          <w:color w:val="auto"/>
        </w:rPr>
        <w:t>progressive supranuclear palsy (PSP)</w:t>
      </w:r>
      <w:r w:rsidRPr="00817A38">
        <w:rPr>
          <w:rFonts w:asciiTheme="minorHAnsi" w:hAnsiTheme="minorHAnsi" w:cstheme="minorHAnsi"/>
          <w:noProof/>
          <w:color w:val="auto"/>
          <w:vertAlign w:val="superscript"/>
        </w:rPr>
        <w:t>1</w:t>
      </w:r>
      <w:r w:rsidRPr="00817A38">
        <w:rPr>
          <w:rFonts w:asciiTheme="minorHAnsi" w:hAnsiTheme="minorHAnsi" w:cstheme="minorHAnsi"/>
          <w:color w:val="auto"/>
        </w:rPr>
        <w:t xml:space="preserve">. In a </w:t>
      </w:r>
      <w:proofErr w:type="spellStart"/>
      <w:r w:rsidRPr="00817A38">
        <w:rPr>
          <w:rFonts w:asciiTheme="minorHAnsi" w:hAnsiTheme="minorHAnsi" w:cstheme="minorHAnsi"/>
          <w:color w:val="auto"/>
        </w:rPr>
        <w:t>nondiseased</w:t>
      </w:r>
      <w:proofErr w:type="spellEnd"/>
      <w:r w:rsidRPr="00817A38">
        <w:rPr>
          <w:rFonts w:asciiTheme="minorHAnsi" w:hAnsiTheme="minorHAnsi" w:cstheme="minorHAnsi"/>
          <w:color w:val="auto"/>
        </w:rPr>
        <w:t xml:space="preserve"> state, tau binds to and stabilizes microtubule filaments in neuronal axons</w:t>
      </w:r>
      <w:r w:rsidRPr="00817A38">
        <w:rPr>
          <w:rFonts w:asciiTheme="minorHAnsi" w:hAnsiTheme="minorHAnsi" w:cstheme="minorHAnsi"/>
          <w:noProof/>
          <w:color w:val="auto"/>
          <w:vertAlign w:val="superscript"/>
        </w:rPr>
        <w:t>2</w:t>
      </w:r>
      <w:r w:rsidRPr="00817A38">
        <w:rPr>
          <w:rFonts w:asciiTheme="minorHAnsi" w:hAnsiTheme="minorHAnsi" w:cstheme="minorHAnsi"/>
          <w:color w:val="auto"/>
        </w:rPr>
        <w:t>. However, disease-associated hyperphosphorylation of tau promotes tau aggregation, dissociation from microtubules, and neuronal toxicity</w:t>
      </w:r>
      <w:r w:rsidRPr="00817A38">
        <w:rPr>
          <w:rFonts w:asciiTheme="minorHAnsi" w:hAnsiTheme="minorHAnsi" w:cstheme="minorHAnsi"/>
          <w:noProof/>
          <w:color w:val="auto"/>
          <w:vertAlign w:val="superscript"/>
        </w:rPr>
        <w:t>3</w:t>
      </w:r>
      <w:r w:rsidRPr="00817A38">
        <w:rPr>
          <w:rFonts w:asciiTheme="minorHAnsi" w:hAnsiTheme="minorHAnsi" w:cstheme="minorHAnsi"/>
          <w:color w:val="auto"/>
        </w:rPr>
        <w:t>. The toxic effects of aggregated tau may involve aberrant activation of cholinergic</w:t>
      </w:r>
      <w:r w:rsidRPr="00817A38">
        <w:rPr>
          <w:rFonts w:asciiTheme="minorHAnsi" w:hAnsiTheme="minorHAnsi" w:cstheme="minorHAnsi"/>
          <w:noProof/>
          <w:color w:val="auto"/>
          <w:vertAlign w:val="superscript"/>
        </w:rPr>
        <w:t>4</w:t>
      </w:r>
      <w:r w:rsidRPr="00817A38">
        <w:rPr>
          <w:rFonts w:asciiTheme="minorHAnsi" w:hAnsiTheme="minorHAnsi" w:cstheme="minorHAnsi"/>
          <w:color w:val="auto"/>
        </w:rPr>
        <w:t xml:space="preserve"> and glutamatergic receptors</w:t>
      </w:r>
      <w:r w:rsidRPr="00817A38">
        <w:rPr>
          <w:rFonts w:asciiTheme="minorHAnsi" w:hAnsiTheme="minorHAnsi" w:cstheme="minorHAnsi"/>
          <w:noProof/>
          <w:color w:val="auto"/>
          <w:vertAlign w:val="superscript"/>
        </w:rPr>
        <w:t>5</w:t>
      </w:r>
      <w:r w:rsidR="00045BF1" w:rsidRPr="00817A38">
        <w:rPr>
          <w:rFonts w:asciiTheme="minorHAnsi" w:hAnsiTheme="minorHAnsi" w:cstheme="minorHAnsi"/>
          <w:color w:val="auto"/>
        </w:rPr>
        <w:t xml:space="preserve"> </w:t>
      </w:r>
      <w:r w:rsidRPr="00817A38">
        <w:rPr>
          <w:rFonts w:asciiTheme="minorHAnsi" w:hAnsiTheme="minorHAnsi" w:cstheme="minorHAnsi"/>
          <w:color w:val="auto"/>
        </w:rPr>
        <w:t xml:space="preserve">resulting in </w:t>
      </w:r>
      <w:r w:rsidR="00570BB3">
        <w:rPr>
          <w:rFonts w:asciiTheme="minorHAnsi" w:hAnsiTheme="minorHAnsi" w:cstheme="minorHAnsi"/>
          <w:color w:val="auto"/>
        </w:rPr>
        <w:t xml:space="preserve">the </w:t>
      </w:r>
      <w:r w:rsidRPr="00817A38">
        <w:rPr>
          <w:rFonts w:asciiTheme="minorHAnsi" w:hAnsiTheme="minorHAnsi" w:cstheme="minorHAnsi"/>
          <w:color w:val="auto"/>
        </w:rPr>
        <w:t>dysregulation of intracellular calcium and</w:t>
      </w:r>
      <w:r w:rsidR="00570BB3">
        <w:rPr>
          <w:rFonts w:asciiTheme="minorHAnsi" w:hAnsiTheme="minorHAnsi" w:cstheme="minorHAnsi"/>
          <w:color w:val="auto"/>
        </w:rPr>
        <w:t>,</w:t>
      </w:r>
      <w:r w:rsidRPr="00817A38">
        <w:rPr>
          <w:rFonts w:asciiTheme="minorHAnsi" w:hAnsiTheme="minorHAnsi" w:cstheme="minorHAnsi"/>
          <w:color w:val="auto"/>
        </w:rPr>
        <w:t xml:space="preserve"> eventually</w:t>
      </w:r>
      <w:r w:rsidR="00570BB3">
        <w:rPr>
          <w:rFonts w:asciiTheme="minorHAnsi" w:hAnsiTheme="minorHAnsi" w:cstheme="minorHAnsi"/>
          <w:color w:val="auto"/>
        </w:rPr>
        <w:t>,</w:t>
      </w:r>
      <w:r w:rsidRPr="00817A38">
        <w:rPr>
          <w:rFonts w:asciiTheme="minorHAnsi" w:hAnsiTheme="minorHAnsi" w:cstheme="minorHAnsi"/>
          <w:color w:val="auto"/>
        </w:rPr>
        <w:t xml:space="preserve"> cell death. In animal models, </w:t>
      </w:r>
      <w:r w:rsidR="00570BB3">
        <w:rPr>
          <w:rFonts w:asciiTheme="minorHAnsi" w:hAnsiTheme="minorHAnsi" w:cstheme="minorHAnsi"/>
          <w:color w:val="auto"/>
        </w:rPr>
        <w:t xml:space="preserve">the </w:t>
      </w:r>
      <w:r w:rsidRPr="00817A38">
        <w:rPr>
          <w:rFonts w:asciiTheme="minorHAnsi" w:hAnsiTheme="minorHAnsi" w:cstheme="minorHAnsi"/>
          <w:color w:val="auto"/>
        </w:rPr>
        <w:t>reduction of brain tau improves pathology in AD mice</w:t>
      </w:r>
      <w:r w:rsidRPr="00817A38">
        <w:rPr>
          <w:rFonts w:asciiTheme="minorHAnsi" w:hAnsiTheme="minorHAnsi" w:cstheme="minorHAnsi"/>
          <w:noProof/>
          <w:color w:val="auto"/>
          <w:vertAlign w:val="superscript"/>
        </w:rPr>
        <w:t>6</w:t>
      </w:r>
      <w:r w:rsidRPr="00817A38">
        <w:rPr>
          <w:rFonts w:asciiTheme="minorHAnsi" w:hAnsiTheme="minorHAnsi" w:cstheme="minorHAnsi"/>
          <w:color w:val="auto"/>
        </w:rPr>
        <w:t xml:space="preserve"> and in mouse models of repetitive mild traumatic brain injury</w:t>
      </w:r>
      <w:r w:rsidRPr="00817A38">
        <w:rPr>
          <w:rFonts w:asciiTheme="minorHAnsi" w:hAnsiTheme="minorHAnsi" w:cstheme="minorHAnsi"/>
          <w:noProof/>
          <w:color w:val="auto"/>
          <w:vertAlign w:val="superscript"/>
        </w:rPr>
        <w:t>7</w:t>
      </w:r>
      <w:r w:rsidRPr="00817A38">
        <w:rPr>
          <w:rFonts w:asciiTheme="minorHAnsi" w:hAnsiTheme="minorHAnsi" w:cstheme="minorHAnsi"/>
          <w:color w:val="auto"/>
        </w:rPr>
        <w:t>.</w:t>
      </w:r>
    </w:p>
    <w:p w14:paraId="3FAFB438" w14:textId="77777777" w:rsidR="00E8305F" w:rsidRPr="00817A38" w:rsidRDefault="00E8305F" w:rsidP="00817A38">
      <w:pPr>
        <w:rPr>
          <w:rFonts w:asciiTheme="minorHAnsi" w:hAnsiTheme="minorHAnsi" w:cstheme="minorHAnsi"/>
          <w:color w:val="auto"/>
        </w:rPr>
      </w:pPr>
    </w:p>
    <w:p w14:paraId="52A19166" w14:textId="0C5181B5" w:rsidR="00E8305F" w:rsidRPr="00817A38" w:rsidRDefault="00691DBF" w:rsidP="00817A38">
      <w:pPr>
        <w:rPr>
          <w:rFonts w:asciiTheme="minorHAnsi" w:hAnsiTheme="minorHAnsi" w:cstheme="minorHAnsi"/>
          <w:color w:val="auto"/>
        </w:rPr>
      </w:pPr>
      <w:r w:rsidRPr="00817A38">
        <w:rPr>
          <w:rFonts w:asciiTheme="minorHAnsi" w:hAnsiTheme="minorHAnsi" w:cstheme="minorHAnsi"/>
          <w:color w:val="auto"/>
        </w:rPr>
        <w:t>Mounting evidence demonstrates that the structure and binding affinity of mouse</w:t>
      </w:r>
      <w:r w:rsidR="00570BB3">
        <w:rPr>
          <w:rFonts w:asciiTheme="minorHAnsi" w:hAnsiTheme="minorHAnsi" w:cstheme="minorHAnsi"/>
          <w:color w:val="auto"/>
        </w:rPr>
        <w:t>-</w:t>
      </w:r>
      <w:r w:rsidRPr="00817A38">
        <w:rPr>
          <w:rFonts w:asciiTheme="minorHAnsi" w:hAnsiTheme="minorHAnsi" w:cstheme="minorHAnsi"/>
          <w:color w:val="auto"/>
        </w:rPr>
        <w:t xml:space="preserve">derived tau </w:t>
      </w:r>
      <w:r w:rsidR="00A55BC3">
        <w:rPr>
          <w:rFonts w:asciiTheme="minorHAnsi" w:hAnsiTheme="minorHAnsi" w:cstheme="minorHAnsi"/>
          <w:color w:val="auto"/>
        </w:rPr>
        <w:t>are</w:t>
      </w:r>
      <w:r w:rsidRPr="00817A38">
        <w:rPr>
          <w:rFonts w:asciiTheme="minorHAnsi" w:hAnsiTheme="minorHAnsi" w:cstheme="minorHAnsi"/>
          <w:color w:val="auto"/>
        </w:rPr>
        <w:t xml:space="preserve"> distinct from human</w:t>
      </w:r>
      <w:r w:rsidR="00570BB3">
        <w:rPr>
          <w:rFonts w:asciiTheme="minorHAnsi" w:hAnsiTheme="minorHAnsi" w:cstheme="minorHAnsi"/>
          <w:color w:val="auto"/>
        </w:rPr>
        <w:t>-</w:t>
      </w:r>
      <w:r w:rsidRPr="00817A38">
        <w:rPr>
          <w:rFonts w:asciiTheme="minorHAnsi" w:hAnsiTheme="minorHAnsi" w:cstheme="minorHAnsi"/>
          <w:color w:val="auto"/>
        </w:rPr>
        <w:t>derived tau and that mouse tau is unsuitable for modeling human tauopathies</w:t>
      </w:r>
      <w:r w:rsidRPr="00817A38">
        <w:rPr>
          <w:rFonts w:asciiTheme="minorHAnsi" w:hAnsiTheme="minorHAnsi" w:cstheme="minorHAnsi"/>
          <w:noProof/>
          <w:color w:val="auto"/>
          <w:vertAlign w:val="superscript"/>
        </w:rPr>
        <w:t>8</w:t>
      </w:r>
      <w:r w:rsidRPr="00817A38">
        <w:rPr>
          <w:rFonts w:asciiTheme="minorHAnsi" w:hAnsiTheme="minorHAnsi" w:cstheme="minorHAnsi"/>
          <w:color w:val="auto"/>
        </w:rPr>
        <w:t xml:space="preserve">. However, human cell tauopathy models are not widely commercially available. </w:t>
      </w:r>
      <w:bookmarkStart w:id="1" w:name="_Hlk536543195"/>
      <w:r w:rsidRPr="00817A38">
        <w:rPr>
          <w:rFonts w:asciiTheme="minorHAnsi" w:hAnsiTheme="minorHAnsi" w:cstheme="minorHAnsi"/>
          <w:color w:val="auto"/>
        </w:rPr>
        <w:t xml:space="preserve">The overall goal of this work </w:t>
      </w:r>
      <w:r w:rsidR="00570BB3">
        <w:rPr>
          <w:rFonts w:asciiTheme="minorHAnsi" w:hAnsiTheme="minorHAnsi" w:cstheme="minorHAnsi"/>
          <w:color w:val="auto"/>
        </w:rPr>
        <w:t xml:space="preserve">is to </w:t>
      </w:r>
      <w:r w:rsidRPr="00817A38">
        <w:rPr>
          <w:rFonts w:asciiTheme="minorHAnsi" w:hAnsiTheme="minorHAnsi" w:cstheme="minorHAnsi"/>
          <w:color w:val="auto"/>
        </w:rPr>
        <w:t>describe an in vitro model of tau aggregation in which human neurons are transduced with lentiviral-derived vectors containing mutant human tau constructs</w:t>
      </w:r>
      <w:r w:rsidRPr="00817A38">
        <w:rPr>
          <w:rFonts w:asciiTheme="minorHAnsi" w:hAnsiTheme="minorHAnsi" w:cstheme="minorHAnsi"/>
          <w:noProof/>
          <w:color w:val="auto"/>
          <w:vertAlign w:val="superscript"/>
        </w:rPr>
        <w:t>9</w:t>
      </w:r>
      <w:r w:rsidRPr="00817A38">
        <w:rPr>
          <w:rFonts w:asciiTheme="minorHAnsi" w:hAnsiTheme="minorHAnsi" w:cstheme="minorHAnsi"/>
          <w:color w:val="auto"/>
        </w:rPr>
        <w:t>.</w:t>
      </w:r>
      <w:bookmarkEnd w:id="1"/>
      <w:r w:rsidRPr="00817A38">
        <w:rPr>
          <w:rFonts w:asciiTheme="minorHAnsi" w:hAnsiTheme="minorHAnsi" w:cstheme="minorHAnsi"/>
          <w:color w:val="auto"/>
        </w:rPr>
        <w:t xml:space="preserve"> Tau aggregate causing lentiviral constructs encode</w:t>
      </w:r>
      <w:r w:rsidR="001F7F56">
        <w:rPr>
          <w:rFonts w:asciiTheme="minorHAnsi" w:hAnsiTheme="minorHAnsi" w:cstheme="minorHAnsi"/>
          <w:color w:val="auto"/>
        </w:rPr>
        <w:t>s</w:t>
      </w:r>
      <w:r w:rsidRPr="00817A38">
        <w:rPr>
          <w:rFonts w:asciiTheme="minorHAnsi" w:hAnsiTheme="minorHAnsi" w:cstheme="minorHAnsi"/>
          <w:color w:val="auto"/>
        </w:rPr>
        <w:t xml:space="preserve"> for the tau repeat domain harboring P301L and V337M mutations fused to a YFP reporter (Tau-RDLM-YFP) while control constructs code for the wild-type (Wt) tau repeat domain fused to a YFP reporter (Tau-Wt-YFP). Neuronal cultures transduced using this method express </w:t>
      </w:r>
      <w:r w:rsidR="00570BB3">
        <w:rPr>
          <w:rFonts w:asciiTheme="minorHAnsi" w:hAnsiTheme="minorHAnsi" w:cstheme="minorHAnsi"/>
          <w:color w:val="auto"/>
        </w:rPr>
        <w:t>approximately nine times</w:t>
      </w:r>
      <w:r w:rsidRPr="00817A38">
        <w:rPr>
          <w:rFonts w:asciiTheme="minorHAnsi" w:hAnsiTheme="minorHAnsi" w:cstheme="minorHAnsi"/>
          <w:color w:val="auto"/>
        </w:rPr>
        <w:t xml:space="preserve"> more tau than </w:t>
      </w:r>
      <w:proofErr w:type="spellStart"/>
      <w:r w:rsidRPr="00817A38">
        <w:rPr>
          <w:rFonts w:asciiTheme="minorHAnsi" w:hAnsiTheme="minorHAnsi" w:cstheme="minorHAnsi"/>
          <w:color w:val="auto"/>
        </w:rPr>
        <w:t>nontransduced</w:t>
      </w:r>
      <w:proofErr w:type="spellEnd"/>
      <w:r w:rsidRPr="00817A38">
        <w:rPr>
          <w:rFonts w:asciiTheme="minorHAnsi" w:hAnsiTheme="minorHAnsi" w:cstheme="minorHAnsi"/>
          <w:color w:val="auto"/>
        </w:rPr>
        <w:t xml:space="preserve"> cultures. Although the amount of tau expression overexpressed is roughly equal between Tau-RDLM-YFP</w:t>
      </w:r>
      <w:r w:rsidR="001D5D95">
        <w:rPr>
          <w:rFonts w:asciiTheme="minorHAnsi" w:hAnsiTheme="minorHAnsi" w:cstheme="minorHAnsi"/>
          <w:color w:val="auto"/>
        </w:rPr>
        <w:t>-</w:t>
      </w:r>
      <w:r w:rsidRPr="00817A38">
        <w:rPr>
          <w:rFonts w:asciiTheme="minorHAnsi" w:hAnsiTheme="minorHAnsi" w:cstheme="minorHAnsi"/>
          <w:color w:val="auto"/>
        </w:rPr>
        <w:t xml:space="preserve"> and Tau-</w:t>
      </w:r>
      <w:proofErr w:type="spellStart"/>
      <w:r w:rsidRPr="00817A38">
        <w:rPr>
          <w:rFonts w:asciiTheme="minorHAnsi" w:hAnsiTheme="minorHAnsi" w:cstheme="minorHAnsi"/>
          <w:color w:val="auto"/>
        </w:rPr>
        <w:t>Wt</w:t>
      </w:r>
      <w:proofErr w:type="spellEnd"/>
      <w:r w:rsidRPr="00817A38">
        <w:rPr>
          <w:rFonts w:asciiTheme="minorHAnsi" w:hAnsiTheme="minorHAnsi" w:cstheme="minorHAnsi"/>
          <w:color w:val="auto"/>
        </w:rPr>
        <w:t>-YFP</w:t>
      </w:r>
      <w:r w:rsidR="001D5D95">
        <w:rPr>
          <w:rFonts w:asciiTheme="minorHAnsi" w:hAnsiTheme="minorHAnsi" w:cstheme="minorHAnsi"/>
          <w:color w:val="auto"/>
        </w:rPr>
        <w:t>-</w:t>
      </w:r>
      <w:r w:rsidRPr="00817A38">
        <w:rPr>
          <w:rFonts w:asciiTheme="minorHAnsi" w:hAnsiTheme="minorHAnsi" w:cstheme="minorHAnsi"/>
          <w:color w:val="auto"/>
        </w:rPr>
        <w:t>transduced cells, only neurons transduced with Tau-RDLM-YFP display aggregates. Cultures transduced with Tau-RDLM-YFP stain positively for thioflavin and display reductions in axonal length and synaptic density. Therefore, this cellular model may be a useful tool for studying tau aggregation in vitro.</w:t>
      </w:r>
      <w:r w:rsidR="00045BF1" w:rsidRPr="00817A38">
        <w:rPr>
          <w:rFonts w:asciiTheme="minorHAnsi" w:hAnsiTheme="minorHAnsi" w:cstheme="minorHAnsi"/>
          <w:color w:val="auto"/>
        </w:rPr>
        <w:t xml:space="preserve"> </w:t>
      </w:r>
    </w:p>
    <w:p w14:paraId="1B53D3B8" w14:textId="77777777" w:rsidR="00E8305F" w:rsidRPr="00817A38" w:rsidRDefault="00E8305F" w:rsidP="00817A38">
      <w:pPr>
        <w:rPr>
          <w:rFonts w:asciiTheme="minorHAnsi" w:hAnsiTheme="minorHAnsi" w:cstheme="minorHAnsi"/>
          <w:b/>
          <w:color w:val="auto"/>
        </w:rPr>
      </w:pPr>
    </w:p>
    <w:p w14:paraId="79EDEF44" w14:textId="77777777" w:rsidR="00E8305F" w:rsidRPr="00817A38" w:rsidRDefault="00691DBF" w:rsidP="00817A38">
      <w:pPr>
        <w:rPr>
          <w:rFonts w:asciiTheme="minorHAnsi" w:hAnsiTheme="minorHAnsi" w:cstheme="minorHAnsi"/>
          <w:color w:val="auto"/>
        </w:rPr>
      </w:pPr>
      <w:r w:rsidRPr="00817A38">
        <w:rPr>
          <w:rFonts w:asciiTheme="minorHAnsi" w:hAnsiTheme="minorHAnsi" w:cstheme="minorHAnsi"/>
          <w:b/>
          <w:color w:val="auto"/>
        </w:rPr>
        <w:t>PROTOCOL:</w:t>
      </w:r>
      <w:r w:rsidRPr="00817A38">
        <w:rPr>
          <w:rFonts w:asciiTheme="minorHAnsi" w:hAnsiTheme="minorHAnsi" w:cstheme="minorHAnsi"/>
          <w:color w:val="auto"/>
        </w:rPr>
        <w:t xml:space="preserve"> </w:t>
      </w:r>
    </w:p>
    <w:p w14:paraId="3800F119" w14:textId="77777777" w:rsidR="00E8305F" w:rsidRPr="00817A38" w:rsidRDefault="00E8305F" w:rsidP="00817A38">
      <w:pPr>
        <w:widowControl/>
        <w:autoSpaceDE/>
        <w:autoSpaceDN/>
        <w:adjustRightInd/>
        <w:contextualSpacing/>
        <w:rPr>
          <w:rFonts w:eastAsia="Calibri"/>
          <w:color w:val="auto"/>
        </w:rPr>
      </w:pPr>
    </w:p>
    <w:p w14:paraId="172E2D6B" w14:textId="77777777" w:rsidR="00E8305F" w:rsidRPr="00817A38" w:rsidRDefault="00691DBF" w:rsidP="00817A38">
      <w:pPr>
        <w:widowControl/>
        <w:autoSpaceDE/>
        <w:autoSpaceDN/>
        <w:adjustRightInd/>
        <w:rPr>
          <w:rFonts w:eastAsia="Calibri" w:cs="Times New Roman"/>
          <w:b/>
          <w:color w:val="auto"/>
          <w:szCs w:val="22"/>
        </w:rPr>
      </w:pPr>
      <w:r w:rsidRPr="00817A38">
        <w:rPr>
          <w:rFonts w:eastAsia="Calibri" w:cs="Times New Roman"/>
          <w:b/>
          <w:color w:val="auto"/>
          <w:szCs w:val="22"/>
        </w:rPr>
        <w:t>1</w:t>
      </w:r>
      <w:r w:rsidR="00570BB3">
        <w:rPr>
          <w:rFonts w:eastAsia="Calibri" w:cs="Times New Roman"/>
          <w:b/>
          <w:color w:val="auto"/>
          <w:szCs w:val="22"/>
        </w:rPr>
        <w:t>.</w:t>
      </w:r>
      <w:r w:rsidRPr="00817A38">
        <w:rPr>
          <w:rFonts w:eastAsia="Calibri" w:cs="Times New Roman"/>
          <w:b/>
          <w:color w:val="auto"/>
          <w:szCs w:val="22"/>
        </w:rPr>
        <w:t xml:space="preserve"> Preparation of media and reagents</w:t>
      </w:r>
    </w:p>
    <w:p w14:paraId="61911379" w14:textId="77777777" w:rsidR="00E8305F" w:rsidRPr="00817A38" w:rsidRDefault="00E8305F" w:rsidP="00817A38">
      <w:pPr>
        <w:widowControl/>
        <w:autoSpaceDE/>
        <w:autoSpaceDN/>
        <w:adjustRightInd/>
        <w:rPr>
          <w:rFonts w:eastAsia="Calibri" w:cs="Times New Roman"/>
          <w:b/>
          <w:color w:val="auto"/>
          <w:szCs w:val="22"/>
        </w:rPr>
      </w:pPr>
    </w:p>
    <w:p w14:paraId="15A4EC3D" w14:textId="144610A3" w:rsidR="00E8305F" w:rsidRPr="00817A38" w:rsidRDefault="00691DBF" w:rsidP="00817A38">
      <w:pPr>
        <w:widowControl/>
        <w:autoSpaceDE/>
        <w:autoSpaceDN/>
        <w:adjustRightInd/>
        <w:rPr>
          <w:rFonts w:eastAsia="Calibri" w:cs="Times New Roman"/>
          <w:color w:val="auto"/>
          <w:szCs w:val="22"/>
          <w:highlight w:val="yellow"/>
        </w:rPr>
      </w:pPr>
      <w:r w:rsidRPr="00817A38">
        <w:rPr>
          <w:rFonts w:eastAsia="Calibri" w:cs="Times New Roman"/>
          <w:color w:val="auto"/>
          <w:szCs w:val="22"/>
          <w:highlight w:val="yellow"/>
        </w:rPr>
        <w:t>1.1</w:t>
      </w:r>
      <w:r w:rsidR="00570BB3">
        <w:rPr>
          <w:rFonts w:eastAsia="Calibri" w:cs="Times New Roman"/>
          <w:color w:val="auto"/>
          <w:szCs w:val="22"/>
          <w:highlight w:val="yellow"/>
        </w:rPr>
        <w:t>.</w:t>
      </w:r>
      <w:r w:rsidRPr="00817A38">
        <w:rPr>
          <w:rFonts w:eastAsia="Calibri" w:cs="Times New Roman"/>
          <w:color w:val="auto"/>
          <w:szCs w:val="22"/>
          <w:highlight w:val="yellow"/>
        </w:rPr>
        <w:t xml:space="preserve"> Thaw </w:t>
      </w:r>
      <w:r w:rsidR="00570BB3">
        <w:rPr>
          <w:rFonts w:eastAsia="Calibri" w:cs="Times New Roman"/>
          <w:color w:val="auto"/>
          <w:szCs w:val="22"/>
          <w:highlight w:val="yellow"/>
        </w:rPr>
        <w:t xml:space="preserve">the basement membrane matrix coating for culture plates </w:t>
      </w:r>
      <w:r w:rsidRPr="00817A38">
        <w:rPr>
          <w:rFonts w:eastAsia="Calibri" w:cs="Times New Roman"/>
          <w:color w:val="auto"/>
          <w:szCs w:val="22"/>
          <w:highlight w:val="yellow"/>
        </w:rPr>
        <w:t xml:space="preserve">at 4 </w:t>
      </w:r>
      <w:r w:rsidRPr="00817A38">
        <w:rPr>
          <w:rFonts w:eastAsia="Calibri"/>
          <w:color w:val="auto"/>
          <w:szCs w:val="22"/>
          <w:highlight w:val="yellow"/>
        </w:rPr>
        <w:t>°</w:t>
      </w:r>
      <w:r w:rsidRPr="00817A38">
        <w:rPr>
          <w:rFonts w:eastAsia="Calibri" w:cs="Times New Roman"/>
          <w:color w:val="auto"/>
          <w:szCs w:val="22"/>
          <w:highlight w:val="yellow"/>
        </w:rPr>
        <w:t xml:space="preserve">C (do not allow </w:t>
      </w:r>
      <w:r w:rsidR="00570BB3">
        <w:rPr>
          <w:rFonts w:eastAsia="Calibri" w:cs="Times New Roman"/>
          <w:color w:val="auto"/>
          <w:szCs w:val="22"/>
          <w:highlight w:val="yellow"/>
        </w:rPr>
        <w:t xml:space="preserve">the </w:t>
      </w:r>
      <w:r w:rsidRPr="00817A38">
        <w:rPr>
          <w:rFonts w:eastAsia="Calibri" w:cs="Times New Roman"/>
          <w:color w:val="auto"/>
          <w:szCs w:val="22"/>
          <w:highlight w:val="yellow"/>
        </w:rPr>
        <w:t xml:space="preserve">basement membrane matrix to warm </w:t>
      </w:r>
      <w:r w:rsidR="00570BB3">
        <w:rPr>
          <w:rFonts w:eastAsia="Calibri" w:cs="Times New Roman"/>
          <w:color w:val="auto"/>
          <w:szCs w:val="22"/>
          <w:highlight w:val="yellow"/>
        </w:rPr>
        <w:t xml:space="preserve">up </w:t>
      </w:r>
      <w:r w:rsidRPr="00817A38">
        <w:rPr>
          <w:rFonts w:eastAsia="Calibri" w:cs="Times New Roman"/>
          <w:color w:val="auto"/>
          <w:szCs w:val="22"/>
          <w:highlight w:val="yellow"/>
        </w:rPr>
        <w:t xml:space="preserve">or it will solidify). Make 1 mL aliquots and store </w:t>
      </w:r>
      <w:r w:rsidR="00570BB3">
        <w:rPr>
          <w:rFonts w:eastAsia="Calibri" w:cs="Times New Roman"/>
          <w:color w:val="auto"/>
          <w:szCs w:val="22"/>
          <w:highlight w:val="yellow"/>
        </w:rPr>
        <w:t xml:space="preserve">them </w:t>
      </w:r>
      <w:r w:rsidRPr="00817A38">
        <w:rPr>
          <w:rFonts w:eastAsia="Calibri" w:cs="Times New Roman"/>
          <w:color w:val="auto"/>
          <w:szCs w:val="22"/>
          <w:highlight w:val="yellow"/>
        </w:rPr>
        <w:t xml:space="preserve">at -20 </w:t>
      </w:r>
      <w:r w:rsidRPr="00817A38">
        <w:rPr>
          <w:rFonts w:eastAsia="Calibri"/>
          <w:color w:val="auto"/>
          <w:szCs w:val="22"/>
          <w:highlight w:val="yellow"/>
        </w:rPr>
        <w:t>°</w:t>
      </w:r>
      <w:r w:rsidRPr="00817A38">
        <w:rPr>
          <w:rFonts w:eastAsia="Calibri" w:cs="Times New Roman"/>
          <w:color w:val="auto"/>
          <w:szCs w:val="22"/>
          <w:highlight w:val="yellow"/>
        </w:rPr>
        <w:t xml:space="preserve">C or -70 </w:t>
      </w:r>
      <w:r w:rsidRPr="00817A38">
        <w:rPr>
          <w:rFonts w:eastAsia="Calibri"/>
          <w:color w:val="auto"/>
          <w:szCs w:val="22"/>
          <w:highlight w:val="yellow"/>
        </w:rPr>
        <w:t>°</w:t>
      </w:r>
      <w:r w:rsidRPr="00817A38">
        <w:rPr>
          <w:rFonts w:eastAsia="Calibri" w:cs="Times New Roman"/>
          <w:color w:val="auto"/>
          <w:szCs w:val="22"/>
          <w:highlight w:val="yellow"/>
        </w:rPr>
        <w:t>C.</w:t>
      </w:r>
    </w:p>
    <w:p w14:paraId="7307AD7C" w14:textId="77777777" w:rsidR="00E8305F" w:rsidRPr="00817A38" w:rsidRDefault="00E8305F" w:rsidP="00817A38">
      <w:pPr>
        <w:widowControl/>
        <w:autoSpaceDE/>
        <w:autoSpaceDN/>
        <w:adjustRightInd/>
        <w:rPr>
          <w:rFonts w:eastAsia="Calibri" w:cs="Times New Roman"/>
          <w:color w:val="auto"/>
          <w:szCs w:val="22"/>
          <w:highlight w:val="yellow"/>
        </w:rPr>
      </w:pPr>
    </w:p>
    <w:p w14:paraId="08975946" w14:textId="100E1E47" w:rsidR="00E8305F" w:rsidRPr="00817A38" w:rsidRDefault="00691DBF" w:rsidP="00817A38">
      <w:pPr>
        <w:widowControl/>
        <w:autoSpaceDE/>
        <w:autoSpaceDN/>
        <w:adjustRightInd/>
        <w:rPr>
          <w:rFonts w:eastAsia="Calibri" w:cs="Times New Roman"/>
          <w:color w:val="auto"/>
          <w:szCs w:val="22"/>
        </w:rPr>
      </w:pPr>
      <w:r w:rsidRPr="00817A38">
        <w:rPr>
          <w:rFonts w:eastAsia="Calibri" w:cs="Times New Roman"/>
          <w:color w:val="auto"/>
          <w:szCs w:val="22"/>
          <w:highlight w:val="yellow"/>
        </w:rPr>
        <w:t>1.2</w:t>
      </w:r>
      <w:r w:rsidR="00570BB3">
        <w:rPr>
          <w:rFonts w:eastAsia="Calibri" w:cs="Times New Roman"/>
          <w:color w:val="auto"/>
          <w:szCs w:val="22"/>
          <w:highlight w:val="yellow"/>
        </w:rPr>
        <w:t>.</w:t>
      </w:r>
      <w:r w:rsidRPr="00817A38">
        <w:rPr>
          <w:rFonts w:eastAsia="Calibri" w:cs="Times New Roman"/>
          <w:color w:val="auto"/>
          <w:szCs w:val="22"/>
          <w:highlight w:val="yellow"/>
        </w:rPr>
        <w:t xml:space="preserve"> Reconstitute </w:t>
      </w:r>
      <w:r w:rsidR="00570BB3">
        <w:rPr>
          <w:rFonts w:eastAsia="Calibri" w:cs="Times New Roman"/>
          <w:color w:val="auto"/>
          <w:szCs w:val="22"/>
          <w:highlight w:val="yellow"/>
        </w:rPr>
        <w:t>basic fibroblast growth factor (</w:t>
      </w:r>
      <w:proofErr w:type="spellStart"/>
      <w:r w:rsidR="00570BB3">
        <w:rPr>
          <w:rFonts w:eastAsia="Calibri" w:cs="Times New Roman"/>
          <w:color w:val="auto"/>
          <w:szCs w:val="22"/>
          <w:highlight w:val="yellow"/>
        </w:rPr>
        <w:t>bFGF</w:t>
      </w:r>
      <w:proofErr w:type="spellEnd"/>
      <w:r w:rsidR="00570BB3">
        <w:rPr>
          <w:rFonts w:eastAsia="Calibri" w:cs="Times New Roman"/>
          <w:color w:val="auto"/>
          <w:szCs w:val="22"/>
          <w:highlight w:val="yellow"/>
        </w:rPr>
        <w:t xml:space="preserve">) </w:t>
      </w:r>
      <w:r w:rsidRPr="00817A38">
        <w:rPr>
          <w:rFonts w:eastAsia="Calibri" w:cs="Times New Roman"/>
          <w:color w:val="auto"/>
          <w:szCs w:val="22"/>
          <w:highlight w:val="yellow"/>
        </w:rPr>
        <w:t>in sterile phosphate</w:t>
      </w:r>
      <w:r w:rsidR="00570BB3">
        <w:rPr>
          <w:rFonts w:eastAsia="Calibri" w:cs="Times New Roman"/>
          <w:color w:val="auto"/>
          <w:szCs w:val="22"/>
          <w:highlight w:val="yellow"/>
        </w:rPr>
        <w:t>-</w:t>
      </w:r>
      <w:r w:rsidRPr="00817A38">
        <w:rPr>
          <w:rFonts w:eastAsia="Calibri" w:cs="Times New Roman"/>
          <w:color w:val="auto"/>
          <w:szCs w:val="22"/>
          <w:highlight w:val="yellow"/>
        </w:rPr>
        <w:t xml:space="preserve">buffered saline (PBS) at 10 </w:t>
      </w:r>
      <w:r w:rsidRPr="00817A38">
        <w:rPr>
          <w:rFonts w:eastAsia="Calibri"/>
          <w:color w:val="auto"/>
          <w:szCs w:val="22"/>
          <w:highlight w:val="yellow"/>
        </w:rPr>
        <w:t>µ</w:t>
      </w:r>
      <w:r w:rsidRPr="00817A38">
        <w:rPr>
          <w:rFonts w:eastAsia="Calibri" w:cs="Times New Roman"/>
          <w:color w:val="auto"/>
          <w:szCs w:val="22"/>
          <w:highlight w:val="yellow"/>
        </w:rPr>
        <w:t xml:space="preserve">g/mL and make 10 </w:t>
      </w:r>
      <w:r w:rsidRPr="00817A38">
        <w:rPr>
          <w:rFonts w:eastAsia="Calibri"/>
          <w:color w:val="auto"/>
          <w:szCs w:val="22"/>
          <w:highlight w:val="yellow"/>
        </w:rPr>
        <w:t>µ</w:t>
      </w:r>
      <w:r w:rsidRPr="00817A38">
        <w:rPr>
          <w:rFonts w:eastAsia="Calibri" w:cs="Times New Roman"/>
          <w:color w:val="auto"/>
          <w:szCs w:val="22"/>
          <w:highlight w:val="yellow"/>
        </w:rPr>
        <w:t xml:space="preserve">L aliquots. Store </w:t>
      </w:r>
      <w:r w:rsidR="00570BB3">
        <w:rPr>
          <w:rFonts w:eastAsia="Calibri" w:cs="Times New Roman"/>
          <w:color w:val="auto"/>
          <w:szCs w:val="22"/>
          <w:highlight w:val="yellow"/>
        </w:rPr>
        <w:t xml:space="preserve">them </w:t>
      </w:r>
      <w:r w:rsidRPr="00817A38">
        <w:rPr>
          <w:rFonts w:eastAsia="Calibri" w:cs="Times New Roman"/>
          <w:color w:val="auto"/>
          <w:szCs w:val="22"/>
          <w:highlight w:val="yellow"/>
        </w:rPr>
        <w:t xml:space="preserve">at 4 </w:t>
      </w:r>
      <w:r w:rsidRPr="00817A38">
        <w:rPr>
          <w:rFonts w:eastAsia="Calibri"/>
          <w:color w:val="auto"/>
          <w:szCs w:val="22"/>
          <w:highlight w:val="yellow"/>
        </w:rPr>
        <w:t>°</w:t>
      </w:r>
      <w:r w:rsidRPr="00817A38">
        <w:rPr>
          <w:rFonts w:eastAsia="Calibri" w:cs="Times New Roman"/>
          <w:color w:val="auto"/>
          <w:szCs w:val="22"/>
          <w:highlight w:val="yellow"/>
        </w:rPr>
        <w:t>C.</w:t>
      </w:r>
    </w:p>
    <w:p w14:paraId="31488336" w14:textId="77777777" w:rsidR="00E8305F" w:rsidRPr="00817A38" w:rsidRDefault="00E8305F" w:rsidP="00817A38">
      <w:pPr>
        <w:widowControl/>
        <w:autoSpaceDE/>
        <w:autoSpaceDN/>
        <w:adjustRightInd/>
        <w:rPr>
          <w:rFonts w:eastAsia="Calibri" w:cs="Times New Roman"/>
          <w:color w:val="auto"/>
          <w:szCs w:val="22"/>
        </w:rPr>
      </w:pPr>
    </w:p>
    <w:p w14:paraId="45DE6B9C" w14:textId="59D85EDA" w:rsidR="00E8305F" w:rsidRPr="00817A38" w:rsidRDefault="00691DBF" w:rsidP="00817A38">
      <w:pPr>
        <w:widowControl/>
        <w:autoSpaceDE/>
        <w:autoSpaceDN/>
        <w:adjustRightInd/>
        <w:rPr>
          <w:rFonts w:eastAsia="Calibri" w:cs="Times New Roman"/>
          <w:color w:val="auto"/>
          <w:szCs w:val="22"/>
        </w:rPr>
      </w:pPr>
      <w:r w:rsidRPr="00817A38">
        <w:rPr>
          <w:rFonts w:eastAsia="Calibri" w:cs="Times New Roman"/>
          <w:color w:val="auto"/>
          <w:szCs w:val="22"/>
        </w:rPr>
        <w:t>1.3</w:t>
      </w:r>
      <w:r w:rsidR="00570BB3">
        <w:rPr>
          <w:rFonts w:eastAsia="Calibri" w:cs="Times New Roman"/>
          <w:color w:val="auto"/>
          <w:szCs w:val="22"/>
        </w:rPr>
        <w:t>.</w:t>
      </w:r>
      <w:r w:rsidRPr="00817A38">
        <w:rPr>
          <w:rFonts w:eastAsia="Calibri" w:cs="Times New Roman"/>
          <w:color w:val="auto"/>
          <w:szCs w:val="22"/>
        </w:rPr>
        <w:t xml:space="preserve"> </w:t>
      </w:r>
      <w:r w:rsidRPr="00817A38">
        <w:rPr>
          <w:rFonts w:eastAsia="Calibri" w:cs="Times New Roman"/>
          <w:color w:val="auto"/>
          <w:szCs w:val="22"/>
          <w:highlight w:val="yellow"/>
        </w:rPr>
        <w:t>To a new, unopened, 500 mL bottle of DMEM</w:t>
      </w:r>
      <w:r w:rsidR="00DE6E9F">
        <w:rPr>
          <w:rFonts w:eastAsia="Calibri" w:cs="Times New Roman"/>
          <w:color w:val="auto"/>
          <w:szCs w:val="22"/>
          <w:highlight w:val="yellow"/>
        </w:rPr>
        <w:t>/</w:t>
      </w:r>
      <w:r w:rsidRPr="00817A38">
        <w:rPr>
          <w:rFonts w:eastAsia="Calibri" w:cs="Times New Roman"/>
          <w:color w:val="auto"/>
          <w:szCs w:val="22"/>
          <w:highlight w:val="yellow"/>
        </w:rPr>
        <w:t xml:space="preserve">F12 with glutamine, add B27 (10 mL), N2 (5 mL), and </w:t>
      </w:r>
      <w:r w:rsidR="00DE6E9F">
        <w:rPr>
          <w:rFonts w:eastAsia="Calibri" w:cs="Times New Roman"/>
          <w:color w:val="auto"/>
          <w:szCs w:val="22"/>
          <w:highlight w:val="yellow"/>
        </w:rPr>
        <w:t>p</w:t>
      </w:r>
      <w:r w:rsidRPr="00817A38">
        <w:rPr>
          <w:rFonts w:eastAsia="Calibri" w:cs="Times New Roman"/>
          <w:color w:val="auto"/>
          <w:szCs w:val="22"/>
          <w:highlight w:val="yellow"/>
        </w:rPr>
        <w:t>enicillin-</w:t>
      </w:r>
      <w:r w:rsidR="00DE6E9F">
        <w:rPr>
          <w:rFonts w:eastAsia="Calibri" w:cs="Times New Roman"/>
          <w:color w:val="auto"/>
          <w:szCs w:val="22"/>
          <w:highlight w:val="yellow"/>
        </w:rPr>
        <w:t>s</w:t>
      </w:r>
      <w:r w:rsidRPr="00817A38">
        <w:rPr>
          <w:rFonts w:eastAsia="Calibri" w:cs="Times New Roman"/>
          <w:color w:val="auto"/>
          <w:szCs w:val="22"/>
          <w:highlight w:val="yellow"/>
        </w:rPr>
        <w:t xml:space="preserve">treptomycin (5 mL). Place 50 mL of this </w:t>
      </w:r>
      <w:r w:rsidR="00514137">
        <w:rPr>
          <w:rFonts w:eastAsia="Calibri" w:cs="Times New Roman"/>
          <w:color w:val="auto"/>
          <w:szCs w:val="22"/>
          <w:highlight w:val="yellow"/>
        </w:rPr>
        <w:t xml:space="preserve">neural stem cell (NSC) </w:t>
      </w:r>
      <w:r w:rsidRPr="00817A38">
        <w:rPr>
          <w:rFonts w:eastAsia="Calibri" w:cs="Times New Roman"/>
          <w:color w:val="auto"/>
          <w:szCs w:val="22"/>
          <w:highlight w:val="yellow"/>
        </w:rPr>
        <w:t xml:space="preserve">media in a conical tube and add 10 </w:t>
      </w:r>
      <w:r w:rsidRPr="00817A38">
        <w:rPr>
          <w:rFonts w:eastAsia="Calibri"/>
          <w:color w:val="auto"/>
          <w:szCs w:val="22"/>
          <w:highlight w:val="yellow"/>
        </w:rPr>
        <w:t>µ</w:t>
      </w:r>
      <w:r w:rsidRPr="00817A38">
        <w:rPr>
          <w:rFonts w:eastAsia="Calibri" w:cs="Times New Roman"/>
          <w:color w:val="auto"/>
          <w:szCs w:val="22"/>
          <w:highlight w:val="yellow"/>
        </w:rPr>
        <w:t xml:space="preserve">L of 10 </w:t>
      </w:r>
      <w:r w:rsidRPr="00817A38">
        <w:rPr>
          <w:rFonts w:eastAsia="Calibri"/>
          <w:color w:val="auto"/>
          <w:szCs w:val="22"/>
          <w:highlight w:val="yellow"/>
        </w:rPr>
        <w:t>µ</w:t>
      </w:r>
      <w:r w:rsidRPr="00817A38">
        <w:rPr>
          <w:rFonts w:eastAsia="Calibri" w:cs="Times New Roman"/>
          <w:color w:val="auto"/>
          <w:szCs w:val="22"/>
          <w:highlight w:val="yellow"/>
        </w:rPr>
        <w:t>g/</w:t>
      </w:r>
      <w:r w:rsidRPr="00817A38">
        <w:rPr>
          <w:rFonts w:eastAsia="Calibri"/>
          <w:color w:val="auto"/>
          <w:szCs w:val="22"/>
          <w:highlight w:val="yellow"/>
        </w:rPr>
        <w:t>µ</w:t>
      </w:r>
      <w:r w:rsidRPr="00817A38">
        <w:rPr>
          <w:rFonts w:eastAsia="Calibri" w:cs="Times New Roman"/>
          <w:color w:val="auto"/>
          <w:szCs w:val="22"/>
          <w:highlight w:val="yellow"/>
        </w:rPr>
        <w:t>L (2</w:t>
      </w:r>
      <w:r w:rsidR="00514137">
        <w:rPr>
          <w:rFonts w:eastAsia="Calibri" w:cs="Times New Roman"/>
          <w:color w:val="auto"/>
          <w:szCs w:val="22"/>
          <w:highlight w:val="yellow"/>
        </w:rPr>
        <w:t xml:space="preserve"> </w:t>
      </w:r>
      <w:r w:rsidRPr="00817A38">
        <w:rPr>
          <w:rFonts w:eastAsia="Calibri" w:cs="Times New Roman"/>
          <w:color w:val="auto"/>
          <w:szCs w:val="22"/>
          <w:highlight w:val="yellow"/>
        </w:rPr>
        <w:t xml:space="preserve">µg/mL final) </w:t>
      </w:r>
      <w:proofErr w:type="spellStart"/>
      <w:r w:rsidRPr="00817A38">
        <w:rPr>
          <w:rFonts w:eastAsia="Calibri" w:cs="Times New Roman"/>
          <w:color w:val="auto"/>
          <w:szCs w:val="22"/>
          <w:highlight w:val="yellow"/>
        </w:rPr>
        <w:t>bFGF</w:t>
      </w:r>
      <w:proofErr w:type="spellEnd"/>
      <w:r w:rsidRPr="00817A38">
        <w:rPr>
          <w:rFonts w:eastAsia="Calibri" w:cs="Times New Roman"/>
          <w:color w:val="auto"/>
          <w:szCs w:val="22"/>
          <w:highlight w:val="yellow"/>
        </w:rPr>
        <w:t xml:space="preserve">. Store </w:t>
      </w:r>
      <w:r w:rsidR="00514137">
        <w:rPr>
          <w:rFonts w:eastAsia="Calibri" w:cs="Times New Roman"/>
          <w:color w:val="auto"/>
          <w:szCs w:val="22"/>
          <w:highlight w:val="yellow"/>
        </w:rPr>
        <w:t>the NSC (+)</w:t>
      </w:r>
      <w:proofErr w:type="spellStart"/>
      <w:r w:rsidR="00514137">
        <w:rPr>
          <w:rFonts w:eastAsia="Calibri" w:cs="Times New Roman"/>
          <w:color w:val="auto"/>
          <w:szCs w:val="22"/>
          <w:highlight w:val="yellow"/>
        </w:rPr>
        <w:t>bFGF</w:t>
      </w:r>
      <w:proofErr w:type="spellEnd"/>
      <w:r w:rsidR="00514137">
        <w:rPr>
          <w:rFonts w:eastAsia="Calibri" w:cs="Times New Roman"/>
          <w:color w:val="auto"/>
          <w:szCs w:val="22"/>
          <w:highlight w:val="yellow"/>
        </w:rPr>
        <w:t xml:space="preserve"> </w:t>
      </w:r>
      <w:r w:rsidRPr="00817A38">
        <w:rPr>
          <w:rFonts w:eastAsia="Calibri" w:cs="Times New Roman"/>
          <w:color w:val="auto"/>
          <w:szCs w:val="22"/>
          <w:highlight w:val="yellow"/>
        </w:rPr>
        <w:t>media at 4 °C.</w:t>
      </w:r>
    </w:p>
    <w:p w14:paraId="00D313F8" w14:textId="77777777" w:rsidR="00E8305F" w:rsidRPr="00817A38" w:rsidRDefault="00E8305F" w:rsidP="00817A38">
      <w:pPr>
        <w:widowControl/>
        <w:autoSpaceDE/>
        <w:autoSpaceDN/>
        <w:adjustRightInd/>
        <w:rPr>
          <w:rFonts w:eastAsia="Calibri" w:cs="Times New Roman"/>
          <w:color w:val="auto"/>
          <w:szCs w:val="22"/>
        </w:rPr>
      </w:pPr>
    </w:p>
    <w:p w14:paraId="3CB1D1D5" w14:textId="25BA3429" w:rsidR="00E8305F" w:rsidRPr="00817A38" w:rsidRDefault="00691DBF" w:rsidP="00817A38">
      <w:pPr>
        <w:widowControl/>
        <w:autoSpaceDE/>
        <w:autoSpaceDN/>
        <w:adjustRightInd/>
        <w:rPr>
          <w:rFonts w:eastAsia="Calibri" w:cs="Times New Roman"/>
          <w:color w:val="auto"/>
          <w:szCs w:val="22"/>
        </w:rPr>
      </w:pPr>
      <w:r w:rsidRPr="00817A38">
        <w:rPr>
          <w:rFonts w:eastAsia="Calibri" w:cs="Times New Roman"/>
          <w:color w:val="auto"/>
          <w:szCs w:val="22"/>
        </w:rPr>
        <w:t>1.4</w:t>
      </w:r>
      <w:r w:rsidR="00570BB3">
        <w:rPr>
          <w:rFonts w:eastAsia="Calibri" w:cs="Times New Roman"/>
          <w:color w:val="auto"/>
          <w:szCs w:val="22"/>
        </w:rPr>
        <w:t>.</w:t>
      </w:r>
      <w:r w:rsidRPr="00817A38">
        <w:rPr>
          <w:rFonts w:eastAsia="Calibri" w:cs="Times New Roman"/>
          <w:color w:val="auto"/>
          <w:szCs w:val="22"/>
        </w:rPr>
        <w:t xml:space="preserve"> To make (</w:t>
      </w:r>
      <w:proofErr w:type="gramStart"/>
      <w:r w:rsidRPr="00817A38">
        <w:rPr>
          <w:rFonts w:eastAsia="Calibri" w:cs="Times New Roman"/>
          <w:color w:val="auto"/>
          <w:szCs w:val="22"/>
        </w:rPr>
        <w:t>-)</w:t>
      </w:r>
      <w:proofErr w:type="spellStart"/>
      <w:r w:rsidRPr="00817A38">
        <w:rPr>
          <w:rFonts w:eastAsia="Calibri" w:cs="Times New Roman"/>
          <w:color w:val="auto"/>
          <w:szCs w:val="22"/>
        </w:rPr>
        <w:t>bFGF</w:t>
      </w:r>
      <w:proofErr w:type="spellEnd"/>
      <w:proofErr w:type="gramEnd"/>
      <w:r w:rsidRPr="00817A38">
        <w:rPr>
          <w:rFonts w:eastAsia="Calibri" w:cs="Times New Roman"/>
          <w:color w:val="auto"/>
          <w:szCs w:val="22"/>
        </w:rPr>
        <w:t xml:space="preserve"> media, use the same recipe </w:t>
      </w:r>
      <w:r w:rsidR="00514137">
        <w:rPr>
          <w:rFonts w:eastAsia="Calibri" w:cs="Times New Roman"/>
          <w:color w:val="auto"/>
          <w:szCs w:val="22"/>
        </w:rPr>
        <w:t xml:space="preserve">as </w:t>
      </w:r>
      <w:r w:rsidRPr="00817A38">
        <w:rPr>
          <w:rFonts w:eastAsia="Calibri" w:cs="Times New Roman"/>
          <w:color w:val="auto"/>
          <w:szCs w:val="22"/>
        </w:rPr>
        <w:t xml:space="preserve">described in </w:t>
      </w:r>
      <w:r w:rsidR="00514137">
        <w:rPr>
          <w:rFonts w:eastAsia="Calibri" w:cs="Times New Roman"/>
          <w:color w:val="auto"/>
          <w:szCs w:val="22"/>
        </w:rPr>
        <w:t>step 1</w:t>
      </w:r>
      <w:r w:rsidRPr="00817A38">
        <w:rPr>
          <w:rFonts w:eastAsia="Calibri" w:cs="Times New Roman"/>
          <w:color w:val="auto"/>
          <w:szCs w:val="22"/>
        </w:rPr>
        <w:t xml:space="preserve">.3 but do not add </w:t>
      </w:r>
      <w:proofErr w:type="spellStart"/>
      <w:r w:rsidRPr="00817A38">
        <w:rPr>
          <w:rFonts w:eastAsia="Calibri" w:cs="Times New Roman"/>
          <w:color w:val="auto"/>
          <w:szCs w:val="22"/>
        </w:rPr>
        <w:t>bFGF</w:t>
      </w:r>
      <w:proofErr w:type="spellEnd"/>
      <w:r w:rsidRPr="00817A38">
        <w:rPr>
          <w:rFonts w:eastAsia="Calibri" w:cs="Times New Roman"/>
          <w:color w:val="auto"/>
          <w:szCs w:val="22"/>
        </w:rPr>
        <w:t xml:space="preserve">. This media will be used to differentiate NSCs to neurons and to maintain neuronal cultures after differentiation. </w:t>
      </w:r>
    </w:p>
    <w:p w14:paraId="0CCBAFD3" w14:textId="77777777" w:rsidR="00E8305F" w:rsidRPr="00817A38" w:rsidRDefault="00E8305F" w:rsidP="00817A38">
      <w:pPr>
        <w:widowControl/>
        <w:autoSpaceDE/>
        <w:autoSpaceDN/>
        <w:adjustRightInd/>
        <w:rPr>
          <w:rFonts w:eastAsia="Calibri" w:cs="Times New Roman"/>
          <w:b/>
          <w:color w:val="auto"/>
          <w:szCs w:val="22"/>
        </w:rPr>
      </w:pPr>
    </w:p>
    <w:p w14:paraId="7D24EF9D" w14:textId="77777777" w:rsidR="00E8305F" w:rsidRPr="00817A38" w:rsidRDefault="00691DBF" w:rsidP="00817A38">
      <w:pPr>
        <w:widowControl/>
        <w:autoSpaceDE/>
        <w:autoSpaceDN/>
        <w:adjustRightInd/>
        <w:rPr>
          <w:rFonts w:eastAsia="Calibri" w:cs="Times New Roman"/>
          <w:b/>
          <w:color w:val="auto"/>
          <w:szCs w:val="22"/>
        </w:rPr>
      </w:pPr>
      <w:r w:rsidRPr="00817A38">
        <w:rPr>
          <w:rFonts w:eastAsia="Calibri" w:cs="Times New Roman"/>
          <w:b/>
          <w:color w:val="auto"/>
          <w:szCs w:val="22"/>
        </w:rPr>
        <w:t>2</w:t>
      </w:r>
      <w:r w:rsidR="00570BB3">
        <w:rPr>
          <w:rFonts w:eastAsia="Calibri" w:cs="Times New Roman"/>
          <w:b/>
          <w:color w:val="auto"/>
          <w:szCs w:val="22"/>
        </w:rPr>
        <w:t>.</w:t>
      </w:r>
      <w:r w:rsidRPr="00817A38">
        <w:rPr>
          <w:rFonts w:eastAsia="Calibri" w:cs="Times New Roman"/>
          <w:b/>
          <w:color w:val="auto"/>
          <w:szCs w:val="22"/>
        </w:rPr>
        <w:t xml:space="preserve"> Lentiviral constructs</w:t>
      </w:r>
    </w:p>
    <w:p w14:paraId="0D09628F" w14:textId="77777777" w:rsidR="00E8305F" w:rsidRPr="00817A38" w:rsidRDefault="00E8305F" w:rsidP="00817A38">
      <w:pPr>
        <w:widowControl/>
        <w:autoSpaceDE/>
        <w:autoSpaceDN/>
        <w:adjustRightInd/>
        <w:rPr>
          <w:rFonts w:eastAsia="Calibri" w:cs="Times New Roman"/>
          <w:b/>
          <w:color w:val="auto"/>
          <w:szCs w:val="22"/>
        </w:rPr>
      </w:pPr>
    </w:p>
    <w:p w14:paraId="3C16B9A1" w14:textId="2354DAC2" w:rsidR="00E8305F" w:rsidRPr="00817A38" w:rsidRDefault="00691DBF" w:rsidP="00817A38">
      <w:pPr>
        <w:widowControl/>
        <w:autoSpaceDE/>
        <w:autoSpaceDN/>
        <w:adjustRightInd/>
        <w:rPr>
          <w:rFonts w:eastAsia="Calibri" w:cs="Times New Roman"/>
          <w:color w:val="auto"/>
          <w:szCs w:val="22"/>
        </w:rPr>
      </w:pPr>
      <w:r w:rsidRPr="00817A38">
        <w:rPr>
          <w:rFonts w:eastAsia="Calibri" w:cs="Times New Roman"/>
          <w:color w:val="auto"/>
          <w:szCs w:val="22"/>
        </w:rPr>
        <w:t xml:space="preserve">NOTE: Before beginning work with lentiviral constructs, ensure that </w:t>
      </w:r>
      <w:r w:rsidR="00514137">
        <w:rPr>
          <w:rFonts w:eastAsia="Calibri" w:cs="Times New Roman"/>
          <w:color w:val="auto"/>
          <w:szCs w:val="22"/>
        </w:rPr>
        <w:t>the</w:t>
      </w:r>
      <w:r w:rsidRPr="00817A38">
        <w:rPr>
          <w:rFonts w:eastAsia="Calibri" w:cs="Times New Roman"/>
          <w:color w:val="auto"/>
          <w:szCs w:val="22"/>
        </w:rPr>
        <w:t xml:space="preserve"> lab has been approved to use </w:t>
      </w:r>
      <w:r w:rsidR="00514137">
        <w:rPr>
          <w:rFonts w:eastAsia="Calibri" w:cs="Times New Roman"/>
          <w:color w:val="auto"/>
          <w:szCs w:val="22"/>
        </w:rPr>
        <w:t>biosafety level-2 (</w:t>
      </w:r>
      <w:r w:rsidRPr="00817A38">
        <w:rPr>
          <w:rFonts w:eastAsia="Calibri" w:cs="Times New Roman"/>
          <w:color w:val="auto"/>
          <w:szCs w:val="22"/>
        </w:rPr>
        <w:t>BSL-2</w:t>
      </w:r>
      <w:r w:rsidR="00514137">
        <w:rPr>
          <w:rFonts w:eastAsia="Calibri" w:cs="Times New Roman"/>
          <w:color w:val="auto"/>
          <w:szCs w:val="22"/>
        </w:rPr>
        <w:t>)</w:t>
      </w:r>
      <w:r w:rsidRPr="00817A38">
        <w:rPr>
          <w:rFonts w:eastAsia="Calibri" w:cs="Times New Roman"/>
          <w:color w:val="auto"/>
          <w:szCs w:val="22"/>
        </w:rPr>
        <w:t xml:space="preserve"> agents. Furthermore, BSL-2 culture hoods, personal protective equipment (PPE)</w:t>
      </w:r>
      <w:r w:rsidR="00514137">
        <w:rPr>
          <w:rFonts w:eastAsia="Calibri" w:cs="Times New Roman"/>
          <w:color w:val="auto"/>
          <w:szCs w:val="22"/>
        </w:rPr>
        <w:t>,</w:t>
      </w:r>
      <w:r w:rsidRPr="00817A38">
        <w:rPr>
          <w:rFonts w:eastAsia="Calibri" w:cs="Times New Roman"/>
          <w:color w:val="auto"/>
          <w:szCs w:val="22"/>
        </w:rPr>
        <w:t xml:space="preserve"> and disposal methods must be used when working with lentiviral vectors. </w:t>
      </w:r>
    </w:p>
    <w:p w14:paraId="4EDC195F" w14:textId="77777777" w:rsidR="00E8305F" w:rsidRPr="00817A38" w:rsidRDefault="00E8305F" w:rsidP="00817A38">
      <w:pPr>
        <w:widowControl/>
        <w:autoSpaceDE/>
        <w:autoSpaceDN/>
        <w:adjustRightInd/>
        <w:rPr>
          <w:rFonts w:eastAsia="Calibri" w:cs="Times New Roman"/>
          <w:color w:val="auto"/>
          <w:szCs w:val="22"/>
        </w:rPr>
      </w:pPr>
    </w:p>
    <w:p w14:paraId="6CC64114" w14:textId="6AF80941" w:rsidR="00E8305F" w:rsidRPr="00817A38" w:rsidRDefault="00045BF1" w:rsidP="00817A38">
      <w:pPr>
        <w:widowControl/>
        <w:autoSpaceDE/>
        <w:autoSpaceDN/>
        <w:adjustRightInd/>
        <w:rPr>
          <w:rFonts w:eastAsia="Calibri" w:cs="Times New Roman"/>
          <w:color w:val="auto"/>
          <w:szCs w:val="22"/>
        </w:rPr>
      </w:pPr>
      <w:r w:rsidRPr="00817A38">
        <w:rPr>
          <w:rFonts w:eastAsia="Calibri" w:cs="Times New Roman"/>
          <w:color w:val="auto"/>
          <w:szCs w:val="22"/>
        </w:rPr>
        <w:t xml:space="preserve">2.1. </w:t>
      </w:r>
      <w:r w:rsidR="00691DBF" w:rsidRPr="00817A38">
        <w:rPr>
          <w:rFonts w:eastAsia="Calibri" w:cs="Times New Roman"/>
          <w:color w:val="auto"/>
          <w:szCs w:val="22"/>
        </w:rPr>
        <w:t>Obtain tau constructs packaged into lentivirus from a preferred source</w:t>
      </w:r>
      <w:r w:rsidRPr="00817A38">
        <w:rPr>
          <w:rFonts w:eastAsia="Calibri" w:cs="Times New Roman"/>
          <w:color w:val="auto"/>
          <w:szCs w:val="22"/>
        </w:rPr>
        <w:t xml:space="preserve"> </w:t>
      </w:r>
      <w:r w:rsidR="00691DBF" w:rsidRPr="00817A38">
        <w:rPr>
          <w:rFonts w:eastAsia="Calibri" w:cs="Times New Roman"/>
          <w:color w:val="auto"/>
          <w:szCs w:val="22"/>
        </w:rPr>
        <w:t>(</w:t>
      </w:r>
      <w:r w:rsidR="00514137">
        <w:rPr>
          <w:rFonts w:eastAsia="Calibri" w:cs="Times New Roman"/>
          <w:color w:val="auto"/>
          <w:szCs w:val="22"/>
        </w:rPr>
        <w:t>s</w:t>
      </w:r>
      <w:r w:rsidR="00691DBF" w:rsidRPr="00817A38">
        <w:rPr>
          <w:rFonts w:eastAsia="Calibri" w:cs="Times New Roman"/>
          <w:color w:val="auto"/>
          <w:szCs w:val="22"/>
        </w:rPr>
        <w:t>ee Sanders et al</w:t>
      </w:r>
      <w:r w:rsidR="00514137">
        <w:rPr>
          <w:rFonts w:eastAsia="Calibri" w:cs="Times New Roman"/>
          <w:color w:val="auto"/>
          <w:szCs w:val="22"/>
        </w:rPr>
        <w:t>.</w:t>
      </w:r>
      <w:r w:rsidR="00514137" w:rsidRPr="00817A38">
        <w:rPr>
          <w:rFonts w:eastAsia="Calibri" w:cs="Times New Roman"/>
          <w:noProof/>
          <w:color w:val="auto"/>
          <w:szCs w:val="22"/>
          <w:vertAlign w:val="superscript"/>
        </w:rPr>
        <w:t>10</w:t>
      </w:r>
      <w:r w:rsidR="00691DBF" w:rsidRPr="00817A38">
        <w:rPr>
          <w:rFonts w:eastAsia="Calibri" w:cs="Times New Roman"/>
          <w:color w:val="auto"/>
          <w:szCs w:val="22"/>
        </w:rPr>
        <w:t xml:space="preserve"> for construct information). </w:t>
      </w:r>
      <w:bookmarkStart w:id="2" w:name="_Hlk536532412"/>
    </w:p>
    <w:p w14:paraId="0CBB87DE" w14:textId="77777777" w:rsidR="00E8305F" w:rsidRPr="00817A38" w:rsidRDefault="00E8305F" w:rsidP="00817A38">
      <w:pPr>
        <w:widowControl/>
        <w:autoSpaceDE/>
        <w:autoSpaceDN/>
        <w:adjustRightInd/>
        <w:rPr>
          <w:rFonts w:eastAsia="Calibri" w:cs="Times New Roman"/>
          <w:color w:val="auto"/>
          <w:szCs w:val="22"/>
        </w:rPr>
      </w:pPr>
    </w:p>
    <w:bookmarkEnd w:id="2"/>
    <w:p w14:paraId="1157FCD5" w14:textId="77777777" w:rsidR="00E8305F" w:rsidRPr="00817A38" w:rsidRDefault="00691DBF" w:rsidP="00817A38">
      <w:pPr>
        <w:widowControl/>
        <w:autoSpaceDE/>
        <w:autoSpaceDN/>
        <w:adjustRightInd/>
        <w:rPr>
          <w:rFonts w:eastAsia="Calibri" w:cs="Times New Roman"/>
          <w:b/>
          <w:color w:val="auto"/>
          <w:szCs w:val="22"/>
        </w:rPr>
      </w:pPr>
      <w:r w:rsidRPr="00817A38">
        <w:rPr>
          <w:rFonts w:eastAsia="Calibri"/>
          <w:b/>
          <w:color w:val="auto"/>
        </w:rPr>
        <w:t>3</w:t>
      </w:r>
      <w:r w:rsidR="00570BB3">
        <w:rPr>
          <w:rFonts w:eastAsia="Calibri"/>
          <w:b/>
          <w:color w:val="auto"/>
        </w:rPr>
        <w:t>.</w:t>
      </w:r>
      <w:r w:rsidRPr="00817A38">
        <w:rPr>
          <w:rFonts w:eastAsia="Calibri" w:cs="Times New Roman"/>
          <w:b/>
          <w:color w:val="auto"/>
          <w:szCs w:val="22"/>
        </w:rPr>
        <w:t xml:space="preserve"> Culturing human neural stem cells</w:t>
      </w:r>
    </w:p>
    <w:p w14:paraId="778B3F28" w14:textId="77777777" w:rsidR="00E8305F" w:rsidRPr="00817A38" w:rsidRDefault="00E8305F" w:rsidP="00817A38">
      <w:pPr>
        <w:widowControl/>
        <w:autoSpaceDE/>
        <w:autoSpaceDN/>
        <w:adjustRightInd/>
        <w:rPr>
          <w:rFonts w:eastAsia="Calibri" w:cs="Times New Roman"/>
          <w:b/>
          <w:color w:val="auto"/>
          <w:szCs w:val="22"/>
        </w:rPr>
      </w:pPr>
    </w:p>
    <w:p w14:paraId="3402E22F" w14:textId="29B387FB" w:rsidR="00E8305F" w:rsidRPr="00817A38" w:rsidRDefault="00691DBF" w:rsidP="00817A38">
      <w:pPr>
        <w:widowControl/>
        <w:autoSpaceDE/>
        <w:autoSpaceDN/>
        <w:adjustRightInd/>
        <w:rPr>
          <w:rFonts w:eastAsia="Calibri" w:cs="Times New Roman"/>
          <w:color w:val="auto"/>
          <w:szCs w:val="22"/>
        </w:rPr>
      </w:pPr>
      <w:r w:rsidRPr="00817A38">
        <w:rPr>
          <w:rFonts w:eastAsia="Calibri" w:cs="Times New Roman"/>
          <w:color w:val="auto"/>
          <w:szCs w:val="22"/>
        </w:rPr>
        <w:t>NOTE: NSCs are typically seeded at 100,000</w:t>
      </w:r>
      <w:r w:rsidR="00514137">
        <w:rPr>
          <w:rFonts w:eastAsia="Calibri" w:cs="Times New Roman"/>
          <w:color w:val="auto"/>
          <w:szCs w:val="22"/>
        </w:rPr>
        <w:t>–</w:t>
      </w:r>
      <w:r w:rsidRPr="00817A38">
        <w:rPr>
          <w:rFonts w:eastAsia="Calibri" w:cs="Times New Roman"/>
          <w:color w:val="auto"/>
          <w:szCs w:val="22"/>
        </w:rPr>
        <w:t>150,000 cells/cm</w:t>
      </w:r>
      <w:r w:rsidRPr="00817A38">
        <w:rPr>
          <w:rFonts w:eastAsia="Calibri" w:cs="Times New Roman"/>
          <w:color w:val="auto"/>
          <w:szCs w:val="22"/>
          <w:vertAlign w:val="superscript"/>
        </w:rPr>
        <w:t>2</w:t>
      </w:r>
      <w:r w:rsidRPr="00817A38">
        <w:rPr>
          <w:rFonts w:eastAsia="Calibri" w:cs="Times New Roman"/>
          <w:color w:val="auto"/>
          <w:szCs w:val="22"/>
        </w:rPr>
        <w:t xml:space="preserve"> and most commercially available NSCs are sold as 1</w:t>
      </w:r>
      <w:r w:rsidR="00514137">
        <w:rPr>
          <w:rFonts w:eastAsia="Calibri" w:cs="Times New Roman"/>
          <w:color w:val="auto"/>
          <w:szCs w:val="22"/>
        </w:rPr>
        <w:t xml:space="preserve"> x </w:t>
      </w:r>
      <w:r w:rsidRPr="00817A38">
        <w:rPr>
          <w:rFonts w:eastAsia="Calibri" w:cs="Times New Roman"/>
          <w:color w:val="auto"/>
          <w:szCs w:val="22"/>
        </w:rPr>
        <w:t>10</w:t>
      </w:r>
      <w:r w:rsidRPr="00817A38">
        <w:rPr>
          <w:rFonts w:eastAsia="Calibri" w:cs="Times New Roman"/>
          <w:color w:val="auto"/>
          <w:szCs w:val="22"/>
          <w:vertAlign w:val="superscript"/>
        </w:rPr>
        <w:t>6</w:t>
      </w:r>
      <w:r w:rsidR="00045BF1" w:rsidRPr="001362CF">
        <w:rPr>
          <w:rFonts w:eastAsia="Calibri" w:cs="Times New Roman"/>
          <w:color w:val="auto"/>
          <w:szCs w:val="22"/>
        </w:rPr>
        <w:t xml:space="preserve"> </w:t>
      </w:r>
      <w:r w:rsidRPr="00817A38">
        <w:rPr>
          <w:rFonts w:eastAsia="Calibri" w:cs="Times New Roman"/>
          <w:color w:val="auto"/>
          <w:szCs w:val="22"/>
        </w:rPr>
        <w:t>cells/vial. This protocol has been optimized for 10 cm cell culture dishes (although other sizes of dishes may be used)</w:t>
      </w:r>
      <w:r w:rsidR="00514137">
        <w:rPr>
          <w:rFonts w:eastAsia="Calibri" w:cs="Times New Roman"/>
          <w:color w:val="auto"/>
          <w:szCs w:val="22"/>
        </w:rPr>
        <w:t>;</w:t>
      </w:r>
      <w:r w:rsidRPr="00817A38">
        <w:rPr>
          <w:rFonts w:eastAsia="Calibri" w:cs="Times New Roman"/>
          <w:color w:val="auto"/>
          <w:szCs w:val="22"/>
        </w:rPr>
        <w:t xml:space="preserve"> therefore, if commercially available NSCs</w:t>
      </w:r>
      <w:r w:rsidR="00514137">
        <w:rPr>
          <w:rFonts w:eastAsia="Calibri" w:cs="Times New Roman"/>
          <w:color w:val="auto"/>
          <w:szCs w:val="22"/>
        </w:rPr>
        <w:t xml:space="preserve"> are being used</w:t>
      </w:r>
      <w:r w:rsidRPr="00817A38">
        <w:rPr>
          <w:rFonts w:eastAsia="Calibri" w:cs="Times New Roman"/>
          <w:color w:val="auto"/>
          <w:szCs w:val="22"/>
        </w:rPr>
        <w:t xml:space="preserve">, </w:t>
      </w:r>
      <w:r w:rsidR="00514137">
        <w:rPr>
          <w:rFonts w:eastAsia="Calibri" w:cs="Times New Roman"/>
          <w:color w:val="auto"/>
          <w:szCs w:val="22"/>
        </w:rPr>
        <w:t xml:space="preserve">the </w:t>
      </w:r>
      <w:r w:rsidRPr="00817A38">
        <w:rPr>
          <w:rFonts w:eastAsia="Calibri" w:cs="Times New Roman"/>
          <w:color w:val="auto"/>
          <w:szCs w:val="22"/>
        </w:rPr>
        <w:t xml:space="preserve">NSCs may need to be expanded by first </w:t>
      </w:r>
      <w:r w:rsidR="00514137">
        <w:rPr>
          <w:rFonts w:eastAsia="Calibri" w:cs="Times New Roman"/>
          <w:color w:val="auto"/>
          <w:szCs w:val="22"/>
        </w:rPr>
        <w:t>being cultured</w:t>
      </w:r>
      <w:r w:rsidRPr="00817A38">
        <w:rPr>
          <w:rFonts w:eastAsia="Calibri" w:cs="Times New Roman"/>
          <w:color w:val="auto"/>
          <w:szCs w:val="22"/>
        </w:rPr>
        <w:t xml:space="preserve"> in </w:t>
      </w:r>
      <w:r w:rsidR="00334D2C">
        <w:rPr>
          <w:rFonts w:eastAsia="Calibri" w:cs="Times New Roman"/>
          <w:color w:val="auto"/>
          <w:szCs w:val="22"/>
        </w:rPr>
        <w:t>six</w:t>
      </w:r>
      <w:r w:rsidRPr="00817A38">
        <w:rPr>
          <w:rFonts w:eastAsia="Calibri" w:cs="Times New Roman"/>
          <w:color w:val="auto"/>
          <w:szCs w:val="22"/>
        </w:rPr>
        <w:t xml:space="preserve">-well dishes in order to </w:t>
      </w:r>
      <w:r w:rsidR="00514137">
        <w:rPr>
          <w:rFonts w:eastAsia="Calibri" w:cs="Times New Roman"/>
          <w:color w:val="auto"/>
          <w:szCs w:val="22"/>
        </w:rPr>
        <w:t>result</w:t>
      </w:r>
      <w:r w:rsidRPr="00817A38">
        <w:rPr>
          <w:rFonts w:eastAsia="Calibri" w:cs="Times New Roman"/>
          <w:color w:val="auto"/>
          <w:szCs w:val="22"/>
        </w:rPr>
        <w:t xml:space="preserve"> </w:t>
      </w:r>
      <w:r w:rsidR="00514137">
        <w:rPr>
          <w:rFonts w:eastAsia="Calibri" w:cs="Times New Roman"/>
          <w:color w:val="auto"/>
          <w:szCs w:val="22"/>
        </w:rPr>
        <w:t xml:space="preserve">in </w:t>
      </w:r>
      <w:r w:rsidRPr="00817A38">
        <w:rPr>
          <w:rFonts w:eastAsia="Calibri" w:cs="Times New Roman"/>
          <w:color w:val="auto"/>
          <w:szCs w:val="22"/>
        </w:rPr>
        <w:t>enough cells to seed 10</w:t>
      </w:r>
      <w:r w:rsidR="00514137">
        <w:rPr>
          <w:rFonts w:eastAsia="Calibri" w:cs="Times New Roman"/>
          <w:color w:val="auto"/>
          <w:szCs w:val="22"/>
        </w:rPr>
        <w:t xml:space="preserve"> </w:t>
      </w:r>
      <w:r w:rsidRPr="00817A38">
        <w:rPr>
          <w:rFonts w:eastAsia="Calibri" w:cs="Times New Roman"/>
          <w:color w:val="auto"/>
          <w:szCs w:val="22"/>
        </w:rPr>
        <w:t>cm dishes. This protocol can alternatively be adapted for a variety of cell culture dish sizes (</w:t>
      </w:r>
      <w:r w:rsidR="00514137">
        <w:rPr>
          <w:rFonts w:eastAsia="Calibri" w:cs="Times New Roman"/>
          <w:color w:val="auto"/>
          <w:szCs w:val="22"/>
        </w:rPr>
        <w:t>but it</w:t>
      </w:r>
      <w:r w:rsidRPr="00817A38">
        <w:rPr>
          <w:rFonts w:eastAsia="Calibri" w:cs="Times New Roman"/>
          <w:color w:val="auto"/>
          <w:szCs w:val="22"/>
        </w:rPr>
        <w:t xml:space="preserve"> does not contain instructions for passaging NSCs as these protocols are available elsewhere</w:t>
      </w:r>
      <w:r w:rsidRPr="00817A38">
        <w:rPr>
          <w:rFonts w:eastAsia="Calibri" w:cs="Times New Roman"/>
          <w:noProof/>
          <w:color w:val="auto"/>
          <w:szCs w:val="22"/>
          <w:vertAlign w:val="superscript"/>
        </w:rPr>
        <w:t>11,12</w:t>
      </w:r>
      <w:r w:rsidRPr="00817A38">
        <w:rPr>
          <w:rFonts w:eastAsia="Calibri" w:cs="Times New Roman"/>
          <w:color w:val="auto"/>
          <w:szCs w:val="22"/>
        </w:rPr>
        <w:t>).</w:t>
      </w:r>
    </w:p>
    <w:p w14:paraId="6DABFA44" w14:textId="77777777" w:rsidR="00E8305F" w:rsidRPr="00817A38" w:rsidRDefault="00E8305F" w:rsidP="00817A38">
      <w:pPr>
        <w:widowControl/>
        <w:autoSpaceDE/>
        <w:autoSpaceDN/>
        <w:adjustRightInd/>
        <w:rPr>
          <w:rFonts w:eastAsia="Calibri" w:cs="Times New Roman"/>
          <w:color w:val="auto"/>
          <w:szCs w:val="22"/>
        </w:rPr>
      </w:pPr>
    </w:p>
    <w:p w14:paraId="6749AE1B" w14:textId="5BCBECF3" w:rsidR="001211DE" w:rsidRDefault="00691DBF" w:rsidP="00817A38">
      <w:pPr>
        <w:widowControl/>
        <w:autoSpaceDE/>
        <w:autoSpaceDN/>
        <w:adjustRightInd/>
        <w:rPr>
          <w:rFonts w:eastAsia="Calibri"/>
          <w:color w:val="auto"/>
          <w:highlight w:val="yellow"/>
        </w:rPr>
      </w:pPr>
      <w:r w:rsidRPr="00817A38">
        <w:rPr>
          <w:rFonts w:eastAsia="Calibri" w:cs="Times New Roman"/>
          <w:color w:val="auto"/>
          <w:szCs w:val="22"/>
          <w:highlight w:val="yellow"/>
        </w:rPr>
        <w:t>3</w:t>
      </w:r>
      <w:r w:rsidRPr="00817A38">
        <w:rPr>
          <w:rFonts w:eastAsia="Calibri"/>
          <w:color w:val="auto"/>
          <w:highlight w:val="yellow"/>
        </w:rPr>
        <w:t>.1</w:t>
      </w:r>
      <w:r w:rsidR="00570BB3">
        <w:rPr>
          <w:rFonts w:eastAsia="Calibri"/>
          <w:color w:val="auto"/>
          <w:highlight w:val="yellow"/>
        </w:rPr>
        <w:t>.</w:t>
      </w:r>
      <w:r w:rsidRPr="00817A38">
        <w:rPr>
          <w:rFonts w:eastAsia="Calibri"/>
          <w:color w:val="auto"/>
          <w:highlight w:val="yellow"/>
        </w:rPr>
        <w:t xml:space="preserve"> </w:t>
      </w:r>
      <w:r w:rsidR="001211DE">
        <w:rPr>
          <w:rFonts w:eastAsia="Calibri"/>
          <w:color w:val="auto"/>
          <w:highlight w:val="yellow"/>
        </w:rPr>
        <w:t>For the p</w:t>
      </w:r>
      <w:r w:rsidRPr="00817A38">
        <w:rPr>
          <w:rFonts w:eastAsia="Calibri"/>
          <w:color w:val="auto"/>
          <w:highlight w:val="yellow"/>
        </w:rPr>
        <w:t>reparation of cell culture plates</w:t>
      </w:r>
      <w:r w:rsidR="001211DE">
        <w:rPr>
          <w:rFonts w:eastAsia="Calibri"/>
          <w:color w:val="auto"/>
          <w:highlight w:val="yellow"/>
        </w:rPr>
        <w:t>,</w:t>
      </w:r>
      <w:r w:rsidRPr="00817A38">
        <w:rPr>
          <w:rFonts w:eastAsia="Calibri"/>
          <w:color w:val="auto"/>
          <w:highlight w:val="yellow"/>
        </w:rPr>
        <w:t xml:space="preserve"> </w:t>
      </w:r>
      <w:r w:rsidR="001211DE">
        <w:rPr>
          <w:rFonts w:eastAsia="Calibri"/>
          <w:color w:val="auto"/>
          <w:highlight w:val="yellow"/>
        </w:rPr>
        <w:t>r</w:t>
      </w:r>
      <w:r w:rsidRPr="00817A38">
        <w:rPr>
          <w:rFonts w:eastAsia="Calibri"/>
          <w:color w:val="auto"/>
          <w:highlight w:val="yellow"/>
        </w:rPr>
        <w:t xml:space="preserve">emove </w:t>
      </w:r>
      <w:r w:rsidR="001211DE">
        <w:rPr>
          <w:rFonts w:eastAsia="Calibri"/>
          <w:color w:val="auto"/>
          <w:highlight w:val="yellow"/>
        </w:rPr>
        <w:t>one</w:t>
      </w:r>
      <w:r w:rsidRPr="00817A38">
        <w:rPr>
          <w:rFonts w:eastAsia="Calibri"/>
          <w:color w:val="auto"/>
          <w:highlight w:val="yellow"/>
        </w:rPr>
        <w:t xml:space="preserve"> aliquot of frozen basement membrane matrix coating for cell culture plates and allow </w:t>
      </w:r>
      <w:r w:rsidR="001211DE">
        <w:rPr>
          <w:rFonts w:eastAsia="Calibri"/>
          <w:color w:val="auto"/>
          <w:highlight w:val="yellow"/>
        </w:rPr>
        <w:t xml:space="preserve">it </w:t>
      </w:r>
      <w:r w:rsidRPr="00817A38">
        <w:rPr>
          <w:rFonts w:eastAsia="Calibri"/>
          <w:color w:val="auto"/>
          <w:highlight w:val="yellow"/>
        </w:rPr>
        <w:t xml:space="preserve">to thaw at 4 °C (aliquots can be placed at 4 °C overnight the day before </w:t>
      </w:r>
      <w:r w:rsidR="001211DE">
        <w:rPr>
          <w:rFonts w:eastAsia="Calibri"/>
          <w:color w:val="auto"/>
          <w:highlight w:val="yellow"/>
        </w:rPr>
        <w:t xml:space="preserve">the </w:t>
      </w:r>
      <w:r w:rsidRPr="00817A38">
        <w:rPr>
          <w:rFonts w:eastAsia="Calibri"/>
          <w:color w:val="auto"/>
          <w:highlight w:val="yellow"/>
        </w:rPr>
        <w:t xml:space="preserve">cells are to be seeded). </w:t>
      </w:r>
      <w:r w:rsidR="001211DE">
        <w:rPr>
          <w:rFonts w:eastAsia="Calibri"/>
          <w:color w:val="auto"/>
          <w:highlight w:val="yellow"/>
        </w:rPr>
        <w:t xml:space="preserve">Add </w:t>
      </w:r>
      <w:r w:rsidRPr="00817A38">
        <w:rPr>
          <w:rFonts w:eastAsia="Calibri"/>
          <w:color w:val="auto"/>
          <w:highlight w:val="yellow"/>
        </w:rPr>
        <w:t>385 µL of basement membrane matrix coating to 5 mL of DMEM</w:t>
      </w:r>
      <w:r w:rsidR="001211DE">
        <w:rPr>
          <w:rFonts w:eastAsia="Calibri"/>
          <w:color w:val="auto"/>
          <w:highlight w:val="yellow"/>
        </w:rPr>
        <w:t>/</w:t>
      </w:r>
      <w:r w:rsidRPr="00817A38">
        <w:rPr>
          <w:rFonts w:eastAsia="Calibri"/>
          <w:color w:val="auto"/>
          <w:highlight w:val="yellow"/>
        </w:rPr>
        <w:t xml:space="preserve">F12 media + </w:t>
      </w:r>
      <w:r w:rsidR="001211DE">
        <w:rPr>
          <w:rFonts w:eastAsia="Calibri"/>
          <w:color w:val="auto"/>
          <w:highlight w:val="yellow"/>
        </w:rPr>
        <w:t>p</w:t>
      </w:r>
      <w:r w:rsidRPr="00817A38">
        <w:rPr>
          <w:rFonts w:eastAsia="Calibri"/>
          <w:color w:val="auto"/>
          <w:highlight w:val="yellow"/>
        </w:rPr>
        <w:t>enicillin-</w:t>
      </w:r>
      <w:r w:rsidR="001211DE">
        <w:rPr>
          <w:rFonts w:eastAsia="Calibri"/>
          <w:color w:val="auto"/>
          <w:highlight w:val="yellow"/>
        </w:rPr>
        <w:t>s</w:t>
      </w:r>
      <w:r w:rsidRPr="00817A38">
        <w:rPr>
          <w:rFonts w:eastAsia="Calibri"/>
          <w:color w:val="auto"/>
          <w:highlight w:val="yellow"/>
        </w:rPr>
        <w:t xml:space="preserve">treptomycin. </w:t>
      </w:r>
    </w:p>
    <w:p w14:paraId="36A5A06E" w14:textId="77777777" w:rsidR="001211DE" w:rsidRDefault="001211DE" w:rsidP="00817A38">
      <w:pPr>
        <w:widowControl/>
        <w:autoSpaceDE/>
        <w:autoSpaceDN/>
        <w:adjustRightInd/>
        <w:rPr>
          <w:rFonts w:eastAsia="Calibri"/>
          <w:color w:val="auto"/>
          <w:highlight w:val="yellow"/>
        </w:rPr>
      </w:pPr>
    </w:p>
    <w:p w14:paraId="79ACF0B2" w14:textId="00BB0ECF" w:rsidR="00E8305F" w:rsidRPr="00817A38" w:rsidRDefault="001211DE" w:rsidP="00817A38">
      <w:pPr>
        <w:widowControl/>
        <w:autoSpaceDE/>
        <w:autoSpaceDN/>
        <w:adjustRightInd/>
        <w:rPr>
          <w:rFonts w:eastAsia="Calibri" w:cs="Times New Roman"/>
          <w:color w:val="auto"/>
          <w:szCs w:val="22"/>
        </w:rPr>
      </w:pPr>
      <w:r>
        <w:rPr>
          <w:rFonts w:eastAsia="Calibri"/>
          <w:color w:val="auto"/>
          <w:highlight w:val="yellow"/>
        </w:rPr>
        <w:t xml:space="preserve">NOTE: </w:t>
      </w:r>
      <w:r w:rsidR="00691DBF" w:rsidRPr="00817A38">
        <w:rPr>
          <w:rFonts w:eastAsia="Calibri"/>
          <w:color w:val="auto"/>
          <w:highlight w:val="yellow"/>
        </w:rPr>
        <w:t xml:space="preserve">5 mL of </w:t>
      </w:r>
      <w:r>
        <w:rPr>
          <w:rFonts w:eastAsia="Calibri"/>
          <w:color w:val="auto"/>
          <w:highlight w:val="yellow"/>
        </w:rPr>
        <w:t>DMEM/F12 media + penicillin-streptomycin</w:t>
      </w:r>
      <w:r w:rsidR="00691DBF" w:rsidRPr="00817A38">
        <w:rPr>
          <w:rFonts w:eastAsia="Calibri"/>
          <w:color w:val="auto"/>
          <w:highlight w:val="yellow"/>
        </w:rPr>
        <w:t xml:space="preserve"> is enough to coat a single 10 cm dish (1 mL of this basement membrane matrix coating solution is </w:t>
      </w:r>
      <w:proofErr w:type="gramStart"/>
      <w:r w:rsidR="00691DBF" w:rsidRPr="00817A38">
        <w:rPr>
          <w:rFonts w:eastAsia="Calibri"/>
          <w:color w:val="auto"/>
          <w:highlight w:val="yellow"/>
        </w:rPr>
        <w:t>sufficient</w:t>
      </w:r>
      <w:proofErr w:type="gramEnd"/>
      <w:r w:rsidR="00691DBF" w:rsidRPr="00817A38">
        <w:rPr>
          <w:rFonts w:eastAsia="Calibri"/>
          <w:color w:val="auto"/>
          <w:highlight w:val="yellow"/>
        </w:rPr>
        <w:t xml:space="preserve"> to coat </w:t>
      </w:r>
      <w:r w:rsidR="00334D2C">
        <w:rPr>
          <w:rFonts w:eastAsia="Calibri"/>
          <w:color w:val="auto"/>
          <w:highlight w:val="yellow"/>
        </w:rPr>
        <w:t>one</w:t>
      </w:r>
      <w:r w:rsidR="00691DBF" w:rsidRPr="00817A38">
        <w:rPr>
          <w:rFonts w:eastAsia="Calibri"/>
          <w:color w:val="auto"/>
          <w:highlight w:val="yellow"/>
        </w:rPr>
        <w:t xml:space="preserve"> well of a </w:t>
      </w:r>
      <w:r w:rsidR="00334D2C">
        <w:rPr>
          <w:rFonts w:eastAsia="Calibri"/>
          <w:color w:val="auto"/>
          <w:highlight w:val="yellow"/>
        </w:rPr>
        <w:t>six</w:t>
      </w:r>
      <w:r>
        <w:rPr>
          <w:rFonts w:eastAsia="Calibri"/>
          <w:color w:val="auto"/>
          <w:highlight w:val="yellow"/>
        </w:rPr>
        <w:t>-</w:t>
      </w:r>
      <w:r w:rsidR="00691DBF" w:rsidRPr="00817A38">
        <w:rPr>
          <w:rFonts w:eastAsia="Calibri"/>
          <w:color w:val="auto"/>
          <w:highlight w:val="yellow"/>
        </w:rPr>
        <w:t xml:space="preserve">well dish). </w:t>
      </w:r>
      <w:r w:rsidR="00691DBF" w:rsidRPr="00817A38">
        <w:rPr>
          <w:rFonts w:eastAsia="Calibri" w:cs="Times New Roman"/>
          <w:color w:val="auto"/>
          <w:szCs w:val="22"/>
          <w:highlight w:val="yellow"/>
        </w:rPr>
        <w:t xml:space="preserve">Alternatively, if </w:t>
      </w:r>
      <w:r>
        <w:rPr>
          <w:rFonts w:eastAsia="Calibri" w:cs="Times New Roman"/>
          <w:color w:val="auto"/>
          <w:szCs w:val="22"/>
          <w:highlight w:val="yellow"/>
        </w:rPr>
        <w:t xml:space="preserve">the </w:t>
      </w:r>
      <w:r w:rsidR="00691DBF" w:rsidRPr="00817A38">
        <w:rPr>
          <w:rFonts w:eastAsia="Calibri"/>
          <w:color w:val="auto"/>
          <w:highlight w:val="yellow"/>
        </w:rPr>
        <w:t>cells are to be fixed and immunostained, or stained for thioflavin, culture cells on glass coverslips in 24</w:t>
      </w:r>
      <w:r>
        <w:rPr>
          <w:rFonts w:eastAsia="Calibri"/>
          <w:color w:val="auto"/>
          <w:highlight w:val="yellow"/>
        </w:rPr>
        <w:t>-</w:t>
      </w:r>
      <w:r w:rsidR="00691DBF" w:rsidRPr="00817A38">
        <w:rPr>
          <w:rFonts w:eastAsia="Calibri"/>
          <w:color w:val="auto"/>
          <w:highlight w:val="yellow"/>
        </w:rPr>
        <w:t>well culture dishes.</w:t>
      </w:r>
      <w:r w:rsidR="00691DBF" w:rsidRPr="00817A38">
        <w:rPr>
          <w:rFonts w:eastAsia="Calibri" w:cs="Times New Roman"/>
          <w:color w:val="auto"/>
          <w:szCs w:val="22"/>
        </w:rPr>
        <w:t xml:space="preserve"> </w:t>
      </w:r>
    </w:p>
    <w:p w14:paraId="7A9ACF60" w14:textId="77777777" w:rsidR="00E8305F" w:rsidRPr="00817A38" w:rsidRDefault="00E8305F" w:rsidP="00817A38">
      <w:pPr>
        <w:widowControl/>
        <w:autoSpaceDE/>
        <w:autoSpaceDN/>
        <w:adjustRightInd/>
        <w:rPr>
          <w:rFonts w:eastAsia="Calibri" w:cs="Times New Roman"/>
          <w:color w:val="auto"/>
          <w:szCs w:val="22"/>
        </w:rPr>
      </w:pPr>
    </w:p>
    <w:p w14:paraId="201299AD" w14:textId="29C4175A" w:rsidR="00E8305F" w:rsidRDefault="00691DBF" w:rsidP="00817A38">
      <w:pPr>
        <w:widowControl/>
        <w:autoSpaceDE/>
        <w:autoSpaceDN/>
        <w:adjustRightInd/>
        <w:rPr>
          <w:rFonts w:eastAsia="Calibri" w:cs="Times New Roman"/>
          <w:color w:val="auto"/>
          <w:szCs w:val="22"/>
        </w:rPr>
      </w:pPr>
      <w:r w:rsidRPr="00817A38">
        <w:rPr>
          <w:rFonts w:eastAsia="Calibri" w:cs="Times New Roman"/>
          <w:color w:val="auto"/>
          <w:szCs w:val="22"/>
        </w:rPr>
        <w:t xml:space="preserve">3.1.1. Keep </w:t>
      </w:r>
      <w:r w:rsidR="001211DE">
        <w:rPr>
          <w:rFonts w:eastAsia="Calibri" w:cs="Times New Roman"/>
          <w:color w:val="auto"/>
          <w:szCs w:val="22"/>
        </w:rPr>
        <w:t xml:space="preserve">the </w:t>
      </w:r>
      <w:r w:rsidRPr="00817A38">
        <w:rPr>
          <w:rFonts w:eastAsia="Calibri" w:cs="Times New Roman"/>
          <w:color w:val="auto"/>
          <w:szCs w:val="22"/>
        </w:rPr>
        <w:t xml:space="preserve">media and </w:t>
      </w:r>
      <w:r w:rsidR="001211DE">
        <w:rPr>
          <w:rFonts w:eastAsia="Calibri" w:cs="Times New Roman"/>
          <w:color w:val="auto"/>
          <w:szCs w:val="22"/>
        </w:rPr>
        <w:t xml:space="preserve">the </w:t>
      </w:r>
      <w:r w:rsidRPr="00817A38">
        <w:rPr>
          <w:rFonts w:eastAsia="Calibri" w:cs="Times New Roman"/>
          <w:color w:val="auto"/>
          <w:szCs w:val="22"/>
        </w:rPr>
        <w:t xml:space="preserve">matrix coating cold before and while adding </w:t>
      </w:r>
      <w:r w:rsidR="001211DE">
        <w:rPr>
          <w:rFonts w:eastAsia="Calibri" w:cs="Times New Roman"/>
          <w:color w:val="auto"/>
          <w:szCs w:val="22"/>
        </w:rPr>
        <w:t xml:space="preserve">them </w:t>
      </w:r>
      <w:r w:rsidRPr="00817A38">
        <w:rPr>
          <w:rFonts w:eastAsia="Calibri" w:cs="Times New Roman"/>
          <w:color w:val="auto"/>
          <w:szCs w:val="22"/>
        </w:rPr>
        <w:t>to culture dishes</w:t>
      </w:r>
      <w:r w:rsidR="001211DE">
        <w:rPr>
          <w:rFonts w:eastAsia="Calibri" w:cs="Times New Roman"/>
          <w:color w:val="auto"/>
          <w:szCs w:val="22"/>
        </w:rPr>
        <w:t xml:space="preserve">. </w:t>
      </w:r>
      <w:r w:rsidRPr="00817A38">
        <w:rPr>
          <w:rFonts w:eastAsia="Calibri" w:cs="Times New Roman"/>
          <w:color w:val="auto"/>
          <w:szCs w:val="22"/>
        </w:rPr>
        <w:t xml:space="preserve">Add </w:t>
      </w:r>
      <w:r w:rsidR="001211DE">
        <w:rPr>
          <w:rFonts w:eastAsia="Calibri" w:cs="Times New Roman"/>
          <w:color w:val="auto"/>
          <w:szCs w:val="22"/>
        </w:rPr>
        <w:t xml:space="preserve">the </w:t>
      </w:r>
      <w:r w:rsidRPr="00817A38">
        <w:rPr>
          <w:rFonts w:eastAsia="Calibri" w:cs="Times New Roman"/>
          <w:color w:val="auto"/>
          <w:szCs w:val="22"/>
        </w:rPr>
        <w:t xml:space="preserve">basement membrane matrix coating to culture dishes and place </w:t>
      </w:r>
      <w:r w:rsidR="001211DE">
        <w:rPr>
          <w:rFonts w:eastAsia="Calibri" w:cs="Times New Roman"/>
          <w:color w:val="auto"/>
          <w:szCs w:val="22"/>
        </w:rPr>
        <w:t xml:space="preserve">the </w:t>
      </w:r>
      <w:r w:rsidRPr="00817A38">
        <w:rPr>
          <w:rFonts w:eastAsia="Calibri" w:cs="Times New Roman"/>
          <w:color w:val="auto"/>
          <w:szCs w:val="22"/>
        </w:rPr>
        <w:t xml:space="preserve">dishes in </w:t>
      </w:r>
      <w:r w:rsidR="001211DE">
        <w:rPr>
          <w:rFonts w:eastAsia="Calibri" w:cs="Times New Roman"/>
          <w:color w:val="auto"/>
          <w:szCs w:val="22"/>
        </w:rPr>
        <w:t xml:space="preserve">an </w:t>
      </w:r>
      <w:r w:rsidRPr="00817A38">
        <w:rPr>
          <w:rFonts w:eastAsia="Calibri" w:cs="Times New Roman"/>
          <w:color w:val="auto"/>
          <w:szCs w:val="22"/>
        </w:rPr>
        <w:t>incubator (</w:t>
      </w:r>
      <w:r w:rsidR="001211DE">
        <w:rPr>
          <w:rFonts w:eastAsia="Calibri" w:cs="Times New Roman"/>
          <w:color w:val="auto"/>
          <w:szCs w:val="22"/>
        </w:rPr>
        <w:t xml:space="preserve">at </w:t>
      </w:r>
      <w:r w:rsidRPr="00817A38">
        <w:rPr>
          <w:rFonts w:eastAsia="Calibri" w:cs="Times New Roman"/>
          <w:color w:val="auto"/>
          <w:szCs w:val="22"/>
        </w:rPr>
        <w:t xml:space="preserve">37 </w:t>
      </w:r>
      <w:r w:rsidRPr="00817A38">
        <w:rPr>
          <w:rFonts w:eastAsia="Calibri"/>
          <w:color w:val="auto"/>
          <w:szCs w:val="22"/>
        </w:rPr>
        <w:t>°</w:t>
      </w:r>
      <w:r w:rsidRPr="00817A38">
        <w:rPr>
          <w:rFonts w:eastAsia="Calibri" w:cs="Times New Roman"/>
          <w:color w:val="auto"/>
          <w:szCs w:val="22"/>
        </w:rPr>
        <w:t xml:space="preserve">C) for 1 h. For optimal coating, do not incubate </w:t>
      </w:r>
      <w:r w:rsidR="001211DE">
        <w:rPr>
          <w:rFonts w:eastAsia="Calibri" w:cs="Times New Roman"/>
          <w:color w:val="auto"/>
          <w:szCs w:val="22"/>
        </w:rPr>
        <w:t xml:space="preserve">the </w:t>
      </w:r>
      <w:r w:rsidRPr="00817A38">
        <w:rPr>
          <w:rFonts w:eastAsia="Calibri" w:cs="Times New Roman"/>
          <w:color w:val="auto"/>
          <w:szCs w:val="22"/>
        </w:rPr>
        <w:t xml:space="preserve">basement membrane matrix </w:t>
      </w:r>
      <w:r w:rsidR="001211DE">
        <w:rPr>
          <w:rFonts w:eastAsia="Calibri" w:cs="Times New Roman"/>
          <w:color w:val="auto"/>
          <w:szCs w:val="22"/>
        </w:rPr>
        <w:t>for more than</w:t>
      </w:r>
      <w:r w:rsidRPr="00817A38">
        <w:rPr>
          <w:rFonts w:eastAsia="Calibri" w:cs="Times New Roman"/>
          <w:color w:val="auto"/>
          <w:szCs w:val="22"/>
        </w:rPr>
        <w:t xml:space="preserve"> or </w:t>
      </w:r>
      <w:r w:rsidR="001211DE">
        <w:rPr>
          <w:rFonts w:eastAsia="Calibri" w:cs="Times New Roman"/>
          <w:color w:val="auto"/>
          <w:szCs w:val="22"/>
        </w:rPr>
        <w:t>less than</w:t>
      </w:r>
      <w:r w:rsidRPr="00817A38">
        <w:rPr>
          <w:rFonts w:eastAsia="Calibri" w:cs="Times New Roman"/>
          <w:color w:val="auto"/>
          <w:szCs w:val="22"/>
        </w:rPr>
        <w:t xml:space="preserve"> 1</w:t>
      </w:r>
      <w:r w:rsidR="001211DE">
        <w:rPr>
          <w:rFonts w:eastAsia="Calibri" w:cs="Times New Roman"/>
          <w:color w:val="auto"/>
          <w:szCs w:val="22"/>
        </w:rPr>
        <w:t xml:space="preserve"> </w:t>
      </w:r>
      <w:r w:rsidRPr="00817A38">
        <w:rPr>
          <w:rFonts w:eastAsia="Calibri" w:cs="Times New Roman"/>
          <w:color w:val="auto"/>
          <w:szCs w:val="22"/>
        </w:rPr>
        <w:t>h.</w:t>
      </w:r>
      <w:r w:rsidR="00045BF1" w:rsidRPr="00817A38">
        <w:rPr>
          <w:rFonts w:eastAsia="Calibri" w:cs="Times New Roman"/>
          <w:color w:val="auto"/>
          <w:szCs w:val="22"/>
        </w:rPr>
        <w:t xml:space="preserve"> </w:t>
      </w:r>
      <w:r w:rsidRPr="00817A38">
        <w:rPr>
          <w:rFonts w:eastAsia="Calibri" w:cs="Times New Roman"/>
          <w:color w:val="auto"/>
          <w:szCs w:val="22"/>
        </w:rPr>
        <w:t xml:space="preserve">After 1 h, aspirate </w:t>
      </w:r>
      <w:r w:rsidR="001211DE">
        <w:rPr>
          <w:rFonts w:eastAsia="Calibri" w:cs="Times New Roman"/>
          <w:color w:val="auto"/>
          <w:szCs w:val="22"/>
        </w:rPr>
        <w:t xml:space="preserve">the </w:t>
      </w:r>
      <w:r w:rsidRPr="00817A38">
        <w:rPr>
          <w:rFonts w:eastAsia="Calibri" w:cs="Times New Roman"/>
          <w:color w:val="auto"/>
          <w:szCs w:val="22"/>
        </w:rPr>
        <w:t xml:space="preserve">basement membrane matrix coating from </w:t>
      </w:r>
      <w:r w:rsidR="001211DE">
        <w:rPr>
          <w:rFonts w:eastAsia="Calibri" w:cs="Times New Roman"/>
          <w:color w:val="auto"/>
          <w:szCs w:val="22"/>
        </w:rPr>
        <w:t xml:space="preserve">the </w:t>
      </w:r>
      <w:r w:rsidRPr="00817A38">
        <w:rPr>
          <w:rFonts w:eastAsia="Calibri" w:cs="Times New Roman"/>
          <w:color w:val="auto"/>
          <w:szCs w:val="22"/>
        </w:rPr>
        <w:t xml:space="preserve">cell cultures dishes. </w:t>
      </w:r>
      <w:r w:rsidR="001211DE">
        <w:rPr>
          <w:rFonts w:eastAsia="Calibri" w:cs="Times New Roman"/>
          <w:color w:val="auto"/>
          <w:szCs w:val="22"/>
        </w:rPr>
        <w:t xml:space="preserve">Make sure </w:t>
      </w:r>
      <w:r w:rsidRPr="00817A38">
        <w:rPr>
          <w:rFonts w:eastAsia="Calibri" w:cs="Times New Roman"/>
          <w:color w:val="auto"/>
          <w:szCs w:val="22"/>
        </w:rPr>
        <w:t xml:space="preserve">this </w:t>
      </w:r>
      <w:r w:rsidR="001211DE">
        <w:rPr>
          <w:rFonts w:eastAsia="Calibri" w:cs="Times New Roman"/>
          <w:color w:val="auto"/>
          <w:szCs w:val="22"/>
        </w:rPr>
        <w:t>coincides</w:t>
      </w:r>
      <w:r w:rsidRPr="00817A38">
        <w:rPr>
          <w:rFonts w:eastAsia="Calibri" w:cs="Times New Roman"/>
          <w:color w:val="auto"/>
          <w:szCs w:val="22"/>
        </w:rPr>
        <w:t xml:space="preserve"> with the NSCs being ready to be plated.</w:t>
      </w:r>
      <w:r w:rsidR="00045BF1" w:rsidRPr="00817A38">
        <w:rPr>
          <w:rFonts w:eastAsia="Calibri" w:cs="Times New Roman"/>
          <w:color w:val="auto"/>
          <w:szCs w:val="22"/>
        </w:rPr>
        <w:t xml:space="preserve"> </w:t>
      </w:r>
    </w:p>
    <w:p w14:paraId="5244D338" w14:textId="565E11F9" w:rsidR="00567C5A" w:rsidRDefault="00567C5A" w:rsidP="00817A38">
      <w:pPr>
        <w:widowControl/>
        <w:autoSpaceDE/>
        <w:autoSpaceDN/>
        <w:adjustRightInd/>
        <w:rPr>
          <w:rFonts w:eastAsia="Calibri" w:cs="Times New Roman"/>
          <w:color w:val="auto"/>
          <w:szCs w:val="22"/>
        </w:rPr>
      </w:pPr>
    </w:p>
    <w:p w14:paraId="71E452F3" w14:textId="73F483D1" w:rsidR="00567C5A" w:rsidRPr="00817A38" w:rsidRDefault="00567C5A" w:rsidP="00817A38">
      <w:pPr>
        <w:widowControl/>
        <w:autoSpaceDE/>
        <w:autoSpaceDN/>
        <w:adjustRightInd/>
        <w:rPr>
          <w:rFonts w:eastAsia="Calibri" w:cs="Times New Roman"/>
          <w:color w:val="auto"/>
          <w:szCs w:val="22"/>
        </w:rPr>
      </w:pPr>
      <w:r>
        <w:rPr>
          <w:rFonts w:eastAsia="Calibri" w:cs="Times New Roman"/>
          <w:color w:val="auto"/>
          <w:szCs w:val="22"/>
        </w:rPr>
        <w:t>NOTE: If cells are not being thawed from frozen stocks, skip step 3.2 and continue with step 3.3.</w:t>
      </w:r>
    </w:p>
    <w:p w14:paraId="049E48CF" w14:textId="77777777" w:rsidR="00E8305F" w:rsidRPr="00817A38" w:rsidRDefault="00E8305F" w:rsidP="00817A38">
      <w:pPr>
        <w:widowControl/>
        <w:autoSpaceDE/>
        <w:autoSpaceDN/>
        <w:adjustRightInd/>
        <w:rPr>
          <w:rFonts w:eastAsia="Calibri" w:cs="Times New Roman"/>
          <w:color w:val="auto"/>
          <w:szCs w:val="22"/>
        </w:rPr>
      </w:pPr>
    </w:p>
    <w:p w14:paraId="475BE133" w14:textId="794988EF" w:rsidR="00E8305F" w:rsidRPr="00817A38" w:rsidRDefault="00691DBF" w:rsidP="00817A38">
      <w:pPr>
        <w:widowControl/>
        <w:autoSpaceDE/>
        <w:autoSpaceDN/>
        <w:adjustRightInd/>
        <w:rPr>
          <w:rFonts w:eastAsia="Calibri" w:cs="Times New Roman"/>
          <w:color w:val="auto"/>
          <w:szCs w:val="22"/>
        </w:rPr>
      </w:pPr>
      <w:r w:rsidRPr="00817A38">
        <w:rPr>
          <w:rFonts w:eastAsia="Calibri" w:cs="Times New Roman"/>
          <w:color w:val="auto"/>
          <w:szCs w:val="22"/>
          <w:highlight w:val="yellow"/>
        </w:rPr>
        <w:t>3.</w:t>
      </w:r>
      <w:r w:rsidRPr="00817A38">
        <w:rPr>
          <w:rFonts w:eastAsia="Calibri"/>
          <w:color w:val="auto"/>
          <w:highlight w:val="yellow"/>
        </w:rPr>
        <w:t>2</w:t>
      </w:r>
      <w:r w:rsidR="00570BB3">
        <w:rPr>
          <w:rFonts w:eastAsia="Calibri"/>
          <w:color w:val="auto"/>
          <w:highlight w:val="yellow"/>
        </w:rPr>
        <w:t>.</w:t>
      </w:r>
      <w:r w:rsidRPr="00817A38">
        <w:rPr>
          <w:rFonts w:eastAsia="Calibri"/>
          <w:color w:val="auto"/>
          <w:highlight w:val="yellow"/>
        </w:rPr>
        <w:t xml:space="preserve"> If cells are being thawed from frozen </w:t>
      </w:r>
      <w:r w:rsidR="00567C5A">
        <w:rPr>
          <w:rFonts w:eastAsia="Calibri"/>
          <w:color w:val="auto"/>
          <w:highlight w:val="yellow"/>
        </w:rPr>
        <w:t xml:space="preserve">NSC </w:t>
      </w:r>
      <w:r w:rsidRPr="00817A38">
        <w:rPr>
          <w:rFonts w:eastAsia="Calibri"/>
          <w:color w:val="auto"/>
          <w:highlight w:val="yellow"/>
        </w:rPr>
        <w:t xml:space="preserve">stocks, </w:t>
      </w:r>
      <w:r w:rsidR="00567C5A">
        <w:rPr>
          <w:rFonts w:eastAsia="Calibri"/>
          <w:color w:val="auto"/>
          <w:highlight w:val="yellow"/>
        </w:rPr>
        <w:t>t</w:t>
      </w:r>
      <w:r w:rsidRPr="00817A38">
        <w:rPr>
          <w:rFonts w:eastAsia="Calibri"/>
          <w:color w:val="auto"/>
          <w:highlight w:val="yellow"/>
        </w:rPr>
        <w:t xml:space="preserve">ake </w:t>
      </w:r>
      <w:r w:rsidR="00567C5A">
        <w:rPr>
          <w:rFonts w:eastAsia="Calibri"/>
          <w:color w:val="auto"/>
          <w:highlight w:val="yellow"/>
        </w:rPr>
        <w:t xml:space="preserve">a </w:t>
      </w:r>
      <w:r w:rsidRPr="00817A38">
        <w:rPr>
          <w:rFonts w:eastAsia="Calibri"/>
          <w:color w:val="auto"/>
          <w:highlight w:val="yellow"/>
        </w:rPr>
        <w:t xml:space="preserve">vial of frozen cells and warm </w:t>
      </w:r>
      <w:r w:rsidR="00567C5A">
        <w:rPr>
          <w:rFonts w:eastAsia="Calibri"/>
          <w:color w:val="auto"/>
          <w:highlight w:val="yellow"/>
        </w:rPr>
        <w:t xml:space="preserve">it </w:t>
      </w:r>
      <w:r w:rsidRPr="00817A38">
        <w:rPr>
          <w:rFonts w:eastAsia="Calibri"/>
          <w:color w:val="auto"/>
          <w:highlight w:val="yellow"/>
        </w:rPr>
        <w:t xml:space="preserve">in </w:t>
      </w:r>
      <w:r w:rsidR="00567C5A">
        <w:rPr>
          <w:rFonts w:eastAsia="Calibri"/>
          <w:color w:val="auto"/>
          <w:highlight w:val="yellow"/>
        </w:rPr>
        <w:t xml:space="preserve">a </w:t>
      </w:r>
      <w:r w:rsidRPr="00817A38">
        <w:rPr>
          <w:rFonts w:eastAsia="Calibri"/>
          <w:color w:val="auto"/>
          <w:highlight w:val="yellow"/>
        </w:rPr>
        <w:t xml:space="preserve">water bath heated to 37 °C by moving the vial back and forth in the water. Once thawed, spray the vial with 70% ethanol and place </w:t>
      </w:r>
      <w:r w:rsidR="00567C5A">
        <w:rPr>
          <w:rFonts w:eastAsia="Calibri"/>
          <w:color w:val="auto"/>
          <w:highlight w:val="yellow"/>
        </w:rPr>
        <w:t xml:space="preserve">it </w:t>
      </w:r>
      <w:r w:rsidRPr="00817A38">
        <w:rPr>
          <w:rFonts w:eastAsia="Calibri"/>
          <w:color w:val="auto"/>
          <w:highlight w:val="yellow"/>
        </w:rPr>
        <w:t xml:space="preserve">into </w:t>
      </w:r>
      <w:r w:rsidR="00567C5A">
        <w:rPr>
          <w:rFonts w:eastAsia="Calibri"/>
          <w:color w:val="auto"/>
          <w:highlight w:val="yellow"/>
        </w:rPr>
        <w:t xml:space="preserve">a </w:t>
      </w:r>
      <w:r w:rsidRPr="00817A38">
        <w:rPr>
          <w:rFonts w:eastAsia="Calibri"/>
          <w:color w:val="auto"/>
          <w:highlight w:val="yellow"/>
        </w:rPr>
        <w:t xml:space="preserve">cell culture hood. Transfer </w:t>
      </w:r>
      <w:r w:rsidR="00567C5A">
        <w:rPr>
          <w:rFonts w:eastAsia="Calibri"/>
          <w:color w:val="auto"/>
          <w:highlight w:val="yellow"/>
        </w:rPr>
        <w:t xml:space="preserve">the </w:t>
      </w:r>
      <w:r w:rsidRPr="00817A38">
        <w:rPr>
          <w:rFonts w:eastAsia="Calibri"/>
          <w:color w:val="auto"/>
          <w:highlight w:val="yellow"/>
        </w:rPr>
        <w:t>cells to ~10 mL of DMEM</w:t>
      </w:r>
      <w:r w:rsidR="00567C5A">
        <w:rPr>
          <w:rFonts w:eastAsia="Calibri"/>
          <w:color w:val="auto"/>
          <w:highlight w:val="yellow"/>
        </w:rPr>
        <w:t>/</w:t>
      </w:r>
      <w:r w:rsidRPr="00817A38">
        <w:rPr>
          <w:rFonts w:eastAsia="Calibri"/>
          <w:color w:val="auto"/>
          <w:highlight w:val="yellow"/>
        </w:rPr>
        <w:t xml:space="preserve">F12 + </w:t>
      </w:r>
      <w:r w:rsidR="00567C5A">
        <w:rPr>
          <w:rFonts w:eastAsia="Calibri"/>
          <w:color w:val="auto"/>
          <w:highlight w:val="yellow"/>
        </w:rPr>
        <w:t>p</w:t>
      </w:r>
      <w:r w:rsidRPr="00817A38">
        <w:rPr>
          <w:rFonts w:eastAsia="Calibri"/>
          <w:color w:val="auto"/>
          <w:highlight w:val="yellow"/>
        </w:rPr>
        <w:t>enicillin-</w:t>
      </w:r>
      <w:r w:rsidR="00567C5A">
        <w:rPr>
          <w:rFonts w:eastAsia="Calibri"/>
          <w:color w:val="auto"/>
          <w:highlight w:val="yellow"/>
        </w:rPr>
        <w:t>s</w:t>
      </w:r>
      <w:r w:rsidRPr="00817A38">
        <w:rPr>
          <w:rFonts w:eastAsia="Calibri"/>
          <w:color w:val="auto"/>
          <w:highlight w:val="yellow"/>
        </w:rPr>
        <w:t xml:space="preserve">treptomycin media and centrifuge </w:t>
      </w:r>
      <w:r w:rsidR="00567C5A">
        <w:rPr>
          <w:rFonts w:eastAsia="Calibri"/>
          <w:color w:val="auto"/>
          <w:highlight w:val="yellow"/>
        </w:rPr>
        <w:t xml:space="preserve">the </w:t>
      </w:r>
      <w:r w:rsidRPr="00817A38">
        <w:rPr>
          <w:rFonts w:eastAsia="Calibri"/>
          <w:color w:val="auto"/>
          <w:highlight w:val="yellow"/>
        </w:rPr>
        <w:t>tube at room temperature</w:t>
      </w:r>
      <w:r w:rsidR="00567C5A">
        <w:rPr>
          <w:rFonts w:eastAsia="Calibri"/>
          <w:color w:val="auto"/>
          <w:highlight w:val="yellow"/>
        </w:rPr>
        <w:t xml:space="preserve"> at</w:t>
      </w:r>
      <w:r w:rsidRPr="00817A38">
        <w:rPr>
          <w:rFonts w:eastAsia="Calibri"/>
          <w:color w:val="auto"/>
          <w:highlight w:val="yellow"/>
        </w:rPr>
        <w:t xml:space="preserve"> 1</w:t>
      </w:r>
      <w:r w:rsidR="00567C5A">
        <w:rPr>
          <w:rFonts w:eastAsia="Calibri"/>
          <w:color w:val="auto"/>
          <w:highlight w:val="yellow"/>
        </w:rPr>
        <w:t>,</w:t>
      </w:r>
      <w:r w:rsidRPr="00817A38">
        <w:rPr>
          <w:rFonts w:eastAsia="Calibri"/>
          <w:color w:val="auto"/>
          <w:highlight w:val="yellow"/>
        </w:rPr>
        <w:t xml:space="preserve">000 </w:t>
      </w:r>
      <w:r w:rsidR="00567C5A">
        <w:rPr>
          <w:rFonts w:eastAsia="Calibri"/>
          <w:color w:val="auto"/>
          <w:highlight w:val="yellow"/>
        </w:rPr>
        <w:t xml:space="preserve">x </w:t>
      </w:r>
      <w:r w:rsidRPr="001362CF">
        <w:rPr>
          <w:rFonts w:eastAsia="Calibri"/>
          <w:i/>
          <w:color w:val="auto"/>
          <w:highlight w:val="yellow"/>
        </w:rPr>
        <w:t>g</w:t>
      </w:r>
      <w:r w:rsidRPr="00817A38">
        <w:rPr>
          <w:rFonts w:eastAsia="Calibri"/>
          <w:color w:val="auto"/>
          <w:highlight w:val="yellow"/>
        </w:rPr>
        <w:t xml:space="preserve"> for 5 min. Aspirate </w:t>
      </w:r>
      <w:r w:rsidR="00567C5A">
        <w:rPr>
          <w:rFonts w:eastAsia="Calibri"/>
          <w:color w:val="auto"/>
          <w:highlight w:val="yellow"/>
        </w:rPr>
        <w:t xml:space="preserve">the </w:t>
      </w:r>
      <w:r w:rsidRPr="00817A38">
        <w:rPr>
          <w:rFonts w:eastAsia="Calibri"/>
          <w:color w:val="auto"/>
          <w:highlight w:val="yellow"/>
        </w:rPr>
        <w:t xml:space="preserve">media and resuspend </w:t>
      </w:r>
      <w:r w:rsidR="00567C5A">
        <w:rPr>
          <w:rFonts w:eastAsia="Calibri"/>
          <w:color w:val="auto"/>
          <w:highlight w:val="yellow"/>
        </w:rPr>
        <w:t xml:space="preserve">the </w:t>
      </w:r>
      <w:r w:rsidRPr="00817A38">
        <w:rPr>
          <w:rFonts w:eastAsia="Calibri"/>
          <w:color w:val="auto"/>
          <w:highlight w:val="yellow"/>
        </w:rPr>
        <w:t>cells in NSC media.</w:t>
      </w:r>
      <w:r w:rsidRPr="00817A38">
        <w:rPr>
          <w:rFonts w:eastAsia="Calibri" w:cs="Times New Roman"/>
          <w:color w:val="auto"/>
          <w:szCs w:val="22"/>
        </w:rPr>
        <w:t xml:space="preserve"> </w:t>
      </w:r>
    </w:p>
    <w:p w14:paraId="2ADB3D9E" w14:textId="77777777" w:rsidR="00E8305F" w:rsidRPr="00817A38" w:rsidRDefault="00E8305F" w:rsidP="00817A38">
      <w:pPr>
        <w:widowControl/>
        <w:autoSpaceDE/>
        <w:autoSpaceDN/>
        <w:adjustRightInd/>
        <w:rPr>
          <w:rFonts w:eastAsia="Calibri" w:cs="Times New Roman"/>
          <w:color w:val="auto"/>
          <w:szCs w:val="22"/>
        </w:rPr>
      </w:pPr>
    </w:p>
    <w:p w14:paraId="692FA0BC" w14:textId="361BFCEA" w:rsidR="00567C5A" w:rsidRDefault="00691DBF" w:rsidP="00817A38">
      <w:pPr>
        <w:widowControl/>
        <w:autoSpaceDE/>
        <w:autoSpaceDN/>
        <w:adjustRightInd/>
        <w:rPr>
          <w:rFonts w:eastAsia="Calibri"/>
          <w:color w:val="auto"/>
          <w:highlight w:val="yellow"/>
        </w:rPr>
      </w:pPr>
      <w:r w:rsidRPr="00817A38">
        <w:rPr>
          <w:rFonts w:eastAsia="Calibri" w:cs="Times New Roman"/>
          <w:color w:val="auto"/>
          <w:szCs w:val="22"/>
        </w:rPr>
        <w:t>3.3</w:t>
      </w:r>
      <w:r w:rsidR="00570BB3">
        <w:rPr>
          <w:rFonts w:eastAsia="Calibri" w:cs="Times New Roman"/>
          <w:color w:val="auto"/>
          <w:szCs w:val="22"/>
        </w:rPr>
        <w:t>.</w:t>
      </w:r>
      <w:r w:rsidRPr="00817A38">
        <w:rPr>
          <w:rFonts w:eastAsia="Calibri" w:cs="Times New Roman"/>
          <w:color w:val="auto"/>
          <w:szCs w:val="22"/>
        </w:rPr>
        <w:t xml:space="preserve"> </w:t>
      </w:r>
      <w:r w:rsidRPr="00817A38">
        <w:rPr>
          <w:rFonts w:eastAsia="Calibri"/>
          <w:color w:val="auto"/>
          <w:highlight w:val="yellow"/>
        </w:rPr>
        <w:t xml:space="preserve">Dilute </w:t>
      </w:r>
      <w:r w:rsidR="00567C5A">
        <w:rPr>
          <w:rFonts w:eastAsia="Calibri"/>
          <w:color w:val="auto"/>
          <w:highlight w:val="yellow"/>
        </w:rPr>
        <w:t xml:space="preserve">the </w:t>
      </w:r>
      <w:r w:rsidRPr="00817A38">
        <w:rPr>
          <w:rFonts w:eastAsia="Calibri"/>
          <w:color w:val="auto"/>
          <w:highlight w:val="yellow"/>
        </w:rPr>
        <w:t xml:space="preserve">cells in NSC media to obtain the appropriate seeding density for </w:t>
      </w:r>
      <w:r w:rsidR="00567C5A">
        <w:rPr>
          <w:rFonts w:eastAsia="Calibri"/>
          <w:color w:val="auto"/>
          <w:highlight w:val="yellow"/>
        </w:rPr>
        <w:t xml:space="preserve">the </w:t>
      </w:r>
      <w:r w:rsidRPr="00817A38">
        <w:rPr>
          <w:rFonts w:eastAsia="Calibri"/>
          <w:color w:val="auto"/>
          <w:highlight w:val="yellow"/>
        </w:rPr>
        <w:t>cell culture vessel</w:t>
      </w:r>
      <w:r w:rsidR="00567C5A">
        <w:rPr>
          <w:rFonts w:eastAsia="Calibri"/>
          <w:color w:val="auto"/>
          <w:highlight w:val="yellow"/>
        </w:rPr>
        <w:t xml:space="preserve"> that is being used</w:t>
      </w:r>
      <w:r w:rsidRPr="00817A38">
        <w:rPr>
          <w:rFonts w:eastAsia="Calibri"/>
          <w:color w:val="auto"/>
          <w:highlight w:val="yellow"/>
        </w:rPr>
        <w:t xml:space="preserve">. </w:t>
      </w:r>
    </w:p>
    <w:p w14:paraId="7F594AC2" w14:textId="77777777" w:rsidR="00567C5A" w:rsidRDefault="00567C5A" w:rsidP="00817A38">
      <w:pPr>
        <w:widowControl/>
        <w:autoSpaceDE/>
        <w:autoSpaceDN/>
        <w:adjustRightInd/>
        <w:rPr>
          <w:rFonts w:eastAsia="Calibri"/>
          <w:color w:val="auto"/>
          <w:highlight w:val="yellow"/>
        </w:rPr>
      </w:pPr>
    </w:p>
    <w:p w14:paraId="37D792F1" w14:textId="72AB040E" w:rsidR="00E8305F" w:rsidRPr="00817A38" w:rsidRDefault="00567C5A" w:rsidP="00817A38">
      <w:pPr>
        <w:widowControl/>
        <w:autoSpaceDE/>
        <w:autoSpaceDN/>
        <w:adjustRightInd/>
        <w:rPr>
          <w:rFonts w:eastAsia="Calibri"/>
          <w:color w:val="auto"/>
          <w:highlight w:val="yellow"/>
        </w:rPr>
      </w:pPr>
      <w:r>
        <w:rPr>
          <w:rFonts w:eastAsia="Calibri"/>
          <w:color w:val="auto"/>
          <w:highlight w:val="yellow"/>
        </w:rPr>
        <w:t xml:space="preserve">NOTE: </w:t>
      </w:r>
      <w:r w:rsidR="00691DBF" w:rsidRPr="00817A38">
        <w:rPr>
          <w:rFonts w:eastAsia="Calibri"/>
          <w:color w:val="auto"/>
          <w:highlight w:val="yellow"/>
        </w:rPr>
        <w:t>For example</w:t>
      </w:r>
      <w:r w:rsidR="00045BF1" w:rsidRPr="00817A38">
        <w:rPr>
          <w:rFonts w:eastAsia="Calibri"/>
          <w:color w:val="auto"/>
          <w:highlight w:val="yellow"/>
        </w:rPr>
        <w:t>,</w:t>
      </w:r>
      <w:r w:rsidR="00691DBF" w:rsidRPr="00817A38">
        <w:rPr>
          <w:rFonts w:eastAsia="Calibri"/>
          <w:color w:val="auto"/>
          <w:highlight w:val="yellow"/>
        </w:rPr>
        <w:t xml:space="preserve"> if NSCs </w:t>
      </w:r>
      <w:r>
        <w:rPr>
          <w:rFonts w:eastAsia="Calibri"/>
          <w:color w:val="auto"/>
          <w:highlight w:val="yellow"/>
        </w:rPr>
        <w:t xml:space="preserve">are being plated </w:t>
      </w:r>
      <w:r w:rsidR="00691DBF" w:rsidRPr="00817A38">
        <w:rPr>
          <w:rFonts w:eastAsia="Calibri"/>
          <w:color w:val="auto"/>
          <w:highlight w:val="yellow"/>
        </w:rPr>
        <w:t xml:space="preserve">onto a </w:t>
      </w:r>
      <w:r w:rsidR="00334D2C">
        <w:rPr>
          <w:rFonts w:eastAsia="Calibri"/>
          <w:color w:val="auto"/>
          <w:highlight w:val="yellow"/>
        </w:rPr>
        <w:t>six</w:t>
      </w:r>
      <w:r>
        <w:rPr>
          <w:rFonts w:eastAsia="Calibri"/>
          <w:color w:val="auto"/>
          <w:highlight w:val="yellow"/>
        </w:rPr>
        <w:t>-</w:t>
      </w:r>
      <w:r w:rsidR="00691DBF" w:rsidRPr="00817A38">
        <w:rPr>
          <w:rFonts w:eastAsia="Calibri"/>
          <w:color w:val="auto"/>
          <w:highlight w:val="yellow"/>
        </w:rPr>
        <w:t>well plate</w:t>
      </w:r>
      <w:r w:rsidR="00334D2C">
        <w:rPr>
          <w:rFonts w:eastAsia="Calibri"/>
          <w:color w:val="auto"/>
          <w:highlight w:val="yellow"/>
        </w:rPr>
        <w:t>—</w:t>
      </w:r>
      <w:r>
        <w:rPr>
          <w:rFonts w:eastAsia="Calibri"/>
          <w:color w:val="auto"/>
          <w:highlight w:val="yellow"/>
        </w:rPr>
        <w:t>one</w:t>
      </w:r>
      <w:r w:rsidR="00691DBF" w:rsidRPr="00817A38">
        <w:rPr>
          <w:rFonts w:eastAsia="Calibri"/>
          <w:color w:val="auto"/>
          <w:highlight w:val="yellow"/>
        </w:rPr>
        <w:t xml:space="preserve"> well on a </w:t>
      </w:r>
      <w:r w:rsidR="00334D2C">
        <w:rPr>
          <w:rFonts w:eastAsia="Calibri"/>
          <w:color w:val="auto"/>
          <w:highlight w:val="yellow"/>
        </w:rPr>
        <w:t>six</w:t>
      </w:r>
      <w:r>
        <w:rPr>
          <w:rFonts w:eastAsia="Calibri"/>
          <w:color w:val="auto"/>
          <w:highlight w:val="yellow"/>
        </w:rPr>
        <w:t>-</w:t>
      </w:r>
      <w:r w:rsidR="00691DBF" w:rsidRPr="00817A38">
        <w:rPr>
          <w:rFonts w:eastAsia="Calibri"/>
          <w:color w:val="auto"/>
          <w:highlight w:val="yellow"/>
        </w:rPr>
        <w:t>well culture dish has a surface area of 9 cm</w:t>
      </w:r>
      <w:r w:rsidR="00691DBF" w:rsidRPr="00817A38">
        <w:rPr>
          <w:rFonts w:eastAsia="Calibri"/>
          <w:color w:val="auto"/>
          <w:highlight w:val="yellow"/>
          <w:vertAlign w:val="superscript"/>
        </w:rPr>
        <w:t>2</w:t>
      </w:r>
      <w:r w:rsidR="00334D2C">
        <w:rPr>
          <w:rFonts w:eastAsia="Calibri"/>
          <w:color w:val="auto"/>
          <w:highlight w:val="yellow"/>
        </w:rPr>
        <w:t>—</w:t>
      </w:r>
      <w:r w:rsidR="00691DBF" w:rsidRPr="00817A38">
        <w:rPr>
          <w:rFonts w:eastAsia="Calibri"/>
          <w:color w:val="auto"/>
          <w:highlight w:val="yellow"/>
        </w:rPr>
        <w:t xml:space="preserve">900,000 </w:t>
      </w:r>
      <w:r w:rsidR="00334D2C">
        <w:rPr>
          <w:rFonts w:eastAsia="Calibri"/>
          <w:color w:val="auto"/>
          <w:highlight w:val="yellow"/>
        </w:rPr>
        <w:t>to</w:t>
      </w:r>
      <w:r w:rsidR="00691DBF" w:rsidRPr="00817A38">
        <w:rPr>
          <w:rFonts w:eastAsia="Calibri"/>
          <w:color w:val="auto"/>
          <w:highlight w:val="yellow"/>
        </w:rPr>
        <w:t xml:space="preserve"> 1,350,000 cells </w:t>
      </w:r>
      <w:r w:rsidR="00334D2C">
        <w:rPr>
          <w:rFonts w:eastAsia="Calibri"/>
          <w:color w:val="auto"/>
          <w:highlight w:val="yellow"/>
        </w:rPr>
        <w:t xml:space="preserve">are required </w:t>
      </w:r>
      <w:r w:rsidR="00691DBF" w:rsidRPr="00817A38">
        <w:rPr>
          <w:rFonts w:eastAsia="Calibri"/>
          <w:color w:val="auto"/>
          <w:highlight w:val="yellow"/>
        </w:rPr>
        <w:t>to seed. So</w:t>
      </w:r>
      <w:r w:rsidR="00334D2C">
        <w:rPr>
          <w:rFonts w:eastAsia="Calibri"/>
          <w:color w:val="auto"/>
          <w:highlight w:val="yellow"/>
        </w:rPr>
        <w:t>,</w:t>
      </w:r>
      <w:r w:rsidR="00691DBF" w:rsidRPr="00817A38">
        <w:rPr>
          <w:rFonts w:eastAsia="Calibri"/>
          <w:color w:val="auto"/>
          <w:highlight w:val="yellow"/>
        </w:rPr>
        <w:t xml:space="preserve"> </w:t>
      </w:r>
      <w:r w:rsidR="00334D2C">
        <w:rPr>
          <w:rFonts w:eastAsia="Calibri"/>
          <w:color w:val="auto"/>
          <w:highlight w:val="yellow"/>
        </w:rPr>
        <w:t>one</w:t>
      </w:r>
      <w:r w:rsidR="00691DBF" w:rsidRPr="00817A38">
        <w:rPr>
          <w:rFonts w:eastAsia="Calibri"/>
          <w:color w:val="auto"/>
          <w:highlight w:val="yellow"/>
        </w:rPr>
        <w:t xml:space="preserve"> vial containing 1,000,000 cells can be resuspended in 2 mL of media and added to a single well of a </w:t>
      </w:r>
      <w:r w:rsidR="00334D2C">
        <w:rPr>
          <w:rFonts w:eastAsia="Calibri"/>
          <w:color w:val="auto"/>
          <w:highlight w:val="yellow"/>
        </w:rPr>
        <w:t>six-</w:t>
      </w:r>
      <w:r w:rsidR="00691DBF" w:rsidRPr="00817A38">
        <w:rPr>
          <w:rFonts w:eastAsia="Calibri"/>
          <w:color w:val="auto"/>
          <w:highlight w:val="yellow"/>
        </w:rPr>
        <w:t xml:space="preserve">well dish. </w:t>
      </w:r>
    </w:p>
    <w:p w14:paraId="642CF866" w14:textId="77777777" w:rsidR="00E8305F" w:rsidRPr="00817A38" w:rsidRDefault="00E8305F" w:rsidP="00817A38">
      <w:pPr>
        <w:widowControl/>
        <w:autoSpaceDE/>
        <w:autoSpaceDN/>
        <w:adjustRightInd/>
        <w:rPr>
          <w:rFonts w:eastAsia="Calibri"/>
          <w:color w:val="auto"/>
          <w:highlight w:val="yellow"/>
        </w:rPr>
      </w:pPr>
    </w:p>
    <w:p w14:paraId="521F4608" w14:textId="1DCAFC4C" w:rsidR="008C45A5" w:rsidRDefault="00691DBF" w:rsidP="00817A38">
      <w:pPr>
        <w:widowControl/>
        <w:autoSpaceDE/>
        <w:autoSpaceDN/>
        <w:adjustRightInd/>
        <w:rPr>
          <w:rFonts w:eastAsia="Calibri"/>
          <w:color w:val="auto"/>
          <w:highlight w:val="yellow"/>
        </w:rPr>
      </w:pPr>
      <w:r w:rsidRPr="00817A38">
        <w:rPr>
          <w:rFonts w:eastAsia="Calibri" w:cs="Times New Roman"/>
          <w:color w:val="auto"/>
          <w:szCs w:val="22"/>
          <w:highlight w:val="yellow"/>
        </w:rPr>
        <w:t>3</w:t>
      </w:r>
      <w:r w:rsidRPr="00817A38">
        <w:rPr>
          <w:rFonts w:eastAsia="Calibri"/>
          <w:color w:val="auto"/>
          <w:highlight w:val="yellow"/>
        </w:rPr>
        <w:t>.4</w:t>
      </w:r>
      <w:r w:rsidR="00570BB3">
        <w:rPr>
          <w:rFonts w:eastAsia="Calibri"/>
          <w:color w:val="auto"/>
          <w:highlight w:val="yellow"/>
        </w:rPr>
        <w:t>.</w:t>
      </w:r>
      <w:r w:rsidRPr="00817A38">
        <w:rPr>
          <w:rFonts w:eastAsia="Calibri"/>
          <w:color w:val="auto"/>
          <w:highlight w:val="yellow"/>
        </w:rPr>
        <w:t xml:space="preserve"> Add enough cells suspended in NSC media to seed </w:t>
      </w:r>
      <w:r w:rsidR="008C45A5">
        <w:rPr>
          <w:rFonts w:eastAsia="Calibri"/>
          <w:color w:val="auto"/>
          <w:highlight w:val="yellow"/>
        </w:rPr>
        <w:t xml:space="preserve">the </w:t>
      </w:r>
      <w:r w:rsidRPr="00817A38">
        <w:rPr>
          <w:rFonts w:eastAsia="Calibri"/>
          <w:color w:val="auto"/>
          <w:highlight w:val="yellow"/>
        </w:rPr>
        <w:t>basement membrane matrix</w:t>
      </w:r>
      <w:r w:rsidR="008C45A5">
        <w:rPr>
          <w:rFonts w:eastAsia="Calibri"/>
          <w:color w:val="auto"/>
          <w:highlight w:val="yellow"/>
        </w:rPr>
        <w:t>-</w:t>
      </w:r>
      <w:r w:rsidRPr="00817A38">
        <w:rPr>
          <w:rFonts w:eastAsia="Calibri"/>
          <w:color w:val="auto"/>
          <w:highlight w:val="yellow"/>
        </w:rPr>
        <w:t>coated culture dishes (100,000 cells/cm</w:t>
      </w:r>
      <w:r w:rsidRPr="00817A38">
        <w:rPr>
          <w:rFonts w:eastAsia="Calibri"/>
          <w:color w:val="auto"/>
          <w:highlight w:val="yellow"/>
          <w:vertAlign w:val="superscript"/>
        </w:rPr>
        <w:t>2</w:t>
      </w:r>
      <w:r w:rsidRPr="00817A38">
        <w:rPr>
          <w:rFonts w:eastAsia="Calibri"/>
          <w:color w:val="auto"/>
          <w:highlight w:val="yellow"/>
        </w:rPr>
        <w:t xml:space="preserve">) and change </w:t>
      </w:r>
      <w:r w:rsidR="008C45A5">
        <w:rPr>
          <w:rFonts w:eastAsia="Calibri"/>
          <w:color w:val="auto"/>
          <w:highlight w:val="yellow"/>
        </w:rPr>
        <w:t xml:space="preserve">the </w:t>
      </w:r>
      <w:r w:rsidRPr="00817A38">
        <w:rPr>
          <w:rFonts w:eastAsia="Calibri"/>
          <w:color w:val="auto"/>
          <w:highlight w:val="yellow"/>
        </w:rPr>
        <w:t xml:space="preserve">media every other day (if using a frozen stock, change the media the day after plating and every other day thereafter). Grow </w:t>
      </w:r>
      <w:r w:rsidR="008C45A5">
        <w:rPr>
          <w:rFonts w:eastAsia="Calibri"/>
          <w:color w:val="auto"/>
          <w:highlight w:val="yellow"/>
        </w:rPr>
        <w:t xml:space="preserve">the </w:t>
      </w:r>
      <w:r w:rsidRPr="00817A38">
        <w:rPr>
          <w:rFonts w:eastAsia="Calibri"/>
          <w:color w:val="auto"/>
          <w:highlight w:val="yellow"/>
        </w:rPr>
        <w:t xml:space="preserve">cells until </w:t>
      </w:r>
      <w:r w:rsidR="008C45A5">
        <w:rPr>
          <w:rFonts w:eastAsia="Calibri"/>
          <w:color w:val="auto"/>
          <w:highlight w:val="yellow"/>
        </w:rPr>
        <w:t xml:space="preserve">they are </w:t>
      </w:r>
      <w:r w:rsidRPr="00817A38">
        <w:rPr>
          <w:rFonts w:eastAsia="Calibri"/>
          <w:color w:val="auto"/>
          <w:highlight w:val="yellow"/>
        </w:rPr>
        <w:t>75</w:t>
      </w:r>
      <w:r w:rsidR="008C45A5">
        <w:rPr>
          <w:rFonts w:eastAsia="Calibri"/>
          <w:color w:val="auto"/>
          <w:highlight w:val="yellow"/>
        </w:rPr>
        <w:t>%–</w:t>
      </w:r>
      <w:r w:rsidRPr="00817A38">
        <w:rPr>
          <w:rFonts w:eastAsia="Calibri"/>
          <w:color w:val="auto"/>
          <w:highlight w:val="yellow"/>
        </w:rPr>
        <w:t>80% confluent</w:t>
      </w:r>
      <w:r w:rsidR="008C45A5">
        <w:rPr>
          <w:rFonts w:eastAsia="Calibri"/>
          <w:color w:val="auto"/>
          <w:highlight w:val="yellow"/>
        </w:rPr>
        <w:t>.</w:t>
      </w:r>
    </w:p>
    <w:p w14:paraId="3DC1B8AC" w14:textId="77777777" w:rsidR="008C45A5" w:rsidRDefault="008C45A5" w:rsidP="00817A38">
      <w:pPr>
        <w:widowControl/>
        <w:autoSpaceDE/>
        <w:autoSpaceDN/>
        <w:adjustRightInd/>
        <w:rPr>
          <w:rFonts w:eastAsia="Calibri"/>
          <w:color w:val="auto"/>
          <w:highlight w:val="yellow"/>
        </w:rPr>
      </w:pPr>
    </w:p>
    <w:p w14:paraId="2C423A85" w14:textId="5F282CDF" w:rsidR="00E8305F" w:rsidRPr="00817A38" w:rsidRDefault="008C45A5" w:rsidP="00817A38">
      <w:pPr>
        <w:widowControl/>
        <w:autoSpaceDE/>
        <w:autoSpaceDN/>
        <w:adjustRightInd/>
        <w:rPr>
          <w:rFonts w:eastAsia="Calibri" w:cs="Times New Roman"/>
          <w:color w:val="auto"/>
          <w:szCs w:val="22"/>
        </w:rPr>
      </w:pPr>
      <w:r>
        <w:rPr>
          <w:rFonts w:eastAsia="Calibri"/>
          <w:color w:val="auto"/>
          <w:highlight w:val="yellow"/>
        </w:rPr>
        <w:t>NOTE:</w:t>
      </w:r>
      <w:r w:rsidR="00691DBF" w:rsidRPr="00817A38">
        <w:rPr>
          <w:rFonts w:eastAsia="Calibri" w:cs="Times New Roman"/>
          <w:color w:val="auto"/>
          <w:szCs w:val="22"/>
          <w:highlight w:val="yellow"/>
        </w:rPr>
        <w:t xml:space="preserve"> </w:t>
      </w:r>
      <w:r>
        <w:rPr>
          <w:rFonts w:eastAsia="Calibri" w:cs="Times New Roman"/>
          <w:color w:val="auto"/>
          <w:szCs w:val="22"/>
          <w:highlight w:val="yellow"/>
        </w:rPr>
        <w:t xml:space="preserve">The </w:t>
      </w:r>
      <w:r>
        <w:rPr>
          <w:rFonts w:eastAsia="Calibri"/>
          <w:color w:val="auto"/>
          <w:highlight w:val="yellow"/>
        </w:rPr>
        <w:t>c</w:t>
      </w:r>
      <w:r w:rsidR="00691DBF" w:rsidRPr="00817A38">
        <w:rPr>
          <w:rFonts w:eastAsia="Calibri"/>
          <w:color w:val="auto"/>
          <w:highlight w:val="yellow"/>
        </w:rPr>
        <w:t>ells will likely reach 75</w:t>
      </w:r>
      <w:r>
        <w:rPr>
          <w:rFonts w:eastAsia="Calibri"/>
          <w:color w:val="auto"/>
          <w:highlight w:val="yellow"/>
        </w:rPr>
        <w:t>%–</w:t>
      </w:r>
      <w:r w:rsidR="00691DBF" w:rsidRPr="00817A38">
        <w:rPr>
          <w:rFonts w:eastAsia="Calibri"/>
          <w:color w:val="auto"/>
          <w:highlight w:val="yellow"/>
        </w:rPr>
        <w:t>80% confluence shortly after plating, but this may take longer if frozen stocks are used.</w:t>
      </w:r>
      <w:r w:rsidR="00691DBF" w:rsidRPr="00817A38">
        <w:rPr>
          <w:rFonts w:eastAsia="Calibri" w:cs="Times New Roman"/>
          <w:color w:val="auto"/>
          <w:szCs w:val="22"/>
        </w:rPr>
        <w:t xml:space="preserve"> </w:t>
      </w:r>
    </w:p>
    <w:p w14:paraId="03CBD584" w14:textId="77777777" w:rsidR="00E8305F" w:rsidRPr="00817A38" w:rsidRDefault="00E8305F" w:rsidP="00817A38">
      <w:pPr>
        <w:widowControl/>
        <w:autoSpaceDE/>
        <w:autoSpaceDN/>
        <w:adjustRightInd/>
        <w:rPr>
          <w:rFonts w:eastAsia="Calibri" w:cs="Times New Roman"/>
          <w:color w:val="auto"/>
          <w:szCs w:val="22"/>
        </w:rPr>
      </w:pPr>
    </w:p>
    <w:p w14:paraId="3DCACA39" w14:textId="251EBC50" w:rsidR="00E8305F" w:rsidRDefault="00691DBF" w:rsidP="00817A38">
      <w:pPr>
        <w:widowControl/>
        <w:autoSpaceDE/>
        <w:autoSpaceDN/>
        <w:adjustRightInd/>
        <w:rPr>
          <w:rFonts w:eastAsia="Calibri" w:cs="Times New Roman"/>
          <w:color w:val="auto"/>
          <w:szCs w:val="22"/>
        </w:rPr>
      </w:pPr>
      <w:r w:rsidRPr="00817A38">
        <w:rPr>
          <w:rFonts w:eastAsia="Calibri" w:cs="Times New Roman"/>
          <w:color w:val="auto"/>
          <w:szCs w:val="22"/>
        </w:rPr>
        <w:t>3.5</w:t>
      </w:r>
      <w:r w:rsidR="00570BB3">
        <w:rPr>
          <w:rFonts w:eastAsia="Calibri" w:cs="Times New Roman"/>
          <w:color w:val="auto"/>
          <w:szCs w:val="22"/>
        </w:rPr>
        <w:t>.</w:t>
      </w:r>
      <w:r w:rsidRPr="00817A38">
        <w:rPr>
          <w:rFonts w:eastAsia="Calibri" w:cs="Times New Roman"/>
          <w:color w:val="auto"/>
          <w:szCs w:val="22"/>
        </w:rPr>
        <w:t xml:space="preserve"> Once </w:t>
      </w:r>
      <w:r w:rsidR="008C45A5">
        <w:rPr>
          <w:rFonts w:eastAsia="Calibri" w:cs="Times New Roman"/>
          <w:color w:val="auto"/>
          <w:szCs w:val="22"/>
        </w:rPr>
        <w:t xml:space="preserve">the </w:t>
      </w:r>
      <w:r w:rsidRPr="00817A38">
        <w:rPr>
          <w:rFonts w:eastAsia="Calibri" w:cs="Times New Roman"/>
          <w:color w:val="auto"/>
          <w:szCs w:val="22"/>
        </w:rPr>
        <w:t>NSCs are 75</w:t>
      </w:r>
      <w:r w:rsidR="008C45A5">
        <w:rPr>
          <w:rFonts w:eastAsia="Calibri" w:cs="Times New Roman"/>
          <w:color w:val="auto"/>
          <w:szCs w:val="22"/>
        </w:rPr>
        <w:t>%–</w:t>
      </w:r>
      <w:r w:rsidRPr="00817A38">
        <w:rPr>
          <w:rFonts w:eastAsia="Calibri" w:cs="Times New Roman"/>
          <w:color w:val="auto"/>
          <w:szCs w:val="22"/>
        </w:rPr>
        <w:t xml:space="preserve">80% confluent, begin neuronal differentiation by removing </w:t>
      </w:r>
      <w:r w:rsidR="008C45A5">
        <w:rPr>
          <w:rFonts w:eastAsia="Calibri" w:cs="Times New Roman"/>
          <w:color w:val="auto"/>
          <w:szCs w:val="22"/>
        </w:rPr>
        <w:t xml:space="preserve">the </w:t>
      </w:r>
      <w:r w:rsidRPr="00817A38">
        <w:rPr>
          <w:rFonts w:eastAsia="Calibri" w:cs="Times New Roman"/>
          <w:color w:val="auto"/>
          <w:szCs w:val="22"/>
        </w:rPr>
        <w:t>NSC (</w:t>
      </w:r>
      <w:proofErr w:type="gramStart"/>
      <w:r w:rsidRPr="00817A38">
        <w:rPr>
          <w:rFonts w:eastAsia="Calibri" w:cs="Times New Roman"/>
          <w:color w:val="auto"/>
          <w:szCs w:val="22"/>
        </w:rPr>
        <w:t>+)</w:t>
      </w:r>
      <w:proofErr w:type="spellStart"/>
      <w:r w:rsidRPr="00817A38">
        <w:rPr>
          <w:rFonts w:eastAsia="Calibri" w:cs="Times New Roman"/>
          <w:color w:val="auto"/>
          <w:szCs w:val="22"/>
        </w:rPr>
        <w:t>bFGF</w:t>
      </w:r>
      <w:proofErr w:type="spellEnd"/>
      <w:proofErr w:type="gramEnd"/>
      <w:r w:rsidRPr="00817A38">
        <w:rPr>
          <w:rFonts w:eastAsia="Calibri" w:cs="Times New Roman"/>
          <w:color w:val="auto"/>
          <w:szCs w:val="22"/>
        </w:rPr>
        <w:t xml:space="preserve"> media and replacing it with NSC (-)</w:t>
      </w:r>
      <w:proofErr w:type="spellStart"/>
      <w:r w:rsidRPr="00817A38">
        <w:rPr>
          <w:rFonts w:eastAsia="Calibri" w:cs="Times New Roman"/>
          <w:color w:val="auto"/>
          <w:szCs w:val="22"/>
        </w:rPr>
        <w:t>bFGF</w:t>
      </w:r>
      <w:proofErr w:type="spellEnd"/>
      <w:r w:rsidRPr="00817A38">
        <w:rPr>
          <w:rFonts w:eastAsia="Calibri" w:cs="Times New Roman"/>
          <w:color w:val="auto"/>
          <w:szCs w:val="22"/>
        </w:rPr>
        <w:t xml:space="preserve"> media. Culture </w:t>
      </w:r>
      <w:r w:rsidR="008C45A5">
        <w:rPr>
          <w:rFonts w:eastAsia="Calibri" w:cs="Times New Roman"/>
          <w:color w:val="auto"/>
          <w:szCs w:val="22"/>
        </w:rPr>
        <w:t xml:space="preserve">the </w:t>
      </w:r>
      <w:r w:rsidRPr="00817A38">
        <w:rPr>
          <w:rFonts w:eastAsia="Calibri" w:cs="Times New Roman"/>
          <w:color w:val="auto"/>
          <w:szCs w:val="22"/>
        </w:rPr>
        <w:t>cells in this media (replacing the media every other day) for at least 4 weeks.</w:t>
      </w:r>
      <w:r w:rsidR="00045BF1" w:rsidRPr="00817A38">
        <w:rPr>
          <w:rFonts w:eastAsia="Calibri" w:cs="Times New Roman"/>
          <w:color w:val="auto"/>
          <w:szCs w:val="22"/>
        </w:rPr>
        <w:t xml:space="preserve"> </w:t>
      </w:r>
    </w:p>
    <w:p w14:paraId="4E2B24DE" w14:textId="40F103AB" w:rsidR="008C45A5" w:rsidRDefault="008C45A5" w:rsidP="00817A38">
      <w:pPr>
        <w:widowControl/>
        <w:autoSpaceDE/>
        <w:autoSpaceDN/>
        <w:adjustRightInd/>
        <w:rPr>
          <w:rFonts w:eastAsia="Calibri" w:cs="Times New Roman"/>
          <w:color w:val="auto"/>
          <w:szCs w:val="22"/>
        </w:rPr>
      </w:pPr>
    </w:p>
    <w:p w14:paraId="7926917B" w14:textId="3A8BA3A1" w:rsidR="008C45A5" w:rsidRPr="00817A38" w:rsidRDefault="008C45A5" w:rsidP="00817A38">
      <w:pPr>
        <w:widowControl/>
        <w:autoSpaceDE/>
        <w:autoSpaceDN/>
        <w:adjustRightInd/>
        <w:rPr>
          <w:rFonts w:eastAsia="Calibri" w:cs="Times New Roman"/>
          <w:color w:val="auto"/>
          <w:szCs w:val="22"/>
        </w:rPr>
      </w:pPr>
      <w:r>
        <w:rPr>
          <w:rFonts w:eastAsia="Calibri" w:cs="Times New Roman"/>
          <w:color w:val="auto"/>
          <w:szCs w:val="22"/>
        </w:rPr>
        <w:t>NOTE: The c</w:t>
      </w:r>
      <w:r w:rsidRPr="00817A38">
        <w:rPr>
          <w:rFonts w:eastAsia="Calibri" w:cs="Times New Roman"/>
          <w:color w:val="auto"/>
          <w:szCs w:val="22"/>
        </w:rPr>
        <w:t xml:space="preserve">ells will continue to divide for a few days following the withdrawal of </w:t>
      </w:r>
      <w:proofErr w:type="spellStart"/>
      <w:r w:rsidRPr="00817A38">
        <w:rPr>
          <w:rFonts w:eastAsia="Calibri" w:cs="Times New Roman"/>
          <w:color w:val="auto"/>
          <w:szCs w:val="22"/>
        </w:rPr>
        <w:t>bFGF</w:t>
      </w:r>
      <w:proofErr w:type="spellEnd"/>
      <w:r w:rsidRPr="00817A38">
        <w:rPr>
          <w:rFonts w:eastAsia="Calibri" w:cs="Times New Roman"/>
          <w:color w:val="auto"/>
          <w:szCs w:val="22"/>
        </w:rPr>
        <w:t>; therefore</w:t>
      </w:r>
      <w:r>
        <w:rPr>
          <w:rFonts w:eastAsia="Calibri" w:cs="Times New Roman"/>
          <w:color w:val="auto"/>
          <w:szCs w:val="22"/>
        </w:rPr>
        <w:t>,</w:t>
      </w:r>
      <w:r w:rsidRPr="00817A38">
        <w:rPr>
          <w:rFonts w:eastAsia="Calibri" w:cs="Times New Roman"/>
          <w:color w:val="auto"/>
          <w:szCs w:val="22"/>
        </w:rPr>
        <w:t xml:space="preserve"> cells may reach 90-100% confluence.</w:t>
      </w:r>
      <w:r w:rsidRPr="008C45A5">
        <w:rPr>
          <w:rFonts w:eastAsia="Calibri" w:cs="Times New Roman"/>
          <w:color w:val="auto"/>
          <w:szCs w:val="22"/>
        </w:rPr>
        <w:t xml:space="preserve"> </w:t>
      </w:r>
      <w:r w:rsidRPr="00817A38">
        <w:rPr>
          <w:rFonts w:eastAsia="Calibri" w:cs="Times New Roman"/>
          <w:color w:val="auto"/>
          <w:szCs w:val="22"/>
        </w:rPr>
        <w:t xml:space="preserve">After </w:t>
      </w:r>
      <w:r>
        <w:rPr>
          <w:rFonts w:eastAsia="Calibri" w:cs="Times New Roman"/>
          <w:color w:val="auto"/>
          <w:szCs w:val="22"/>
        </w:rPr>
        <w:t xml:space="preserve">culturing for </w:t>
      </w:r>
      <w:r w:rsidRPr="00817A38">
        <w:rPr>
          <w:rFonts w:eastAsia="Calibri" w:cs="Times New Roman"/>
          <w:color w:val="auto"/>
          <w:szCs w:val="22"/>
        </w:rPr>
        <w:t xml:space="preserve">4 weeks, </w:t>
      </w:r>
      <w:r>
        <w:rPr>
          <w:rFonts w:eastAsia="Calibri" w:cs="Times New Roman"/>
          <w:color w:val="auto"/>
          <w:szCs w:val="22"/>
        </w:rPr>
        <w:t xml:space="preserve">the </w:t>
      </w:r>
      <w:r w:rsidRPr="00817A38">
        <w:rPr>
          <w:rFonts w:eastAsia="Calibri" w:cs="Times New Roman"/>
          <w:color w:val="auto"/>
          <w:szCs w:val="22"/>
        </w:rPr>
        <w:t xml:space="preserve">cells will have achieved a neuronal fate and will be ready for </w:t>
      </w:r>
      <w:r>
        <w:rPr>
          <w:rFonts w:eastAsia="Calibri" w:cs="Times New Roman"/>
          <w:color w:val="auto"/>
          <w:szCs w:val="22"/>
        </w:rPr>
        <w:t xml:space="preserve">the </w:t>
      </w:r>
      <w:r w:rsidRPr="00817A38">
        <w:rPr>
          <w:rFonts w:eastAsia="Calibri" w:cs="Times New Roman"/>
          <w:color w:val="auto"/>
          <w:szCs w:val="22"/>
        </w:rPr>
        <w:t>treatment of lentivirus.</w:t>
      </w:r>
    </w:p>
    <w:p w14:paraId="27BCB910" w14:textId="77777777" w:rsidR="00E8305F" w:rsidRPr="00817A38" w:rsidRDefault="00E8305F" w:rsidP="00817A38">
      <w:pPr>
        <w:widowControl/>
        <w:autoSpaceDE/>
        <w:autoSpaceDN/>
        <w:adjustRightInd/>
        <w:rPr>
          <w:rFonts w:eastAsia="Calibri" w:cs="Times New Roman"/>
          <w:color w:val="auto"/>
          <w:szCs w:val="22"/>
        </w:rPr>
      </w:pPr>
    </w:p>
    <w:p w14:paraId="0E1451D0" w14:textId="77777777" w:rsidR="00E8305F" w:rsidRPr="00817A38" w:rsidRDefault="00691DBF" w:rsidP="00817A38">
      <w:pPr>
        <w:widowControl/>
        <w:autoSpaceDE/>
        <w:autoSpaceDN/>
        <w:adjustRightInd/>
        <w:rPr>
          <w:rFonts w:eastAsia="Calibri" w:cs="Times New Roman"/>
          <w:b/>
          <w:color w:val="auto"/>
          <w:szCs w:val="22"/>
        </w:rPr>
      </w:pPr>
      <w:r w:rsidRPr="00817A38">
        <w:rPr>
          <w:rFonts w:eastAsia="Calibri" w:cs="Times New Roman"/>
          <w:b/>
          <w:color w:val="auto"/>
          <w:szCs w:val="22"/>
        </w:rPr>
        <w:t>4 Transduction and maintenance of neuronal cultures</w:t>
      </w:r>
    </w:p>
    <w:p w14:paraId="3C93587A" w14:textId="77777777" w:rsidR="00E8305F" w:rsidRPr="00817A38" w:rsidRDefault="00E8305F" w:rsidP="00817A38">
      <w:pPr>
        <w:widowControl/>
        <w:autoSpaceDE/>
        <w:autoSpaceDN/>
        <w:adjustRightInd/>
        <w:rPr>
          <w:rFonts w:eastAsia="Calibri" w:cs="Times New Roman"/>
          <w:b/>
          <w:color w:val="auto"/>
          <w:szCs w:val="22"/>
        </w:rPr>
      </w:pPr>
    </w:p>
    <w:p w14:paraId="7BB617D5" w14:textId="33FA96A6" w:rsidR="00E8305F" w:rsidRPr="00817A38" w:rsidRDefault="00691DBF" w:rsidP="00817A38">
      <w:pPr>
        <w:widowControl/>
        <w:autoSpaceDE/>
        <w:autoSpaceDN/>
        <w:adjustRightInd/>
        <w:rPr>
          <w:rFonts w:eastAsia="Calibri" w:cs="Times New Roman"/>
          <w:color w:val="auto"/>
          <w:szCs w:val="22"/>
        </w:rPr>
      </w:pPr>
      <w:r w:rsidRPr="00817A38">
        <w:rPr>
          <w:rFonts w:eastAsia="Calibri" w:cs="Times New Roman"/>
          <w:color w:val="auto"/>
          <w:szCs w:val="22"/>
          <w:highlight w:val="yellow"/>
        </w:rPr>
        <w:t>4.</w:t>
      </w:r>
      <w:r w:rsidRPr="00817A38">
        <w:rPr>
          <w:rFonts w:eastAsia="Calibri"/>
          <w:color w:val="auto"/>
          <w:highlight w:val="yellow"/>
        </w:rPr>
        <w:t>1</w:t>
      </w:r>
      <w:r w:rsidR="00570BB3">
        <w:rPr>
          <w:rFonts w:eastAsia="Calibri"/>
          <w:color w:val="auto"/>
          <w:highlight w:val="yellow"/>
        </w:rPr>
        <w:t>.</w:t>
      </w:r>
      <w:r w:rsidRPr="00817A38">
        <w:rPr>
          <w:rFonts w:eastAsia="Calibri"/>
          <w:color w:val="auto"/>
          <w:highlight w:val="yellow"/>
        </w:rPr>
        <w:t xml:space="preserve"> To transduce neurons with lentivirus</w:t>
      </w:r>
      <w:r w:rsidR="00853139">
        <w:rPr>
          <w:rFonts w:eastAsia="Calibri"/>
          <w:color w:val="auto"/>
          <w:highlight w:val="yellow"/>
        </w:rPr>
        <w:t>,</w:t>
      </w:r>
      <w:r w:rsidRPr="00817A38">
        <w:rPr>
          <w:rFonts w:eastAsia="Calibri"/>
          <w:color w:val="auto"/>
          <w:highlight w:val="yellow"/>
        </w:rPr>
        <w:t xml:space="preserve"> use a titer count of 3.4 </w:t>
      </w:r>
      <w:r w:rsidR="00853139">
        <w:rPr>
          <w:rFonts w:eastAsia="Calibri"/>
          <w:color w:val="auto"/>
          <w:highlight w:val="yellow"/>
        </w:rPr>
        <w:t>x</w:t>
      </w:r>
      <w:r w:rsidRPr="00817A38">
        <w:rPr>
          <w:rFonts w:eastAsia="Calibri"/>
          <w:color w:val="auto"/>
          <w:highlight w:val="yellow"/>
        </w:rPr>
        <w:t xml:space="preserve"> 10</w:t>
      </w:r>
      <w:r w:rsidRPr="00817A38">
        <w:rPr>
          <w:rFonts w:eastAsia="Calibri"/>
          <w:color w:val="auto"/>
          <w:highlight w:val="yellow"/>
          <w:vertAlign w:val="superscript"/>
        </w:rPr>
        <w:t>5</w:t>
      </w:r>
      <w:r w:rsidRPr="00817A38">
        <w:rPr>
          <w:rFonts w:eastAsia="Calibri"/>
          <w:color w:val="auto"/>
          <w:highlight w:val="yellow"/>
        </w:rPr>
        <w:t xml:space="preserve"> </w:t>
      </w:r>
      <w:proofErr w:type="spellStart"/>
      <w:r w:rsidRPr="00817A38">
        <w:rPr>
          <w:rFonts w:eastAsia="Calibri"/>
          <w:color w:val="auto"/>
          <w:highlight w:val="yellow"/>
        </w:rPr>
        <w:t>transducible</w:t>
      </w:r>
      <w:proofErr w:type="spellEnd"/>
      <w:r w:rsidRPr="00817A38">
        <w:rPr>
          <w:rFonts w:eastAsia="Calibri"/>
          <w:color w:val="auto"/>
          <w:highlight w:val="yellow"/>
        </w:rPr>
        <w:t xml:space="preserve"> units/cell (a 100% confluent 10 cm dish will contain ~10 million neurons). Dilute </w:t>
      </w:r>
      <w:r w:rsidR="00853139">
        <w:rPr>
          <w:rFonts w:eastAsia="Calibri"/>
          <w:color w:val="auto"/>
          <w:highlight w:val="yellow"/>
        </w:rPr>
        <w:t xml:space="preserve">the </w:t>
      </w:r>
      <w:r w:rsidRPr="00817A38">
        <w:rPr>
          <w:rFonts w:eastAsia="Calibri"/>
          <w:color w:val="auto"/>
          <w:highlight w:val="yellow"/>
        </w:rPr>
        <w:t xml:space="preserve">transducible units to the necessary concentration in cell culture media and add </w:t>
      </w:r>
      <w:r w:rsidR="00853139">
        <w:rPr>
          <w:rFonts w:eastAsia="Calibri"/>
          <w:color w:val="auto"/>
          <w:highlight w:val="yellow"/>
        </w:rPr>
        <w:t xml:space="preserve">them </w:t>
      </w:r>
      <w:r w:rsidRPr="00817A38">
        <w:rPr>
          <w:rFonts w:eastAsia="Calibri"/>
          <w:color w:val="auto"/>
          <w:highlight w:val="yellow"/>
        </w:rPr>
        <w:t xml:space="preserve">to </w:t>
      </w:r>
      <w:r w:rsidR="00853139">
        <w:rPr>
          <w:rFonts w:eastAsia="Calibri"/>
          <w:color w:val="auto"/>
          <w:highlight w:val="yellow"/>
        </w:rPr>
        <w:t xml:space="preserve">the </w:t>
      </w:r>
      <w:r w:rsidRPr="00817A38">
        <w:rPr>
          <w:rFonts w:eastAsia="Calibri"/>
          <w:color w:val="auto"/>
          <w:highlight w:val="yellow"/>
        </w:rPr>
        <w:t xml:space="preserve">cells (use the normal volume of media for </w:t>
      </w:r>
      <w:r w:rsidR="00853139">
        <w:rPr>
          <w:rFonts w:eastAsia="Calibri"/>
          <w:color w:val="auto"/>
          <w:highlight w:val="yellow"/>
        </w:rPr>
        <w:t>the</w:t>
      </w:r>
      <w:r w:rsidRPr="00817A38">
        <w:rPr>
          <w:rFonts w:eastAsia="Calibri"/>
          <w:color w:val="auto"/>
          <w:highlight w:val="yellow"/>
        </w:rPr>
        <w:t xml:space="preserve"> cell culture dish). Two days after adding the lentivirus, wash the cells 1</w:t>
      </w:r>
      <w:r w:rsidR="00853139">
        <w:rPr>
          <w:rFonts w:eastAsia="Calibri"/>
          <w:color w:val="auto"/>
          <w:highlight w:val="yellow"/>
        </w:rPr>
        <w:t>x</w:t>
      </w:r>
      <w:r w:rsidRPr="00817A38">
        <w:rPr>
          <w:rFonts w:eastAsia="Calibri"/>
          <w:color w:val="auto"/>
          <w:highlight w:val="yellow"/>
        </w:rPr>
        <w:t xml:space="preserve"> with fresh (</w:t>
      </w:r>
      <w:proofErr w:type="gramStart"/>
      <w:r w:rsidRPr="00817A38">
        <w:rPr>
          <w:rFonts w:eastAsia="Calibri"/>
          <w:color w:val="auto"/>
          <w:highlight w:val="yellow"/>
        </w:rPr>
        <w:t>-)</w:t>
      </w:r>
      <w:proofErr w:type="spellStart"/>
      <w:r w:rsidRPr="00817A38">
        <w:rPr>
          <w:rFonts w:eastAsia="Calibri"/>
          <w:color w:val="auto"/>
          <w:highlight w:val="yellow"/>
        </w:rPr>
        <w:t>bFGF</w:t>
      </w:r>
      <w:proofErr w:type="spellEnd"/>
      <w:proofErr w:type="gramEnd"/>
      <w:r w:rsidRPr="00817A38">
        <w:rPr>
          <w:rFonts w:eastAsia="Calibri"/>
          <w:color w:val="auto"/>
          <w:highlight w:val="yellow"/>
        </w:rPr>
        <w:t xml:space="preserve"> media (without lentivirus) and continue culturing in (-)</w:t>
      </w:r>
      <w:proofErr w:type="spellStart"/>
      <w:r w:rsidRPr="00817A38">
        <w:rPr>
          <w:rFonts w:eastAsia="Calibri"/>
          <w:color w:val="auto"/>
          <w:highlight w:val="yellow"/>
        </w:rPr>
        <w:t>bFGF</w:t>
      </w:r>
      <w:proofErr w:type="spellEnd"/>
      <w:r w:rsidRPr="00817A38">
        <w:rPr>
          <w:rFonts w:eastAsia="Calibri"/>
          <w:color w:val="auto"/>
          <w:highlight w:val="yellow"/>
        </w:rPr>
        <w:t xml:space="preserve"> media as usual.</w:t>
      </w:r>
      <w:r w:rsidRPr="00817A38">
        <w:rPr>
          <w:rFonts w:eastAsia="Calibri" w:cs="Times New Roman"/>
          <w:color w:val="auto"/>
          <w:szCs w:val="22"/>
        </w:rPr>
        <w:t xml:space="preserve"> </w:t>
      </w:r>
    </w:p>
    <w:p w14:paraId="13BD4C94" w14:textId="77777777" w:rsidR="00E8305F" w:rsidRPr="00817A38" w:rsidRDefault="00E8305F" w:rsidP="00817A38">
      <w:pPr>
        <w:widowControl/>
        <w:autoSpaceDE/>
        <w:autoSpaceDN/>
        <w:adjustRightInd/>
        <w:rPr>
          <w:rFonts w:eastAsia="Calibri" w:cs="Times New Roman"/>
          <w:color w:val="auto"/>
          <w:szCs w:val="22"/>
        </w:rPr>
      </w:pPr>
    </w:p>
    <w:p w14:paraId="46BA04B2" w14:textId="63DE1AD3" w:rsidR="00853139" w:rsidRDefault="00691DBF" w:rsidP="00817A38">
      <w:pPr>
        <w:widowControl/>
        <w:autoSpaceDE/>
        <w:autoSpaceDN/>
        <w:adjustRightInd/>
        <w:rPr>
          <w:rFonts w:eastAsia="Calibri" w:cs="Times New Roman"/>
          <w:color w:val="auto"/>
          <w:szCs w:val="22"/>
          <w:highlight w:val="yellow"/>
        </w:rPr>
      </w:pPr>
      <w:r w:rsidRPr="00817A38">
        <w:rPr>
          <w:rFonts w:eastAsia="Calibri" w:cs="Times New Roman"/>
          <w:color w:val="auto"/>
          <w:szCs w:val="22"/>
        </w:rPr>
        <w:t>4.2</w:t>
      </w:r>
      <w:r w:rsidR="00570BB3">
        <w:rPr>
          <w:rFonts w:eastAsia="Calibri" w:cs="Times New Roman"/>
          <w:color w:val="auto"/>
          <w:szCs w:val="22"/>
        </w:rPr>
        <w:t>.</w:t>
      </w:r>
      <w:r w:rsidRPr="00817A38">
        <w:rPr>
          <w:rFonts w:eastAsia="Calibri" w:cs="Times New Roman"/>
          <w:color w:val="auto"/>
          <w:szCs w:val="22"/>
        </w:rPr>
        <w:t xml:space="preserve"> </w:t>
      </w:r>
      <w:r w:rsidR="00853139">
        <w:rPr>
          <w:rFonts w:eastAsia="Calibri" w:cs="Times New Roman"/>
          <w:color w:val="auto"/>
          <w:szCs w:val="22"/>
        </w:rPr>
        <w:t>For the p</w:t>
      </w:r>
      <w:r w:rsidRPr="00817A38">
        <w:rPr>
          <w:rFonts w:eastAsia="Calibri" w:cs="Times New Roman"/>
          <w:color w:val="auto"/>
          <w:szCs w:val="22"/>
        </w:rPr>
        <w:t>ost</w:t>
      </w:r>
      <w:r w:rsidR="00853139">
        <w:rPr>
          <w:rFonts w:eastAsia="Calibri" w:cs="Times New Roman"/>
          <w:color w:val="auto"/>
          <w:szCs w:val="22"/>
        </w:rPr>
        <w:t>-</w:t>
      </w:r>
      <w:r w:rsidRPr="00817A38">
        <w:rPr>
          <w:rFonts w:eastAsia="Calibri" w:cs="Times New Roman"/>
          <w:color w:val="auto"/>
          <w:szCs w:val="22"/>
        </w:rPr>
        <w:t>lentiviral treatment</w:t>
      </w:r>
      <w:bookmarkStart w:id="3" w:name="_Hlk536527491"/>
      <w:r w:rsidR="00853139">
        <w:rPr>
          <w:rFonts w:eastAsia="Calibri" w:cs="Times New Roman"/>
          <w:color w:val="auto"/>
          <w:szCs w:val="22"/>
        </w:rPr>
        <w:t>,</w:t>
      </w:r>
      <w:r w:rsidRPr="00817A38">
        <w:rPr>
          <w:rFonts w:eastAsia="Calibri" w:cs="Times New Roman"/>
          <w:color w:val="auto"/>
          <w:szCs w:val="22"/>
        </w:rPr>
        <w:t xml:space="preserve"> </w:t>
      </w:r>
      <w:r w:rsidR="00853139">
        <w:rPr>
          <w:rFonts w:eastAsia="Calibri"/>
          <w:color w:val="auto"/>
          <w:highlight w:val="yellow"/>
        </w:rPr>
        <w:t>f</w:t>
      </w:r>
      <w:r w:rsidRPr="00817A38">
        <w:rPr>
          <w:rFonts w:eastAsia="Calibri"/>
          <w:color w:val="auto"/>
          <w:highlight w:val="yellow"/>
        </w:rPr>
        <w:t xml:space="preserve">eed </w:t>
      </w:r>
      <w:r w:rsidR="00853139">
        <w:rPr>
          <w:rFonts w:eastAsia="Calibri"/>
          <w:color w:val="auto"/>
          <w:highlight w:val="yellow"/>
        </w:rPr>
        <w:t xml:space="preserve">the </w:t>
      </w:r>
      <w:r w:rsidRPr="00817A38">
        <w:rPr>
          <w:rFonts w:eastAsia="Calibri"/>
          <w:color w:val="auto"/>
          <w:highlight w:val="yellow"/>
        </w:rPr>
        <w:t>transduced neurons by changing the cell culture media (</w:t>
      </w:r>
      <w:r w:rsidR="001245F3">
        <w:rPr>
          <w:rFonts w:eastAsia="Calibri"/>
          <w:color w:val="auto"/>
          <w:highlight w:val="yellow"/>
        </w:rPr>
        <w:t>[</w:t>
      </w:r>
      <w:proofErr w:type="gramStart"/>
      <w:r w:rsidRPr="00817A38">
        <w:rPr>
          <w:rFonts w:eastAsia="Calibri"/>
          <w:color w:val="auto"/>
          <w:highlight w:val="yellow"/>
        </w:rPr>
        <w:t>-</w:t>
      </w:r>
      <w:r w:rsidR="001245F3">
        <w:rPr>
          <w:rFonts w:eastAsia="Calibri"/>
          <w:color w:val="auto"/>
          <w:highlight w:val="yellow"/>
        </w:rPr>
        <w:t>]</w:t>
      </w:r>
      <w:proofErr w:type="spellStart"/>
      <w:r w:rsidRPr="00817A38">
        <w:rPr>
          <w:rFonts w:eastAsia="Calibri"/>
          <w:color w:val="auto"/>
          <w:highlight w:val="yellow"/>
        </w:rPr>
        <w:t>bFGF</w:t>
      </w:r>
      <w:proofErr w:type="spellEnd"/>
      <w:proofErr w:type="gramEnd"/>
      <w:r w:rsidRPr="00817A38">
        <w:rPr>
          <w:rFonts w:eastAsia="Calibri"/>
          <w:color w:val="auto"/>
          <w:highlight w:val="yellow"/>
        </w:rPr>
        <w:t xml:space="preserve"> media) every other day. </w:t>
      </w:r>
      <w:r w:rsidRPr="00817A38">
        <w:rPr>
          <w:rFonts w:eastAsia="Calibri" w:cs="Times New Roman"/>
          <w:color w:val="auto"/>
          <w:szCs w:val="22"/>
          <w:highlight w:val="yellow"/>
        </w:rPr>
        <w:t xml:space="preserve">Maintain </w:t>
      </w:r>
      <w:r w:rsidR="00853139">
        <w:rPr>
          <w:rFonts w:eastAsia="Calibri" w:cs="Times New Roman"/>
          <w:color w:val="auto"/>
          <w:szCs w:val="22"/>
          <w:highlight w:val="yellow"/>
        </w:rPr>
        <w:t xml:space="preserve">the </w:t>
      </w:r>
      <w:r w:rsidRPr="00817A38">
        <w:rPr>
          <w:rFonts w:eastAsia="Calibri" w:cs="Times New Roman"/>
          <w:color w:val="auto"/>
          <w:szCs w:val="22"/>
          <w:highlight w:val="yellow"/>
        </w:rPr>
        <w:t xml:space="preserve">cells </w:t>
      </w:r>
      <w:r w:rsidRPr="00817A38">
        <w:rPr>
          <w:rFonts w:eastAsia="Calibri"/>
          <w:color w:val="auto"/>
          <w:highlight w:val="yellow"/>
        </w:rPr>
        <w:t>for ~8 weeks after transduction</w:t>
      </w:r>
      <w:bookmarkEnd w:id="3"/>
      <w:r w:rsidRPr="00817A38">
        <w:rPr>
          <w:rFonts w:eastAsia="Calibri" w:cs="Times New Roman"/>
          <w:color w:val="auto"/>
          <w:szCs w:val="22"/>
          <w:highlight w:val="yellow"/>
        </w:rPr>
        <w:t>.</w:t>
      </w:r>
      <w:r w:rsidRPr="00817A38">
        <w:rPr>
          <w:rFonts w:eastAsia="Calibri"/>
          <w:color w:val="auto"/>
          <w:highlight w:val="yellow"/>
        </w:rPr>
        <w:t xml:space="preserve"> Routinely visualize </w:t>
      </w:r>
      <w:r w:rsidR="00853139">
        <w:rPr>
          <w:rFonts w:eastAsia="Calibri"/>
          <w:color w:val="auto"/>
          <w:highlight w:val="yellow"/>
        </w:rPr>
        <w:t xml:space="preserve">the </w:t>
      </w:r>
      <w:r w:rsidRPr="00817A38">
        <w:rPr>
          <w:rFonts w:eastAsia="Calibri"/>
          <w:color w:val="auto"/>
          <w:highlight w:val="yellow"/>
        </w:rPr>
        <w:t xml:space="preserve">cells under a light microscope to </w:t>
      </w:r>
      <w:r w:rsidRPr="00817A38">
        <w:rPr>
          <w:rFonts w:eastAsia="Calibri" w:cs="Times New Roman"/>
          <w:color w:val="auto"/>
          <w:szCs w:val="22"/>
          <w:highlight w:val="yellow"/>
        </w:rPr>
        <w:t>ensure viability</w:t>
      </w:r>
      <w:r w:rsidR="00853139">
        <w:rPr>
          <w:rFonts w:eastAsia="Calibri" w:cs="Times New Roman"/>
          <w:color w:val="auto"/>
          <w:szCs w:val="22"/>
          <w:highlight w:val="yellow"/>
        </w:rPr>
        <w:t>.</w:t>
      </w:r>
      <w:r w:rsidRPr="00817A38">
        <w:rPr>
          <w:rFonts w:eastAsia="Calibri" w:cs="Times New Roman"/>
          <w:color w:val="auto"/>
          <w:szCs w:val="22"/>
          <w:highlight w:val="yellow"/>
        </w:rPr>
        <w:t xml:space="preserve"> </w:t>
      </w:r>
    </w:p>
    <w:p w14:paraId="77A2F511" w14:textId="77777777" w:rsidR="00853139" w:rsidRDefault="00853139" w:rsidP="00817A38">
      <w:pPr>
        <w:widowControl/>
        <w:autoSpaceDE/>
        <w:autoSpaceDN/>
        <w:adjustRightInd/>
        <w:rPr>
          <w:rFonts w:eastAsia="Calibri" w:cs="Times New Roman"/>
          <w:color w:val="auto"/>
          <w:szCs w:val="22"/>
          <w:highlight w:val="yellow"/>
        </w:rPr>
      </w:pPr>
    </w:p>
    <w:p w14:paraId="602F8987" w14:textId="00A3F03B" w:rsidR="00E8305F" w:rsidRPr="00817A38" w:rsidRDefault="00853139" w:rsidP="00817A38">
      <w:pPr>
        <w:widowControl/>
        <w:autoSpaceDE/>
        <w:autoSpaceDN/>
        <w:adjustRightInd/>
        <w:rPr>
          <w:rFonts w:eastAsia="Calibri" w:cs="Times New Roman"/>
          <w:color w:val="auto"/>
          <w:szCs w:val="22"/>
        </w:rPr>
      </w:pPr>
      <w:r>
        <w:rPr>
          <w:rFonts w:eastAsia="Calibri" w:cs="Times New Roman"/>
          <w:color w:val="auto"/>
          <w:szCs w:val="22"/>
          <w:highlight w:val="yellow"/>
        </w:rPr>
        <w:t>NOTE: S</w:t>
      </w:r>
      <w:r w:rsidR="00691DBF" w:rsidRPr="00817A38">
        <w:rPr>
          <w:rFonts w:eastAsia="Calibri" w:cs="Times New Roman"/>
          <w:color w:val="auto"/>
          <w:szCs w:val="22"/>
          <w:highlight w:val="yellow"/>
        </w:rPr>
        <w:t xml:space="preserve">parseness or </w:t>
      </w:r>
      <w:r w:rsidR="00691DBF" w:rsidRPr="00817A38">
        <w:rPr>
          <w:rFonts w:eastAsia="Calibri"/>
          <w:color w:val="auto"/>
          <w:highlight w:val="yellow"/>
        </w:rPr>
        <w:t xml:space="preserve">dendritic breakages are </w:t>
      </w:r>
      <w:r w:rsidR="00691DBF" w:rsidRPr="00817A38">
        <w:rPr>
          <w:rFonts w:eastAsia="Calibri" w:cs="Times New Roman"/>
          <w:color w:val="auto"/>
          <w:szCs w:val="22"/>
          <w:highlight w:val="yellow"/>
        </w:rPr>
        <w:t xml:space="preserve">signs that the cells are </w:t>
      </w:r>
      <w:r w:rsidR="00691DBF" w:rsidRPr="00817A38">
        <w:rPr>
          <w:rFonts w:eastAsia="Calibri"/>
          <w:color w:val="auto"/>
          <w:highlight w:val="yellow"/>
        </w:rPr>
        <w:t>no longer viable</w:t>
      </w:r>
      <w:r w:rsidR="00691DBF" w:rsidRPr="00817A38">
        <w:rPr>
          <w:rFonts w:eastAsia="Calibri" w:cs="Times New Roman"/>
          <w:color w:val="auto"/>
          <w:szCs w:val="22"/>
        </w:rPr>
        <w:t>.</w:t>
      </w:r>
    </w:p>
    <w:p w14:paraId="1ABBEFFD" w14:textId="77777777" w:rsidR="00E8305F" w:rsidRPr="00817A38" w:rsidRDefault="00E8305F" w:rsidP="00817A38">
      <w:pPr>
        <w:widowControl/>
        <w:autoSpaceDE/>
        <w:autoSpaceDN/>
        <w:adjustRightInd/>
        <w:rPr>
          <w:rFonts w:eastAsia="Calibri" w:cs="Times New Roman"/>
          <w:color w:val="auto"/>
          <w:szCs w:val="22"/>
        </w:rPr>
      </w:pPr>
    </w:p>
    <w:p w14:paraId="36F27EA0" w14:textId="77777777" w:rsidR="00E8305F" w:rsidRPr="00817A38" w:rsidRDefault="00691DBF" w:rsidP="00817A38">
      <w:pPr>
        <w:widowControl/>
        <w:autoSpaceDE/>
        <w:autoSpaceDN/>
        <w:adjustRightInd/>
        <w:rPr>
          <w:rFonts w:eastAsia="Calibri" w:cs="Times New Roman"/>
          <w:b/>
          <w:color w:val="auto"/>
          <w:szCs w:val="22"/>
        </w:rPr>
      </w:pPr>
      <w:r w:rsidRPr="00817A38">
        <w:rPr>
          <w:rFonts w:eastAsia="Calibri" w:cs="Times New Roman"/>
          <w:b/>
          <w:color w:val="auto"/>
          <w:szCs w:val="22"/>
        </w:rPr>
        <w:t>5</w:t>
      </w:r>
      <w:r w:rsidR="00570BB3">
        <w:rPr>
          <w:rFonts w:eastAsia="Calibri" w:cs="Times New Roman"/>
          <w:b/>
          <w:color w:val="auto"/>
          <w:szCs w:val="22"/>
        </w:rPr>
        <w:t>.</w:t>
      </w:r>
      <w:r w:rsidRPr="00817A38">
        <w:rPr>
          <w:rFonts w:eastAsia="Calibri" w:cs="Times New Roman"/>
          <w:b/>
          <w:color w:val="auto"/>
          <w:szCs w:val="22"/>
        </w:rPr>
        <w:t xml:space="preserve"> Imaging of cells</w:t>
      </w:r>
    </w:p>
    <w:p w14:paraId="0FF07F11" w14:textId="77777777" w:rsidR="00E8305F" w:rsidRPr="00817A38" w:rsidRDefault="00E8305F" w:rsidP="00817A38">
      <w:pPr>
        <w:widowControl/>
        <w:autoSpaceDE/>
        <w:autoSpaceDN/>
        <w:adjustRightInd/>
        <w:rPr>
          <w:rFonts w:eastAsia="Calibri" w:cs="Times New Roman"/>
          <w:b/>
          <w:color w:val="auto"/>
          <w:szCs w:val="22"/>
        </w:rPr>
      </w:pPr>
    </w:p>
    <w:p w14:paraId="184778D5" w14:textId="3BFC1E9D" w:rsidR="00570BB3" w:rsidRPr="001362CF" w:rsidRDefault="00691DBF" w:rsidP="00817A38">
      <w:pPr>
        <w:widowControl/>
        <w:autoSpaceDE/>
        <w:autoSpaceDN/>
        <w:adjustRightInd/>
        <w:rPr>
          <w:rFonts w:eastAsia="Calibri"/>
          <w:b/>
          <w:color w:val="auto"/>
          <w:highlight w:val="yellow"/>
        </w:rPr>
      </w:pPr>
      <w:r w:rsidRPr="001362CF">
        <w:rPr>
          <w:rFonts w:eastAsia="Calibri" w:cs="Times New Roman"/>
          <w:b/>
          <w:color w:val="auto"/>
          <w:szCs w:val="22"/>
          <w:highlight w:val="yellow"/>
        </w:rPr>
        <w:t>5</w:t>
      </w:r>
      <w:r w:rsidRPr="001362CF">
        <w:rPr>
          <w:rFonts w:eastAsia="Calibri"/>
          <w:b/>
          <w:color w:val="auto"/>
          <w:highlight w:val="yellow"/>
        </w:rPr>
        <w:t>.1</w:t>
      </w:r>
      <w:r w:rsidR="00570BB3" w:rsidRPr="001362CF">
        <w:rPr>
          <w:rFonts w:eastAsia="Calibri"/>
          <w:b/>
          <w:color w:val="auto"/>
          <w:highlight w:val="yellow"/>
        </w:rPr>
        <w:t>.</w:t>
      </w:r>
      <w:r w:rsidRPr="001362CF">
        <w:rPr>
          <w:rFonts w:eastAsia="Calibri"/>
          <w:b/>
          <w:color w:val="auto"/>
          <w:highlight w:val="yellow"/>
        </w:rPr>
        <w:t xml:space="preserve"> Live</w:t>
      </w:r>
      <w:r w:rsidR="00570BB3">
        <w:rPr>
          <w:rFonts w:eastAsia="Calibri"/>
          <w:b/>
          <w:color w:val="auto"/>
          <w:highlight w:val="yellow"/>
        </w:rPr>
        <w:t>-</w:t>
      </w:r>
      <w:r w:rsidRPr="001362CF">
        <w:rPr>
          <w:rFonts w:eastAsia="Calibri"/>
          <w:b/>
          <w:color w:val="auto"/>
          <w:highlight w:val="yellow"/>
        </w:rPr>
        <w:t xml:space="preserve">cell imaging </w:t>
      </w:r>
    </w:p>
    <w:p w14:paraId="08F34C10" w14:textId="77777777" w:rsidR="00570BB3" w:rsidRDefault="00570BB3" w:rsidP="00817A38">
      <w:pPr>
        <w:widowControl/>
        <w:autoSpaceDE/>
        <w:autoSpaceDN/>
        <w:adjustRightInd/>
        <w:rPr>
          <w:rFonts w:eastAsia="Calibri"/>
          <w:color w:val="auto"/>
          <w:highlight w:val="yellow"/>
        </w:rPr>
      </w:pPr>
    </w:p>
    <w:p w14:paraId="78B9BCA1" w14:textId="743E30A6" w:rsidR="00E8305F" w:rsidRPr="00817A38" w:rsidRDefault="00570BB3" w:rsidP="00817A38">
      <w:pPr>
        <w:widowControl/>
        <w:autoSpaceDE/>
        <w:autoSpaceDN/>
        <w:adjustRightInd/>
        <w:rPr>
          <w:rFonts w:eastAsia="Calibri" w:cs="Times New Roman"/>
          <w:color w:val="auto"/>
          <w:szCs w:val="22"/>
        </w:rPr>
      </w:pPr>
      <w:r>
        <w:rPr>
          <w:rFonts w:eastAsia="Calibri"/>
          <w:color w:val="auto"/>
          <w:highlight w:val="yellow"/>
        </w:rPr>
        <w:t xml:space="preserve">5.1.1. </w:t>
      </w:r>
      <w:r w:rsidR="00691DBF" w:rsidRPr="00817A38">
        <w:rPr>
          <w:rFonts w:eastAsia="Calibri"/>
          <w:color w:val="auto"/>
          <w:highlight w:val="yellow"/>
        </w:rPr>
        <w:t>After transduction (4 days after the addition of lentivirus), observe YFP signals under a fluorescent microscope capable of live</w:t>
      </w:r>
      <w:r w:rsidR="00853139">
        <w:rPr>
          <w:rFonts w:eastAsia="Calibri"/>
          <w:color w:val="auto"/>
          <w:highlight w:val="yellow"/>
        </w:rPr>
        <w:t>-</w:t>
      </w:r>
      <w:r w:rsidR="00691DBF" w:rsidRPr="00817A38">
        <w:rPr>
          <w:rFonts w:eastAsia="Calibri"/>
          <w:color w:val="auto"/>
          <w:highlight w:val="yellow"/>
        </w:rPr>
        <w:t xml:space="preserve">cell imaging. Take </w:t>
      </w:r>
      <w:r w:rsidR="00853139">
        <w:rPr>
          <w:rFonts w:eastAsia="Calibri"/>
          <w:color w:val="auto"/>
          <w:highlight w:val="yellow"/>
        </w:rPr>
        <w:t xml:space="preserve">the </w:t>
      </w:r>
      <w:r w:rsidR="00691DBF" w:rsidRPr="00817A38">
        <w:rPr>
          <w:rFonts w:eastAsia="Calibri"/>
          <w:color w:val="auto"/>
          <w:highlight w:val="yellow"/>
        </w:rPr>
        <w:t xml:space="preserve">cell culture dishes out of </w:t>
      </w:r>
      <w:r w:rsidR="00853139">
        <w:rPr>
          <w:rFonts w:eastAsia="Calibri"/>
          <w:color w:val="auto"/>
          <w:highlight w:val="yellow"/>
        </w:rPr>
        <w:t xml:space="preserve">the </w:t>
      </w:r>
      <w:r w:rsidR="00691DBF" w:rsidRPr="00817A38">
        <w:rPr>
          <w:rFonts w:eastAsia="Calibri"/>
          <w:color w:val="auto"/>
          <w:highlight w:val="yellow"/>
        </w:rPr>
        <w:t xml:space="preserve">incubator and </w:t>
      </w:r>
      <w:r w:rsidR="00853139">
        <w:rPr>
          <w:rFonts w:eastAsia="Calibri"/>
          <w:color w:val="auto"/>
          <w:highlight w:val="yellow"/>
        </w:rPr>
        <w:t>make</w:t>
      </w:r>
      <w:r w:rsidR="00691DBF" w:rsidRPr="00817A38">
        <w:rPr>
          <w:rFonts w:eastAsia="Calibri"/>
          <w:color w:val="auto"/>
          <w:highlight w:val="yellow"/>
        </w:rPr>
        <w:t xml:space="preserve"> sure </w:t>
      </w:r>
      <w:r w:rsidR="00853139">
        <w:rPr>
          <w:rFonts w:eastAsia="Calibri"/>
          <w:color w:val="auto"/>
          <w:highlight w:val="yellow"/>
        </w:rPr>
        <w:t>the</w:t>
      </w:r>
      <w:r w:rsidR="00691DBF" w:rsidRPr="00817A38">
        <w:rPr>
          <w:rFonts w:eastAsia="Calibri"/>
          <w:color w:val="auto"/>
          <w:highlight w:val="yellow"/>
        </w:rPr>
        <w:t xml:space="preserve"> culture wells remain sterile by keeping the lid on top of </w:t>
      </w:r>
      <w:r w:rsidR="00853139">
        <w:rPr>
          <w:rFonts w:eastAsia="Calibri"/>
          <w:color w:val="auto"/>
          <w:highlight w:val="yellow"/>
        </w:rPr>
        <w:t xml:space="preserve">the </w:t>
      </w:r>
      <w:r w:rsidR="00691DBF" w:rsidRPr="00817A38">
        <w:rPr>
          <w:rFonts w:eastAsia="Calibri"/>
          <w:color w:val="auto"/>
          <w:highlight w:val="yellow"/>
        </w:rPr>
        <w:t xml:space="preserve">culture dishes. Visualize </w:t>
      </w:r>
      <w:r w:rsidR="00853139">
        <w:rPr>
          <w:rFonts w:eastAsia="Calibri"/>
          <w:color w:val="auto"/>
          <w:highlight w:val="yellow"/>
        </w:rPr>
        <w:t xml:space="preserve">the </w:t>
      </w:r>
      <w:r w:rsidR="00691DBF" w:rsidRPr="00817A38">
        <w:rPr>
          <w:rFonts w:eastAsia="Calibri"/>
          <w:color w:val="auto"/>
          <w:highlight w:val="yellow"/>
        </w:rPr>
        <w:t>cells using a 10</w:t>
      </w:r>
      <w:r w:rsidR="00853139">
        <w:rPr>
          <w:rFonts w:eastAsia="Calibri"/>
          <w:color w:val="auto"/>
          <w:highlight w:val="yellow"/>
        </w:rPr>
        <w:t>x</w:t>
      </w:r>
      <w:r w:rsidR="00691DBF" w:rsidRPr="00817A38">
        <w:rPr>
          <w:rFonts w:eastAsia="Calibri"/>
          <w:color w:val="auto"/>
          <w:highlight w:val="yellow"/>
        </w:rPr>
        <w:t xml:space="preserve"> objective with an excitation wavelength of ~514 nm and an emission filter of ~527 nm</w:t>
      </w:r>
      <w:r w:rsidR="00691DBF" w:rsidRPr="00817A38">
        <w:rPr>
          <w:rFonts w:eastAsia="Calibri" w:cs="Times New Roman"/>
          <w:color w:val="auto"/>
          <w:szCs w:val="22"/>
          <w:highlight w:val="yellow"/>
        </w:rPr>
        <w:t>.</w:t>
      </w:r>
    </w:p>
    <w:p w14:paraId="08865CE2" w14:textId="77777777" w:rsidR="00E8305F" w:rsidRPr="00817A38" w:rsidRDefault="00E8305F" w:rsidP="00817A38">
      <w:pPr>
        <w:widowControl/>
        <w:autoSpaceDE/>
        <w:autoSpaceDN/>
        <w:adjustRightInd/>
        <w:rPr>
          <w:rFonts w:eastAsia="Calibri" w:cs="Times New Roman"/>
          <w:color w:val="auto"/>
          <w:szCs w:val="22"/>
        </w:rPr>
      </w:pPr>
    </w:p>
    <w:p w14:paraId="25A60F43" w14:textId="10DD40ED" w:rsidR="00E8305F" w:rsidRPr="00817A38" w:rsidRDefault="00691DBF" w:rsidP="00817A38">
      <w:pPr>
        <w:widowControl/>
        <w:autoSpaceDE/>
        <w:autoSpaceDN/>
        <w:adjustRightInd/>
        <w:rPr>
          <w:rFonts w:eastAsia="Calibri" w:cs="Times New Roman"/>
          <w:color w:val="auto"/>
          <w:szCs w:val="22"/>
        </w:rPr>
      </w:pPr>
      <w:r w:rsidRPr="00817A38">
        <w:rPr>
          <w:rFonts w:eastAsia="Calibri" w:cs="Times New Roman"/>
          <w:color w:val="auto"/>
          <w:szCs w:val="22"/>
        </w:rPr>
        <w:t>NOTE: Aggregates are typically visible in transduced cell cultures 6</w:t>
      </w:r>
      <w:r w:rsidR="00853139">
        <w:rPr>
          <w:rFonts w:eastAsia="Calibri" w:cs="Times New Roman"/>
          <w:color w:val="auto"/>
          <w:szCs w:val="22"/>
        </w:rPr>
        <w:t>–</w:t>
      </w:r>
      <w:r w:rsidRPr="00817A38">
        <w:rPr>
          <w:rFonts w:eastAsia="Calibri" w:cs="Times New Roman"/>
          <w:color w:val="auto"/>
          <w:szCs w:val="22"/>
        </w:rPr>
        <w:t>8 days after the application of lentivirus.</w:t>
      </w:r>
    </w:p>
    <w:p w14:paraId="6EA449EA" w14:textId="77777777" w:rsidR="00E8305F" w:rsidRPr="00817A38" w:rsidRDefault="00E8305F" w:rsidP="00817A38">
      <w:pPr>
        <w:widowControl/>
        <w:autoSpaceDE/>
        <w:autoSpaceDN/>
        <w:adjustRightInd/>
        <w:rPr>
          <w:rFonts w:eastAsia="Calibri" w:cs="Times New Roman"/>
          <w:color w:val="auto"/>
          <w:szCs w:val="22"/>
        </w:rPr>
      </w:pPr>
    </w:p>
    <w:p w14:paraId="2FB48846" w14:textId="131077E0" w:rsidR="00E8305F" w:rsidRPr="001362CF" w:rsidRDefault="00691DBF" w:rsidP="00817A38">
      <w:pPr>
        <w:widowControl/>
        <w:autoSpaceDE/>
        <w:autoSpaceDN/>
        <w:adjustRightInd/>
        <w:rPr>
          <w:rFonts w:eastAsia="Calibri" w:cs="Times New Roman"/>
          <w:b/>
          <w:color w:val="auto"/>
          <w:szCs w:val="22"/>
        </w:rPr>
      </w:pPr>
      <w:r w:rsidRPr="001362CF">
        <w:rPr>
          <w:rFonts w:eastAsia="Calibri" w:cs="Times New Roman"/>
          <w:b/>
          <w:color w:val="auto"/>
          <w:szCs w:val="22"/>
        </w:rPr>
        <w:t>5.2 Fixed</w:t>
      </w:r>
      <w:r w:rsidR="00570BB3">
        <w:rPr>
          <w:rFonts w:eastAsia="Calibri" w:cs="Times New Roman"/>
          <w:b/>
          <w:color w:val="auto"/>
          <w:szCs w:val="22"/>
        </w:rPr>
        <w:t>-</w:t>
      </w:r>
      <w:r w:rsidRPr="001362CF">
        <w:rPr>
          <w:rFonts w:eastAsia="Calibri" w:cs="Times New Roman"/>
          <w:b/>
          <w:color w:val="auto"/>
          <w:szCs w:val="22"/>
        </w:rPr>
        <w:t>cell staining (β-tubulin III labeling and thioflavin staining)</w:t>
      </w:r>
    </w:p>
    <w:p w14:paraId="3BDCBF6B" w14:textId="77777777" w:rsidR="00E8305F" w:rsidRPr="00817A38" w:rsidRDefault="00E8305F" w:rsidP="00817A38">
      <w:pPr>
        <w:widowControl/>
        <w:autoSpaceDE/>
        <w:autoSpaceDN/>
        <w:adjustRightInd/>
        <w:rPr>
          <w:rFonts w:eastAsia="Calibri" w:cs="Times New Roman"/>
          <w:color w:val="auto"/>
          <w:szCs w:val="22"/>
        </w:rPr>
      </w:pPr>
    </w:p>
    <w:p w14:paraId="1EA84B7B" w14:textId="0692C466" w:rsidR="00E8305F" w:rsidRPr="00817A38" w:rsidRDefault="00691DBF" w:rsidP="00817A38">
      <w:pPr>
        <w:widowControl/>
        <w:autoSpaceDE/>
        <w:autoSpaceDN/>
        <w:adjustRightInd/>
        <w:rPr>
          <w:rFonts w:eastAsia="Calibri" w:cs="Times New Roman"/>
          <w:color w:val="auto"/>
          <w:szCs w:val="22"/>
        </w:rPr>
      </w:pPr>
      <w:r w:rsidRPr="00817A38">
        <w:rPr>
          <w:rFonts w:eastAsia="Calibri" w:cs="Times New Roman"/>
          <w:color w:val="auto"/>
          <w:szCs w:val="22"/>
        </w:rPr>
        <w:t>5.2.1</w:t>
      </w:r>
      <w:r w:rsidR="00570BB3">
        <w:rPr>
          <w:rFonts w:eastAsia="Calibri" w:cs="Times New Roman"/>
          <w:color w:val="auto"/>
          <w:szCs w:val="22"/>
        </w:rPr>
        <w:t>.</w:t>
      </w:r>
      <w:r w:rsidRPr="00817A38">
        <w:rPr>
          <w:rFonts w:eastAsia="Calibri" w:cs="Times New Roman"/>
          <w:color w:val="auto"/>
          <w:szCs w:val="22"/>
        </w:rPr>
        <w:t xml:space="preserve"> </w:t>
      </w:r>
      <w:r w:rsidR="00E8305F">
        <w:rPr>
          <w:rFonts w:eastAsia="Calibri" w:cs="Times New Roman"/>
          <w:color w:val="auto"/>
          <w:szCs w:val="22"/>
        </w:rPr>
        <w:t>To fix</w:t>
      </w:r>
      <w:r w:rsidRPr="00817A38">
        <w:rPr>
          <w:rFonts w:eastAsia="Calibri" w:cs="Times New Roman"/>
          <w:color w:val="auto"/>
          <w:szCs w:val="22"/>
        </w:rPr>
        <w:t xml:space="preserve"> </w:t>
      </w:r>
      <w:r w:rsidR="00E8305F">
        <w:rPr>
          <w:rFonts w:eastAsia="Calibri" w:cs="Times New Roman"/>
          <w:color w:val="auto"/>
          <w:szCs w:val="22"/>
        </w:rPr>
        <w:t xml:space="preserve">the </w:t>
      </w:r>
      <w:r w:rsidRPr="00817A38">
        <w:rPr>
          <w:rFonts w:eastAsia="Calibri" w:cs="Times New Roman"/>
          <w:color w:val="auto"/>
          <w:szCs w:val="22"/>
        </w:rPr>
        <w:t>cells in paraformaldehyde (PFA)</w:t>
      </w:r>
      <w:r w:rsidR="00E8305F">
        <w:rPr>
          <w:rFonts w:eastAsia="Calibri" w:cs="Times New Roman"/>
          <w:color w:val="auto"/>
          <w:szCs w:val="22"/>
        </w:rPr>
        <w:t>,</w:t>
      </w:r>
      <w:r w:rsidRPr="00817A38">
        <w:rPr>
          <w:rFonts w:eastAsia="Calibri" w:cs="Times New Roman"/>
          <w:color w:val="auto"/>
          <w:szCs w:val="22"/>
        </w:rPr>
        <w:t xml:space="preserve"> </w:t>
      </w:r>
      <w:r w:rsidR="00E8305F">
        <w:rPr>
          <w:rFonts w:eastAsia="Calibri" w:cs="Times New Roman"/>
          <w:color w:val="auto"/>
          <w:szCs w:val="22"/>
        </w:rPr>
        <w:t>r</w:t>
      </w:r>
      <w:r w:rsidRPr="00817A38">
        <w:rPr>
          <w:rFonts w:eastAsia="Calibri" w:cs="Times New Roman"/>
          <w:color w:val="auto"/>
          <w:szCs w:val="22"/>
        </w:rPr>
        <w:t xml:space="preserve">emove the culture media from transduced neurons grown on glass coverslips. Wash </w:t>
      </w:r>
      <w:r w:rsidR="00E8305F">
        <w:rPr>
          <w:rFonts w:eastAsia="Calibri" w:cs="Times New Roman"/>
          <w:color w:val="auto"/>
          <w:szCs w:val="22"/>
        </w:rPr>
        <w:t xml:space="preserve">the </w:t>
      </w:r>
      <w:r w:rsidRPr="00817A38">
        <w:rPr>
          <w:rFonts w:eastAsia="Calibri" w:cs="Times New Roman"/>
          <w:color w:val="auto"/>
          <w:szCs w:val="22"/>
        </w:rPr>
        <w:t>cells 1</w:t>
      </w:r>
      <w:r w:rsidR="00E8305F">
        <w:rPr>
          <w:rFonts w:eastAsia="Calibri" w:cs="Times New Roman"/>
          <w:color w:val="auto"/>
          <w:szCs w:val="22"/>
        </w:rPr>
        <w:t>x</w:t>
      </w:r>
      <w:r w:rsidRPr="00817A38">
        <w:rPr>
          <w:rFonts w:eastAsia="Calibri" w:cs="Times New Roman"/>
          <w:color w:val="auto"/>
          <w:szCs w:val="22"/>
        </w:rPr>
        <w:t xml:space="preserve"> with PBS, remove </w:t>
      </w:r>
      <w:r w:rsidR="00E8305F">
        <w:rPr>
          <w:rFonts w:eastAsia="Calibri" w:cs="Times New Roman"/>
          <w:color w:val="auto"/>
          <w:szCs w:val="22"/>
        </w:rPr>
        <w:t xml:space="preserve">the </w:t>
      </w:r>
      <w:r w:rsidRPr="00817A38">
        <w:rPr>
          <w:rFonts w:eastAsia="Calibri" w:cs="Times New Roman"/>
          <w:color w:val="auto"/>
          <w:szCs w:val="22"/>
        </w:rPr>
        <w:t>wash</w:t>
      </w:r>
      <w:r w:rsidR="00E8305F">
        <w:rPr>
          <w:rFonts w:eastAsia="Calibri" w:cs="Times New Roman"/>
          <w:color w:val="auto"/>
          <w:szCs w:val="22"/>
        </w:rPr>
        <w:t>,</w:t>
      </w:r>
      <w:r w:rsidRPr="00817A38">
        <w:rPr>
          <w:rFonts w:eastAsia="Calibri" w:cs="Times New Roman"/>
          <w:color w:val="auto"/>
          <w:szCs w:val="22"/>
        </w:rPr>
        <w:t xml:space="preserve"> and add 300</w:t>
      </w:r>
      <w:r w:rsidR="00E8305F">
        <w:rPr>
          <w:rFonts w:eastAsia="Calibri" w:cs="Times New Roman"/>
          <w:color w:val="auto"/>
          <w:szCs w:val="22"/>
        </w:rPr>
        <w:t>–</w:t>
      </w:r>
      <w:r w:rsidRPr="00817A38">
        <w:rPr>
          <w:rFonts w:eastAsia="Calibri" w:cs="Times New Roman"/>
          <w:color w:val="auto"/>
          <w:szCs w:val="22"/>
        </w:rPr>
        <w:t xml:space="preserve">500 </w:t>
      </w:r>
      <w:r w:rsidRPr="00817A38">
        <w:rPr>
          <w:rFonts w:eastAsia="Calibri"/>
          <w:color w:val="auto"/>
          <w:szCs w:val="22"/>
        </w:rPr>
        <w:t>µ</w:t>
      </w:r>
      <w:r w:rsidRPr="00817A38">
        <w:rPr>
          <w:rFonts w:eastAsia="Calibri" w:cs="Times New Roman"/>
          <w:color w:val="auto"/>
          <w:szCs w:val="22"/>
        </w:rPr>
        <w:t>L (if using 24</w:t>
      </w:r>
      <w:r w:rsidR="00E8305F">
        <w:rPr>
          <w:rFonts w:eastAsia="Calibri" w:cs="Times New Roman"/>
          <w:color w:val="auto"/>
          <w:szCs w:val="22"/>
        </w:rPr>
        <w:t>-</w:t>
      </w:r>
      <w:r w:rsidRPr="00817A38">
        <w:rPr>
          <w:rFonts w:eastAsia="Calibri" w:cs="Times New Roman"/>
          <w:color w:val="auto"/>
          <w:szCs w:val="22"/>
        </w:rPr>
        <w:t xml:space="preserve">well plates) of 4% PFA (diluted in PBS) to </w:t>
      </w:r>
      <w:r w:rsidR="00E8305F">
        <w:rPr>
          <w:rFonts w:eastAsia="Calibri" w:cs="Times New Roman"/>
          <w:color w:val="auto"/>
          <w:szCs w:val="22"/>
        </w:rPr>
        <w:t xml:space="preserve">the </w:t>
      </w:r>
      <w:r w:rsidRPr="00817A38">
        <w:rPr>
          <w:rFonts w:eastAsia="Calibri" w:cs="Times New Roman"/>
          <w:color w:val="auto"/>
          <w:szCs w:val="22"/>
        </w:rPr>
        <w:t xml:space="preserve">coverslips for 20 min at room temperature. Remove </w:t>
      </w:r>
      <w:r w:rsidR="00E8305F">
        <w:rPr>
          <w:rFonts w:eastAsia="Calibri" w:cs="Times New Roman"/>
          <w:color w:val="auto"/>
          <w:szCs w:val="22"/>
        </w:rPr>
        <w:t xml:space="preserve">the </w:t>
      </w:r>
      <w:r w:rsidRPr="00817A38">
        <w:rPr>
          <w:rFonts w:eastAsia="Calibri" w:cs="Times New Roman"/>
          <w:color w:val="auto"/>
          <w:szCs w:val="22"/>
        </w:rPr>
        <w:t xml:space="preserve">PFA and wash </w:t>
      </w:r>
      <w:r w:rsidR="00E8305F">
        <w:rPr>
          <w:rFonts w:eastAsia="Calibri" w:cs="Times New Roman"/>
          <w:color w:val="auto"/>
          <w:szCs w:val="22"/>
        </w:rPr>
        <w:t xml:space="preserve">the </w:t>
      </w:r>
      <w:r w:rsidRPr="00817A38">
        <w:rPr>
          <w:rFonts w:eastAsia="Calibri" w:cs="Times New Roman"/>
          <w:color w:val="auto"/>
          <w:szCs w:val="22"/>
        </w:rPr>
        <w:t>coverslips 2</w:t>
      </w:r>
      <w:r w:rsidR="00E8305F">
        <w:rPr>
          <w:rFonts w:eastAsia="Calibri" w:cs="Times New Roman"/>
          <w:color w:val="auto"/>
          <w:szCs w:val="22"/>
        </w:rPr>
        <w:t>x</w:t>
      </w:r>
      <w:r w:rsidRPr="00817A38">
        <w:rPr>
          <w:rFonts w:eastAsia="Calibri" w:cs="Times New Roman"/>
          <w:color w:val="auto"/>
          <w:szCs w:val="22"/>
        </w:rPr>
        <w:t xml:space="preserve"> with PBS.</w:t>
      </w:r>
    </w:p>
    <w:p w14:paraId="39647ED5" w14:textId="77777777" w:rsidR="00E8305F" w:rsidRPr="00817A38" w:rsidRDefault="00E8305F" w:rsidP="00817A38">
      <w:pPr>
        <w:widowControl/>
        <w:autoSpaceDE/>
        <w:autoSpaceDN/>
        <w:adjustRightInd/>
        <w:rPr>
          <w:rFonts w:eastAsia="Calibri" w:cs="Times New Roman"/>
          <w:color w:val="auto"/>
          <w:szCs w:val="22"/>
        </w:rPr>
      </w:pPr>
    </w:p>
    <w:p w14:paraId="5F62805A" w14:textId="5DB0B2EE" w:rsidR="00E8305F" w:rsidRPr="00817A38" w:rsidRDefault="00691DBF" w:rsidP="00817A38">
      <w:pPr>
        <w:widowControl/>
        <w:autoSpaceDE/>
        <w:autoSpaceDN/>
        <w:adjustRightInd/>
        <w:rPr>
          <w:rFonts w:eastAsia="Calibri" w:cs="Times New Roman"/>
          <w:color w:val="auto"/>
          <w:szCs w:val="22"/>
        </w:rPr>
      </w:pPr>
      <w:r w:rsidRPr="00817A38">
        <w:rPr>
          <w:rFonts w:eastAsia="Calibri" w:cs="Times New Roman"/>
          <w:color w:val="auto"/>
          <w:szCs w:val="22"/>
        </w:rPr>
        <w:t>5.2.2</w:t>
      </w:r>
      <w:r w:rsidR="00570BB3">
        <w:rPr>
          <w:rFonts w:eastAsia="Calibri" w:cs="Times New Roman"/>
          <w:color w:val="auto"/>
          <w:szCs w:val="22"/>
        </w:rPr>
        <w:t>.</w:t>
      </w:r>
      <w:r w:rsidRPr="00817A38">
        <w:rPr>
          <w:rFonts w:eastAsia="Calibri" w:cs="Times New Roman"/>
          <w:color w:val="auto"/>
          <w:szCs w:val="22"/>
        </w:rPr>
        <w:t xml:space="preserve"> Prepare a blocking solution consisting of PBS, 3% </w:t>
      </w:r>
      <w:r w:rsidR="006451F9">
        <w:rPr>
          <w:rFonts w:eastAsia="Calibri" w:cs="Times New Roman"/>
          <w:color w:val="auto"/>
          <w:szCs w:val="22"/>
        </w:rPr>
        <w:t>bovine serum albumin (</w:t>
      </w:r>
      <w:r w:rsidRPr="00817A38">
        <w:rPr>
          <w:rFonts w:eastAsia="Calibri" w:cs="Times New Roman"/>
          <w:color w:val="auto"/>
          <w:szCs w:val="22"/>
        </w:rPr>
        <w:t>BSA</w:t>
      </w:r>
      <w:r w:rsidR="006451F9">
        <w:rPr>
          <w:rFonts w:eastAsia="Calibri" w:cs="Times New Roman"/>
          <w:color w:val="auto"/>
          <w:szCs w:val="22"/>
        </w:rPr>
        <w:t>)</w:t>
      </w:r>
      <w:r w:rsidRPr="00817A38">
        <w:rPr>
          <w:rFonts w:eastAsia="Calibri" w:cs="Times New Roman"/>
          <w:color w:val="auto"/>
          <w:szCs w:val="22"/>
        </w:rPr>
        <w:t>, and 0.3% Triton X-100. Add 300</w:t>
      </w:r>
      <w:r w:rsidR="006451F9">
        <w:rPr>
          <w:rFonts w:eastAsia="Calibri" w:cs="Times New Roman"/>
          <w:color w:val="auto"/>
          <w:szCs w:val="22"/>
        </w:rPr>
        <w:t>–</w:t>
      </w:r>
      <w:r w:rsidRPr="00817A38">
        <w:rPr>
          <w:rFonts w:eastAsia="Calibri" w:cs="Times New Roman"/>
          <w:color w:val="auto"/>
          <w:szCs w:val="22"/>
        </w:rPr>
        <w:t xml:space="preserve">500 µL of </w:t>
      </w:r>
      <w:r w:rsidR="006451F9">
        <w:rPr>
          <w:rFonts w:eastAsia="Calibri" w:cs="Times New Roman"/>
          <w:color w:val="auto"/>
          <w:szCs w:val="22"/>
        </w:rPr>
        <w:t xml:space="preserve">the </w:t>
      </w:r>
      <w:r w:rsidRPr="00817A38">
        <w:rPr>
          <w:rFonts w:eastAsia="Calibri" w:cs="Times New Roman"/>
          <w:color w:val="auto"/>
          <w:szCs w:val="22"/>
        </w:rPr>
        <w:t xml:space="preserve">solution to </w:t>
      </w:r>
      <w:r w:rsidR="006451F9">
        <w:rPr>
          <w:rFonts w:eastAsia="Calibri" w:cs="Times New Roman"/>
          <w:color w:val="auto"/>
          <w:szCs w:val="22"/>
        </w:rPr>
        <w:t xml:space="preserve">the </w:t>
      </w:r>
      <w:r w:rsidRPr="00817A38">
        <w:rPr>
          <w:rFonts w:eastAsia="Calibri" w:cs="Times New Roman"/>
          <w:color w:val="auto"/>
          <w:szCs w:val="22"/>
        </w:rPr>
        <w:t xml:space="preserve">wells and incubate </w:t>
      </w:r>
      <w:r w:rsidR="006451F9">
        <w:rPr>
          <w:rFonts w:eastAsia="Calibri" w:cs="Times New Roman"/>
          <w:color w:val="auto"/>
          <w:szCs w:val="22"/>
        </w:rPr>
        <w:t xml:space="preserve">the </w:t>
      </w:r>
      <w:r w:rsidRPr="00817A38">
        <w:rPr>
          <w:rFonts w:eastAsia="Calibri" w:cs="Times New Roman"/>
          <w:color w:val="auto"/>
          <w:szCs w:val="22"/>
        </w:rPr>
        <w:t xml:space="preserve">coverslips for 2 h at 4 </w:t>
      </w:r>
      <w:r w:rsidRPr="00817A38">
        <w:rPr>
          <w:rFonts w:eastAsia="Calibri"/>
          <w:color w:val="auto"/>
          <w:szCs w:val="22"/>
        </w:rPr>
        <w:t>°</w:t>
      </w:r>
      <w:r w:rsidRPr="00817A38">
        <w:rPr>
          <w:rFonts w:eastAsia="Calibri" w:cs="Times New Roman"/>
          <w:color w:val="auto"/>
          <w:szCs w:val="22"/>
        </w:rPr>
        <w:t>C. After 2 h, dilute primary antibodies (</w:t>
      </w:r>
      <w:r w:rsidR="00B8252B">
        <w:rPr>
          <w:rFonts w:eastAsia="Calibri" w:cs="Times New Roman"/>
          <w:color w:val="auto"/>
          <w:szCs w:val="22"/>
        </w:rPr>
        <w:t xml:space="preserve">at an antibody concentration of </w:t>
      </w:r>
      <w:r w:rsidRPr="00817A38">
        <w:rPr>
          <w:rFonts w:eastAsia="Calibri" w:cs="Times New Roman"/>
          <w:color w:val="auto"/>
          <w:szCs w:val="22"/>
        </w:rPr>
        <w:t xml:space="preserve">1:500) in blocking solution and </w:t>
      </w:r>
      <w:r w:rsidR="006451F9">
        <w:rPr>
          <w:rFonts w:eastAsia="Calibri" w:cs="Times New Roman"/>
          <w:color w:val="auto"/>
          <w:szCs w:val="22"/>
        </w:rPr>
        <w:t xml:space="preserve">add </w:t>
      </w:r>
      <w:r w:rsidRPr="00817A38">
        <w:rPr>
          <w:rFonts w:eastAsia="Calibri" w:cs="Times New Roman"/>
          <w:color w:val="auto"/>
          <w:szCs w:val="22"/>
        </w:rPr>
        <w:t>300</w:t>
      </w:r>
      <w:r w:rsidR="006451F9">
        <w:rPr>
          <w:rFonts w:eastAsia="Calibri" w:cs="Times New Roman"/>
          <w:color w:val="auto"/>
          <w:szCs w:val="22"/>
        </w:rPr>
        <w:t>–</w:t>
      </w:r>
      <w:r w:rsidRPr="00817A38">
        <w:rPr>
          <w:rFonts w:eastAsia="Calibri" w:cs="Times New Roman"/>
          <w:color w:val="auto"/>
          <w:szCs w:val="22"/>
        </w:rPr>
        <w:t xml:space="preserve">500 µL of primary antibody solution to each well. Place </w:t>
      </w:r>
      <w:r w:rsidR="006451F9">
        <w:rPr>
          <w:rFonts w:eastAsia="Calibri" w:cs="Times New Roman"/>
          <w:color w:val="auto"/>
          <w:szCs w:val="22"/>
        </w:rPr>
        <w:t xml:space="preserve">the </w:t>
      </w:r>
      <w:r w:rsidRPr="00817A38">
        <w:rPr>
          <w:rFonts w:eastAsia="Calibri" w:cs="Times New Roman"/>
          <w:color w:val="auto"/>
          <w:szCs w:val="22"/>
        </w:rPr>
        <w:t xml:space="preserve">plate on </w:t>
      </w:r>
      <w:r w:rsidR="006451F9">
        <w:rPr>
          <w:rFonts w:eastAsia="Calibri" w:cs="Times New Roman"/>
          <w:color w:val="auto"/>
          <w:szCs w:val="22"/>
        </w:rPr>
        <w:t xml:space="preserve">a </w:t>
      </w:r>
      <w:r w:rsidRPr="00817A38">
        <w:rPr>
          <w:rFonts w:eastAsia="Calibri" w:cs="Times New Roman"/>
          <w:color w:val="auto"/>
          <w:szCs w:val="22"/>
        </w:rPr>
        <w:t>rocking or rotating platform (</w:t>
      </w:r>
      <w:r w:rsidR="006451F9">
        <w:rPr>
          <w:rFonts w:eastAsia="Calibri" w:cs="Times New Roman"/>
          <w:color w:val="auto"/>
          <w:szCs w:val="22"/>
        </w:rPr>
        <w:t xml:space="preserve">at </w:t>
      </w:r>
      <w:r w:rsidRPr="00817A38">
        <w:rPr>
          <w:rFonts w:eastAsia="Calibri" w:cs="Times New Roman"/>
          <w:color w:val="auto"/>
          <w:szCs w:val="22"/>
        </w:rPr>
        <w:t xml:space="preserve">low speed) overnight at 4 </w:t>
      </w:r>
      <w:r w:rsidRPr="00817A38">
        <w:rPr>
          <w:rFonts w:eastAsia="Calibri"/>
          <w:color w:val="auto"/>
          <w:szCs w:val="22"/>
        </w:rPr>
        <w:t>°</w:t>
      </w:r>
      <w:r w:rsidRPr="00817A38">
        <w:rPr>
          <w:rFonts w:eastAsia="Calibri" w:cs="Times New Roman"/>
          <w:color w:val="auto"/>
          <w:szCs w:val="22"/>
        </w:rPr>
        <w:t>C.</w:t>
      </w:r>
    </w:p>
    <w:p w14:paraId="60E2E7C4" w14:textId="77777777" w:rsidR="00E8305F" w:rsidRPr="00817A38" w:rsidRDefault="00E8305F" w:rsidP="00817A38">
      <w:pPr>
        <w:widowControl/>
        <w:autoSpaceDE/>
        <w:autoSpaceDN/>
        <w:adjustRightInd/>
        <w:rPr>
          <w:rFonts w:eastAsia="Calibri" w:cs="Times New Roman"/>
          <w:color w:val="auto"/>
          <w:szCs w:val="22"/>
        </w:rPr>
      </w:pPr>
    </w:p>
    <w:p w14:paraId="7BE239B1" w14:textId="31154803" w:rsidR="00E8305F" w:rsidRPr="00817A38" w:rsidRDefault="00691DBF" w:rsidP="00817A38">
      <w:pPr>
        <w:widowControl/>
        <w:autoSpaceDE/>
        <w:autoSpaceDN/>
        <w:adjustRightInd/>
        <w:rPr>
          <w:rFonts w:eastAsia="Calibri" w:cs="Times New Roman"/>
          <w:color w:val="auto"/>
          <w:szCs w:val="22"/>
        </w:rPr>
      </w:pPr>
      <w:r w:rsidRPr="00817A38">
        <w:rPr>
          <w:rFonts w:eastAsia="Calibri" w:cs="Times New Roman"/>
          <w:color w:val="auto"/>
          <w:szCs w:val="22"/>
        </w:rPr>
        <w:t>5.2.3</w:t>
      </w:r>
      <w:r w:rsidR="00570BB3">
        <w:rPr>
          <w:rFonts w:eastAsia="Calibri" w:cs="Times New Roman"/>
          <w:color w:val="auto"/>
          <w:szCs w:val="22"/>
        </w:rPr>
        <w:t>.</w:t>
      </w:r>
      <w:r w:rsidRPr="00817A38">
        <w:rPr>
          <w:rFonts w:eastAsia="Calibri" w:cs="Times New Roman"/>
          <w:color w:val="auto"/>
          <w:szCs w:val="22"/>
        </w:rPr>
        <w:t xml:space="preserve"> The next day, remove </w:t>
      </w:r>
      <w:r w:rsidR="00222BDB">
        <w:rPr>
          <w:rFonts w:eastAsia="Calibri" w:cs="Times New Roman"/>
          <w:color w:val="auto"/>
          <w:szCs w:val="22"/>
        </w:rPr>
        <w:t xml:space="preserve">the </w:t>
      </w:r>
      <w:r w:rsidRPr="00817A38">
        <w:rPr>
          <w:rFonts w:eastAsia="Calibri" w:cs="Times New Roman"/>
          <w:color w:val="auto"/>
          <w:szCs w:val="22"/>
        </w:rPr>
        <w:t xml:space="preserve">primary antibody solution and wash </w:t>
      </w:r>
      <w:r w:rsidR="00222BDB">
        <w:rPr>
          <w:rFonts w:eastAsia="Calibri" w:cs="Times New Roman"/>
          <w:color w:val="auto"/>
          <w:szCs w:val="22"/>
        </w:rPr>
        <w:t xml:space="preserve">the </w:t>
      </w:r>
      <w:r w:rsidRPr="00817A38">
        <w:rPr>
          <w:rFonts w:eastAsia="Calibri" w:cs="Times New Roman"/>
          <w:color w:val="auto"/>
          <w:szCs w:val="22"/>
        </w:rPr>
        <w:t>coverslips 3</w:t>
      </w:r>
      <w:r w:rsidR="00222BDB">
        <w:rPr>
          <w:rFonts w:eastAsia="Calibri" w:cs="Times New Roman"/>
          <w:color w:val="auto"/>
          <w:szCs w:val="22"/>
        </w:rPr>
        <w:t>x</w:t>
      </w:r>
      <w:r w:rsidRPr="00817A38">
        <w:rPr>
          <w:rFonts w:eastAsia="Calibri" w:cs="Times New Roman"/>
          <w:color w:val="auto"/>
          <w:szCs w:val="22"/>
        </w:rPr>
        <w:t xml:space="preserve"> </w:t>
      </w:r>
      <w:r w:rsidR="00222BDB">
        <w:rPr>
          <w:rFonts w:eastAsia="Calibri" w:cs="Times New Roman"/>
          <w:color w:val="auto"/>
          <w:szCs w:val="22"/>
        </w:rPr>
        <w:t xml:space="preserve">for </w:t>
      </w:r>
      <w:r w:rsidRPr="00817A38">
        <w:rPr>
          <w:rFonts w:eastAsia="Calibri" w:cs="Times New Roman"/>
          <w:color w:val="auto"/>
          <w:szCs w:val="22"/>
        </w:rPr>
        <w:t xml:space="preserve">5 min </w:t>
      </w:r>
      <w:r w:rsidR="00222BDB">
        <w:rPr>
          <w:rFonts w:eastAsia="Calibri" w:cs="Times New Roman"/>
          <w:color w:val="auto"/>
          <w:szCs w:val="22"/>
        </w:rPr>
        <w:t xml:space="preserve">each </w:t>
      </w:r>
      <w:r w:rsidRPr="00817A38">
        <w:rPr>
          <w:rFonts w:eastAsia="Calibri" w:cs="Times New Roman"/>
          <w:color w:val="auto"/>
          <w:szCs w:val="22"/>
        </w:rPr>
        <w:t xml:space="preserve">with PBS. Dilute secondary antibodies in </w:t>
      </w:r>
      <w:r w:rsidR="00B8252B">
        <w:rPr>
          <w:rFonts w:eastAsia="Calibri" w:cs="Times New Roman"/>
          <w:color w:val="auto"/>
          <w:szCs w:val="22"/>
        </w:rPr>
        <w:t xml:space="preserve">a </w:t>
      </w:r>
      <w:r w:rsidRPr="00817A38">
        <w:rPr>
          <w:rFonts w:eastAsia="Calibri" w:cs="Times New Roman"/>
          <w:color w:val="auto"/>
          <w:szCs w:val="22"/>
        </w:rPr>
        <w:t>blocking buffer solution (</w:t>
      </w:r>
      <w:r w:rsidR="00B8252B">
        <w:rPr>
          <w:rFonts w:eastAsia="Calibri" w:cs="Times New Roman"/>
          <w:color w:val="auto"/>
          <w:szCs w:val="22"/>
        </w:rPr>
        <w:t xml:space="preserve">at a concentration of </w:t>
      </w:r>
      <w:r w:rsidRPr="00817A38">
        <w:rPr>
          <w:rFonts w:eastAsia="Calibri" w:cs="Times New Roman"/>
          <w:color w:val="auto"/>
          <w:szCs w:val="22"/>
        </w:rPr>
        <w:t>1:1</w:t>
      </w:r>
      <w:r w:rsidR="00B8252B">
        <w:rPr>
          <w:rFonts w:eastAsia="Calibri" w:cs="Times New Roman"/>
          <w:color w:val="auto"/>
          <w:szCs w:val="22"/>
        </w:rPr>
        <w:t>,</w:t>
      </w:r>
      <w:r w:rsidRPr="00817A38">
        <w:rPr>
          <w:rFonts w:eastAsia="Calibri" w:cs="Times New Roman"/>
          <w:color w:val="auto"/>
          <w:szCs w:val="22"/>
        </w:rPr>
        <w:t>000) and add secondary antibody solution to each well. Select the appropriate secondary antibody by using a fluorescent tag that does not overlap with the YFP signal (CY-3</w:t>
      </w:r>
      <w:r w:rsidR="00B8252B">
        <w:rPr>
          <w:rFonts w:eastAsia="Calibri" w:cs="Times New Roman"/>
          <w:color w:val="auto"/>
          <w:szCs w:val="22"/>
        </w:rPr>
        <w:t>,</w:t>
      </w:r>
      <w:r w:rsidRPr="00817A38">
        <w:rPr>
          <w:rFonts w:eastAsia="Calibri" w:cs="Times New Roman"/>
          <w:color w:val="auto"/>
          <w:szCs w:val="22"/>
        </w:rPr>
        <w:t xml:space="preserve"> for example). Incubate </w:t>
      </w:r>
      <w:r w:rsidR="00B8252B">
        <w:rPr>
          <w:rFonts w:eastAsia="Calibri" w:cs="Times New Roman"/>
          <w:color w:val="auto"/>
          <w:szCs w:val="22"/>
        </w:rPr>
        <w:t xml:space="preserve">the cells </w:t>
      </w:r>
      <w:r w:rsidRPr="00817A38">
        <w:rPr>
          <w:rFonts w:eastAsia="Calibri" w:cs="Times New Roman"/>
          <w:color w:val="auto"/>
          <w:szCs w:val="22"/>
        </w:rPr>
        <w:t xml:space="preserve">at room temperature for 2 h on a rocking or rotating platform. After 2 h, remove </w:t>
      </w:r>
      <w:r w:rsidR="00B8252B">
        <w:rPr>
          <w:rFonts w:eastAsia="Calibri" w:cs="Times New Roman"/>
          <w:color w:val="auto"/>
          <w:szCs w:val="22"/>
        </w:rPr>
        <w:t xml:space="preserve">the </w:t>
      </w:r>
      <w:r w:rsidRPr="00817A38">
        <w:rPr>
          <w:rFonts w:eastAsia="Calibri" w:cs="Times New Roman"/>
          <w:color w:val="auto"/>
          <w:szCs w:val="22"/>
        </w:rPr>
        <w:t xml:space="preserve">secondary antibody solution and wash </w:t>
      </w:r>
      <w:r w:rsidR="00B8252B">
        <w:rPr>
          <w:rFonts w:eastAsia="Calibri" w:cs="Times New Roman"/>
          <w:color w:val="auto"/>
          <w:szCs w:val="22"/>
        </w:rPr>
        <w:t xml:space="preserve">the </w:t>
      </w:r>
      <w:r w:rsidRPr="00817A38">
        <w:rPr>
          <w:rFonts w:eastAsia="Calibri" w:cs="Times New Roman"/>
          <w:color w:val="auto"/>
          <w:szCs w:val="22"/>
        </w:rPr>
        <w:t>coverslips 3</w:t>
      </w:r>
      <w:r w:rsidR="00B8252B">
        <w:rPr>
          <w:rFonts w:eastAsia="Calibri" w:cs="Times New Roman"/>
          <w:color w:val="auto"/>
          <w:szCs w:val="22"/>
        </w:rPr>
        <w:t>x</w:t>
      </w:r>
      <w:r w:rsidRPr="00817A38">
        <w:rPr>
          <w:rFonts w:eastAsia="Calibri" w:cs="Times New Roman"/>
          <w:color w:val="auto"/>
          <w:szCs w:val="22"/>
        </w:rPr>
        <w:t xml:space="preserve"> </w:t>
      </w:r>
      <w:r w:rsidR="00B8252B">
        <w:rPr>
          <w:rFonts w:eastAsia="Calibri" w:cs="Times New Roman"/>
          <w:color w:val="auto"/>
          <w:szCs w:val="22"/>
        </w:rPr>
        <w:t xml:space="preserve">for </w:t>
      </w:r>
      <w:r w:rsidRPr="00817A38">
        <w:rPr>
          <w:rFonts w:eastAsia="Calibri" w:cs="Times New Roman"/>
          <w:color w:val="auto"/>
          <w:szCs w:val="22"/>
        </w:rPr>
        <w:t xml:space="preserve">10 min </w:t>
      </w:r>
      <w:r w:rsidR="00B8252B">
        <w:rPr>
          <w:rFonts w:eastAsia="Calibri" w:cs="Times New Roman"/>
          <w:color w:val="auto"/>
          <w:szCs w:val="22"/>
        </w:rPr>
        <w:t xml:space="preserve">each </w:t>
      </w:r>
      <w:r w:rsidRPr="00817A38">
        <w:rPr>
          <w:rFonts w:eastAsia="Calibri" w:cs="Times New Roman"/>
          <w:color w:val="auto"/>
          <w:szCs w:val="22"/>
        </w:rPr>
        <w:t>with PBS.</w:t>
      </w:r>
    </w:p>
    <w:p w14:paraId="30CC464B" w14:textId="77777777" w:rsidR="00E8305F" w:rsidRPr="00817A38" w:rsidRDefault="00E8305F" w:rsidP="00817A38">
      <w:pPr>
        <w:widowControl/>
        <w:autoSpaceDE/>
        <w:autoSpaceDN/>
        <w:adjustRightInd/>
        <w:rPr>
          <w:rFonts w:eastAsia="Calibri" w:cs="Times New Roman"/>
          <w:color w:val="auto"/>
          <w:szCs w:val="22"/>
        </w:rPr>
      </w:pPr>
    </w:p>
    <w:p w14:paraId="27B182FD" w14:textId="0A81EBD5" w:rsidR="00E8305F" w:rsidRDefault="00691DBF" w:rsidP="00817A38">
      <w:pPr>
        <w:widowControl/>
        <w:autoSpaceDE/>
        <w:autoSpaceDN/>
        <w:adjustRightInd/>
        <w:rPr>
          <w:rFonts w:eastAsia="Calibri" w:cs="Times New Roman"/>
          <w:color w:val="auto"/>
          <w:szCs w:val="22"/>
        </w:rPr>
      </w:pPr>
      <w:r w:rsidRPr="00817A38">
        <w:rPr>
          <w:rFonts w:eastAsia="Calibri" w:cs="Times New Roman"/>
          <w:color w:val="auto"/>
          <w:szCs w:val="22"/>
        </w:rPr>
        <w:t>5.2.4</w:t>
      </w:r>
      <w:r w:rsidR="00570BB3">
        <w:rPr>
          <w:rFonts w:eastAsia="Calibri" w:cs="Times New Roman"/>
          <w:color w:val="auto"/>
          <w:szCs w:val="22"/>
        </w:rPr>
        <w:t>.</w:t>
      </w:r>
      <w:r w:rsidRPr="00817A38">
        <w:rPr>
          <w:rFonts w:eastAsia="Calibri" w:cs="Times New Roman"/>
          <w:color w:val="auto"/>
          <w:szCs w:val="22"/>
        </w:rPr>
        <w:t xml:space="preserve"> Wash </w:t>
      </w:r>
      <w:r w:rsidR="001A00F5">
        <w:rPr>
          <w:rFonts w:eastAsia="Calibri" w:cs="Times New Roman"/>
          <w:color w:val="auto"/>
          <w:szCs w:val="22"/>
        </w:rPr>
        <w:t xml:space="preserve">the </w:t>
      </w:r>
      <w:r w:rsidRPr="00817A38">
        <w:rPr>
          <w:rFonts w:eastAsia="Calibri" w:cs="Times New Roman"/>
          <w:color w:val="auto"/>
          <w:szCs w:val="22"/>
        </w:rPr>
        <w:t>coverslips in double</w:t>
      </w:r>
      <w:r w:rsidR="001A00F5">
        <w:rPr>
          <w:rFonts w:eastAsia="Calibri" w:cs="Times New Roman"/>
          <w:color w:val="auto"/>
          <w:szCs w:val="22"/>
        </w:rPr>
        <w:t>-</w:t>
      </w:r>
      <w:r w:rsidRPr="00817A38">
        <w:rPr>
          <w:rFonts w:eastAsia="Calibri" w:cs="Times New Roman"/>
          <w:color w:val="auto"/>
          <w:szCs w:val="22"/>
        </w:rPr>
        <w:t xml:space="preserve">deionized water (DDW) for 10 min. Remove </w:t>
      </w:r>
      <w:r w:rsidR="001A00F5">
        <w:rPr>
          <w:rFonts w:eastAsia="Calibri" w:cs="Times New Roman"/>
          <w:color w:val="auto"/>
          <w:szCs w:val="22"/>
        </w:rPr>
        <w:t xml:space="preserve">the </w:t>
      </w:r>
      <w:r w:rsidRPr="00817A38">
        <w:rPr>
          <w:rFonts w:eastAsia="Calibri" w:cs="Times New Roman"/>
          <w:color w:val="auto"/>
          <w:szCs w:val="22"/>
        </w:rPr>
        <w:t xml:space="preserve">DDW and add 300 </w:t>
      </w:r>
      <w:r w:rsidR="001A00F5">
        <w:rPr>
          <w:rFonts w:eastAsia="Calibri" w:cs="Times New Roman"/>
          <w:color w:val="auto"/>
          <w:szCs w:val="22"/>
        </w:rPr>
        <w:t>µ</w:t>
      </w:r>
      <w:r w:rsidRPr="00817A38">
        <w:rPr>
          <w:rFonts w:eastAsia="Calibri" w:cs="Times New Roman"/>
          <w:color w:val="auto"/>
          <w:szCs w:val="22"/>
        </w:rPr>
        <w:t xml:space="preserve">L/well of 0.015% </w:t>
      </w:r>
      <w:r w:rsidR="001A00F5">
        <w:rPr>
          <w:rFonts w:eastAsia="Calibri" w:cs="Times New Roman"/>
          <w:color w:val="auto"/>
          <w:szCs w:val="22"/>
        </w:rPr>
        <w:t>t</w:t>
      </w:r>
      <w:r w:rsidRPr="00817A38">
        <w:rPr>
          <w:rFonts w:eastAsia="Calibri" w:cs="Times New Roman"/>
          <w:color w:val="auto"/>
          <w:szCs w:val="22"/>
        </w:rPr>
        <w:t xml:space="preserve">hioflavin-S diluted in 50% ethanol for 10 min. Remove </w:t>
      </w:r>
      <w:r w:rsidR="001A00F5">
        <w:rPr>
          <w:rFonts w:eastAsia="Calibri" w:cs="Times New Roman"/>
          <w:color w:val="auto"/>
          <w:szCs w:val="22"/>
        </w:rPr>
        <w:t>the t</w:t>
      </w:r>
      <w:r w:rsidRPr="00817A38">
        <w:rPr>
          <w:rFonts w:eastAsia="Calibri" w:cs="Times New Roman"/>
          <w:color w:val="auto"/>
          <w:szCs w:val="22"/>
        </w:rPr>
        <w:t xml:space="preserve">hioflavin solution and wash </w:t>
      </w:r>
      <w:r w:rsidR="001A00F5">
        <w:rPr>
          <w:rFonts w:eastAsia="Calibri" w:cs="Times New Roman"/>
          <w:color w:val="auto"/>
          <w:szCs w:val="22"/>
        </w:rPr>
        <w:t xml:space="preserve">the </w:t>
      </w:r>
      <w:r w:rsidRPr="00817A38">
        <w:rPr>
          <w:rFonts w:eastAsia="Calibri" w:cs="Times New Roman"/>
          <w:color w:val="auto"/>
          <w:szCs w:val="22"/>
        </w:rPr>
        <w:t>coverslips 2</w:t>
      </w:r>
      <w:r w:rsidR="001A00F5">
        <w:rPr>
          <w:rFonts w:eastAsia="Calibri" w:cs="Times New Roman"/>
          <w:color w:val="auto"/>
          <w:szCs w:val="22"/>
        </w:rPr>
        <w:t>x</w:t>
      </w:r>
      <w:r w:rsidRPr="00817A38">
        <w:rPr>
          <w:rFonts w:eastAsia="Calibri" w:cs="Times New Roman"/>
          <w:color w:val="auto"/>
          <w:szCs w:val="22"/>
        </w:rPr>
        <w:t xml:space="preserve"> </w:t>
      </w:r>
      <w:r w:rsidR="001A00F5">
        <w:rPr>
          <w:rFonts w:eastAsia="Calibri" w:cs="Times New Roman"/>
          <w:color w:val="auto"/>
          <w:szCs w:val="22"/>
        </w:rPr>
        <w:t xml:space="preserve">for </w:t>
      </w:r>
      <w:r w:rsidRPr="00817A38">
        <w:rPr>
          <w:rFonts w:eastAsia="Calibri" w:cs="Times New Roman"/>
          <w:color w:val="auto"/>
          <w:szCs w:val="22"/>
        </w:rPr>
        <w:t>4</w:t>
      </w:r>
      <w:r w:rsidR="001A00F5">
        <w:rPr>
          <w:rFonts w:eastAsia="Calibri" w:cs="Times New Roman"/>
          <w:color w:val="auto"/>
          <w:szCs w:val="22"/>
        </w:rPr>
        <w:t xml:space="preserve"> </w:t>
      </w:r>
      <w:r w:rsidRPr="00817A38">
        <w:rPr>
          <w:rFonts w:eastAsia="Calibri" w:cs="Times New Roman"/>
          <w:color w:val="auto"/>
          <w:szCs w:val="22"/>
        </w:rPr>
        <w:t xml:space="preserve">min </w:t>
      </w:r>
      <w:r w:rsidR="001A00F5">
        <w:rPr>
          <w:rFonts w:eastAsia="Calibri" w:cs="Times New Roman"/>
          <w:color w:val="auto"/>
          <w:szCs w:val="22"/>
        </w:rPr>
        <w:t xml:space="preserve">each </w:t>
      </w:r>
      <w:r w:rsidRPr="00817A38">
        <w:rPr>
          <w:rFonts w:eastAsia="Calibri" w:cs="Times New Roman"/>
          <w:color w:val="auto"/>
          <w:szCs w:val="22"/>
        </w:rPr>
        <w:t>with 50% ethanol</w:t>
      </w:r>
      <w:r w:rsidR="001A00F5">
        <w:rPr>
          <w:rFonts w:eastAsia="Calibri" w:cs="Times New Roman"/>
          <w:color w:val="auto"/>
          <w:szCs w:val="22"/>
        </w:rPr>
        <w:t>,</w:t>
      </w:r>
      <w:r w:rsidRPr="00817A38">
        <w:rPr>
          <w:rFonts w:eastAsia="Calibri" w:cs="Times New Roman"/>
          <w:color w:val="auto"/>
          <w:szCs w:val="22"/>
        </w:rPr>
        <w:t xml:space="preserve"> followed by </w:t>
      </w:r>
      <w:r w:rsidR="001A00F5">
        <w:rPr>
          <w:rFonts w:eastAsia="Calibri" w:cs="Times New Roman"/>
          <w:color w:val="auto"/>
          <w:szCs w:val="22"/>
        </w:rPr>
        <w:t>one</w:t>
      </w:r>
      <w:r w:rsidRPr="00817A38">
        <w:rPr>
          <w:rFonts w:eastAsia="Calibri" w:cs="Times New Roman"/>
          <w:color w:val="auto"/>
          <w:szCs w:val="22"/>
        </w:rPr>
        <w:t xml:space="preserve"> 4 min wash with 30% ethanol and </w:t>
      </w:r>
      <w:r w:rsidR="001A00F5">
        <w:rPr>
          <w:rFonts w:eastAsia="Calibri" w:cs="Times New Roman"/>
          <w:color w:val="auto"/>
          <w:szCs w:val="22"/>
        </w:rPr>
        <w:t>two washes for</w:t>
      </w:r>
      <w:r w:rsidRPr="00817A38">
        <w:rPr>
          <w:rFonts w:eastAsia="Calibri" w:cs="Times New Roman"/>
          <w:color w:val="auto"/>
          <w:szCs w:val="22"/>
        </w:rPr>
        <w:t xml:space="preserve"> 5 min </w:t>
      </w:r>
      <w:r w:rsidR="001A00F5">
        <w:rPr>
          <w:rFonts w:eastAsia="Calibri" w:cs="Times New Roman"/>
          <w:color w:val="auto"/>
          <w:szCs w:val="22"/>
        </w:rPr>
        <w:t xml:space="preserve">each </w:t>
      </w:r>
      <w:r w:rsidRPr="00817A38">
        <w:rPr>
          <w:rFonts w:eastAsia="Calibri" w:cs="Times New Roman"/>
          <w:color w:val="auto"/>
          <w:szCs w:val="22"/>
        </w:rPr>
        <w:t xml:space="preserve">with 30% ethanol. Wash </w:t>
      </w:r>
      <w:r w:rsidR="001A00F5">
        <w:rPr>
          <w:rFonts w:eastAsia="Calibri" w:cs="Times New Roman"/>
          <w:color w:val="auto"/>
          <w:szCs w:val="22"/>
        </w:rPr>
        <w:t xml:space="preserve">the coverslips </w:t>
      </w:r>
      <w:r w:rsidRPr="00817A38">
        <w:rPr>
          <w:rFonts w:eastAsia="Calibri" w:cs="Times New Roman"/>
          <w:color w:val="auto"/>
          <w:szCs w:val="22"/>
        </w:rPr>
        <w:t>1</w:t>
      </w:r>
      <w:r w:rsidR="001A00F5">
        <w:rPr>
          <w:rFonts w:eastAsia="Calibri" w:cs="Times New Roman"/>
          <w:color w:val="auto"/>
          <w:szCs w:val="22"/>
        </w:rPr>
        <w:t>x</w:t>
      </w:r>
      <w:r w:rsidRPr="00817A38">
        <w:rPr>
          <w:rFonts w:eastAsia="Calibri" w:cs="Times New Roman"/>
          <w:color w:val="auto"/>
          <w:szCs w:val="22"/>
        </w:rPr>
        <w:t xml:space="preserve"> with DDW prior to mounting. </w:t>
      </w:r>
    </w:p>
    <w:p w14:paraId="0EB8D548" w14:textId="5E57FEAA" w:rsidR="001A00F5" w:rsidRDefault="001A00F5" w:rsidP="00817A38">
      <w:pPr>
        <w:widowControl/>
        <w:autoSpaceDE/>
        <w:autoSpaceDN/>
        <w:adjustRightInd/>
        <w:rPr>
          <w:rFonts w:eastAsia="Calibri" w:cs="Times New Roman"/>
          <w:color w:val="auto"/>
          <w:szCs w:val="22"/>
        </w:rPr>
      </w:pPr>
    </w:p>
    <w:p w14:paraId="70D1A223" w14:textId="30CFAC24" w:rsidR="001A00F5" w:rsidRPr="00817A38" w:rsidRDefault="001A00F5" w:rsidP="00817A38">
      <w:pPr>
        <w:widowControl/>
        <w:autoSpaceDE/>
        <w:autoSpaceDN/>
        <w:adjustRightInd/>
        <w:rPr>
          <w:rFonts w:eastAsia="Calibri" w:cs="Times New Roman"/>
          <w:color w:val="auto"/>
          <w:szCs w:val="22"/>
        </w:rPr>
      </w:pPr>
      <w:r>
        <w:rPr>
          <w:rFonts w:eastAsia="Calibri" w:cs="Times New Roman"/>
          <w:color w:val="auto"/>
          <w:szCs w:val="22"/>
        </w:rPr>
        <w:t>NOTE: The thioflavin staining described in step 5.2.4 is optional.</w:t>
      </w:r>
    </w:p>
    <w:p w14:paraId="5FFAF249" w14:textId="77777777" w:rsidR="00E8305F" w:rsidRPr="00817A38" w:rsidRDefault="00E8305F" w:rsidP="00817A38">
      <w:pPr>
        <w:widowControl/>
        <w:autoSpaceDE/>
        <w:autoSpaceDN/>
        <w:adjustRightInd/>
        <w:rPr>
          <w:rFonts w:eastAsia="Calibri" w:cs="Times New Roman"/>
          <w:color w:val="auto"/>
          <w:szCs w:val="22"/>
        </w:rPr>
      </w:pPr>
    </w:p>
    <w:p w14:paraId="28518993" w14:textId="77777777" w:rsidR="001362CF" w:rsidRDefault="00691DBF" w:rsidP="00817A38">
      <w:pPr>
        <w:widowControl/>
        <w:autoSpaceDE/>
        <w:autoSpaceDN/>
        <w:adjustRightInd/>
        <w:rPr>
          <w:rFonts w:eastAsia="Calibri" w:cs="Times New Roman"/>
          <w:color w:val="auto"/>
          <w:szCs w:val="22"/>
        </w:rPr>
      </w:pPr>
      <w:r w:rsidRPr="00817A38">
        <w:rPr>
          <w:rFonts w:eastAsia="Calibri" w:cs="Times New Roman"/>
          <w:color w:val="auto"/>
          <w:szCs w:val="22"/>
        </w:rPr>
        <w:t>5.2.5</w:t>
      </w:r>
      <w:r w:rsidR="00570BB3">
        <w:rPr>
          <w:rFonts w:eastAsia="Calibri" w:cs="Times New Roman"/>
          <w:color w:val="auto"/>
          <w:szCs w:val="22"/>
        </w:rPr>
        <w:t>.</w:t>
      </w:r>
      <w:r w:rsidRPr="00817A38">
        <w:rPr>
          <w:rFonts w:eastAsia="Calibri" w:cs="Times New Roman"/>
          <w:color w:val="auto"/>
          <w:szCs w:val="22"/>
        </w:rPr>
        <w:t xml:space="preserve"> </w:t>
      </w:r>
      <w:r w:rsidR="001A00F5">
        <w:rPr>
          <w:rFonts w:eastAsia="Calibri" w:cs="Times New Roman"/>
          <w:color w:val="auto"/>
          <w:szCs w:val="22"/>
        </w:rPr>
        <w:t>To mount</w:t>
      </w:r>
      <w:r w:rsidRPr="00817A38">
        <w:rPr>
          <w:rFonts w:eastAsia="Calibri" w:cs="Times New Roman"/>
          <w:color w:val="auto"/>
          <w:szCs w:val="22"/>
        </w:rPr>
        <w:t xml:space="preserve"> </w:t>
      </w:r>
      <w:r w:rsidR="001A00F5">
        <w:rPr>
          <w:rFonts w:eastAsia="Calibri" w:cs="Times New Roman"/>
          <w:color w:val="auto"/>
          <w:szCs w:val="22"/>
        </w:rPr>
        <w:t xml:space="preserve">the </w:t>
      </w:r>
      <w:r w:rsidRPr="00817A38">
        <w:rPr>
          <w:rFonts w:eastAsia="Calibri" w:cs="Times New Roman"/>
          <w:color w:val="auto"/>
          <w:szCs w:val="22"/>
        </w:rPr>
        <w:t>coverslips to glass slides</w:t>
      </w:r>
      <w:r w:rsidR="001A00F5">
        <w:rPr>
          <w:rFonts w:eastAsia="Calibri" w:cs="Times New Roman"/>
          <w:color w:val="auto"/>
          <w:szCs w:val="22"/>
        </w:rPr>
        <w:t>,</w:t>
      </w:r>
      <w:r w:rsidRPr="00817A38">
        <w:rPr>
          <w:rFonts w:eastAsia="Calibri" w:cs="Times New Roman"/>
          <w:color w:val="auto"/>
          <w:szCs w:val="22"/>
        </w:rPr>
        <w:t xml:space="preserve"> </w:t>
      </w:r>
      <w:r w:rsidR="001A00F5">
        <w:rPr>
          <w:rFonts w:eastAsia="Calibri" w:cs="Times New Roman"/>
          <w:color w:val="auto"/>
          <w:szCs w:val="22"/>
        </w:rPr>
        <w:t>p</w:t>
      </w:r>
      <w:r w:rsidRPr="00817A38">
        <w:rPr>
          <w:rFonts w:eastAsia="Calibri" w:cs="Times New Roman"/>
          <w:color w:val="auto"/>
          <w:szCs w:val="22"/>
        </w:rPr>
        <w:t>lace a single drop of mounting media on the “+” side of a glass slide. Remove all liquid from the well containing the glass coverslip and, using fine forceps, carefully remove the glass coverslip</w:t>
      </w:r>
      <w:r w:rsidR="001A00F5">
        <w:rPr>
          <w:rFonts w:eastAsia="Calibri" w:cs="Times New Roman"/>
          <w:color w:val="auto"/>
          <w:szCs w:val="22"/>
        </w:rPr>
        <w:t>,</w:t>
      </w:r>
      <w:r w:rsidRPr="00817A38">
        <w:rPr>
          <w:rFonts w:eastAsia="Calibri" w:cs="Times New Roman"/>
          <w:color w:val="auto"/>
          <w:szCs w:val="22"/>
        </w:rPr>
        <w:t xml:space="preserve"> keeping track of which side has the cultured cells. </w:t>
      </w:r>
    </w:p>
    <w:p w14:paraId="6A978E10" w14:textId="77777777" w:rsidR="001362CF" w:rsidRDefault="001362CF" w:rsidP="00817A38">
      <w:pPr>
        <w:widowControl/>
        <w:autoSpaceDE/>
        <w:autoSpaceDN/>
        <w:adjustRightInd/>
        <w:rPr>
          <w:rFonts w:eastAsia="Calibri" w:cs="Times New Roman"/>
          <w:color w:val="auto"/>
          <w:szCs w:val="22"/>
        </w:rPr>
      </w:pPr>
    </w:p>
    <w:p w14:paraId="392DB436" w14:textId="2EA4B3F3" w:rsidR="00E8305F" w:rsidRPr="00817A38" w:rsidRDefault="001362CF" w:rsidP="00817A38">
      <w:pPr>
        <w:widowControl/>
        <w:autoSpaceDE/>
        <w:autoSpaceDN/>
        <w:adjustRightInd/>
        <w:rPr>
          <w:rFonts w:eastAsia="Calibri" w:cs="Times New Roman"/>
          <w:color w:val="auto"/>
          <w:szCs w:val="22"/>
        </w:rPr>
      </w:pPr>
      <w:r>
        <w:rPr>
          <w:rFonts w:eastAsia="Calibri" w:cs="Times New Roman"/>
          <w:color w:val="auto"/>
          <w:szCs w:val="22"/>
        </w:rPr>
        <w:t xml:space="preserve">5.2.6. </w:t>
      </w:r>
      <w:r w:rsidR="00691DBF" w:rsidRPr="00817A38">
        <w:rPr>
          <w:rFonts w:eastAsia="Calibri" w:cs="Times New Roman"/>
          <w:color w:val="auto"/>
          <w:szCs w:val="22"/>
        </w:rPr>
        <w:t xml:space="preserve">Gently press the edge of the coverslip against a </w:t>
      </w:r>
      <w:r w:rsidR="001A00F5">
        <w:rPr>
          <w:rFonts w:eastAsia="Calibri" w:cs="Times New Roman"/>
          <w:color w:val="auto"/>
          <w:szCs w:val="22"/>
        </w:rPr>
        <w:t>K</w:t>
      </w:r>
      <w:r w:rsidR="00691DBF" w:rsidRPr="00817A38">
        <w:rPr>
          <w:rFonts w:eastAsia="Calibri" w:cs="Times New Roman"/>
          <w:color w:val="auto"/>
          <w:szCs w:val="22"/>
        </w:rPr>
        <w:t xml:space="preserve">imwipe to remove </w:t>
      </w:r>
      <w:r w:rsidR="001A00F5">
        <w:rPr>
          <w:rFonts w:eastAsia="Calibri" w:cs="Times New Roman"/>
          <w:color w:val="auto"/>
          <w:szCs w:val="22"/>
        </w:rPr>
        <w:t xml:space="preserve">any </w:t>
      </w:r>
      <w:r w:rsidR="00691DBF" w:rsidRPr="00817A38">
        <w:rPr>
          <w:rFonts w:eastAsia="Calibri" w:cs="Times New Roman"/>
          <w:color w:val="auto"/>
          <w:szCs w:val="22"/>
        </w:rPr>
        <w:t xml:space="preserve">excess moisture. Still gripping the coverslip with fine forceps, touch the edge (with </w:t>
      </w:r>
      <w:r w:rsidR="001A00F5">
        <w:rPr>
          <w:rFonts w:eastAsia="Calibri" w:cs="Times New Roman"/>
          <w:color w:val="auto"/>
          <w:szCs w:val="22"/>
        </w:rPr>
        <w:t xml:space="preserve">the </w:t>
      </w:r>
      <w:r w:rsidR="00691DBF" w:rsidRPr="00817A38">
        <w:rPr>
          <w:rFonts w:eastAsia="Calibri" w:cs="Times New Roman"/>
          <w:color w:val="auto"/>
          <w:szCs w:val="22"/>
        </w:rPr>
        <w:t>cell side facing toward the drop of mounting media) of the coverslip to the mounting media</w:t>
      </w:r>
      <w:r w:rsidR="001A00F5">
        <w:rPr>
          <w:rFonts w:eastAsia="Calibri" w:cs="Times New Roman"/>
          <w:color w:val="auto"/>
          <w:szCs w:val="22"/>
        </w:rPr>
        <w:t>,</w:t>
      </w:r>
      <w:r w:rsidR="00691DBF" w:rsidRPr="00817A38">
        <w:rPr>
          <w:rFonts w:eastAsia="Calibri" w:cs="Times New Roman"/>
          <w:color w:val="auto"/>
          <w:szCs w:val="22"/>
        </w:rPr>
        <w:t xml:space="preserve"> </w:t>
      </w:r>
      <w:r w:rsidR="001A00F5">
        <w:rPr>
          <w:rFonts w:eastAsia="Calibri" w:cs="Times New Roman"/>
          <w:color w:val="auto"/>
          <w:szCs w:val="22"/>
        </w:rPr>
        <w:t xml:space="preserve">and </w:t>
      </w:r>
      <w:r w:rsidR="00691DBF" w:rsidRPr="00817A38">
        <w:rPr>
          <w:rFonts w:eastAsia="Calibri" w:cs="Times New Roman"/>
          <w:color w:val="auto"/>
          <w:szCs w:val="22"/>
        </w:rPr>
        <w:t>then</w:t>
      </w:r>
      <w:r w:rsidR="001A00F5">
        <w:rPr>
          <w:rFonts w:eastAsia="Calibri" w:cs="Times New Roman"/>
          <w:color w:val="auto"/>
          <w:szCs w:val="22"/>
        </w:rPr>
        <w:t>,</w:t>
      </w:r>
      <w:r w:rsidR="00691DBF" w:rsidRPr="00817A38">
        <w:rPr>
          <w:rFonts w:eastAsia="Calibri" w:cs="Times New Roman"/>
          <w:color w:val="auto"/>
          <w:szCs w:val="22"/>
        </w:rPr>
        <w:t xml:space="preserve"> gently place the coverslip on the mounting media (</w:t>
      </w:r>
      <w:r w:rsidR="001A00F5">
        <w:rPr>
          <w:rFonts w:eastAsia="Calibri" w:cs="Times New Roman"/>
          <w:color w:val="auto"/>
          <w:szCs w:val="22"/>
        </w:rPr>
        <w:t xml:space="preserve">placing the </w:t>
      </w:r>
      <w:r w:rsidR="00691DBF" w:rsidRPr="00817A38">
        <w:rPr>
          <w:rFonts w:eastAsia="Calibri" w:cs="Times New Roman"/>
          <w:color w:val="auto"/>
          <w:szCs w:val="22"/>
        </w:rPr>
        <w:t>cultured cells into the mounting media and sandwich</w:t>
      </w:r>
      <w:r w:rsidR="001A00F5">
        <w:rPr>
          <w:rFonts w:eastAsia="Calibri" w:cs="Times New Roman"/>
          <w:color w:val="auto"/>
          <w:szCs w:val="22"/>
        </w:rPr>
        <w:t>ing</w:t>
      </w:r>
      <w:r w:rsidR="00691DBF" w:rsidRPr="00817A38">
        <w:rPr>
          <w:rFonts w:eastAsia="Calibri" w:cs="Times New Roman"/>
          <w:color w:val="auto"/>
          <w:szCs w:val="22"/>
        </w:rPr>
        <w:t xml:space="preserve"> </w:t>
      </w:r>
      <w:r w:rsidR="001A00F5">
        <w:rPr>
          <w:rFonts w:eastAsia="Calibri" w:cs="Times New Roman"/>
          <w:color w:val="auto"/>
          <w:szCs w:val="22"/>
        </w:rPr>
        <w:t xml:space="preserve">them </w:t>
      </w:r>
      <w:r w:rsidR="00691DBF" w:rsidRPr="00817A38">
        <w:rPr>
          <w:rFonts w:eastAsia="Calibri" w:cs="Times New Roman"/>
          <w:color w:val="auto"/>
          <w:szCs w:val="22"/>
        </w:rPr>
        <w:t xml:space="preserve">between the coverslip and the glass slide). Allow </w:t>
      </w:r>
      <w:r w:rsidR="001A00F5">
        <w:rPr>
          <w:rFonts w:eastAsia="Calibri" w:cs="Times New Roman"/>
          <w:color w:val="auto"/>
          <w:szCs w:val="22"/>
        </w:rPr>
        <w:t xml:space="preserve">the </w:t>
      </w:r>
      <w:r w:rsidR="00691DBF" w:rsidRPr="00817A38">
        <w:rPr>
          <w:rFonts w:eastAsia="Calibri" w:cs="Times New Roman"/>
          <w:color w:val="auto"/>
          <w:szCs w:val="22"/>
        </w:rPr>
        <w:t xml:space="preserve">mounting media to harden for 30 min prior to imaging. </w:t>
      </w:r>
      <w:r w:rsidR="001A00F5">
        <w:rPr>
          <w:rFonts w:eastAsia="Calibri" w:cs="Times New Roman"/>
          <w:color w:val="auto"/>
          <w:szCs w:val="22"/>
        </w:rPr>
        <w:t>The s</w:t>
      </w:r>
      <w:r w:rsidR="00691DBF" w:rsidRPr="00817A38">
        <w:rPr>
          <w:rFonts w:eastAsia="Calibri" w:cs="Times New Roman"/>
          <w:color w:val="auto"/>
          <w:szCs w:val="22"/>
        </w:rPr>
        <w:t xml:space="preserve">lides can be stored at -20 </w:t>
      </w:r>
      <w:r w:rsidR="00691DBF" w:rsidRPr="00817A38">
        <w:rPr>
          <w:rFonts w:eastAsia="Calibri"/>
          <w:color w:val="auto"/>
          <w:szCs w:val="22"/>
        </w:rPr>
        <w:t xml:space="preserve">°C for future use. </w:t>
      </w:r>
    </w:p>
    <w:p w14:paraId="29673F5B" w14:textId="77777777" w:rsidR="00E8305F" w:rsidRPr="00817A38" w:rsidRDefault="00E8305F" w:rsidP="00817A38">
      <w:pPr>
        <w:widowControl/>
        <w:autoSpaceDE/>
        <w:autoSpaceDN/>
        <w:adjustRightInd/>
        <w:rPr>
          <w:rFonts w:eastAsia="Calibri" w:cs="Times New Roman"/>
          <w:color w:val="auto"/>
          <w:szCs w:val="22"/>
        </w:rPr>
      </w:pPr>
    </w:p>
    <w:p w14:paraId="78F64153" w14:textId="6D7993AD" w:rsidR="00E8305F" w:rsidRPr="00817A38" w:rsidRDefault="00691DBF" w:rsidP="00817A38">
      <w:pPr>
        <w:widowControl/>
        <w:autoSpaceDE/>
        <w:autoSpaceDN/>
        <w:adjustRightInd/>
        <w:rPr>
          <w:rFonts w:eastAsia="Calibri" w:cs="Times New Roman"/>
          <w:color w:val="auto"/>
          <w:szCs w:val="22"/>
        </w:rPr>
      </w:pPr>
      <w:r w:rsidRPr="00817A38">
        <w:rPr>
          <w:rFonts w:eastAsia="Calibri" w:cs="Times New Roman"/>
          <w:color w:val="auto"/>
          <w:szCs w:val="22"/>
        </w:rPr>
        <w:t>5.2.</w:t>
      </w:r>
      <w:r w:rsidR="001362CF">
        <w:rPr>
          <w:rFonts w:eastAsia="Calibri" w:cs="Times New Roman"/>
          <w:color w:val="auto"/>
          <w:szCs w:val="22"/>
        </w:rPr>
        <w:t>7</w:t>
      </w:r>
      <w:r w:rsidR="00570BB3">
        <w:rPr>
          <w:rFonts w:eastAsia="Calibri" w:cs="Times New Roman"/>
          <w:color w:val="auto"/>
          <w:szCs w:val="22"/>
        </w:rPr>
        <w:t>.</w:t>
      </w:r>
      <w:r w:rsidRPr="00817A38">
        <w:rPr>
          <w:rFonts w:eastAsia="Calibri" w:cs="Times New Roman"/>
          <w:color w:val="auto"/>
          <w:szCs w:val="22"/>
        </w:rPr>
        <w:t xml:space="preserve"> </w:t>
      </w:r>
      <w:r w:rsidRPr="00817A38">
        <w:rPr>
          <w:rFonts w:eastAsia="Calibri"/>
          <w:color w:val="auto"/>
          <w:highlight w:val="yellow"/>
        </w:rPr>
        <w:t xml:space="preserve">Image </w:t>
      </w:r>
      <w:r w:rsidR="00B73AD2">
        <w:rPr>
          <w:rFonts w:eastAsia="Calibri"/>
          <w:color w:val="auto"/>
          <w:highlight w:val="yellow"/>
        </w:rPr>
        <w:t xml:space="preserve">the </w:t>
      </w:r>
      <w:r w:rsidRPr="00817A38">
        <w:rPr>
          <w:rFonts w:eastAsia="Calibri"/>
          <w:color w:val="auto"/>
          <w:highlight w:val="yellow"/>
        </w:rPr>
        <w:t xml:space="preserve">cells using a fluorescent microscope </w:t>
      </w:r>
      <w:r w:rsidRPr="00817A38">
        <w:rPr>
          <w:rFonts w:eastAsia="Calibri" w:cs="Times New Roman"/>
          <w:color w:val="auto"/>
          <w:szCs w:val="22"/>
          <w:highlight w:val="yellow"/>
        </w:rPr>
        <w:t>and the</w:t>
      </w:r>
      <w:r w:rsidRPr="00817A38">
        <w:rPr>
          <w:rFonts w:eastAsia="Calibri"/>
          <w:color w:val="auto"/>
          <w:highlight w:val="yellow"/>
        </w:rPr>
        <w:t xml:space="preserve"> appropriate excitation/emission spectra</w:t>
      </w:r>
      <w:r w:rsidRPr="00817A38">
        <w:rPr>
          <w:rFonts w:eastAsia="Calibri" w:cs="Times New Roman"/>
          <w:color w:val="auto"/>
          <w:szCs w:val="22"/>
          <w:highlight w:val="yellow"/>
        </w:rPr>
        <w:t xml:space="preserve"> (</w:t>
      </w:r>
      <w:r w:rsidRPr="00817A38">
        <w:rPr>
          <w:rFonts w:eastAsia="Calibri"/>
          <w:color w:val="auto"/>
          <w:highlight w:val="yellow"/>
        </w:rPr>
        <w:t xml:space="preserve">YFP </w:t>
      </w:r>
      <w:r w:rsidRPr="00817A38">
        <w:rPr>
          <w:rFonts w:eastAsia="Calibri" w:cs="Times New Roman"/>
          <w:color w:val="auto"/>
          <w:szCs w:val="22"/>
          <w:highlight w:val="yellow"/>
        </w:rPr>
        <w:t xml:space="preserve">= </w:t>
      </w:r>
      <w:r w:rsidRPr="00817A38">
        <w:rPr>
          <w:rFonts w:eastAsia="Calibri"/>
          <w:color w:val="auto"/>
          <w:highlight w:val="yellow"/>
        </w:rPr>
        <w:t xml:space="preserve">~514/527 nm, CY-3 </w:t>
      </w:r>
      <w:r w:rsidRPr="00817A38">
        <w:rPr>
          <w:rFonts w:eastAsia="Calibri" w:cs="Times New Roman"/>
          <w:color w:val="auto"/>
          <w:szCs w:val="22"/>
          <w:highlight w:val="yellow"/>
        </w:rPr>
        <w:t>=</w:t>
      </w:r>
      <w:r w:rsidRPr="00817A38">
        <w:rPr>
          <w:rFonts w:eastAsia="Calibri"/>
          <w:color w:val="auto"/>
          <w:highlight w:val="yellow"/>
        </w:rPr>
        <w:t xml:space="preserve"> ~555/568 </w:t>
      </w:r>
      <w:r w:rsidRPr="00817A38">
        <w:rPr>
          <w:rFonts w:eastAsia="Calibri" w:cs="Times New Roman"/>
          <w:color w:val="auto"/>
          <w:szCs w:val="22"/>
          <w:highlight w:val="yellow"/>
        </w:rPr>
        <w:t>nm</w:t>
      </w:r>
      <w:r w:rsidR="00B73AD2">
        <w:rPr>
          <w:rFonts w:eastAsia="Calibri" w:cs="Times New Roman"/>
          <w:color w:val="auto"/>
          <w:szCs w:val="22"/>
          <w:highlight w:val="yellow"/>
        </w:rPr>
        <w:t>,</w:t>
      </w:r>
      <w:r w:rsidRPr="00817A38">
        <w:rPr>
          <w:rFonts w:eastAsia="Calibri" w:cs="Times New Roman"/>
          <w:color w:val="auto"/>
          <w:szCs w:val="22"/>
          <w:highlight w:val="yellow"/>
        </w:rPr>
        <w:t xml:space="preserve"> </w:t>
      </w:r>
      <w:r w:rsidRPr="00817A38">
        <w:rPr>
          <w:rFonts w:eastAsia="Calibri"/>
          <w:color w:val="auto"/>
          <w:highlight w:val="yellow"/>
        </w:rPr>
        <w:t xml:space="preserve">and </w:t>
      </w:r>
      <w:r w:rsidR="00B73AD2">
        <w:rPr>
          <w:rFonts w:eastAsia="Calibri"/>
          <w:color w:val="auto"/>
          <w:highlight w:val="yellow"/>
        </w:rPr>
        <w:t>t</w:t>
      </w:r>
      <w:r w:rsidRPr="00817A38">
        <w:rPr>
          <w:rFonts w:eastAsia="Calibri"/>
          <w:color w:val="auto"/>
          <w:highlight w:val="yellow"/>
        </w:rPr>
        <w:t xml:space="preserve">hioflavin S </w:t>
      </w:r>
      <w:r w:rsidR="00B73AD2">
        <w:rPr>
          <w:rFonts w:eastAsia="Calibri" w:cs="Times New Roman"/>
          <w:color w:val="auto"/>
          <w:szCs w:val="22"/>
          <w:highlight w:val="yellow"/>
        </w:rPr>
        <w:t>=</w:t>
      </w:r>
      <w:r w:rsidRPr="00817A38">
        <w:rPr>
          <w:rFonts w:eastAsia="Calibri"/>
          <w:color w:val="auto"/>
          <w:highlight w:val="yellow"/>
        </w:rPr>
        <w:t xml:space="preserve"> ~390/426</w:t>
      </w:r>
      <w:r w:rsidRPr="00817A38">
        <w:rPr>
          <w:rFonts w:eastAsia="Calibri" w:cs="Times New Roman"/>
          <w:color w:val="auto"/>
          <w:szCs w:val="22"/>
          <w:highlight w:val="yellow"/>
        </w:rPr>
        <w:t xml:space="preserve"> nm).</w:t>
      </w:r>
    </w:p>
    <w:p w14:paraId="1A3500FE" w14:textId="77777777" w:rsidR="00E8305F" w:rsidRPr="00817A38" w:rsidRDefault="00E8305F" w:rsidP="00817A38">
      <w:pPr>
        <w:widowControl/>
        <w:autoSpaceDE/>
        <w:autoSpaceDN/>
        <w:adjustRightInd/>
        <w:rPr>
          <w:rFonts w:eastAsia="Calibri" w:cs="Times New Roman"/>
          <w:color w:val="auto"/>
          <w:szCs w:val="22"/>
        </w:rPr>
      </w:pPr>
    </w:p>
    <w:p w14:paraId="7E73E337" w14:textId="77777777" w:rsidR="00E8305F" w:rsidRPr="00817A38" w:rsidRDefault="00691DBF" w:rsidP="00817A38">
      <w:pPr>
        <w:widowControl/>
        <w:autoSpaceDE/>
        <w:autoSpaceDN/>
        <w:adjustRightInd/>
        <w:rPr>
          <w:rFonts w:eastAsia="Calibri" w:cs="Times New Roman"/>
          <w:b/>
          <w:color w:val="auto"/>
          <w:szCs w:val="22"/>
        </w:rPr>
      </w:pPr>
      <w:r w:rsidRPr="00817A38">
        <w:rPr>
          <w:rFonts w:eastAsia="Calibri" w:cs="Times New Roman"/>
          <w:b/>
          <w:color w:val="auto"/>
          <w:szCs w:val="22"/>
        </w:rPr>
        <w:t>6</w:t>
      </w:r>
      <w:r w:rsidR="00570BB3">
        <w:rPr>
          <w:rFonts w:eastAsia="Calibri" w:cs="Times New Roman"/>
          <w:b/>
          <w:color w:val="auto"/>
          <w:szCs w:val="22"/>
        </w:rPr>
        <w:t>.</w:t>
      </w:r>
      <w:r w:rsidRPr="00817A38">
        <w:rPr>
          <w:rFonts w:eastAsia="Calibri" w:cs="Times New Roman"/>
          <w:b/>
          <w:color w:val="auto"/>
          <w:szCs w:val="22"/>
        </w:rPr>
        <w:t xml:space="preserve"> Optional methods</w:t>
      </w:r>
    </w:p>
    <w:p w14:paraId="3EE0B81B" w14:textId="77777777" w:rsidR="00045BF1" w:rsidRPr="00817A38" w:rsidRDefault="00045BF1" w:rsidP="00817A38">
      <w:pPr>
        <w:widowControl/>
        <w:autoSpaceDE/>
        <w:autoSpaceDN/>
        <w:adjustRightInd/>
        <w:rPr>
          <w:rFonts w:eastAsia="Calibri" w:cs="Times New Roman"/>
          <w:color w:val="auto"/>
          <w:szCs w:val="22"/>
        </w:rPr>
      </w:pPr>
    </w:p>
    <w:p w14:paraId="4E03B8DA" w14:textId="5D726982" w:rsidR="00E8305F" w:rsidRPr="00817A38" w:rsidRDefault="00691DBF" w:rsidP="00817A38">
      <w:pPr>
        <w:widowControl/>
        <w:autoSpaceDE/>
        <w:autoSpaceDN/>
        <w:adjustRightInd/>
        <w:rPr>
          <w:rFonts w:eastAsia="Calibri" w:cs="Times New Roman"/>
          <w:color w:val="auto"/>
          <w:szCs w:val="22"/>
        </w:rPr>
      </w:pPr>
      <w:r w:rsidRPr="00817A38">
        <w:rPr>
          <w:rFonts w:eastAsia="Calibri" w:cs="Times New Roman"/>
          <w:color w:val="auto"/>
          <w:szCs w:val="22"/>
        </w:rPr>
        <w:t xml:space="preserve">6.1. </w:t>
      </w:r>
      <w:proofErr w:type="gramStart"/>
      <w:r w:rsidR="00B73AD2">
        <w:rPr>
          <w:rFonts w:eastAsia="Calibri" w:cs="Times New Roman"/>
          <w:color w:val="auto"/>
          <w:szCs w:val="22"/>
        </w:rPr>
        <w:t>Every 2 days,</w:t>
      </w:r>
      <w:proofErr w:type="gramEnd"/>
      <w:r w:rsidR="00B73AD2">
        <w:rPr>
          <w:rFonts w:eastAsia="Calibri" w:cs="Times New Roman"/>
          <w:color w:val="auto"/>
          <w:szCs w:val="22"/>
        </w:rPr>
        <w:t xml:space="preserve"> c</w:t>
      </w:r>
      <w:r w:rsidRPr="00817A38">
        <w:rPr>
          <w:rFonts w:eastAsia="Calibri" w:cs="Times New Roman"/>
          <w:color w:val="auto"/>
          <w:szCs w:val="22"/>
        </w:rPr>
        <w:t xml:space="preserve">ollect conditioned media from </w:t>
      </w:r>
      <w:r w:rsidR="00B73AD2">
        <w:rPr>
          <w:rFonts w:eastAsia="Calibri" w:cs="Times New Roman"/>
          <w:color w:val="auto"/>
          <w:szCs w:val="22"/>
        </w:rPr>
        <w:t xml:space="preserve">the </w:t>
      </w:r>
      <w:r w:rsidRPr="00817A38">
        <w:rPr>
          <w:rFonts w:eastAsia="Calibri" w:cs="Times New Roman"/>
          <w:color w:val="auto"/>
          <w:szCs w:val="22"/>
        </w:rPr>
        <w:t xml:space="preserve">cultures and store </w:t>
      </w:r>
      <w:r w:rsidR="00B73AD2">
        <w:rPr>
          <w:rFonts w:eastAsia="Calibri" w:cs="Times New Roman"/>
          <w:color w:val="auto"/>
          <w:szCs w:val="22"/>
        </w:rPr>
        <w:t>it</w:t>
      </w:r>
      <w:r w:rsidRPr="00817A38">
        <w:rPr>
          <w:rFonts w:eastAsia="Calibri" w:cs="Times New Roman"/>
          <w:color w:val="auto"/>
          <w:szCs w:val="22"/>
        </w:rPr>
        <w:t xml:space="preserve"> at -20 </w:t>
      </w:r>
      <w:r w:rsidRPr="00817A38">
        <w:rPr>
          <w:rFonts w:eastAsia="Calibri"/>
          <w:color w:val="auto"/>
          <w:szCs w:val="22"/>
        </w:rPr>
        <w:t>°</w:t>
      </w:r>
      <w:r w:rsidRPr="00817A38">
        <w:rPr>
          <w:rFonts w:eastAsia="Calibri" w:cs="Times New Roman"/>
          <w:color w:val="auto"/>
          <w:szCs w:val="22"/>
        </w:rPr>
        <w:t>C for future analys</w:t>
      </w:r>
      <w:r w:rsidR="00B73AD2">
        <w:rPr>
          <w:rFonts w:eastAsia="Calibri" w:cs="Times New Roman"/>
          <w:color w:val="auto"/>
          <w:szCs w:val="22"/>
        </w:rPr>
        <w:t>e</w:t>
      </w:r>
      <w:r w:rsidRPr="00817A38">
        <w:rPr>
          <w:rFonts w:eastAsia="Calibri" w:cs="Times New Roman"/>
          <w:color w:val="auto"/>
          <w:szCs w:val="22"/>
        </w:rPr>
        <w:t xml:space="preserve">s of tau species released by cultures. </w:t>
      </w:r>
    </w:p>
    <w:p w14:paraId="7FD76340" w14:textId="77777777" w:rsidR="00E8305F" w:rsidRPr="00817A38" w:rsidRDefault="00E8305F" w:rsidP="00817A38">
      <w:pPr>
        <w:pStyle w:val="a3"/>
        <w:spacing w:before="0" w:beforeAutospacing="0" w:after="0" w:afterAutospacing="0"/>
        <w:rPr>
          <w:rFonts w:asciiTheme="minorHAnsi" w:hAnsiTheme="minorHAnsi" w:cstheme="minorHAnsi"/>
          <w:b/>
          <w:color w:val="auto"/>
        </w:rPr>
      </w:pPr>
    </w:p>
    <w:p w14:paraId="05078936" w14:textId="77777777" w:rsidR="00E8305F" w:rsidRPr="00817A38" w:rsidRDefault="00691DBF" w:rsidP="00817A38">
      <w:pPr>
        <w:pStyle w:val="a3"/>
        <w:spacing w:before="0" w:beforeAutospacing="0" w:after="0" w:afterAutospacing="0"/>
        <w:rPr>
          <w:rFonts w:asciiTheme="minorHAnsi" w:hAnsiTheme="minorHAnsi" w:cstheme="minorHAnsi"/>
          <w:color w:val="auto"/>
        </w:rPr>
      </w:pPr>
      <w:r w:rsidRPr="00817A38">
        <w:rPr>
          <w:rFonts w:asciiTheme="minorHAnsi" w:hAnsiTheme="minorHAnsi" w:cstheme="minorHAnsi"/>
          <w:b/>
          <w:color w:val="auto"/>
        </w:rPr>
        <w:t xml:space="preserve">REPRESENTATIVE RESULTS: </w:t>
      </w:r>
    </w:p>
    <w:p w14:paraId="0D2792F2" w14:textId="1553FC29" w:rsidR="00E8305F" w:rsidRPr="00817A38" w:rsidRDefault="00691DBF" w:rsidP="00817A38">
      <w:pPr>
        <w:rPr>
          <w:rFonts w:asciiTheme="minorHAnsi" w:hAnsiTheme="minorHAnsi" w:cstheme="minorHAnsi"/>
          <w:color w:val="auto"/>
        </w:rPr>
      </w:pPr>
      <w:r w:rsidRPr="00817A38">
        <w:rPr>
          <w:rFonts w:asciiTheme="minorHAnsi" w:hAnsiTheme="minorHAnsi"/>
          <w:color w:val="auto"/>
        </w:rPr>
        <w:t>Tau-RDLM-YFP</w:t>
      </w:r>
      <w:r w:rsidR="001D5D95">
        <w:rPr>
          <w:rFonts w:asciiTheme="minorHAnsi" w:hAnsiTheme="minorHAnsi"/>
          <w:color w:val="auto"/>
        </w:rPr>
        <w:t>-</w:t>
      </w:r>
      <w:r w:rsidRPr="00817A38">
        <w:rPr>
          <w:rFonts w:asciiTheme="minorHAnsi" w:hAnsiTheme="minorHAnsi"/>
          <w:color w:val="auto"/>
        </w:rPr>
        <w:t xml:space="preserve">transduced neurons </w:t>
      </w:r>
      <w:r w:rsidR="001D5D95">
        <w:rPr>
          <w:rFonts w:asciiTheme="minorHAnsi" w:hAnsiTheme="minorHAnsi"/>
          <w:color w:val="auto"/>
        </w:rPr>
        <w:t>were</w:t>
      </w:r>
      <w:r w:rsidRPr="00817A38">
        <w:rPr>
          <w:rFonts w:asciiTheme="minorHAnsi" w:hAnsiTheme="minorHAnsi"/>
          <w:color w:val="auto"/>
        </w:rPr>
        <w:t xml:space="preserve"> fluorescently tagged with YFP</w:t>
      </w:r>
      <w:r w:rsidR="001D5D95">
        <w:rPr>
          <w:rFonts w:asciiTheme="minorHAnsi" w:hAnsiTheme="minorHAnsi"/>
          <w:color w:val="auto"/>
        </w:rPr>
        <w:t>,</w:t>
      </w:r>
      <w:r w:rsidRPr="00817A38">
        <w:rPr>
          <w:rFonts w:asciiTheme="minorHAnsi" w:hAnsiTheme="minorHAnsi"/>
          <w:color w:val="auto"/>
        </w:rPr>
        <w:t xml:space="preserve"> and RDLM</w:t>
      </w:r>
      <w:r w:rsidR="001D5D95">
        <w:rPr>
          <w:rFonts w:asciiTheme="minorHAnsi" w:hAnsiTheme="minorHAnsi"/>
          <w:color w:val="auto"/>
        </w:rPr>
        <w:t>-</w:t>
      </w:r>
      <w:r w:rsidRPr="00817A38">
        <w:rPr>
          <w:rFonts w:asciiTheme="minorHAnsi" w:hAnsiTheme="minorHAnsi"/>
          <w:color w:val="auto"/>
        </w:rPr>
        <w:t>transduced cultures display</w:t>
      </w:r>
      <w:r w:rsidR="001D5D95">
        <w:rPr>
          <w:rFonts w:asciiTheme="minorHAnsi" w:hAnsiTheme="minorHAnsi"/>
          <w:color w:val="auto"/>
        </w:rPr>
        <w:t>ed</w:t>
      </w:r>
      <w:r w:rsidRPr="00817A38">
        <w:rPr>
          <w:rFonts w:asciiTheme="minorHAnsi" w:hAnsiTheme="minorHAnsi"/>
          <w:color w:val="auto"/>
        </w:rPr>
        <w:t xml:space="preserve"> aggregates after transduction.</w:t>
      </w:r>
      <w:r w:rsidR="00045BF1" w:rsidRPr="00817A38">
        <w:rPr>
          <w:rFonts w:asciiTheme="minorHAnsi" w:hAnsiTheme="minorHAnsi"/>
          <w:color w:val="auto"/>
        </w:rPr>
        <w:t xml:space="preserve"> </w:t>
      </w:r>
      <w:r w:rsidRPr="00817A38">
        <w:rPr>
          <w:rFonts w:asciiTheme="minorHAnsi" w:hAnsiTheme="minorHAnsi"/>
          <w:color w:val="auto"/>
        </w:rPr>
        <w:t>These inclusions stain</w:t>
      </w:r>
      <w:r w:rsidR="001D5D95">
        <w:rPr>
          <w:rFonts w:asciiTheme="minorHAnsi" w:hAnsiTheme="minorHAnsi"/>
          <w:color w:val="auto"/>
        </w:rPr>
        <w:t>ed</w:t>
      </w:r>
      <w:r w:rsidRPr="00817A38">
        <w:rPr>
          <w:rFonts w:asciiTheme="minorHAnsi" w:hAnsiTheme="minorHAnsi"/>
          <w:color w:val="auto"/>
        </w:rPr>
        <w:t xml:space="preserve"> positive for thioflavin (</w:t>
      </w:r>
      <w:r w:rsidRPr="001362CF">
        <w:rPr>
          <w:rFonts w:asciiTheme="minorHAnsi" w:hAnsiTheme="minorHAnsi"/>
          <w:b/>
          <w:color w:val="auto"/>
        </w:rPr>
        <w:t>Figure 1</w:t>
      </w:r>
      <w:r w:rsidRPr="00817A38">
        <w:rPr>
          <w:rFonts w:asciiTheme="minorHAnsi" w:hAnsiTheme="minorHAnsi"/>
          <w:color w:val="auto"/>
        </w:rPr>
        <w:t>).</w:t>
      </w:r>
      <w:r w:rsidRPr="00817A38">
        <w:rPr>
          <w:rFonts w:asciiTheme="minorHAnsi" w:hAnsiTheme="minorHAnsi" w:cstheme="minorHAnsi"/>
          <w:color w:val="auto"/>
        </w:rPr>
        <w:t xml:space="preserve"> </w:t>
      </w:r>
      <w:r w:rsidR="00045BF1" w:rsidRPr="00817A38">
        <w:rPr>
          <w:rFonts w:asciiTheme="minorHAnsi" w:hAnsiTheme="minorHAnsi" w:cstheme="minorHAnsi"/>
          <w:color w:val="auto"/>
        </w:rPr>
        <w:t xml:space="preserve">As </w:t>
      </w:r>
      <w:r w:rsidR="001D5D95" w:rsidRPr="001362CF">
        <w:rPr>
          <w:rFonts w:asciiTheme="minorHAnsi" w:hAnsiTheme="minorHAnsi" w:cstheme="minorHAnsi"/>
          <w:b/>
          <w:color w:val="auto"/>
        </w:rPr>
        <w:t>F</w:t>
      </w:r>
      <w:r w:rsidR="00045BF1" w:rsidRPr="001362CF">
        <w:rPr>
          <w:rFonts w:asciiTheme="minorHAnsi" w:hAnsiTheme="minorHAnsi" w:cstheme="minorHAnsi"/>
          <w:b/>
          <w:color w:val="auto"/>
        </w:rPr>
        <w:t>igure 1</w:t>
      </w:r>
      <w:r w:rsidR="00045BF1" w:rsidRPr="00817A38">
        <w:rPr>
          <w:rFonts w:asciiTheme="minorHAnsi" w:hAnsiTheme="minorHAnsi" w:cstheme="minorHAnsi"/>
          <w:color w:val="auto"/>
        </w:rPr>
        <w:t xml:space="preserve"> demonstrates, this protocol produces neuronal cultures that display thioflavin</w:t>
      </w:r>
      <w:r w:rsidR="001D5D95">
        <w:rPr>
          <w:rFonts w:asciiTheme="minorHAnsi" w:hAnsiTheme="minorHAnsi" w:cstheme="minorHAnsi"/>
          <w:color w:val="auto"/>
        </w:rPr>
        <w:t>-</w:t>
      </w:r>
      <w:r w:rsidR="00045BF1" w:rsidRPr="00817A38">
        <w:rPr>
          <w:rFonts w:asciiTheme="minorHAnsi" w:hAnsiTheme="minorHAnsi" w:cstheme="minorHAnsi"/>
          <w:color w:val="auto"/>
        </w:rPr>
        <w:t xml:space="preserve">positive tau aggregates. For initial experiments, it is recommended that neuronal differentiation </w:t>
      </w:r>
      <w:r w:rsidR="00A55BC3">
        <w:rPr>
          <w:rFonts w:asciiTheme="minorHAnsi" w:hAnsiTheme="minorHAnsi" w:cstheme="minorHAnsi"/>
          <w:color w:val="auto"/>
        </w:rPr>
        <w:t>is</w:t>
      </w:r>
      <w:r w:rsidR="00045BF1" w:rsidRPr="00817A38">
        <w:rPr>
          <w:rFonts w:asciiTheme="minorHAnsi" w:hAnsiTheme="minorHAnsi" w:cstheme="minorHAnsi"/>
          <w:color w:val="auto"/>
        </w:rPr>
        <w:t xml:space="preserve"> confirmed by immunolabeling the neuron</w:t>
      </w:r>
      <w:r w:rsidR="001D5D95">
        <w:rPr>
          <w:rFonts w:asciiTheme="minorHAnsi" w:hAnsiTheme="minorHAnsi" w:cstheme="minorHAnsi"/>
          <w:color w:val="auto"/>
        </w:rPr>
        <w:t>-</w:t>
      </w:r>
      <w:r w:rsidR="00045BF1" w:rsidRPr="00817A38">
        <w:rPr>
          <w:rFonts w:asciiTheme="minorHAnsi" w:hAnsiTheme="minorHAnsi" w:cstheme="minorHAnsi"/>
          <w:color w:val="auto"/>
        </w:rPr>
        <w:t xml:space="preserve">specific marker </w:t>
      </w:r>
      <w:r w:rsidR="00A55BC3">
        <w:rPr>
          <w:rFonts w:asciiTheme="minorHAnsi" w:hAnsiTheme="minorHAnsi" w:cstheme="minorHAnsi"/>
          <w:color w:val="auto"/>
        </w:rPr>
        <w:t>β-</w:t>
      </w:r>
      <w:r w:rsidR="00045BF1" w:rsidRPr="00817A38">
        <w:rPr>
          <w:rFonts w:asciiTheme="minorHAnsi" w:hAnsiTheme="minorHAnsi" w:cstheme="minorHAnsi"/>
          <w:color w:val="auto"/>
        </w:rPr>
        <w:t>tubulin III in cultures. Importantly, fluorescently tagged secondary antibodies should have an excitation/emission spectr</w:t>
      </w:r>
      <w:r w:rsidR="001D5D95">
        <w:rPr>
          <w:rFonts w:asciiTheme="minorHAnsi" w:hAnsiTheme="minorHAnsi" w:cstheme="minorHAnsi"/>
          <w:color w:val="auto"/>
        </w:rPr>
        <w:t>um</w:t>
      </w:r>
      <w:r w:rsidR="00045BF1" w:rsidRPr="00817A38">
        <w:rPr>
          <w:rFonts w:asciiTheme="minorHAnsi" w:hAnsiTheme="minorHAnsi" w:cstheme="minorHAnsi"/>
          <w:color w:val="auto"/>
        </w:rPr>
        <w:t xml:space="preserve"> that does not overlap with that of YPF (Cy3</w:t>
      </w:r>
      <w:r w:rsidR="001D5D95">
        <w:rPr>
          <w:rFonts w:asciiTheme="minorHAnsi" w:hAnsiTheme="minorHAnsi" w:cstheme="minorHAnsi"/>
          <w:color w:val="auto"/>
        </w:rPr>
        <w:t>,</w:t>
      </w:r>
      <w:r w:rsidR="00045BF1" w:rsidRPr="00817A38">
        <w:rPr>
          <w:rFonts w:asciiTheme="minorHAnsi" w:hAnsiTheme="minorHAnsi" w:cstheme="minorHAnsi"/>
          <w:color w:val="auto"/>
        </w:rPr>
        <w:t xml:space="preserve"> for example). Although yellow fluorescent tau aggregates will be visible in the absence of staining, thioflavin should also be used for imaging in order to confirm that the fluorescent signal is aggregated tau and not cellular debris. Additionally, the example in </w:t>
      </w:r>
      <w:r w:rsidR="001D5D95" w:rsidRPr="001362CF">
        <w:rPr>
          <w:rFonts w:asciiTheme="minorHAnsi" w:hAnsiTheme="minorHAnsi" w:cstheme="minorHAnsi"/>
          <w:b/>
          <w:color w:val="auto"/>
        </w:rPr>
        <w:t>F</w:t>
      </w:r>
      <w:r w:rsidR="00045BF1" w:rsidRPr="001362CF">
        <w:rPr>
          <w:rFonts w:asciiTheme="minorHAnsi" w:hAnsiTheme="minorHAnsi" w:cstheme="minorHAnsi"/>
          <w:b/>
          <w:color w:val="auto"/>
        </w:rPr>
        <w:t>igure 1</w:t>
      </w:r>
      <w:r w:rsidR="00045BF1" w:rsidRPr="00817A38">
        <w:rPr>
          <w:rFonts w:asciiTheme="minorHAnsi" w:hAnsiTheme="minorHAnsi" w:cstheme="minorHAnsi"/>
          <w:color w:val="auto"/>
        </w:rPr>
        <w:t xml:space="preserve"> does not include DAPI staining to label </w:t>
      </w:r>
      <w:r w:rsidR="001D5D95">
        <w:rPr>
          <w:rFonts w:asciiTheme="minorHAnsi" w:hAnsiTheme="minorHAnsi" w:cstheme="minorHAnsi"/>
          <w:color w:val="auto"/>
        </w:rPr>
        <w:t xml:space="preserve">the </w:t>
      </w:r>
      <w:r w:rsidR="00045BF1" w:rsidRPr="00817A38">
        <w:rPr>
          <w:rFonts w:asciiTheme="minorHAnsi" w:hAnsiTheme="minorHAnsi" w:cstheme="minorHAnsi"/>
          <w:color w:val="auto"/>
        </w:rPr>
        <w:t xml:space="preserve">cell nuclei as the excitation/emission </w:t>
      </w:r>
      <w:r w:rsidR="001D5D95">
        <w:rPr>
          <w:rFonts w:asciiTheme="minorHAnsi" w:hAnsiTheme="minorHAnsi" w:cstheme="minorHAnsi"/>
          <w:color w:val="auto"/>
        </w:rPr>
        <w:t xml:space="preserve">of </w:t>
      </w:r>
      <w:r w:rsidR="00045BF1" w:rsidRPr="00817A38">
        <w:rPr>
          <w:rFonts w:asciiTheme="minorHAnsi" w:hAnsiTheme="minorHAnsi" w:cstheme="minorHAnsi"/>
          <w:color w:val="auto"/>
        </w:rPr>
        <w:t xml:space="preserve">DAPI overlaps with that of </w:t>
      </w:r>
      <w:r w:rsidR="001D5D95">
        <w:rPr>
          <w:rFonts w:asciiTheme="minorHAnsi" w:hAnsiTheme="minorHAnsi" w:cstheme="minorHAnsi"/>
          <w:color w:val="auto"/>
        </w:rPr>
        <w:t>t</w:t>
      </w:r>
      <w:r w:rsidR="00045BF1" w:rsidRPr="00817A38">
        <w:rPr>
          <w:rFonts w:asciiTheme="minorHAnsi" w:hAnsiTheme="minorHAnsi" w:cstheme="minorHAnsi"/>
          <w:color w:val="auto"/>
        </w:rPr>
        <w:t>hioflavin</w:t>
      </w:r>
      <w:r w:rsidR="001D5D95">
        <w:rPr>
          <w:rFonts w:asciiTheme="minorHAnsi" w:hAnsiTheme="minorHAnsi" w:cstheme="minorHAnsi"/>
          <w:color w:val="auto"/>
        </w:rPr>
        <w:t>-</w:t>
      </w:r>
      <w:r w:rsidR="00045BF1" w:rsidRPr="00817A38">
        <w:rPr>
          <w:rFonts w:asciiTheme="minorHAnsi" w:hAnsiTheme="minorHAnsi" w:cstheme="minorHAnsi"/>
          <w:color w:val="auto"/>
        </w:rPr>
        <w:t>S</w:t>
      </w:r>
      <w:r w:rsidR="001D5D95">
        <w:rPr>
          <w:rFonts w:asciiTheme="minorHAnsi" w:hAnsiTheme="minorHAnsi" w:cstheme="minorHAnsi"/>
          <w:color w:val="auto"/>
        </w:rPr>
        <w:t>;</w:t>
      </w:r>
      <w:r w:rsidR="00045BF1" w:rsidRPr="00817A38">
        <w:rPr>
          <w:rFonts w:asciiTheme="minorHAnsi" w:hAnsiTheme="minorHAnsi" w:cstheme="minorHAnsi"/>
          <w:color w:val="auto"/>
        </w:rPr>
        <w:t xml:space="preserve"> alternative nuclei stains should be used with </w:t>
      </w:r>
      <w:r w:rsidR="001D5D95">
        <w:rPr>
          <w:rFonts w:asciiTheme="minorHAnsi" w:hAnsiTheme="minorHAnsi" w:cstheme="minorHAnsi"/>
          <w:color w:val="auto"/>
        </w:rPr>
        <w:t>t</w:t>
      </w:r>
      <w:r w:rsidR="00045BF1" w:rsidRPr="00817A38">
        <w:rPr>
          <w:rFonts w:asciiTheme="minorHAnsi" w:hAnsiTheme="minorHAnsi" w:cstheme="minorHAnsi"/>
          <w:color w:val="auto"/>
        </w:rPr>
        <w:t>hioflavin</w:t>
      </w:r>
      <w:r w:rsidR="001D5D95">
        <w:rPr>
          <w:rFonts w:asciiTheme="minorHAnsi" w:hAnsiTheme="minorHAnsi" w:cstheme="minorHAnsi"/>
          <w:color w:val="auto"/>
        </w:rPr>
        <w:t>-</w:t>
      </w:r>
      <w:r w:rsidR="00045BF1" w:rsidRPr="00817A38">
        <w:rPr>
          <w:rFonts w:asciiTheme="minorHAnsi" w:hAnsiTheme="minorHAnsi" w:cstheme="minorHAnsi"/>
          <w:color w:val="auto"/>
        </w:rPr>
        <w:t xml:space="preserve">S if desired. </w:t>
      </w:r>
    </w:p>
    <w:p w14:paraId="423CF57A" w14:textId="77777777" w:rsidR="00E8305F" w:rsidRPr="00817A38" w:rsidRDefault="00E8305F" w:rsidP="00817A38">
      <w:pPr>
        <w:rPr>
          <w:rFonts w:asciiTheme="minorHAnsi" w:hAnsiTheme="minorHAnsi" w:cstheme="minorHAnsi"/>
          <w:color w:val="auto"/>
        </w:rPr>
      </w:pPr>
    </w:p>
    <w:p w14:paraId="37A21F90" w14:textId="0444DC8E" w:rsidR="00E8305F" w:rsidRDefault="00691DBF" w:rsidP="00817A38">
      <w:pPr>
        <w:rPr>
          <w:rFonts w:asciiTheme="minorHAnsi" w:hAnsiTheme="minorHAnsi" w:cstheme="minorHAnsi"/>
          <w:color w:val="auto"/>
        </w:rPr>
      </w:pPr>
      <w:r w:rsidRPr="00817A38">
        <w:rPr>
          <w:rFonts w:asciiTheme="minorHAnsi" w:hAnsiTheme="minorHAnsi" w:cstheme="minorHAnsi"/>
          <w:b/>
          <w:color w:val="auto"/>
        </w:rPr>
        <w:t>FIGURE AND LEGEND:</w:t>
      </w:r>
      <w:r w:rsidRPr="00817A38">
        <w:rPr>
          <w:rFonts w:asciiTheme="minorHAnsi" w:hAnsiTheme="minorHAnsi" w:cstheme="minorHAnsi"/>
          <w:color w:val="auto"/>
        </w:rPr>
        <w:t xml:space="preserve"> </w:t>
      </w:r>
    </w:p>
    <w:p w14:paraId="7D90DBD8" w14:textId="77777777" w:rsidR="00116D07" w:rsidRPr="00817A38" w:rsidRDefault="00116D07" w:rsidP="00817A38">
      <w:pPr>
        <w:rPr>
          <w:rFonts w:asciiTheme="minorHAnsi" w:hAnsiTheme="minorHAnsi" w:cstheme="minorHAnsi"/>
          <w:color w:val="auto"/>
        </w:rPr>
      </w:pPr>
    </w:p>
    <w:p w14:paraId="61A1B3C6" w14:textId="2FCA49A3" w:rsidR="00E8305F" w:rsidRPr="00817A38" w:rsidRDefault="00691DBF" w:rsidP="00817A38">
      <w:pPr>
        <w:rPr>
          <w:rFonts w:asciiTheme="minorHAnsi" w:hAnsiTheme="minorHAnsi" w:cstheme="minorHAnsi"/>
          <w:b/>
          <w:bCs/>
          <w:color w:val="auto"/>
        </w:rPr>
      </w:pPr>
      <w:r w:rsidRPr="00817A38">
        <w:rPr>
          <w:rFonts w:asciiTheme="minorHAnsi" w:hAnsiTheme="minorHAnsi" w:cstheme="minorHAnsi"/>
          <w:b/>
          <w:bCs/>
          <w:color w:val="auto"/>
        </w:rPr>
        <w:t xml:space="preserve">Figure 1: Thioflavin staining of transduced cultures. </w:t>
      </w:r>
      <w:r w:rsidRPr="00817A38">
        <w:rPr>
          <w:rFonts w:asciiTheme="minorHAnsi" w:hAnsiTheme="minorHAnsi" w:cstheme="minorHAnsi"/>
          <w:bCs/>
          <w:color w:val="auto"/>
        </w:rPr>
        <w:t>Neurons transduced with tau-RDLM-YFP lentivirus were fixed and immunolabeled with the neuron</w:t>
      </w:r>
      <w:r w:rsidR="001D5D95">
        <w:rPr>
          <w:rFonts w:asciiTheme="minorHAnsi" w:hAnsiTheme="minorHAnsi" w:cstheme="minorHAnsi"/>
          <w:bCs/>
          <w:color w:val="auto"/>
        </w:rPr>
        <w:t>-</w:t>
      </w:r>
      <w:r w:rsidRPr="00817A38">
        <w:rPr>
          <w:rFonts w:asciiTheme="minorHAnsi" w:hAnsiTheme="minorHAnsi" w:cstheme="minorHAnsi"/>
          <w:bCs/>
          <w:color w:val="auto"/>
        </w:rPr>
        <w:t>specific marker β-tubulin</w:t>
      </w:r>
      <w:r w:rsidR="00CC36FC">
        <w:rPr>
          <w:rFonts w:asciiTheme="minorHAnsi" w:hAnsiTheme="minorHAnsi" w:cstheme="minorHAnsi"/>
          <w:bCs/>
          <w:color w:val="auto"/>
        </w:rPr>
        <w:t xml:space="preserve"> </w:t>
      </w:r>
      <w:r w:rsidRPr="00817A38">
        <w:rPr>
          <w:rFonts w:asciiTheme="minorHAnsi" w:hAnsiTheme="minorHAnsi" w:cstheme="minorHAnsi"/>
          <w:bCs/>
          <w:color w:val="auto"/>
        </w:rPr>
        <w:t>III (red). Additionally</w:t>
      </w:r>
      <w:r w:rsidR="00CC36FC">
        <w:rPr>
          <w:rFonts w:asciiTheme="minorHAnsi" w:hAnsiTheme="minorHAnsi" w:cstheme="minorHAnsi"/>
          <w:bCs/>
          <w:color w:val="auto"/>
        </w:rPr>
        <w:t>,</w:t>
      </w:r>
      <w:r w:rsidRPr="00817A38">
        <w:rPr>
          <w:rFonts w:asciiTheme="minorHAnsi" w:hAnsiTheme="minorHAnsi" w:cstheme="minorHAnsi"/>
          <w:bCs/>
          <w:color w:val="auto"/>
        </w:rPr>
        <w:t xml:space="preserve"> tau aggregates (YFP signal in green) were stained for thioflavin (blue). </w:t>
      </w:r>
      <w:r w:rsidR="00CC36FC">
        <w:rPr>
          <w:rFonts w:asciiTheme="minorHAnsi" w:hAnsiTheme="minorHAnsi" w:cstheme="minorHAnsi"/>
          <w:bCs/>
          <w:color w:val="auto"/>
        </w:rPr>
        <w:t>The s</w:t>
      </w:r>
      <w:r w:rsidRPr="00817A38">
        <w:rPr>
          <w:rFonts w:asciiTheme="minorHAnsi" w:hAnsiTheme="minorHAnsi" w:cstheme="minorHAnsi"/>
          <w:bCs/>
          <w:color w:val="auto"/>
        </w:rPr>
        <w:t>cale bars are 25</w:t>
      </w:r>
      <w:r w:rsidR="00CC36FC">
        <w:rPr>
          <w:rFonts w:asciiTheme="minorHAnsi" w:hAnsiTheme="minorHAnsi" w:cstheme="minorHAnsi"/>
          <w:bCs/>
          <w:color w:val="auto"/>
        </w:rPr>
        <w:t xml:space="preserve"> </w:t>
      </w:r>
      <w:r w:rsidRPr="00817A38">
        <w:rPr>
          <w:rFonts w:asciiTheme="minorHAnsi" w:hAnsiTheme="minorHAnsi" w:cstheme="minorHAnsi"/>
          <w:bCs/>
          <w:color w:val="auto"/>
        </w:rPr>
        <w:t>µm.</w:t>
      </w:r>
    </w:p>
    <w:p w14:paraId="137A9251" w14:textId="77777777" w:rsidR="00E8305F" w:rsidRPr="00817A38" w:rsidRDefault="00E8305F" w:rsidP="00817A38">
      <w:pPr>
        <w:rPr>
          <w:rFonts w:asciiTheme="minorHAnsi" w:hAnsiTheme="minorHAnsi" w:cstheme="minorHAnsi"/>
          <w:color w:val="auto"/>
        </w:rPr>
      </w:pPr>
    </w:p>
    <w:p w14:paraId="604BE9AB" w14:textId="77777777" w:rsidR="00E8305F" w:rsidRPr="00817A38" w:rsidRDefault="00691DBF" w:rsidP="00817A38">
      <w:pPr>
        <w:rPr>
          <w:rFonts w:asciiTheme="minorHAnsi" w:hAnsiTheme="minorHAnsi" w:cstheme="minorHAnsi"/>
          <w:bCs/>
          <w:color w:val="auto"/>
        </w:rPr>
      </w:pPr>
      <w:r w:rsidRPr="00817A38">
        <w:rPr>
          <w:rFonts w:asciiTheme="minorHAnsi" w:hAnsiTheme="minorHAnsi" w:cstheme="minorHAnsi"/>
          <w:b/>
          <w:color w:val="auto"/>
        </w:rPr>
        <w:t>DISCUSSION</w:t>
      </w:r>
      <w:r w:rsidRPr="00817A38">
        <w:rPr>
          <w:rFonts w:asciiTheme="minorHAnsi" w:hAnsiTheme="minorHAnsi" w:cstheme="minorHAnsi"/>
          <w:b/>
          <w:bCs/>
          <w:color w:val="auto"/>
        </w:rPr>
        <w:t xml:space="preserve">: </w:t>
      </w:r>
    </w:p>
    <w:p w14:paraId="5B502075" w14:textId="2B9F2D8F" w:rsidR="00E8305F" w:rsidRPr="00817A38" w:rsidRDefault="00691DBF" w:rsidP="00817A38">
      <w:pPr>
        <w:rPr>
          <w:rFonts w:asciiTheme="minorHAnsi" w:hAnsiTheme="minorHAnsi" w:cstheme="minorHAnsi"/>
          <w:color w:val="auto"/>
        </w:rPr>
      </w:pPr>
      <w:r w:rsidRPr="00817A38">
        <w:rPr>
          <w:rFonts w:asciiTheme="minorHAnsi" w:hAnsiTheme="minorHAnsi" w:cstheme="minorHAnsi"/>
          <w:color w:val="auto"/>
        </w:rPr>
        <w:t>This protocol describes the generation of an in vitro model of human tauopathy that exhibits silver</w:t>
      </w:r>
      <w:r w:rsidR="00CC36FC">
        <w:rPr>
          <w:rFonts w:asciiTheme="minorHAnsi" w:hAnsiTheme="minorHAnsi" w:cstheme="minorHAnsi"/>
          <w:color w:val="auto"/>
        </w:rPr>
        <w:t>-</w:t>
      </w:r>
      <w:r w:rsidRPr="00817A38">
        <w:rPr>
          <w:rFonts w:asciiTheme="minorHAnsi" w:hAnsiTheme="minorHAnsi" w:cstheme="minorHAnsi"/>
          <w:color w:val="auto"/>
        </w:rPr>
        <w:t>stain</w:t>
      </w:r>
      <w:r w:rsidR="00CC36FC">
        <w:rPr>
          <w:rFonts w:asciiTheme="minorHAnsi" w:hAnsiTheme="minorHAnsi" w:cstheme="minorHAnsi"/>
          <w:color w:val="auto"/>
        </w:rPr>
        <w:t>-</w:t>
      </w:r>
      <w:r w:rsidRPr="00817A38">
        <w:rPr>
          <w:rFonts w:asciiTheme="minorHAnsi" w:hAnsiTheme="minorHAnsi" w:cstheme="minorHAnsi"/>
          <w:color w:val="auto"/>
        </w:rPr>
        <w:t>positive aggregates and thioflavin-positive neurofibrillary tangles (NFTs). Moreover, transduced cells display tau-induced pathologies such as morphological defects, reduced synaptogenesis</w:t>
      </w:r>
      <w:r w:rsidR="00CC36FC">
        <w:rPr>
          <w:rFonts w:asciiTheme="minorHAnsi" w:hAnsiTheme="minorHAnsi" w:cstheme="minorHAnsi"/>
          <w:color w:val="auto"/>
        </w:rPr>
        <w:t>,</w:t>
      </w:r>
      <w:r w:rsidRPr="00817A38">
        <w:rPr>
          <w:rFonts w:asciiTheme="minorHAnsi" w:hAnsiTheme="minorHAnsi" w:cstheme="minorHAnsi"/>
          <w:color w:val="auto"/>
        </w:rPr>
        <w:t xml:space="preserve"> and </w:t>
      </w:r>
      <w:r w:rsidR="00CC36FC">
        <w:rPr>
          <w:rFonts w:asciiTheme="minorHAnsi" w:hAnsiTheme="minorHAnsi" w:cstheme="minorHAnsi"/>
          <w:color w:val="auto"/>
        </w:rPr>
        <w:t xml:space="preserve">an </w:t>
      </w:r>
      <w:r w:rsidRPr="00817A38">
        <w:rPr>
          <w:rFonts w:asciiTheme="minorHAnsi" w:hAnsiTheme="minorHAnsi" w:cstheme="minorHAnsi"/>
          <w:color w:val="auto"/>
        </w:rPr>
        <w:t>increased lysosomal volume. The main advantage of this protocol is that it provides an accessible and cost-effective model of neuronal tauopathy, which can be used for drug screening studies</w:t>
      </w:r>
      <w:r w:rsidR="00CC36FC">
        <w:rPr>
          <w:rFonts w:asciiTheme="minorHAnsi" w:hAnsiTheme="minorHAnsi" w:cstheme="minorHAnsi"/>
          <w:color w:val="auto"/>
        </w:rPr>
        <w:t>,</w:t>
      </w:r>
      <w:r w:rsidRPr="00817A38">
        <w:rPr>
          <w:rFonts w:asciiTheme="minorHAnsi" w:hAnsiTheme="minorHAnsi" w:cstheme="minorHAnsi"/>
          <w:color w:val="auto"/>
        </w:rPr>
        <w:t xml:space="preserve"> as well as </w:t>
      </w:r>
      <w:r w:rsidR="00CC36FC">
        <w:rPr>
          <w:rFonts w:asciiTheme="minorHAnsi" w:hAnsiTheme="minorHAnsi" w:cstheme="minorHAnsi"/>
          <w:color w:val="auto"/>
        </w:rPr>
        <w:t xml:space="preserve">for the </w:t>
      </w:r>
      <w:r w:rsidRPr="00817A38">
        <w:rPr>
          <w:rFonts w:asciiTheme="minorHAnsi" w:hAnsiTheme="minorHAnsi" w:cstheme="minorHAnsi"/>
          <w:color w:val="auto"/>
        </w:rPr>
        <w:t xml:space="preserve">analysis of tau toxicity. This model fills a material need in neurodegenerative research as human tauopathy cell lines are not yet widely available and the use of transgenic tau </w:t>
      </w:r>
      <w:r w:rsidR="00CC36FC">
        <w:rPr>
          <w:rFonts w:asciiTheme="minorHAnsi" w:hAnsiTheme="minorHAnsi" w:cstheme="minorHAnsi"/>
          <w:color w:val="auto"/>
        </w:rPr>
        <w:t xml:space="preserve">from </w:t>
      </w:r>
      <w:r w:rsidRPr="00817A38">
        <w:rPr>
          <w:rFonts w:asciiTheme="minorHAnsi" w:hAnsiTheme="minorHAnsi" w:cstheme="minorHAnsi"/>
          <w:color w:val="auto"/>
        </w:rPr>
        <w:t xml:space="preserve">mouse-derived neurons requires animal breeding and </w:t>
      </w:r>
      <w:r w:rsidR="00CC36FC">
        <w:rPr>
          <w:rFonts w:asciiTheme="minorHAnsi" w:hAnsiTheme="minorHAnsi" w:cstheme="minorHAnsi"/>
          <w:color w:val="auto"/>
        </w:rPr>
        <w:t>is</w:t>
      </w:r>
      <w:r w:rsidRPr="00817A38">
        <w:rPr>
          <w:rFonts w:asciiTheme="minorHAnsi" w:hAnsiTheme="minorHAnsi" w:cstheme="minorHAnsi"/>
          <w:color w:val="auto"/>
        </w:rPr>
        <w:t xml:space="preserve"> limited due to differe</w:t>
      </w:r>
      <w:bookmarkStart w:id="4" w:name="_GoBack"/>
      <w:bookmarkEnd w:id="4"/>
      <w:r w:rsidRPr="00817A38">
        <w:rPr>
          <w:rFonts w:asciiTheme="minorHAnsi" w:hAnsiTheme="minorHAnsi" w:cstheme="minorHAnsi"/>
          <w:color w:val="auto"/>
        </w:rPr>
        <w:t xml:space="preserve">nces in neuronal characteristics between species. </w:t>
      </w:r>
    </w:p>
    <w:p w14:paraId="2BFA1274" w14:textId="77777777" w:rsidR="00E8305F" w:rsidRPr="00817A38" w:rsidRDefault="00E8305F" w:rsidP="00817A38">
      <w:pPr>
        <w:rPr>
          <w:rFonts w:asciiTheme="minorHAnsi" w:hAnsiTheme="minorHAnsi" w:cstheme="minorHAnsi"/>
          <w:color w:val="auto"/>
        </w:rPr>
      </w:pPr>
    </w:p>
    <w:p w14:paraId="33A2BFD6" w14:textId="3577D4A3" w:rsidR="00E8305F" w:rsidRPr="00817A38" w:rsidRDefault="00691DBF" w:rsidP="00817A38">
      <w:pPr>
        <w:rPr>
          <w:rFonts w:asciiTheme="minorHAnsi" w:hAnsiTheme="minorHAnsi" w:cstheme="minorHAnsi"/>
          <w:color w:val="auto"/>
        </w:rPr>
      </w:pPr>
      <w:r w:rsidRPr="00817A38">
        <w:rPr>
          <w:rFonts w:asciiTheme="minorHAnsi" w:hAnsiTheme="minorHAnsi" w:cstheme="minorHAnsi"/>
          <w:color w:val="auto"/>
        </w:rPr>
        <w:t xml:space="preserve">In addition to those listed above, there are </w:t>
      </w:r>
      <w:proofErr w:type="gramStart"/>
      <w:r w:rsidRPr="00817A38">
        <w:rPr>
          <w:rFonts w:asciiTheme="minorHAnsi" w:hAnsiTheme="minorHAnsi" w:cstheme="minorHAnsi"/>
          <w:color w:val="auto"/>
        </w:rPr>
        <w:t>a number of</w:t>
      </w:r>
      <w:proofErr w:type="gramEnd"/>
      <w:r w:rsidRPr="00817A38">
        <w:rPr>
          <w:rFonts w:asciiTheme="minorHAnsi" w:hAnsiTheme="minorHAnsi" w:cstheme="minorHAnsi"/>
          <w:color w:val="auto"/>
        </w:rPr>
        <w:t xml:space="preserve"> critical steps for the success of this procedure. First, ensure that the correct viral titer is used because if the viral titer is too low, cultures will not form aggregates. Second, make sure that NSC cultures are properly maintained and do not exceed ~80% confluence. Overgrowth of NSCs will cause premature differentiation. Last, wait a full </w:t>
      </w:r>
      <w:r w:rsidR="001245F3">
        <w:rPr>
          <w:rFonts w:asciiTheme="minorHAnsi" w:hAnsiTheme="minorHAnsi" w:cstheme="minorHAnsi"/>
          <w:color w:val="auto"/>
        </w:rPr>
        <w:t>4</w:t>
      </w:r>
      <w:r w:rsidRPr="00817A38">
        <w:rPr>
          <w:rFonts w:asciiTheme="minorHAnsi" w:hAnsiTheme="minorHAnsi" w:cstheme="minorHAnsi"/>
          <w:color w:val="auto"/>
        </w:rPr>
        <w:t xml:space="preserve"> weeks for neuronal cultures to differentiate after withdrawing </w:t>
      </w:r>
      <w:r w:rsidR="001245F3">
        <w:rPr>
          <w:rFonts w:asciiTheme="minorHAnsi" w:hAnsiTheme="minorHAnsi" w:cstheme="minorHAnsi"/>
          <w:color w:val="auto"/>
        </w:rPr>
        <w:t xml:space="preserve">the </w:t>
      </w:r>
      <w:proofErr w:type="spellStart"/>
      <w:r w:rsidRPr="00817A38">
        <w:rPr>
          <w:rFonts w:asciiTheme="minorHAnsi" w:hAnsiTheme="minorHAnsi" w:cstheme="minorHAnsi"/>
          <w:color w:val="auto"/>
        </w:rPr>
        <w:t>bFGF</w:t>
      </w:r>
      <w:proofErr w:type="spellEnd"/>
      <w:r w:rsidRPr="00817A38">
        <w:rPr>
          <w:rFonts w:asciiTheme="minorHAnsi" w:hAnsiTheme="minorHAnsi" w:cstheme="minorHAnsi"/>
          <w:color w:val="auto"/>
        </w:rPr>
        <w:t xml:space="preserve"> </w:t>
      </w:r>
      <w:r w:rsidR="001245F3">
        <w:rPr>
          <w:rFonts w:asciiTheme="minorHAnsi" w:hAnsiTheme="minorHAnsi" w:cstheme="minorHAnsi"/>
          <w:color w:val="auto"/>
        </w:rPr>
        <w:t xml:space="preserve">media </w:t>
      </w:r>
      <w:r w:rsidRPr="00817A38">
        <w:rPr>
          <w:rFonts w:asciiTheme="minorHAnsi" w:hAnsiTheme="minorHAnsi" w:cstheme="minorHAnsi"/>
          <w:color w:val="auto"/>
        </w:rPr>
        <w:t xml:space="preserve">from </w:t>
      </w:r>
      <w:r w:rsidR="001245F3">
        <w:rPr>
          <w:rFonts w:asciiTheme="minorHAnsi" w:hAnsiTheme="minorHAnsi" w:cstheme="minorHAnsi"/>
          <w:color w:val="auto"/>
        </w:rPr>
        <w:t xml:space="preserve">the </w:t>
      </w:r>
      <w:r w:rsidRPr="00817A38">
        <w:rPr>
          <w:rFonts w:asciiTheme="minorHAnsi" w:hAnsiTheme="minorHAnsi" w:cstheme="minorHAnsi"/>
          <w:color w:val="auto"/>
        </w:rPr>
        <w:t xml:space="preserve">NSCs. This duration is necessary to ensure maturation of </w:t>
      </w:r>
      <w:r w:rsidR="001245F3">
        <w:rPr>
          <w:rFonts w:asciiTheme="minorHAnsi" w:hAnsiTheme="minorHAnsi" w:cstheme="minorHAnsi"/>
          <w:color w:val="auto"/>
        </w:rPr>
        <w:t xml:space="preserve">the </w:t>
      </w:r>
      <w:r w:rsidRPr="00817A38">
        <w:rPr>
          <w:rFonts w:asciiTheme="minorHAnsi" w:hAnsiTheme="minorHAnsi" w:cstheme="minorHAnsi"/>
          <w:color w:val="auto"/>
        </w:rPr>
        <w:t xml:space="preserve">neurons. </w:t>
      </w:r>
    </w:p>
    <w:p w14:paraId="05A64A77" w14:textId="77777777" w:rsidR="00E8305F" w:rsidRPr="00817A38" w:rsidRDefault="00E8305F" w:rsidP="00817A38">
      <w:pPr>
        <w:rPr>
          <w:rFonts w:asciiTheme="minorHAnsi" w:hAnsiTheme="minorHAnsi" w:cstheme="minorHAnsi"/>
          <w:color w:val="auto"/>
        </w:rPr>
      </w:pPr>
    </w:p>
    <w:p w14:paraId="578362EA" w14:textId="5599B8FF" w:rsidR="00E8305F" w:rsidRPr="00817A38" w:rsidRDefault="00691DBF" w:rsidP="00817A38">
      <w:pPr>
        <w:rPr>
          <w:rFonts w:asciiTheme="minorHAnsi" w:hAnsiTheme="minorHAnsi" w:cstheme="minorHAnsi"/>
          <w:color w:val="auto"/>
        </w:rPr>
      </w:pPr>
      <w:r w:rsidRPr="00817A38">
        <w:rPr>
          <w:rFonts w:asciiTheme="minorHAnsi" w:hAnsiTheme="minorHAnsi" w:cstheme="minorHAnsi"/>
          <w:color w:val="auto"/>
        </w:rPr>
        <w:t xml:space="preserve">Although the procedure described above is an efficient method for producing an in vitro tauopathy model, there are some limitations associated with this protocol. First, as described previously, this method produces NFTs in human </w:t>
      </w:r>
      <w:r w:rsidR="001F7F56">
        <w:rPr>
          <w:rFonts w:asciiTheme="minorHAnsi" w:hAnsiTheme="minorHAnsi" w:cstheme="minorHAnsi"/>
          <w:color w:val="auto"/>
        </w:rPr>
        <w:t>induced pluripotent stem cell</w:t>
      </w:r>
      <w:r w:rsidRPr="00817A38">
        <w:rPr>
          <w:rFonts w:asciiTheme="minorHAnsi" w:hAnsiTheme="minorHAnsi" w:cstheme="minorHAnsi"/>
          <w:color w:val="auto"/>
        </w:rPr>
        <w:t>-derived neurons but not in rat embryonic (E18)</w:t>
      </w:r>
      <w:r w:rsidR="001F7F56">
        <w:rPr>
          <w:rFonts w:asciiTheme="minorHAnsi" w:hAnsiTheme="minorHAnsi" w:cstheme="minorHAnsi"/>
          <w:color w:val="auto"/>
        </w:rPr>
        <w:t>-</w:t>
      </w:r>
      <w:r w:rsidRPr="00817A38">
        <w:rPr>
          <w:rFonts w:asciiTheme="minorHAnsi" w:hAnsiTheme="minorHAnsi" w:cstheme="minorHAnsi"/>
          <w:color w:val="auto"/>
        </w:rPr>
        <w:t>derived neurons. Even after using three times more virus to transduce rat neurons than was used for human neurons, rodent cell cultures remained negative for thioflavin staining</w:t>
      </w:r>
      <w:r w:rsidR="001F7F56">
        <w:rPr>
          <w:rFonts w:asciiTheme="minorHAnsi" w:hAnsiTheme="minorHAnsi" w:cstheme="minorHAnsi"/>
          <w:color w:val="auto"/>
        </w:rPr>
        <w:t>,</w:t>
      </w:r>
      <w:r w:rsidRPr="00817A38">
        <w:rPr>
          <w:rFonts w:asciiTheme="minorHAnsi" w:hAnsiTheme="minorHAnsi" w:cstheme="minorHAnsi"/>
          <w:color w:val="auto"/>
        </w:rPr>
        <w:t xml:space="preserve"> which suggests that this method cannot be adapted for rodent cultures. The differences between transduced mouse cells and human neurons may be due to the increased propensity of human tau toward aggregation</w:t>
      </w:r>
      <w:r w:rsidRPr="00817A38">
        <w:rPr>
          <w:rFonts w:asciiTheme="minorHAnsi" w:hAnsiTheme="minorHAnsi" w:cstheme="minorHAnsi"/>
          <w:noProof/>
          <w:color w:val="auto"/>
          <w:vertAlign w:val="superscript"/>
        </w:rPr>
        <w:t>13</w:t>
      </w:r>
      <w:r w:rsidRPr="00817A38">
        <w:rPr>
          <w:rFonts w:asciiTheme="minorHAnsi" w:hAnsiTheme="minorHAnsi" w:cstheme="minorHAnsi"/>
          <w:color w:val="auto"/>
        </w:rPr>
        <w:t xml:space="preserve">. </w:t>
      </w:r>
      <w:bookmarkStart w:id="5" w:name="_Hlk536536630"/>
      <w:r w:rsidRPr="00817A38">
        <w:rPr>
          <w:rFonts w:asciiTheme="minorHAnsi" w:hAnsiTheme="minorHAnsi" w:cstheme="minorHAnsi"/>
          <w:color w:val="auto"/>
        </w:rPr>
        <w:t>The second limitation of this procedure is that although tau aggregates are formed in cultures, changes in tau phosphorylation between Tau-RDLM</w:t>
      </w:r>
      <w:r w:rsidR="001F7F56">
        <w:rPr>
          <w:rFonts w:asciiTheme="minorHAnsi" w:hAnsiTheme="minorHAnsi" w:cstheme="minorHAnsi"/>
          <w:color w:val="auto"/>
        </w:rPr>
        <w:t>-</w:t>
      </w:r>
      <w:r w:rsidRPr="00817A38">
        <w:rPr>
          <w:rFonts w:asciiTheme="minorHAnsi" w:hAnsiTheme="minorHAnsi" w:cstheme="minorHAnsi"/>
          <w:color w:val="auto"/>
        </w:rPr>
        <w:t>transduced cells and Tau-</w:t>
      </w:r>
      <w:proofErr w:type="spellStart"/>
      <w:r w:rsidRPr="00817A38">
        <w:rPr>
          <w:rFonts w:asciiTheme="minorHAnsi" w:hAnsiTheme="minorHAnsi" w:cstheme="minorHAnsi"/>
          <w:color w:val="auto"/>
        </w:rPr>
        <w:t>Wt</w:t>
      </w:r>
      <w:proofErr w:type="spellEnd"/>
      <w:r w:rsidRPr="00817A38">
        <w:rPr>
          <w:rFonts w:asciiTheme="minorHAnsi" w:hAnsiTheme="minorHAnsi" w:cstheme="minorHAnsi"/>
          <w:color w:val="auto"/>
        </w:rPr>
        <w:t>-YFP</w:t>
      </w:r>
      <w:r w:rsidR="001F7F56">
        <w:rPr>
          <w:rFonts w:asciiTheme="minorHAnsi" w:hAnsiTheme="minorHAnsi" w:cstheme="minorHAnsi"/>
          <w:color w:val="auto"/>
        </w:rPr>
        <w:t>-</w:t>
      </w:r>
      <w:r w:rsidRPr="00817A38">
        <w:rPr>
          <w:rFonts w:asciiTheme="minorHAnsi" w:hAnsiTheme="minorHAnsi" w:cstheme="minorHAnsi"/>
          <w:color w:val="auto"/>
        </w:rPr>
        <w:t xml:space="preserve">transduced cultures were undetectable using </w:t>
      </w:r>
      <w:r w:rsidR="001F7F56">
        <w:rPr>
          <w:rFonts w:asciiTheme="minorHAnsi" w:hAnsiTheme="minorHAnsi" w:cstheme="minorHAnsi"/>
          <w:color w:val="auto"/>
        </w:rPr>
        <w:t xml:space="preserve">protein </w:t>
      </w:r>
      <w:r w:rsidRPr="00817A38">
        <w:rPr>
          <w:rFonts w:asciiTheme="minorHAnsi" w:hAnsiTheme="minorHAnsi" w:cstheme="minorHAnsi"/>
          <w:color w:val="auto"/>
        </w:rPr>
        <w:t xml:space="preserve">PHF-1 (which detects tau phosphorylated at Ser 396/Ser 404) and CP13 antibodies (which detect tau phosphorylated at Ser 202). These findings suggest that tau aggregation in Tau-RDLM-YFP cultures due to P301L and V337M involves a mechanism that is independent of hyperphosphorylation, or the level of endogenous tau phosphorylation is under </w:t>
      </w:r>
      <w:r w:rsidR="001F7F56">
        <w:rPr>
          <w:rFonts w:asciiTheme="minorHAnsi" w:hAnsiTheme="minorHAnsi" w:cstheme="minorHAnsi"/>
          <w:color w:val="auto"/>
        </w:rPr>
        <w:t xml:space="preserve">the </w:t>
      </w:r>
      <w:r w:rsidRPr="00817A38">
        <w:rPr>
          <w:rFonts w:asciiTheme="minorHAnsi" w:hAnsiTheme="minorHAnsi" w:cstheme="minorHAnsi"/>
          <w:color w:val="auto"/>
        </w:rPr>
        <w:t>detectable level by immunoblot.</w:t>
      </w:r>
      <w:r w:rsidR="00045BF1" w:rsidRPr="00817A38">
        <w:rPr>
          <w:rFonts w:asciiTheme="minorHAnsi" w:hAnsiTheme="minorHAnsi" w:cstheme="minorHAnsi"/>
          <w:color w:val="auto"/>
        </w:rPr>
        <w:t xml:space="preserve"> </w:t>
      </w:r>
      <w:r w:rsidRPr="00817A38">
        <w:rPr>
          <w:rFonts w:asciiTheme="minorHAnsi" w:hAnsiTheme="minorHAnsi" w:cstheme="minorHAnsi"/>
          <w:color w:val="auto"/>
        </w:rPr>
        <w:t xml:space="preserve">Because of the lack of differences in PHF-1 and CP13 immunoreactivity between Tau-RDLM-YFP and Tau-Wt-YFP cultures, it is unclear </w:t>
      </w:r>
      <w:proofErr w:type="gramStart"/>
      <w:r w:rsidRPr="00817A38">
        <w:rPr>
          <w:rFonts w:asciiTheme="minorHAnsi" w:hAnsiTheme="minorHAnsi" w:cstheme="minorHAnsi"/>
          <w:color w:val="auto"/>
        </w:rPr>
        <w:t>whether or not</w:t>
      </w:r>
      <w:proofErr w:type="gramEnd"/>
      <w:r w:rsidRPr="00817A38">
        <w:rPr>
          <w:rFonts w:asciiTheme="minorHAnsi" w:hAnsiTheme="minorHAnsi" w:cstheme="minorHAnsi"/>
          <w:color w:val="auto"/>
        </w:rPr>
        <w:t xml:space="preserve"> this model would be useful for studies analyzing the effects of tau kinase/phosphatase activity on pathology. However, both PHF-1 and CP13 antibodies recognize regions outside of the repeat domain harboring the mutations; therefore</w:t>
      </w:r>
      <w:r w:rsidR="001F7F56">
        <w:rPr>
          <w:rFonts w:asciiTheme="minorHAnsi" w:hAnsiTheme="minorHAnsi" w:cstheme="minorHAnsi"/>
          <w:color w:val="auto"/>
        </w:rPr>
        <w:t>,</w:t>
      </w:r>
      <w:r w:rsidRPr="00817A38">
        <w:rPr>
          <w:rFonts w:asciiTheme="minorHAnsi" w:hAnsiTheme="minorHAnsi" w:cstheme="minorHAnsi"/>
          <w:color w:val="auto"/>
        </w:rPr>
        <w:t xml:space="preserve"> additional antibodies raised against various tau phosphorylation sites may be useful for future studies.</w:t>
      </w:r>
      <w:r w:rsidR="00045BF1" w:rsidRPr="00817A38">
        <w:rPr>
          <w:rFonts w:asciiTheme="minorHAnsi" w:hAnsiTheme="minorHAnsi" w:cstheme="minorHAnsi"/>
          <w:color w:val="auto"/>
        </w:rPr>
        <w:t xml:space="preserve"> </w:t>
      </w:r>
    </w:p>
    <w:bookmarkEnd w:id="5"/>
    <w:p w14:paraId="667680E0" w14:textId="77777777" w:rsidR="00E8305F" w:rsidRPr="00817A38" w:rsidRDefault="00E8305F" w:rsidP="00817A38">
      <w:pPr>
        <w:rPr>
          <w:rFonts w:asciiTheme="minorHAnsi" w:hAnsiTheme="minorHAnsi" w:cstheme="minorHAnsi"/>
          <w:color w:val="auto"/>
        </w:rPr>
      </w:pPr>
    </w:p>
    <w:p w14:paraId="6B3AF15B" w14:textId="7368D6C1" w:rsidR="00E8305F" w:rsidRPr="00817A38" w:rsidRDefault="00691DBF" w:rsidP="00817A38">
      <w:pPr>
        <w:rPr>
          <w:rFonts w:asciiTheme="minorHAnsi" w:hAnsiTheme="minorHAnsi" w:cstheme="minorHAnsi"/>
          <w:color w:val="auto"/>
        </w:rPr>
      </w:pPr>
      <w:r w:rsidRPr="00817A38">
        <w:rPr>
          <w:rFonts w:asciiTheme="minorHAnsi" w:hAnsiTheme="minorHAnsi" w:cstheme="minorHAnsi"/>
          <w:color w:val="auto"/>
        </w:rPr>
        <w:t>In addition to cell culture assays, this model may be a valuable tool for studies beyond the cell culture paradigm. For instance, exosomes isolated from the media of transduced cells contain toxic tau species. Exosomes are small secretory vesicles released from nearly every cell type</w:t>
      </w:r>
      <w:r w:rsidR="001F7F56">
        <w:rPr>
          <w:rFonts w:asciiTheme="minorHAnsi" w:hAnsiTheme="minorHAnsi" w:cstheme="minorHAnsi"/>
          <w:color w:val="auto"/>
        </w:rPr>
        <w:t>,</w:t>
      </w:r>
      <w:r w:rsidRPr="00817A38">
        <w:rPr>
          <w:rFonts w:asciiTheme="minorHAnsi" w:hAnsiTheme="minorHAnsi" w:cstheme="minorHAnsi"/>
          <w:color w:val="auto"/>
        </w:rPr>
        <w:t xml:space="preserve"> and exosomes have been implicated in tau propagation</w:t>
      </w:r>
      <w:r w:rsidRPr="00817A38">
        <w:rPr>
          <w:rFonts w:asciiTheme="minorHAnsi" w:hAnsiTheme="minorHAnsi" w:cstheme="minorHAnsi"/>
          <w:noProof/>
          <w:color w:val="auto"/>
          <w:vertAlign w:val="superscript"/>
        </w:rPr>
        <w:t>14</w:t>
      </w:r>
      <w:r w:rsidRPr="00817A38">
        <w:rPr>
          <w:rFonts w:asciiTheme="minorHAnsi" w:hAnsiTheme="minorHAnsi" w:cstheme="minorHAnsi"/>
          <w:color w:val="auto"/>
        </w:rPr>
        <w:t xml:space="preserve">. Tau-RDLM neuronal exosomes contain human tau which </w:t>
      </w:r>
      <w:r w:rsidR="001F7F56">
        <w:rPr>
          <w:rFonts w:asciiTheme="minorHAnsi" w:hAnsiTheme="minorHAnsi" w:cstheme="minorHAnsi"/>
          <w:color w:val="auto"/>
        </w:rPr>
        <w:t>is</w:t>
      </w:r>
      <w:r w:rsidRPr="00817A38">
        <w:rPr>
          <w:rFonts w:asciiTheme="minorHAnsi" w:hAnsiTheme="minorHAnsi" w:cstheme="minorHAnsi"/>
          <w:color w:val="auto"/>
        </w:rPr>
        <w:t xml:space="preserve"> detectable by </w:t>
      </w:r>
      <w:r w:rsidR="001F7F56">
        <w:rPr>
          <w:rFonts w:asciiTheme="minorHAnsi" w:hAnsiTheme="minorHAnsi" w:cstheme="minorHAnsi"/>
          <w:color w:val="auto"/>
        </w:rPr>
        <w:t>w</w:t>
      </w:r>
      <w:r w:rsidRPr="00817A38">
        <w:rPr>
          <w:rFonts w:asciiTheme="minorHAnsi" w:hAnsiTheme="minorHAnsi" w:cstheme="minorHAnsi"/>
          <w:color w:val="auto"/>
        </w:rPr>
        <w:t>estern blot</w:t>
      </w:r>
      <w:r w:rsidRPr="00817A38">
        <w:rPr>
          <w:rFonts w:asciiTheme="minorHAnsi" w:hAnsiTheme="minorHAnsi" w:cstheme="minorHAnsi"/>
          <w:noProof/>
          <w:color w:val="auto"/>
          <w:vertAlign w:val="superscript"/>
        </w:rPr>
        <w:t>9</w:t>
      </w:r>
      <w:r w:rsidR="001F7F56" w:rsidRPr="001362CF">
        <w:rPr>
          <w:rFonts w:asciiTheme="minorHAnsi" w:hAnsiTheme="minorHAnsi" w:cstheme="minorHAnsi"/>
          <w:noProof/>
          <w:color w:val="auto"/>
        </w:rPr>
        <w:t>,</w:t>
      </w:r>
      <w:r w:rsidRPr="00817A38">
        <w:rPr>
          <w:rFonts w:asciiTheme="minorHAnsi" w:hAnsiTheme="minorHAnsi" w:cstheme="minorHAnsi"/>
          <w:color w:val="auto"/>
        </w:rPr>
        <w:t xml:space="preserve"> and these exosomes are </w:t>
      </w:r>
      <w:proofErr w:type="gramStart"/>
      <w:r w:rsidRPr="00817A38">
        <w:rPr>
          <w:rFonts w:asciiTheme="minorHAnsi" w:hAnsiTheme="minorHAnsi" w:cstheme="minorHAnsi"/>
          <w:color w:val="auto"/>
        </w:rPr>
        <w:t>sufficient</w:t>
      </w:r>
      <w:proofErr w:type="gramEnd"/>
      <w:r w:rsidRPr="00817A38">
        <w:rPr>
          <w:rFonts w:asciiTheme="minorHAnsi" w:hAnsiTheme="minorHAnsi" w:cstheme="minorHAnsi"/>
          <w:color w:val="auto"/>
        </w:rPr>
        <w:t xml:space="preserve"> to produce tau inclusions in the naïve mouse brain. </w:t>
      </w:r>
      <w:bookmarkStart w:id="6" w:name="_Hlk536538571"/>
      <w:r w:rsidRPr="00817A38">
        <w:rPr>
          <w:rFonts w:asciiTheme="minorHAnsi" w:hAnsiTheme="minorHAnsi" w:cstheme="minorHAnsi"/>
          <w:color w:val="auto"/>
        </w:rPr>
        <w:t xml:space="preserve">These inclusions are immunoreactive for antibodies specific for human tau (K9JA), but it is unclear </w:t>
      </w:r>
      <w:proofErr w:type="gramStart"/>
      <w:r w:rsidRPr="00817A38">
        <w:rPr>
          <w:rFonts w:asciiTheme="minorHAnsi" w:hAnsiTheme="minorHAnsi" w:cstheme="minorHAnsi"/>
          <w:color w:val="auto"/>
        </w:rPr>
        <w:t>whether or not</w:t>
      </w:r>
      <w:proofErr w:type="gramEnd"/>
      <w:r w:rsidRPr="00817A38">
        <w:rPr>
          <w:rFonts w:asciiTheme="minorHAnsi" w:hAnsiTheme="minorHAnsi" w:cstheme="minorHAnsi"/>
          <w:color w:val="auto"/>
        </w:rPr>
        <w:t xml:space="preserve"> the inclusions include aggregated mouse tau. The finding </w:t>
      </w:r>
      <w:r w:rsidR="001F7F56">
        <w:rPr>
          <w:rFonts w:asciiTheme="minorHAnsi" w:hAnsiTheme="minorHAnsi" w:cstheme="minorHAnsi"/>
          <w:color w:val="auto"/>
        </w:rPr>
        <w:t xml:space="preserve">described here </w:t>
      </w:r>
      <w:r w:rsidRPr="00817A38">
        <w:rPr>
          <w:rFonts w:asciiTheme="minorHAnsi" w:hAnsiTheme="minorHAnsi" w:cstheme="minorHAnsi"/>
          <w:color w:val="auto"/>
        </w:rPr>
        <w:t>that the procedure does not produce thioflavin</w:t>
      </w:r>
      <w:r w:rsidR="001F7F56">
        <w:rPr>
          <w:rFonts w:asciiTheme="minorHAnsi" w:hAnsiTheme="minorHAnsi" w:cstheme="minorHAnsi"/>
          <w:color w:val="auto"/>
        </w:rPr>
        <w:t>-</w:t>
      </w:r>
      <w:r w:rsidRPr="00817A38">
        <w:rPr>
          <w:rFonts w:asciiTheme="minorHAnsi" w:hAnsiTheme="minorHAnsi" w:cstheme="minorHAnsi"/>
          <w:color w:val="auto"/>
        </w:rPr>
        <w:t xml:space="preserve">positive staining aggregates in rodent neurons suggests that the inclusions observed in the mouse brain are composed entirely of human tau, although future studies are required to confirm the composition of in vivo deposits. </w:t>
      </w:r>
      <w:bookmarkEnd w:id="6"/>
    </w:p>
    <w:p w14:paraId="4F4A240C" w14:textId="77777777" w:rsidR="00E8305F" w:rsidRPr="00817A38" w:rsidRDefault="00E8305F" w:rsidP="00817A38">
      <w:pPr>
        <w:rPr>
          <w:rFonts w:asciiTheme="minorHAnsi" w:hAnsiTheme="minorHAnsi" w:cstheme="minorHAnsi"/>
          <w:color w:val="auto"/>
        </w:rPr>
      </w:pPr>
    </w:p>
    <w:p w14:paraId="6A55C117" w14:textId="55E305BD" w:rsidR="00E8305F" w:rsidRPr="00817A38" w:rsidRDefault="00691DBF" w:rsidP="00817A38">
      <w:pPr>
        <w:rPr>
          <w:rFonts w:asciiTheme="minorHAnsi" w:hAnsiTheme="minorHAnsi" w:cstheme="minorHAnsi"/>
          <w:color w:val="auto"/>
        </w:rPr>
      </w:pPr>
      <w:r w:rsidRPr="00817A38">
        <w:rPr>
          <w:rFonts w:asciiTheme="minorHAnsi" w:hAnsiTheme="minorHAnsi" w:cstheme="minorHAnsi"/>
          <w:color w:val="auto"/>
        </w:rPr>
        <w:t xml:space="preserve">Given the apparent role of exosome-derived tau in tauopathies, the model described here may be </w:t>
      </w:r>
      <w:r w:rsidR="001F7F56">
        <w:rPr>
          <w:rFonts w:asciiTheme="minorHAnsi" w:hAnsiTheme="minorHAnsi" w:cstheme="minorHAnsi"/>
          <w:color w:val="auto"/>
        </w:rPr>
        <w:t xml:space="preserve">a </w:t>
      </w:r>
      <w:r w:rsidRPr="00817A38">
        <w:rPr>
          <w:rFonts w:asciiTheme="minorHAnsi" w:hAnsiTheme="minorHAnsi" w:cstheme="minorHAnsi"/>
          <w:color w:val="auto"/>
        </w:rPr>
        <w:t xml:space="preserve">useful resource for examining the role of </w:t>
      </w:r>
      <w:r w:rsidR="00A55BC3">
        <w:rPr>
          <w:rFonts w:asciiTheme="minorHAnsi" w:hAnsiTheme="minorHAnsi" w:cstheme="minorHAnsi"/>
          <w:color w:val="auto"/>
        </w:rPr>
        <w:t xml:space="preserve">the </w:t>
      </w:r>
      <w:r w:rsidRPr="00817A38">
        <w:rPr>
          <w:rFonts w:asciiTheme="minorHAnsi" w:hAnsiTheme="minorHAnsi" w:cstheme="minorHAnsi"/>
          <w:color w:val="auto"/>
        </w:rPr>
        <w:t xml:space="preserve">exosome in mediating tau-induced neurodegeneration. In </w:t>
      </w:r>
      <w:r w:rsidR="001F7F56">
        <w:rPr>
          <w:rFonts w:asciiTheme="minorHAnsi" w:hAnsiTheme="minorHAnsi" w:cstheme="minorHAnsi"/>
          <w:color w:val="auto"/>
        </w:rPr>
        <w:t>conclusion</w:t>
      </w:r>
      <w:r w:rsidRPr="00817A38">
        <w:rPr>
          <w:rFonts w:asciiTheme="minorHAnsi" w:hAnsiTheme="minorHAnsi" w:cstheme="minorHAnsi"/>
          <w:color w:val="auto"/>
        </w:rPr>
        <w:t>, this procedure produces an in vitro model of human tauopathy that has significant advantages over transgenic mouse neuronal systems and can be employed for a variety of preclinical analyses.</w:t>
      </w:r>
    </w:p>
    <w:p w14:paraId="76DD7C4C" w14:textId="77777777" w:rsidR="00E8305F" w:rsidRPr="00817A38" w:rsidRDefault="00E8305F" w:rsidP="00817A38">
      <w:pPr>
        <w:rPr>
          <w:rFonts w:asciiTheme="minorHAnsi" w:hAnsiTheme="minorHAnsi" w:cstheme="minorHAnsi"/>
          <w:color w:val="auto"/>
        </w:rPr>
      </w:pPr>
    </w:p>
    <w:p w14:paraId="29F673DC" w14:textId="77777777" w:rsidR="00E8305F" w:rsidRPr="00817A38" w:rsidRDefault="00691DBF" w:rsidP="00817A38">
      <w:pPr>
        <w:rPr>
          <w:rFonts w:asciiTheme="minorHAnsi" w:hAnsiTheme="minorHAnsi" w:cstheme="minorHAnsi"/>
          <w:b/>
          <w:color w:val="auto"/>
        </w:rPr>
      </w:pPr>
      <w:r w:rsidRPr="00817A38">
        <w:rPr>
          <w:rFonts w:asciiTheme="minorHAnsi" w:hAnsiTheme="minorHAnsi" w:cstheme="minorHAnsi"/>
          <w:b/>
          <w:color w:val="auto"/>
        </w:rPr>
        <w:t>ACKNOWLEDGMENTS:</w:t>
      </w:r>
    </w:p>
    <w:p w14:paraId="6EC78953" w14:textId="5DF945B7" w:rsidR="00E8305F" w:rsidRPr="00817A38" w:rsidRDefault="00691DBF" w:rsidP="00817A38">
      <w:pPr>
        <w:rPr>
          <w:rFonts w:asciiTheme="minorHAnsi" w:hAnsiTheme="minorHAnsi" w:cstheme="minorHAnsi"/>
          <w:color w:val="auto"/>
        </w:rPr>
      </w:pPr>
      <w:r w:rsidRPr="00817A38">
        <w:rPr>
          <w:rFonts w:asciiTheme="minorHAnsi" w:hAnsiTheme="minorHAnsi" w:cstheme="minorHAnsi"/>
          <w:color w:val="auto"/>
        </w:rPr>
        <w:t xml:space="preserve">The authors would like to thank Dr. Peter Davies at Albert Einstein College of Medicine for supplying PHF-1 and CP13 antibodies and Dr. Marc Diamond at </w:t>
      </w:r>
      <w:r w:rsidR="00116D07">
        <w:rPr>
          <w:rFonts w:asciiTheme="minorHAnsi" w:hAnsiTheme="minorHAnsi" w:cstheme="minorHAnsi"/>
          <w:color w:val="auto"/>
        </w:rPr>
        <w:t xml:space="preserve">the </w:t>
      </w:r>
      <w:r w:rsidRPr="00817A38">
        <w:rPr>
          <w:rFonts w:asciiTheme="minorHAnsi" w:hAnsiTheme="minorHAnsi" w:cstheme="minorHAnsi"/>
          <w:color w:val="auto"/>
        </w:rPr>
        <w:t>University of Texas, Southwestern, for providing the tau constructs.</w:t>
      </w:r>
      <w:r w:rsidR="00045BF1" w:rsidRPr="00817A38">
        <w:rPr>
          <w:rFonts w:asciiTheme="minorHAnsi" w:hAnsiTheme="minorHAnsi" w:cstheme="minorHAnsi"/>
          <w:color w:val="auto"/>
        </w:rPr>
        <w:t xml:space="preserve"> </w:t>
      </w:r>
      <w:r w:rsidRPr="00817A38">
        <w:rPr>
          <w:rFonts w:asciiTheme="minorHAnsi" w:hAnsiTheme="minorHAnsi" w:cstheme="minorHAnsi"/>
          <w:color w:val="auto"/>
        </w:rPr>
        <w:t>This work was supported by grants from the Alzheimer’s Association (NIRG-14-322164) to S</w:t>
      </w:r>
      <w:r w:rsidR="00116D07">
        <w:rPr>
          <w:rFonts w:asciiTheme="minorHAnsi" w:hAnsiTheme="minorHAnsi" w:cstheme="minorHAnsi"/>
          <w:color w:val="auto"/>
        </w:rPr>
        <w:t>.</w:t>
      </w:r>
      <w:r w:rsidRPr="00817A38">
        <w:rPr>
          <w:rFonts w:asciiTheme="minorHAnsi" w:hAnsiTheme="minorHAnsi" w:cstheme="minorHAnsi"/>
          <w:color w:val="auto"/>
        </w:rPr>
        <w:t>H</w:t>
      </w:r>
      <w:r w:rsidR="00116D07">
        <w:rPr>
          <w:rFonts w:asciiTheme="minorHAnsi" w:hAnsiTheme="minorHAnsi" w:cstheme="minorHAnsi"/>
          <w:color w:val="auto"/>
        </w:rPr>
        <w:t>.</w:t>
      </w:r>
      <w:r w:rsidRPr="00817A38">
        <w:rPr>
          <w:rFonts w:asciiTheme="minorHAnsi" w:hAnsiTheme="minorHAnsi" w:cstheme="minorHAnsi"/>
          <w:color w:val="auto"/>
        </w:rPr>
        <w:t>Y</w:t>
      </w:r>
      <w:r w:rsidR="00116D07">
        <w:rPr>
          <w:rFonts w:asciiTheme="minorHAnsi" w:hAnsiTheme="minorHAnsi" w:cstheme="minorHAnsi"/>
          <w:color w:val="auto"/>
        </w:rPr>
        <w:t>.</w:t>
      </w:r>
      <w:r w:rsidRPr="00817A38">
        <w:rPr>
          <w:rFonts w:asciiTheme="minorHAnsi" w:hAnsiTheme="minorHAnsi" w:cstheme="minorHAnsi"/>
          <w:color w:val="auto"/>
        </w:rPr>
        <w:t xml:space="preserve"> and </w:t>
      </w:r>
      <w:r w:rsidR="00116D07">
        <w:rPr>
          <w:rFonts w:asciiTheme="minorHAnsi" w:hAnsiTheme="minorHAnsi" w:cstheme="minorHAnsi"/>
          <w:color w:val="auto"/>
        </w:rPr>
        <w:t xml:space="preserve">from the </w:t>
      </w:r>
      <w:r w:rsidRPr="00817A38">
        <w:rPr>
          <w:rFonts w:asciiTheme="minorHAnsi" w:hAnsiTheme="minorHAnsi" w:cstheme="minorHAnsi"/>
          <w:color w:val="auto"/>
        </w:rPr>
        <w:t>California Institute for Regenerative Medicine (TB1-01193) to P</w:t>
      </w:r>
      <w:r w:rsidR="00116D07">
        <w:rPr>
          <w:rFonts w:asciiTheme="minorHAnsi" w:hAnsiTheme="minorHAnsi" w:cstheme="minorHAnsi"/>
          <w:color w:val="auto"/>
        </w:rPr>
        <w:t>.</w:t>
      </w:r>
      <w:r w:rsidRPr="00817A38">
        <w:rPr>
          <w:rFonts w:asciiTheme="minorHAnsi" w:hAnsiTheme="minorHAnsi" w:cstheme="minorHAnsi"/>
          <w:color w:val="auto"/>
        </w:rPr>
        <w:t>R.</w:t>
      </w:r>
    </w:p>
    <w:p w14:paraId="77EC1D26" w14:textId="77777777" w:rsidR="00E8305F" w:rsidRPr="00817A38" w:rsidRDefault="00E8305F" w:rsidP="00817A38">
      <w:pPr>
        <w:rPr>
          <w:rFonts w:asciiTheme="minorHAnsi" w:hAnsiTheme="minorHAnsi" w:cstheme="minorHAnsi"/>
          <w:b/>
          <w:color w:val="auto"/>
        </w:rPr>
      </w:pPr>
    </w:p>
    <w:p w14:paraId="38273F81" w14:textId="77777777" w:rsidR="00E8305F" w:rsidRPr="00817A38" w:rsidRDefault="00691DBF" w:rsidP="00817A38">
      <w:pPr>
        <w:rPr>
          <w:rFonts w:asciiTheme="minorHAnsi" w:hAnsiTheme="minorHAnsi" w:cstheme="minorHAnsi"/>
          <w:b/>
          <w:color w:val="auto"/>
        </w:rPr>
      </w:pPr>
      <w:r w:rsidRPr="00817A38">
        <w:rPr>
          <w:rFonts w:asciiTheme="minorHAnsi" w:hAnsiTheme="minorHAnsi" w:cstheme="minorHAnsi"/>
          <w:b/>
          <w:color w:val="auto"/>
        </w:rPr>
        <w:t>DISCLOSURES:</w:t>
      </w:r>
    </w:p>
    <w:p w14:paraId="54BC05B6" w14:textId="3EF45DD7" w:rsidR="00E8305F" w:rsidRPr="00817A38" w:rsidRDefault="00691DBF" w:rsidP="00817A38">
      <w:pPr>
        <w:rPr>
          <w:rFonts w:asciiTheme="minorHAnsi" w:hAnsiTheme="minorHAnsi" w:cstheme="minorHAnsi"/>
          <w:color w:val="auto"/>
        </w:rPr>
      </w:pPr>
      <w:r w:rsidRPr="00817A38">
        <w:rPr>
          <w:rFonts w:asciiTheme="minorHAnsi" w:hAnsiTheme="minorHAnsi" w:cstheme="minorHAnsi"/>
          <w:color w:val="auto"/>
        </w:rPr>
        <w:t xml:space="preserve">The authors </w:t>
      </w:r>
      <w:r w:rsidR="00116D07">
        <w:rPr>
          <w:rFonts w:asciiTheme="minorHAnsi" w:hAnsiTheme="minorHAnsi" w:cstheme="minorHAnsi"/>
          <w:color w:val="auto"/>
        </w:rPr>
        <w:t>have nothing to disclose</w:t>
      </w:r>
      <w:r w:rsidRPr="00817A38">
        <w:rPr>
          <w:rFonts w:asciiTheme="minorHAnsi" w:hAnsiTheme="minorHAnsi" w:cstheme="minorHAnsi"/>
          <w:color w:val="auto"/>
        </w:rPr>
        <w:t>.</w:t>
      </w:r>
    </w:p>
    <w:p w14:paraId="4C340CC1" w14:textId="77777777" w:rsidR="00E8305F" w:rsidRPr="00817A38" w:rsidRDefault="00E8305F" w:rsidP="00817A38">
      <w:pPr>
        <w:rPr>
          <w:rFonts w:asciiTheme="minorHAnsi" w:hAnsiTheme="minorHAnsi" w:cstheme="minorHAnsi"/>
          <w:b/>
          <w:color w:val="auto"/>
        </w:rPr>
      </w:pPr>
    </w:p>
    <w:p w14:paraId="03DA28B3" w14:textId="77777777" w:rsidR="00E8305F" w:rsidRPr="00817A38" w:rsidRDefault="00691DBF" w:rsidP="00817A38">
      <w:pPr>
        <w:rPr>
          <w:rFonts w:asciiTheme="minorHAnsi" w:hAnsiTheme="minorHAnsi" w:cstheme="minorHAnsi"/>
          <w:b/>
          <w:color w:val="auto"/>
        </w:rPr>
      </w:pPr>
      <w:r w:rsidRPr="00817A38">
        <w:rPr>
          <w:rFonts w:asciiTheme="minorHAnsi" w:hAnsiTheme="minorHAnsi" w:cstheme="minorHAnsi"/>
          <w:b/>
          <w:color w:val="auto"/>
        </w:rPr>
        <w:t>REFERENCES:</w:t>
      </w:r>
    </w:p>
    <w:p w14:paraId="635813AC" w14:textId="5176B6C5" w:rsidR="00E8305F" w:rsidRPr="00817A38" w:rsidRDefault="00691DBF" w:rsidP="001362CF">
      <w:pPr>
        <w:pStyle w:val="EndNoteBibliography"/>
        <w:rPr>
          <w:color w:val="auto"/>
        </w:rPr>
      </w:pPr>
      <w:r w:rsidRPr="00817A38">
        <w:rPr>
          <w:color w:val="auto"/>
        </w:rPr>
        <w:t>1</w:t>
      </w:r>
      <w:r w:rsidR="00116D07">
        <w:rPr>
          <w:color w:val="auto"/>
        </w:rPr>
        <w:t xml:space="preserve">. </w:t>
      </w:r>
      <w:r w:rsidRPr="00817A38">
        <w:rPr>
          <w:color w:val="auto"/>
        </w:rPr>
        <w:t>Rojas, J. C.</w:t>
      </w:r>
      <w:r w:rsidR="00C7516F">
        <w:rPr>
          <w:color w:val="auto"/>
        </w:rPr>
        <w:t>,</w:t>
      </w:r>
      <w:r w:rsidRPr="00817A38">
        <w:rPr>
          <w:color w:val="auto"/>
        </w:rPr>
        <w:t xml:space="preserve"> Boxer, A. L. Neurodegenerative disease in 2015: Targeting tauopathies for therapeutic translation. </w:t>
      </w:r>
      <w:r w:rsidRPr="00817A38">
        <w:rPr>
          <w:i/>
          <w:color w:val="auto"/>
        </w:rPr>
        <w:t xml:space="preserve">Nature Reviews Neurology. </w:t>
      </w:r>
      <w:r w:rsidRPr="00817A38">
        <w:rPr>
          <w:b/>
          <w:color w:val="auto"/>
        </w:rPr>
        <w:t>12</w:t>
      </w:r>
      <w:r w:rsidRPr="00817A38">
        <w:rPr>
          <w:color w:val="auto"/>
        </w:rPr>
        <w:t xml:space="preserve"> (2), 74-76 (2016).</w:t>
      </w:r>
    </w:p>
    <w:p w14:paraId="44F7939D" w14:textId="27677961" w:rsidR="00E8305F" w:rsidRPr="00817A38" w:rsidRDefault="00691DBF" w:rsidP="001362CF">
      <w:pPr>
        <w:pStyle w:val="EndNoteBibliography"/>
        <w:rPr>
          <w:color w:val="auto"/>
        </w:rPr>
      </w:pPr>
      <w:r w:rsidRPr="00817A38">
        <w:rPr>
          <w:color w:val="auto"/>
        </w:rPr>
        <w:t>2</w:t>
      </w:r>
      <w:r w:rsidR="00116D07">
        <w:rPr>
          <w:color w:val="auto"/>
        </w:rPr>
        <w:t xml:space="preserve">. </w:t>
      </w:r>
      <w:r w:rsidRPr="00817A38">
        <w:rPr>
          <w:color w:val="auto"/>
        </w:rPr>
        <w:t>Kadavath, H.</w:t>
      </w:r>
      <w:r w:rsidRPr="00817A38">
        <w:rPr>
          <w:i/>
          <w:color w:val="auto"/>
        </w:rPr>
        <w:t xml:space="preserve"> </w:t>
      </w:r>
      <w:r w:rsidRPr="001362CF">
        <w:rPr>
          <w:color w:val="auto"/>
        </w:rPr>
        <w:t>et al.</w:t>
      </w:r>
      <w:r w:rsidRPr="00817A38">
        <w:rPr>
          <w:color w:val="auto"/>
        </w:rPr>
        <w:t xml:space="preserve"> Tau stabilizes microtubules by binding at the interface between tubulin heterodimers. </w:t>
      </w:r>
      <w:r w:rsidRPr="00817A38">
        <w:rPr>
          <w:i/>
          <w:color w:val="auto"/>
        </w:rPr>
        <w:t xml:space="preserve">Proceedings of the National Academy of Sciences of the United States of America. </w:t>
      </w:r>
      <w:r w:rsidRPr="00817A38">
        <w:rPr>
          <w:b/>
          <w:color w:val="auto"/>
        </w:rPr>
        <w:t>112</w:t>
      </w:r>
      <w:r w:rsidRPr="00817A38">
        <w:rPr>
          <w:color w:val="auto"/>
        </w:rPr>
        <w:t xml:space="preserve"> (24), 7501-7506 (2015).</w:t>
      </w:r>
    </w:p>
    <w:p w14:paraId="68E6B79D" w14:textId="3E837C25" w:rsidR="00E8305F" w:rsidRPr="00817A38" w:rsidRDefault="00691DBF" w:rsidP="001362CF">
      <w:pPr>
        <w:pStyle w:val="EndNoteBibliography"/>
        <w:rPr>
          <w:color w:val="auto"/>
        </w:rPr>
      </w:pPr>
      <w:r w:rsidRPr="00817A38">
        <w:rPr>
          <w:color w:val="auto"/>
        </w:rPr>
        <w:t>3</w:t>
      </w:r>
      <w:r w:rsidR="00116D07">
        <w:rPr>
          <w:color w:val="auto"/>
        </w:rPr>
        <w:t xml:space="preserve">. </w:t>
      </w:r>
      <w:r w:rsidRPr="00817A38">
        <w:rPr>
          <w:color w:val="auto"/>
        </w:rPr>
        <w:t>Wang, Y.</w:t>
      </w:r>
      <w:r w:rsidR="00C7516F">
        <w:rPr>
          <w:color w:val="auto"/>
        </w:rPr>
        <w:t>,</w:t>
      </w:r>
      <w:r w:rsidRPr="00817A38">
        <w:rPr>
          <w:color w:val="auto"/>
        </w:rPr>
        <w:t xml:space="preserve"> Mandelkow, E. Tau in physiology and pathology. </w:t>
      </w:r>
      <w:r w:rsidRPr="00817A38">
        <w:rPr>
          <w:i/>
          <w:color w:val="auto"/>
        </w:rPr>
        <w:t>Nature Reviews Neurology.</w:t>
      </w:r>
      <w:r w:rsidRPr="00817A38">
        <w:rPr>
          <w:color w:val="auto"/>
        </w:rPr>
        <w:t xml:space="preserve"> </w:t>
      </w:r>
      <w:r w:rsidRPr="00817A38">
        <w:rPr>
          <w:b/>
          <w:color w:val="auto"/>
        </w:rPr>
        <w:t>17</w:t>
      </w:r>
      <w:r w:rsidRPr="00817A38">
        <w:rPr>
          <w:color w:val="auto"/>
        </w:rPr>
        <w:t xml:space="preserve"> (1), 5-21 (2016).</w:t>
      </w:r>
    </w:p>
    <w:p w14:paraId="761EEA1C" w14:textId="55D1FCBE" w:rsidR="00E8305F" w:rsidRPr="00817A38" w:rsidRDefault="00691DBF" w:rsidP="001362CF">
      <w:pPr>
        <w:pStyle w:val="EndNoteBibliography"/>
        <w:rPr>
          <w:color w:val="auto"/>
        </w:rPr>
      </w:pPr>
      <w:r w:rsidRPr="00817A38">
        <w:rPr>
          <w:color w:val="auto"/>
        </w:rPr>
        <w:t>4</w:t>
      </w:r>
      <w:r w:rsidR="00116D07">
        <w:rPr>
          <w:color w:val="auto"/>
        </w:rPr>
        <w:t xml:space="preserve">. </w:t>
      </w:r>
      <w:r w:rsidRPr="00817A38">
        <w:rPr>
          <w:color w:val="auto"/>
        </w:rPr>
        <w:t>Gomez-Ramos, A.</w:t>
      </w:r>
      <w:r w:rsidRPr="00817A38">
        <w:rPr>
          <w:i/>
          <w:color w:val="auto"/>
        </w:rPr>
        <w:t xml:space="preserve"> </w:t>
      </w:r>
      <w:r w:rsidRPr="001362CF">
        <w:rPr>
          <w:color w:val="auto"/>
        </w:rPr>
        <w:t>et al.</w:t>
      </w:r>
      <w:r w:rsidRPr="00817A38">
        <w:rPr>
          <w:color w:val="auto"/>
        </w:rPr>
        <w:t xml:space="preserve"> Characteristics and consequences of muscarinic receptor activation by tau protein. </w:t>
      </w:r>
      <w:r w:rsidRPr="00817A38">
        <w:rPr>
          <w:i/>
          <w:color w:val="auto"/>
        </w:rPr>
        <w:t xml:space="preserve">European Neuropsychopharmacology. </w:t>
      </w:r>
      <w:r w:rsidRPr="00817A38">
        <w:rPr>
          <w:b/>
          <w:color w:val="auto"/>
        </w:rPr>
        <w:t>19</w:t>
      </w:r>
      <w:r w:rsidRPr="00817A38">
        <w:rPr>
          <w:color w:val="auto"/>
        </w:rPr>
        <w:t xml:space="preserve"> (10), 708-717 (2009).</w:t>
      </w:r>
    </w:p>
    <w:p w14:paraId="1B08197A" w14:textId="0B5572C9" w:rsidR="00E8305F" w:rsidRPr="00817A38" w:rsidRDefault="00691DBF" w:rsidP="001362CF">
      <w:pPr>
        <w:pStyle w:val="EndNoteBibliography"/>
        <w:rPr>
          <w:color w:val="auto"/>
        </w:rPr>
      </w:pPr>
      <w:r w:rsidRPr="00817A38">
        <w:rPr>
          <w:color w:val="auto"/>
        </w:rPr>
        <w:t>5</w:t>
      </w:r>
      <w:r w:rsidR="00116D07">
        <w:rPr>
          <w:color w:val="auto"/>
        </w:rPr>
        <w:t xml:space="preserve">. </w:t>
      </w:r>
      <w:r w:rsidRPr="00817A38">
        <w:rPr>
          <w:color w:val="auto"/>
        </w:rPr>
        <w:t>Warmus, B. A.</w:t>
      </w:r>
      <w:r w:rsidRPr="00817A38">
        <w:rPr>
          <w:i/>
          <w:color w:val="auto"/>
        </w:rPr>
        <w:t xml:space="preserve"> </w:t>
      </w:r>
      <w:r w:rsidRPr="001362CF">
        <w:rPr>
          <w:color w:val="auto"/>
        </w:rPr>
        <w:t>et al.</w:t>
      </w:r>
      <w:r w:rsidRPr="00817A38">
        <w:rPr>
          <w:color w:val="auto"/>
        </w:rPr>
        <w:t xml:space="preserve"> Tau-mediated NMDA receptor impairment underlies dysfunction of a selectively vulnerable network in a mouse model of frontotemporal dementia. </w:t>
      </w:r>
      <w:r w:rsidRPr="00817A38">
        <w:rPr>
          <w:i/>
          <w:color w:val="auto"/>
        </w:rPr>
        <w:t xml:space="preserve">Journal of Neuroscience. </w:t>
      </w:r>
      <w:r w:rsidRPr="00817A38">
        <w:rPr>
          <w:b/>
          <w:color w:val="auto"/>
        </w:rPr>
        <w:t>34</w:t>
      </w:r>
      <w:r w:rsidRPr="00817A38">
        <w:rPr>
          <w:color w:val="auto"/>
        </w:rPr>
        <w:t xml:space="preserve"> (49), 16482-16495 (2014).</w:t>
      </w:r>
    </w:p>
    <w:p w14:paraId="20C626FA" w14:textId="5CCD34CF" w:rsidR="00E8305F" w:rsidRPr="00817A38" w:rsidRDefault="00691DBF" w:rsidP="001362CF">
      <w:pPr>
        <w:pStyle w:val="EndNoteBibliography"/>
        <w:rPr>
          <w:color w:val="auto"/>
        </w:rPr>
      </w:pPr>
      <w:r w:rsidRPr="00817A38">
        <w:rPr>
          <w:color w:val="auto"/>
        </w:rPr>
        <w:t>6</w:t>
      </w:r>
      <w:r w:rsidR="00116D07">
        <w:rPr>
          <w:color w:val="auto"/>
        </w:rPr>
        <w:t xml:space="preserve">. </w:t>
      </w:r>
      <w:r w:rsidRPr="00817A38">
        <w:rPr>
          <w:color w:val="auto"/>
        </w:rPr>
        <w:t>DeVos, S. L.</w:t>
      </w:r>
      <w:r w:rsidRPr="00817A38">
        <w:rPr>
          <w:i/>
          <w:color w:val="auto"/>
        </w:rPr>
        <w:t xml:space="preserve"> </w:t>
      </w:r>
      <w:r w:rsidRPr="001362CF">
        <w:rPr>
          <w:color w:val="auto"/>
        </w:rPr>
        <w:t>et al.</w:t>
      </w:r>
      <w:r w:rsidRPr="00817A38">
        <w:rPr>
          <w:color w:val="auto"/>
        </w:rPr>
        <w:t xml:space="preserve"> Tau reduction in the presence of amyloid-beta prevents tau pathology and neuronal death in vivo. </w:t>
      </w:r>
      <w:r w:rsidRPr="00817A38">
        <w:rPr>
          <w:i/>
          <w:color w:val="auto"/>
        </w:rPr>
        <w:t>Brain.</w:t>
      </w:r>
      <w:r w:rsidRPr="00817A38">
        <w:rPr>
          <w:color w:val="auto"/>
        </w:rPr>
        <w:t xml:space="preserve"> </w:t>
      </w:r>
      <w:r w:rsidRPr="00817A38">
        <w:rPr>
          <w:b/>
          <w:color w:val="auto"/>
        </w:rPr>
        <w:t>141</w:t>
      </w:r>
      <w:r w:rsidRPr="00817A38">
        <w:rPr>
          <w:color w:val="auto"/>
        </w:rPr>
        <w:t xml:space="preserve"> (7), 2194-2212 (2018).</w:t>
      </w:r>
    </w:p>
    <w:p w14:paraId="6CD20D80" w14:textId="394C3494" w:rsidR="00E8305F" w:rsidRPr="00817A38" w:rsidRDefault="00691DBF" w:rsidP="001362CF">
      <w:pPr>
        <w:pStyle w:val="EndNoteBibliography"/>
        <w:rPr>
          <w:color w:val="auto"/>
        </w:rPr>
      </w:pPr>
      <w:r w:rsidRPr="00817A38">
        <w:rPr>
          <w:color w:val="auto"/>
        </w:rPr>
        <w:t>7</w:t>
      </w:r>
      <w:r w:rsidR="00116D07">
        <w:rPr>
          <w:color w:val="auto"/>
        </w:rPr>
        <w:t xml:space="preserve">. </w:t>
      </w:r>
      <w:r w:rsidRPr="00817A38">
        <w:rPr>
          <w:color w:val="auto"/>
        </w:rPr>
        <w:t>Cheng, J. S</w:t>
      </w:r>
      <w:r w:rsidRPr="00C7516F">
        <w:rPr>
          <w:color w:val="auto"/>
        </w:rPr>
        <w:t>.</w:t>
      </w:r>
      <w:r w:rsidRPr="001362CF">
        <w:rPr>
          <w:color w:val="auto"/>
        </w:rPr>
        <w:t xml:space="preserve"> et al.</w:t>
      </w:r>
      <w:r w:rsidRPr="00817A38">
        <w:rPr>
          <w:color w:val="auto"/>
        </w:rPr>
        <w:t xml:space="preserve"> Tau reduction diminishes spatial learning and memory deficits after mild repetitive traumatic brain injury in mice. </w:t>
      </w:r>
      <w:r w:rsidR="00C7516F">
        <w:rPr>
          <w:i/>
          <w:color w:val="auto"/>
        </w:rPr>
        <w:t>PLOS ONE</w:t>
      </w:r>
      <w:r w:rsidRPr="00817A38">
        <w:rPr>
          <w:i/>
          <w:color w:val="auto"/>
        </w:rPr>
        <w:t>.</w:t>
      </w:r>
      <w:r w:rsidRPr="00817A38">
        <w:rPr>
          <w:color w:val="auto"/>
        </w:rPr>
        <w:t xml:space="preserve"> </w:t>
      </w:r>
      <w:r w:rsidRPr="00817A38">
        <w:rPr>
          <w:b/>
          <w:color w:val="auto"/>
        </w:rPr>
        <w:t>9</w:t>
      </w:r>
      <w:r w:rsidRPr="00817A38">
        <w:rPr>
          <w:color w:val="auto"/>
        </w:rPr>
        <w:t xml:space="preserve"> (12), e115765 (2014).</w:t>
      </w:r>
    </w:p>
    <w:p w14:paraId="515CC8AE" w14:textId="34CD0EBB" w:rsidR="00E8305F" w:rsidRPr="00817A38" w:rsidRDefault="00691DBF" w:rsidP="001362CF">
      <w:pPr>
        <w:pStyle w:val="EndNoteBibliography"/>
        <w:rPr>
          <w:color w:val="auto"/>
        </w:rPr>
      </w:pPr>
      <w:r w:rsidRPr="00817A38">
        <w:rPr>
          <w:color w:val="auto"/>
        </w:rPr>
        <w:t>8</w:t>
      </w:r>
      <w:r w:rsidR="00116D07">
        <w:rPr>
          <w:color w:val="auto"/>
        </w:rPr>
        <w:t xml:space="preserve">. </w:t>
      </w:r>
      <w:r w:rsidRPr="00817A38">
        <w:rPr>
          <w:color w:val="auto"/>
        </w:rPr>
        <w:t>Ando, K.</w:t>
      </w:r>
      <w:r w:rsidRPr="00817A38">
        <w:rPr>
          <w:i/>
          <w:color w:val="auto"/>
        </w:rPr>
        <w:t xml:space="preserve"> </w:t>
      </w:r>
      <w:r w:rsidRPr="001362CF">
        <w:rPr>
          <w:color w:val="auto"/>
        </w:rPr>
        <w:t>et al.</w:t>
      </w:r>
      <w:r w:rsidRPr="00817A38">
        <w:rPr>
          <w:color w:val="auto"/>
        </w:rPr>
        <w:t xml:space="preserve"> Accelerated human mutant tau aggregation by knocking out murine tau in a transgenic mouse model. </w:t>
      </w:r>
      <w:r w:rsidRPr="00817A38">
        <w:rPr>
          <w:i/>
          <w:color w:val="auto"/>
        </w:rPr>
        <w:t xml:space="preserve">The American Journal of Pathology. </w:t>
      </w:r>
      <w:r w:rsidRPr="00817A38">
        <w:rPr>
          <w:b/>
          <w:color w:val="auto"/>
        </w:rPr>
        <w:t>178</w:t>
      </w:r>
      <w:r w:rsidRPr="00817A38">
        <w:rPr>
          <w:color w:val="auto"/>
        </w:rPr>
        <w:t xml:space="preserve"> (2), 803-816 (2011).</w:t>
      </w:r>
    </w:p>
    <w:p w14:paraId="6F8BABAD" w14:textId="550BD7BF" w:rsidR="00E8305F" w:rsidRPr="00817A38" w:rsidRDefault="00691DBF" w:rsidP="001362CF">
      <w:pPr>
        <w:pStyle w:val="EndNoteBibliography"/>
        <w:rPr>
          <w:color w:val="auto"/>
        </w:rPr>
      </w:pPr>
      <w:r w:rsidRPr="00817A38">
        <w:rPr>
          <w:color w:val="auto"/>
        </w:rPr>
        <w:t>9</w:t>
      </w:r>
      <w:r w:rsidR="00116D07">
        <w:rPr>
          <w:color w:val="auto"/>
        </w:rPr>
        <w:t xml:space="preserve">. </w:t>
      </w:r>
      <w:r w:rsidRPr="00817A38">
        <w:rPr>
          <w:color w:val="auto"/>
        </w:rPr>
        <w:t>Reilly, P.</w:t>
      </w:r>
      <w:r w:rsidRPr="00817A38">
        <w:rPr>
          <w:i/>
          <w:color w:val="auto"/>
        </w:rPr>
        <w:t xml:space="preserve"> </w:t>
      </w:r>
      <w:r w:rsidRPr="001362CF">
        <w:rPr>
          <w:color w:val="auto"/>
        </w:rPr>
        <w:t>et al.</w:t>
      </w:r>
      <w:r w:rsidRPr="00817A38">
        <w:rPr>
          <w:color w:val="auto"/>
        </w:rPr>
        <w:t xml:space="preserve"> Novel human neuronal tau model exhibiting neurofibrillary tangles and transcellular propagation. </w:t>
      </w:r>
      <w:r w:rsidRPr="00817A38">
        <w:rPr>
          <w:i/>
          <w:color w:val="auto"/>
        </w:rPr>
        <w:t xml:space="preserve">Neurobiology of Disease. </w:t>
      </w:r>
      <w:r w:rsidRPr="00817A38">
        <w:rPr>
          <w:b/>
          <w:color w:val="auto"/>
        </w:rPr>
        <w:t>106</w:t>
      </w:r>
      <w:r w:rsidR="00C7516F" w:rsidRPr="001362CF">
        <w:rPr>
          <w:color w:val="auto"/>
        </w:rPr>
        <w:t>,</w:t>
      </w:r>
      <w:r w:rsidRPr="00817A38">
        <w:rPr>
          <w:color w:val="auto"/>
        </w:rPr>
        <w:t xml:space="preserve"> 222-234 (2017).</w:t>
      </w:r>
    </w:p>
    <w:p w14:paraId="5C45FE56" w14:textId="05E635E8" w:rsidR="00E8305F" w:rsidRPr="00817A38" w:rsidRDefault="00691DBF" w:rsidP="001362CF">
      <w:pPr>
        <w:pStyle w:val="EndNoteBibliography"/>
        <w:rPr>
          <w:color w:val="auto"/>
        </w:rPr>
      </w:pPr>
      <w:r w:rsidRPr="00817A38">
        <w:rPr>
          <w:color w:val="auto"/>
        </w:rPr>
        <w:t>10</w:t>
      </w:r>
      <w:r w:rsidR="00116D07">
        <w:rPr>
          <w:color w:val="auto"/>
        </w:rPr>
        <w:t xml:space="preserve">. </w:t>
      </w:r>
      <w:r w:rsidRPr="00817A38">
        <w:rPr>
          <w:color w:val="auto"/>
        </w:rPr>
        <w:t>Kfoury, N., Holmes, B. B., Jiang, H., Holtzman, D. M.</w:t>
      </w:r>
      <w:r w:rsidR="00C7516F">
        <w:rPr>
          <w:color w:val="auto"/>
        </w:rPr>
        <w:t>,</w:t>
      </w:r>
      <w:r w:rsidRPr="00817A38">
        <w:rPr>
          <w:color w:val="auto"/>
        </w:rPr>
        <w:t xml:space="preserve"> Diamond, M. I. Trans-cellular Propagation of Tau Aggregation by Fibrillar Species. </w:t>
      </w:r>
      <w:r w:rsidRPr="00817A38">
        <w:rPr>
          <w:i/>
          <w:color w:val="auto"/>
        </w:rPr>
        <w:t>The Journal of Biological Chemistry.</w:t>
      </w:r>
      <w:r w:rsidRPr="00817A38">
        <w:rPr>
          <w:color w:val="auto"/>
        </w:rPr>
        <w:t xml:space="preserve"> </w:t>
      </w:r>
      <w:r w:rsidRPr="00817A38">
        <w:rPr>
          <w:b/>
          <w:color w:val="auto"/>
        </w:rPr>
        <w:t>287</w:t>
      </w:r>
      <w:r w:rsidRPr="00817A38">
        <w:rPr>
          <w:color w:val="auto"/>
        </w:rPr>
        <w:t xml:space="preserve"> (23), 19440-19451 (2012).</w:t>
      </w:r>
    </w:p>
    <w:p w14:paraId="043B1811" w14:textId="6B5D3DB8" w:rsidR="00E8305F" w:rsidRPr="00817A38" w:rsidRDefault="00691DBF" w:rsidP="001362CF">
      <w:pPr>
        <w:pStyle w:val="EndNoteBibliography"/>
        <w:rPr>
          <w:color w:val="auto"/>
        </w:rPr>
      </w:pPr>
      <w:r w:rsidRPr="00817A38">
        <w:rPr>
          <w:color w:val="auto"/>
        </w:rPr>
        <w:t>11</w:t>
      </w:r>
      <w:r w:rsidR="00116D07">
        <w:rPr>
          <w:color w:val="auto"/>
        </w:rPr>
        <w:t xml:space="preserve">. </w:t>
      </w:r>
      <w:r w:rsidRPr="00817A38">
        <w:rPr>
          <w:color w:val="auto"/>
        </w:rPr>
        <w:t>Yuan, S. H.</w:t>
      </w:r>
      <w:r w:rsidRPr="00817A38">
        <w:rPr>
          <w:i/>
          <w:color w:val="auto"/>
        </w:rPr>
        <w:t xml:space="preserve"> </w:t>
      </w:r>
      <w:r w:rsidRPr="001362CF">
        <w:rPr>
          <w:color w:val="auto"/>
        </w:rPr>
        <w:t>et al.</w:t>
      </w:r>
      <w:r w:rsidRPr="00817A38">
        <w:rPr>
          <w:color w:val="auto"/>
        </w:rPr>
        <w:t xml:space="preserve"> Cell-surface marker signatures for the isolation of neural stem cells, glia and neurons derived from human pluripotent stem cells. </w:t>
      </w:r>
      <w:r w:rsidR="00C7516F">
        <w:rPr>
          <w:i/>
          <w:color w:val="auto"/>
        </w:rPr>
        <w:t>PLOS ONE</w:t>
      </w:r>
      <w:r w:rsidRPr="00817A38">
        <w:rPr>
          <w:i/>
          <w:color w:val="auto"/>
        </w:rPr>
        <w:t>.</w:t>
      </w:r>
      <w:r w:rsidRPr="00817A38">
        <w:rPr>
          <w:color w:val="auto"/>
        </w:rPr>
        <w:t xml:space="preserve"> </w:t>
      </w:r>
      <w:r w:rsidRPr="00817A38">
        <w:rPr>
          <w:b/>
          <w:color w:val="auto"/>
        </w:rPr>
        <w:t>6</w:t>
      </w:r>
      <w:r w:rsidRPr="00817A38">
        <w:rPr>
          <w:color w:val="auto"/>
        </w:rPr>
        <w:t xml:space="preserve"> (3), e17540 (2011).</w:t>
      </w:r>
    </w:p>
    <w:p w14:paraId="6A16EA16" w14:textId="73BE232C" w:rsidR="00E8305F" w:rsidRPr="00817A38" w:rsidRDefault="00691DBF" w:rsidP="001362CF">
      <w:pPr>
        <w:pStyle w:val="EndNoteBibliography"/>
        <w:rPr>
          <w:color w:val="auto"/>
        </w:rPr>
      </w:pPr>
      <w:r w:rsidRPr="00817A38">
        <w:rPr>
          <w:color w:val="auto"/>
        </w:rPr>
        <w:t>12</w:t>
      </w:r>
      <w:r w:rsidR="00116D07">
        <w:rPr>
          <w:color w:val="auto"/>
        </w:rPr>
        <w:t xml:space="preserve">. </w:t>
      </w:r>
      <w:r w:rsidRPr="00817A38">
        <w:rPr>
          <w:color w:val="auto"/>
        </w:rPr>
        <w:t>Marchenko, S.</w:t>
      </w:r>
      <w:r w:rsidR="00C7516F">
        <w:rPr>
          <w:color w:val="auto"/>
        </w:rPr>
        <w:t>,</w:t>
      </w:r>
      <w:r w:rsidRPr="00817A38">
        <w:rPr>
          <w:color w:val="auto"/>
        </w:rPr>
        <w:t xml:space="preserve"> Flanagan, L. Passaging human neural stem cells. </w:t>
      </w:r>
      <w:r w:rsidRPr="00817A38">
        <w:rPr>
          <w:i/>
          <w:color w:val="auto"/>
        </w:rPr>
        <w:t>Journal of Visualized Experiments.</w:t>
      </w:r>
      <w:r w:rsidRPr="00817A38">
        <w:rPr>
          <w:color w:val="auto"/>
        </w:rPr>
        <w:t xml:space="preserve"> (7), </w:t>
      </w:r>
      <w:r w:rsidR="00C7516F">
        <w:rPr>
          <w:color w:val="auto"/>
        </w:rPr>
        <w:t>e</w:t>
      </w:r>
      <w:r w:rsidRPr="00817A38">
        <w:rPr>
          <w:color w:val="auto"/>
        </w:rPr>
        <w:t>263 (2007).</w:t>
      </w:r>
    </w:p>
    <w:p w14:paraId="0C1F4AC0" w14:textId="32E923F7" w:rsidR="00E8305F" w:rsidRPr="00817A38" w:rsidRDefault="00691DBF" w:rsidP="001362CF">
      <w:pPr>
        <w:pStyle w:val="EndNoteBibliography"/>
        <w:rPr>
          <w:color w:val="auto"/>
        </w:rPr>
      </w:pPr>
      <w:r w:rsidRPr="00817A38">
        <w:rPr>
          <w:color w:val="auto"/>
        </w:rPr>
        <w:t>13</w:t>
      </w:r>
      <w:r w:rsidR="00116D07">
        <w:rPr>
          <w:color w:val="auto"/>
        </w:rPr>
        <w:t xml:space="preserve">. </w:t>
      </w:r>
      <w:r w:rsidRPr="00817A38">
        <w:rPr>
          <w:color w:val="auto"/>
        </w:rPr>
        <w:t>Lathuiliere, A.</w:t>
      </w:r>
      <w:r w:rsidRPr="00817A38">
        <w:rPr>
          <w:i/>
          <w:color w:val="auto"/>
        </w:rPr>
        <w:t xml:space="preserve"> </w:t>
      </w:r>
      <w:r w:rsidRPr="001362CF">
        <w:rPr>
          <w:color w:val="auto"/>
        </w:rPr>
        <w:t>et al.</w:t>
      </w:r>
      <w:r w:rsidRPr="00817A38">
        <w:rPr>
          <w:color w:val="auto"/>
        </w:rPr>
        <w:t xml:space="preserve"> Motifs in the tau protein that control binding to microtubules and aggregation determine pathological effects. </w:t>
      </w:r>
      <w:r w:rsidRPr="00817A38">
        <w:rPr>
          <w:i/>
          <w:color w:val="auto"/>
        </w:rPr>
        <w:t xml:space="preserve">Scientific Reports. </w:t>
      </w:r>
      <w:r w:rsidRPr="00817A38">
        <w:rPr>
          <w:b/>
          <w:color w:val="auto"/>
        </w:rPr>
        <w:t>7</w:t>
      </w:r>
      <w:r w:rsidRPr="00817A38">
        <w:rPr>
          <w:color w:val="auto"/>
        </w:rPr>
        <w:t xml:space="preserve"> (1), 13556 (2017).</w:t>
      </w:r>
    </w:p>
    <w:p w14:paraId="27836BC9" w14:textId="1913C9A7" w:rsidR="00E8305F" w:rsidRPr="00817A38" w:rsidRDefault="00691DBF" w:rsidP="001362CF">
      <w:pPr>
        <w:pStyle w:val="EndNoteBibliography"/>
        <w:rPr>
          <w:color w:val="auto"/>
        </w:rPr>
      </w:pPr>
      <w:r w:rsidRPr="00817A38">
        <w:rPr>
          <w:color w:val="auto"/>
        </w:rPr>
        <w:t>14</w:t>
      </w:r>
      <w:r w:rsidR="00116D07">
        <w:rPr>
          <w:color w:val="auto"/>
        </w:rPr>
        <w:t xml:space="preserve">. </w:t>
      </w:r>
      <w:r w:rsidRPr="00817A38">
        <w:rPr>
          <w:color w:val="auto"/>
        </w:rPr>
        <w:t>Asai, H.</w:t>
      </w:r>
      <w:r w:rsidRPr="00817A38">
        <w:rPr>
          <w:i/>
          <w:color w:val="auto"/>
        </w:rPr>
        <w:t xml:space="preserve"> </w:t>
      </w:r>
      <w:r w:rsidRPr="001362CF">
        <w:rPr>
          <w:color w:val="auto"/>
        </w:rPr>
        <w:t>et al.</w:t>
      </w:r>
      <w:r w:rsidRPr="00817A38">
        <w:rPr>
          <w:color w:val="auto"/>
        </w:rPr>
        <w:t xml:space="preserve"> Depletion of microglia and inhibition of exosome synthesis halt tau propagation. </w:t>
      </w:r>
      <w:r w:rsidRPr="00817A38">
        <w:rPr>
          <w:i/>
          <w:color w:val="auto"/>
        </w:rPr>
        <w:t>Nature Neuroscience.</w:t>
      </w:r>
      <w:r w:rsidRPr="00817A38">
        <w:rPr>
          <w:color w:val="auto"/>
        </w:rPr>
        <w:t xml:space="preserve"> </w:t>
      </w:r>
      <w:r w:rsidRPr="00817A38">
        <w:rPr>
          <w:b/>
          <w:color w:val="auto"/>
        </w:rPr>
        <w:t>18</w:t>
      </w:r>
      <w:r w:rsidRPr="00817A38">
        <w:rPr>
          <w:color w:val="auto"/>
        </w:rPr>
        <w:t xml:space="preserve"> (11), 1584-1593 (2015).</w:t>
      </w:r>
    </w:p>
    <w:p w14:paraId="77CAD528" w14:textId="77777777" w:rsidR="00E8305F" w:rsidRPr="00817A38" w:rsidRDefault="00E8305F" w:rsidP="00817A38">
      <w:pPr>
        <w:pStyle w:val="a3"/>
        <w:spacing w:before="0" w:beforeAutospacing="0" w:after="0" w:afterAutospacing="0"/>
        <w:rPr>
          <w:rFonts w:asciiTheme="minorHAnsi" w:hAnsiTheme="minorHAnsi" w:cstheme="minorHAnsi"/>
          <w:color w:val="auto"/>
        </w:rPr>
      </w:pPr>
    </w:p>
    <w:sectPr w:rsidR="00E8305F" w:rsidRPr="00817A38" w:rsidSect="00E8305F">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39E90" w14:textId="77777777" w:rsidR="00EB0FB3" w:rsidRDefault="00EB0FB3" w:rsidP="00E8305F">
      <w:r>
        <w:separator/>
      </w:r>
    </w:p>
  </w:endnote>
  <w:endnote w:type="continuationSeparator" w:id="0">
    <w:p w14:paraId="1ABB106A" w14:textId="77777777" w:rsidR="00EB0FB3" w:rsidRDefault="00EB0FB3" w:rsidP="00E8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F06B3" w14:textId="77777777" w:rsidR="001A4DAB" w:rsidRDefault="001A4DAB" w:rsidP="00E8305F">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E8C06" w14:textId="77777777" w:rsidR="00EB0FB3" w:rsidRDefault="00EB0FB3" w:rsidP="00E8305F">
      <w:r>
        <w:separator/>
      </w:r>
    </w:p>
  </w:footnote>
  <w:footnote w:type="continuationSeparator" w:id="0">
    <w:p w14:paraId="476BBD29" w14:textId="77777777" w:rsidR="00EB0FB3" w:rsidRDefault="00EB0FB3" w:rsidP="00E83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FEE1" w14:textId="77777777" w:rsidR="001A4DAB" w:rsidRPr="006F06E4" w:rsidRDefault="001A4DAB" w:rsidP="00E8305F">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C9DD" w14:textId="77777777" w:rsidR="001A4DAB" w:rsidRPr="006F06E4" w:rsidRDefault="001A4DAB" w:rsidP="00E8305F">
    <w:pPr>
      <w:pStyle w:val="a5"/>
      <w:tabs>
        <w:tab w:val="left" w:pos="4187"/>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7EED"/>
    <w:multiLevelType w:val="hybridMultilevel"/>
    <w:tmpl w:val="94BEA496"/>
    <w:lvl w:ilvl="0" w:tplc="E00CD302">
      <w:start w:val="1"/>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06D9D"/>
    <w:multiLevelType w:val="hybridMultilevel"/>
    <w:tmpl w:val="D56A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B4B35"/>
    <w:multiLevelType w:val="hybridMultilevel"/>
    <w:tmpl w:val="C0169942"/>
    <w:lvl w:ilvl="0" w:tplc="0D08398C">
      <w:start w:val="1"/>
      <w:numFmt w:val="decimal"/>
      <w:lvlText w:val="1.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70D1D"/>
    <w:multiLevelType w:val="hybridMultilevel"/>
    <w:tmpl w:val="CD06053E"/>
    <w:lvl w:ilvl="0" w:tplc="B21418D4">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F40BC"/>
    <w:multiLevelType w:val="hybridMultilevel"/>
    <w:tmpl w:val="760AFF92"/>
    <w:lvl w:ilvl="0" w:tplc="335A4F8E">
      <w:start w:val="1"/>
      <w:numFmt w:val="decimal"/>
      <w:lvlText w:val="1.4.%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8"/>
  </w:num>
  <w:num w:numId="3">
    <w:abstractNumId w:val="5"/>
  </w:num>
  <w:num w:numId="4">
    <w:abstractNumId w:val="16"/>
  </w:num>
  <w:num w:numId="5">
    <w:abstractNumId w:val="10"/>
  </w:num>
  <w:num w:numId="6">
    <w:abstractNumId w:val="15"/>
  </w:num>
  <w:num w:numId="7">
    <w:abstractNumId w:val="1"/>
  </w:num>
  <w:num w:numId="8">
    <w:abstractNumId w:val="11"/>
  </w:num>
  <w:num w:numId="9">
    <w:abstractNumId w:val="12"/>
  </w:num>
  <w:num w:numId="10">
    <w:abstractNumId w:val="17"/>
  </w:num>
  <w:num w:numId="11">
    <w:abstractNumId w:val="21"/>
  </w:num>
  <w:num w:numId="12">
    <w:abstractNumId w:val="2"/>
  </w:num>
  <w:num w:numId="13">
    <w:abstractNumId w:val="19"/>
  </w:num>
  <w:num w:numId="14">
    <w:abstractNumId w:val="24"/>
  </w:num>
  <w:num w:numId="15">
    <w:abstractNumId w:val="13"/>
  </w:num>
  <w:num w:numId="16">
    <w:abstractNumId w:val="9"/>
  </w:num>
  <w:num w:numId="17">
    <w:abstractNumId w:val="20"/>
  </w:num>
  <w:num w:numId="18">
    <w:abstractNumId w:val="14"/>
  </w:num>
  <w:num w:numId="19">
    <w:abstractNumId w:val="22"/>
  </w:num>
  <w:num w:numId="20">
    <w:abstractNumId w:val="3"/>
  </w:num>
  <w:num w:numId="21">
    <w:abstractNumId w:val="23"/>
  </w:num>
  <w:num w:numId="22">
    <w:abstractNumId w:val="0"/>
  </w:num>
  <w:num w:numId="23">
    <w:abstractNumId w:val="4"/>
  </w:num>
  <w:num w:numId="24">
    <w:abstractNumId w:val="25"/>
  </w:num>
  <w:num w:numId="25">
    <w:abstractNumId w:val="7"/>
  </w:num>
  <w:num w:numId="2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45BF1"/>
    <w:rsid w:val="00116D07"/>
    <w:rsid w:val="001211DE"/>
    <w:rsid w:val="001245F3"/>
    <w:rsid w:val="001362CF"/>
    <w:rsid w:val="0018475D"/>
    <w:rsid w:val="001A00F5"/>
    <w:rsid w:val="001A4DAB"/>
    <w:rsid w:val="001D5D95"/>
    <w:rsid w:val="001F7F56"/>
    <w:rsid w:val="00222BDB"/>
    <w:rsid w:val="00334D2C"/>
    <w:rsid w:val="00514137"/>
    <w:rsid w:val="00567C5A"/>
    <w:rsid w:val="00570BB3"/>
    <w:rsid w:val="006451F9"/>
    <w:rsid w:val="00691DBF"/>
    <w:rsid w:val="00746203"/>
    <w:rsid w:val="00817A38"/>
    <w:rsid w:val="00853139"/>
    <w:rsid w:val="00890AC3"/>
    <w:rsid w:val="008C45A5"/>
    <w:rsid w:val="00A55BC3"/>
    <w:rsid w:val="00B73AD2"/>
    <w:rsid w:val="00B8252B"/>
    <w:rsid w:val="00BA149D"/>
    <w:rsid w:val="00C51087"/>
    <w:rsid w:val="00C55776"/>
    <w:rsid w:val="00C7516F"/>
    <w:rsid w:val="00CC36FC"/>
    <w:rsid w:val="00DE6E9F"/>
    <w:rsid w:val="00E8305F"/>
    <w:rsid w:val="00EB0FB3"/>
    <w:rsid w:val="00EE705F"/>
    <w:rsid w:val="00FD18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C63F6"/>
  <w15:docId w15:val="{F5ABAB15-6CC4-40A0-89E4-D40FCD65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customStyle="1" w:styleId="EndNoteBibliographyTitle">
    <w:name w:val="EndNote Bibliography Title"/>
    <w:basedOn w:val="a"/>
    <w:link w:val="EndNoteBibliographyTitleChar"/>
    <w:rsid w:val="00BF7623"/>
    <w:pPr>
      <w:jc w:val="center"/>
    </w:pPr>
    <w:rPr>
      <w:noProof/>
    </w:rPr>
  </w:style>
  <w:style w:type="character" w:customStyle="1" w:styleId="EndNoteBibliographyTitleChar">
    <w:name w:val="EndNote Bibliography Title Char"/>
    <w:basedOn w:val="a0"/>
    <w:link w:val="EndNoteBibliographyTitle"/>
    <w:rsid w:val="00BF7623"/>
    <w:rPr>
      <w:rFonts w:ascii="Calibri" w:hAnsi="Calibri" w:cs="Calibri"/>
      <w:noProof/>
      <w:color w:val="000000"/>
      <w:sz w:val="24"/>
      <w:szCs w:val="24"/>
    </w:rPr>
  </w:style>
  <w:style w:type="paragraph" w:customStyle="1" w:styleId="EndNoteBibliography">
    <w:name w:val="EndNote Bibliography"/>
    <w:basedOn w:val="a"/>
    <w:link w:val="EndNoteBibliographyChar"/>
    <w:rsid w:val="00BF7623"/>
    <w:rPr>
      <w:noProof/>
    </w:rPr>
  </w:style>
  <w:style w:type="character" w:customStyle="1" w:styleId="EndNoteBibliographyChar">
    <w:name w:val="EndNote Bibliography Char"/>
    <w:basedOn w:val="a0"/>
    <w:link w:val="EndNoteBibliography"/>
    <w:rsid w:val="00BF7623"/>
    <w:rPr>
      <w:rFonts w:ascii="Calibri" w:hAnsi="Calibri" w:cs="Calibri"/>
      <w:noProof/>
      <w:color w:val="000000"/>
      <w:sz w:val="24"/>
      <w:szCs w:val="24"/>
    </w:rPr>
  </w:style>
  <w:style w:type="character" w:styleId="af9">
    <w:name w:val="line number"/>
    <w:basedOn w:val="a0"/>
    <w:uiPriority w:val="99"/>
    <w:semiHidden/>
    <w:unhideWhenUsed/>
    <w:rsid w:val="00161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4835">
      <w:bodyDiv w:val="1"/>
      <w:marLeft w:val="0"/>
      <w:marRight w:val="0"/>
      <w:marTop w:val="0"/>
      <w:marBottom w:val="0"/>
      <w:divBdr>
        <w:top w:val="none" w:sz="0" w:space="0" w:color="auto"/>
        <w:left w:val="none" w:sz="0" w:space="0" w:color="auto"/>
        <w:bottom w:val="none" w:sz="0" w:space="0" w:color="auto"/>
        <w:right w:val="none" w:sz="0" w:space="0" w:color="auto"/>
      </w:divBdr>
    </w:div>
    <w:div w:id="287011105">
      <w:bodyDiv w:val="1"/>
      <w:marLeft w:val="0"/>
      <w:marRight w:val="0"/>
      <w:marTop w:val="0"/>
      <w:marBottom w:val="0"/>
      <w:divBdr>
        <w:top w:val="none" w:sz="0" w:space="0" w:color="auto"/>
        <w:left w:val="none" w:sz="0" w:space="0" w:color="auto"/>
        <w:bottom w:val="none" w:sz="0" w:space="0" w:color="auto"/>
        <w:right w:val="none" w:sz="0" w:space="0" w:color="auto"/>
      </w:divBdr>
    </w:div>
    <w:div w:id="455218198">
      <w:bodyDiv w:val="1"/>
      <w:marLeft w:val="0"/>
      <w:marRight w:val="0"/>
      <w:marTop w:val="0"/>
      <w:marBottom w:val="0"/>
      <w:divBdr>
        <w:top w:val="none" w:sz="0" w:space="0" w:color="auto"/>
        <w:left w:val="none" w:sz="0" w:space="0" w:color="auto"/>
        <w:bottom w:val="none" w:sz="0" w:space="0" w:color="auto"/>
        <w:right w:val="none" w:sz="0" w:space="0" w:color="auto"/>
      </w:divBdr>
    </w:div>
    <w:div w:id="482433411">
      <w:bodyDiv w:val="1"/>
      <w:marLeft w:val="0"/>
      <w:marRight w:val="0"/>
      <w:marTop w:val="0"/>
      <w:marBottom w:val="0"/>
      <w:divBdr>
        <w:top w:val="none" w:sz="0" w:space="0" w:color="auto"/>
        <w:left w:val="none" w:sz="0" w:space="0" w:color="auto"/>
        <w:bottom w:val="none" w:sz="0" w:space="0" w:color="auto"/>
        <w:right w:val="none" w:sz="0" w:space="0" w:color="auto"/>
      </w:divBdr>
    </w:div>
    <w:div w:id="486170987">
      <w:bodyDiv w:val="1"/>
      <w:marLeft w:val="0"/>
      <w:marRight w:val="0"/>
      <w:marTop w:val="0"/>
      <w:marBottom w:val="0"/>
      <w:divBdr>
        <w:top w:val="none" w:sz="0" w:space="0" w:color="auto"/>
        <w:left w:val="none" w:sz="0" w:space="0" w:color="auto"/>
        <w:bottom w:val="none" w:sz="0" w:space="0" w:color="auto"/>
        <w:right w:val="none" w:sz="0" w:space="0" w:color="auto"/>
      </w:divBdr>
    </w:div>
    <w:div w:id="500044291">
      <w:bodyDiv w:val="1"/>
      <w:marLeft w:val="0"/>
      <w:marRight w:val="0"/>
      <w:marTop w:val="0"/>
      <w:marBottom w:val="0"/>
      <w:divBdr>
        <w:top w:val="none" w:sz="0" w:space="0" w:color="auto"/>
        <w:left w:val="none" w:sz="0" w:space="0" w:color="auto"/>
        <w:bottom w:val="none" w:sz="0" w:space="0" w:color="auto"/>
        <w:right w:val="none" w:sz="0" w:space="0" w:color="auto"/>
      </w:divBdr>
    </w:div>
    <w:div w:id="75085976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07674">
      <w:bodyDiv w:val="1"/>
      <w:marLeft w:val="0"/>
      <w:marRight w:val="0"/>
      <w:marTop w:val="0"/>
      <w:marBottom w:val="0"/>
      <w:divBdr>
        <w:top w:val="none" w:sz="0" w:space="0" w:color="auto"/>
        <w:left w:val="none" w:sz="0" w:space="0" w:color="auto"/>
        <w:bottom w:val="none" w:sz="0" w:space="0" w:color="auto"/>
        <w:right w:val="none" w:sz="0" w:space="0" w:color="auto"/>
      </w:divBdr>
    </w:div>
    <w:div w:id="851839973">
      <w:bodyDiv w:val="1"/>
      <w:marLeft w:val="0"/>
      <w:marRight w:val="0"/>
      <w:marTop w:val="0"/>
      <w:marBottom w:val="0"/>
      <w:divBdr>
        <w:top w:val="none" w:sz="0" w:space="0" w:color="auto"/>
        <w:left w:val="none" w:sz="0" w:space="0" w:color="auto"/>
        <w:bottom w:val="none" w:sz="0" w:space="0" w:color="auto"/>
        <w:right w:val="none" w:sz="0" w:space="0" w:color="auto"/>
      </w:divBdr>
    </w:div>
    <w:div w:id="950625955">
      <w:bodyDiv w:val="1"/>
      <w:marLeft w:val="0"/>
      <w:marRight w:val="0"/>
      <w:marTop w:val="0"/>
      <w:marBottom w:val="0"/>
      <w:divBdr>
        <w:top w:val="none" w:sz="0" w:space="0" w:color="auto"/>
        <w:left w:val="none" w:sz="0" w:space="0" w:color="auto"/>
        <w:bottom w:val="none" w:sz="0" w:space="0" w:color="auto"/>
        <w:right w:val="none" w:sz="0" w:space="0" w:color="auto"/>
      </w:divBdr>
    </w:div>
    <w:div w:id="1034236845">
      <w:bodyDiv w:val="1"/>
      <w:marLeft w:val="0"/>
      <w:marRight w:val="0"/>
      <w:marTop w:val="0"/>
      <w:marBottom w:val="0"/>
      <w:divBdr>
        <w:top w:val="none" w:sz="0" w:space="0" w:color="auto"/>
        <w:left w:val="none" w:sz="0" w:space="0" w:color="auto"/>
        <w:bottom w:val="none" w:sz="0" w:space="0" w:color="auto"/>
        <w:right w:val="none" w:sz="0" w:space="0" w:color="auto"/>
      </w:divBdr>
    </w:div>
    <w:div w:id="103843688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7802595">
      <w:bodyDiv w:val="1"/>
      <w:marLeft w:val="0"/>
      <w:marRight w:val="0"/>
      <w:marTop w:val="0"/>
      <w:marBottom w:val="0"/>
      <w:divBdr>
        <w:top w:val="none" w:sz="0" w:space="0" w:color="auto"/>
        <w:left w:val="none" w:sz="0" w:space="0" w:color="auto"/>
        <w:bottom w:val="none" w:sz="0" w:space="0" w:color="auto"/>
        <w:right w:val="none" w:sz="0" w:space="0" w:color="auto"/>
      </w:divBdr>
    </w:div>
    <w:div w:id="1195733666">
      <w:bodyDiv w:val="1"/>
      <w:marLeft w:val="0"/>
      <w:marRight w:val="0"/>
      <w:marTop w:val="0"/>
      <w:marBottom w:val="0"/>
      <w:divBdr>
        <w:top w:val="none" w:sz="0" w:space="0" w:color="auto"/>
        <w:left w:val="none" w:sz="0" w:space="0" w:color="auto"/>
        <w:bottom w:val="none" w:sz="0" w:space="0" w:color="auto"/>
        <w:right w:val="none" w:sz="0" w:space="0" w:color="auto"/>
      </w:divBdr>
    </w:div>
    <w:div w:id="1293484277">
      <w:bodyDiv w:val="1"/>
      <w:marLeft w:val="0"/>
      <w:marRight w:val="0"/>
      <w:marTop w:val="0"/>
      <w:marBottom w:val="0"/>
      <w:divBdr>
        <w:top w:val="none" w:sz="0" w:space="0" w:color="auto"/>
        <w:left w:val="none" w:sz="0" w:space="0" w:color="auto"/>
        <w:bottom w:val="none" w:sz="0" w:space="0" w:color="auto"/>
        <w:right w:val="none" w:sz="0" w:space="0" w:color="auto"/>
      </w:divBdr>
    </w:div>
    <w:div w:id="1329284178">
      <w:bodyDiv w:val="1"/>
      <w:marLeft w:val="0"/>
      <w:marRight w:val="0"/>
      <w:marTop w:val="0"/>
      <w:marBottom w:val="0"/>
      <w:divBdr>
        <w:top w:val="none" w:sz="0" w:space="0" w:color="auto"/>
        <w:left w:val="none" w:sz="0" w:space="0" w:color="auto"/>
        <w:bottom w:val="none" w:sz="0" w:space="0" w:color="auto"/>
        <w:right w:val="none" w:sz="0" w:space="0" w:color="auto"/>
      </w:divBdr>
    </w:div>
    <w:div w:id="1337030258">
      <w:bodyDiv w:val="1"/>
      <w:marLeft w:val="0"/>
      <w:marRight w:val="0"/>
      <w:marTop w:val="0"/>
      <w:marBottom w:val="0"/>
      <w:divBdr>
        <w:top w:val="none" w:sz="0" w:space="0" w:color="auto"/>
        <w:left w:val="none" w:sz="0" w:space="0" w:color="auto"/>
        <w:bottom w:val="none" w:sz="0" w:space="0" w:color="auto"/>
        <w:right w:val="none" w:sz="0" w:space="0" w:color="auto"/>
      </w:divBdr>
    </w:div>
    <w:div w:id="1344934814">
      <w:bodyDiv w:val="1"/>
      <w:marLeft w:val="0"/>
      <w:marRight w:val="0"/>
      <w:marTop w:val="0"/>
      <w:marBottom w:val="0"/>
      <w:divBdr>
        <w:top w:val="none" w:sz="0" w:space="0" w:color="auto"/>
        <w:left w:val="none" w:sz="0" w:space="0" w:color="auto"/>
        <w:bottom w:val="none" w:sz="0" w:space="0" w:color="auto"/>
        <w:right w:val="none" w:sz="0" w:space="0" w:color="auto"/>
      </w:divBdr>
    </w:div>
    <w:div w:id="1499999474">
      <w:bodyDiv w:val="1"/>
      <w:marLeft w:val="0"/>
      <w:marRight w:val="0"/>
      <w:marTop w:val="0"/>
      <w:marBottom w:val="0"/>
      <w:divBdr>
        <w:top w:val="none" w:sz="0" w:space="0" w:color="auto"/>
        <w:left w:val="none" w:sz="0" w:space="0" w:color="auto"/>
        <w:bottom w:val="none" w:sz="0" w:space="0" w:color="auto"/>
        <w:right w:val="none" w:sz="0" w:space="0" w:color="auto"/>
      </w:divBdr>
    </w:div>
    <w:div w:id="1620918487">
      <w:bodyDiv w:val="1"/>
      <w:marLeft w:val="0"/>
      <w:marRight w:val="0"/>
      <w:marTop w:val="0"/>
      <w:marBottom w:val="0"/>
      <w:divBdr>
        <w:top w:val="none" w:sz="0" w:space="0" w:color="auto"/>
        <w:left w:val="none" w:sz="0" w:space="0" w:color="auto"/>
        <w:bottom w:val="none" w:sz="0" w:space="0" w:color="auto"/>
        <w:right w:val="none" w:sz="0" w:space="0" w:color="auto"/>
      </w:divBdr>
    </w:div>
    <w:div w:id="1667708439">
      <w:bodyDiv w:val="1"/>
      <w:marLeft w:val="0"/>
      <w:marRight w:val="0"/>
      <w:marTop w:val="0"/>
      <w:marBottom w:val="0"/>
      <w:divBdr>
        <w:top w:val="none" w:sz="0" w:space="0" w:color="auto"/>
        <w:left w:val="none" w:sz="0" w:space="0" w:color="auto"/>
        <w:bottom w:val="none" w:sz="0" w:space="0" w:color="auto"/>
        <w:right w:val="none" w:sz="0" w:space="0" w:color="auto"/>
      </w:divBdr>
    </w:div>
    <w:div w:id="1732777147">
      <w:bodyDiv w:val="1"/>
      <w:marLeft w:val="0"/>
      <w:marRight w:val="0"/>
      <w:marTop w:val="0"/>
      <w:marBottom w:val="0"/>
      <w:divBdr>
        <w:top w:val="none" w:sz="0" w:space="0" w:color="auto"/>
        <w:left w:val="none" w:sz="0" w:space="0" w:color="auto"/>
        <w:bottom w:val="none" w:sz="0" w:space="0" w:color="auto"/>
        <w:right w:val="none" w:sz="0" w:space="0" w:color="auto"/>
      </w:divBdr>
    </w:div>
    <w:div w:id="1822690309">
      <w:bodyDiv w:val="1"/>
      <w:marLeft w:val="0"/>
      <w:marRight w:val="0"/>
      <w:marTop w:val="0"/>
      <w:marBottom w:val="0"/>
      <w:divBdr>
        <w:top w:val="none" w:sz="0" w:space="0" w:color="auto"/>
        <w:left w:val="none" w:sz="0" w:space="0" w:color="auto"/>
        <w:bottom w:val="none" w:sz="0" w:space="0" w:color="auto"/>
        <w:right w:val="none" w:sz="0" w:space="0" w:color="auto"/>
      </w:divBdr>
    </w:div>
    <w:div w:id="1860968427">
      <w:bodyDiv w:val="1"/>
      <w:marLeft w:val="0"/>
      <w:marRight w:val="0"/>
      <w:marTop w:val="0"/>
      <w:marBottom w:val="0"/>
      <w:divBdr>
        <w:top w:val="none" w:sz="0" w:space="0" w:color="auto"/>
        <w:left w:val="none" w:sz="0" w:space="0" w:color="auto"/>
        <w:bottom w:val="none" w:sz="0" w:space="0" w:color="auto"/>
        <w:right w:val="none" w:sz="0" w:space="0" w:color="auto"/>
      </w:divBdr>
    </w:div>
    <w:div w:id="188305314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1620929">
      <w:bodyDiv w:val="1"/>
      <w:marLeft w:val="0"/>
      <w:marRight w:val="0"/>
      <w:marTop w:val="0"/>
      <w:marBottom w:val="0"/>
      <w:divBdr>
        <w:top w:val="none" w:sz="0" w:space="0" w:color="auto"/>
        <w:left w:val="none" w:sz="0" w:space="0" w:color="auto"/>
        <w:bottom w:val="none" w:sz="0" w:space="0" w:color="auto"/>
        <w:right w:val="none" w:sz="0" w:space="0" w:color="auto"/>
      </w:divBdr>
    </w:div>
    <w:div w:id="210163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C73C2-F39B-4F58-B961-EABD87AB7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8</Pages>
  <Words>3378</Words>
  <Characters>19258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22591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Danielle Rietveld</dc:creator>
  <cp:keywords>Aug 2012 rev</cp:keywords>
  <dc:description/>
  <cp:lastModifiedBy>wubing</cp:lastModifiedBy>
  <cp:revision>21</cp:revision>
  <cp:lastPrinted>2013-05-29T14:32:00Z</cp:lastPrinted>
  <dcterms:created xsi:type="dcterms:W3CDTF">2019-02-12T17:40:00Z</dcterms:created>
  <dcterms:modified xsi:type="dcterms:W3CDTF">2019-02-14T00:17:00Z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