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Chromogenic In Situ Hybridization as a Tool for HPV-Related Head and Neck Cancer Diagnosis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Sophie Outh-Gauer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J&amp;#233;r&amp;#233;my Augustin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Marion Mandavit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Oph&amp;#233;lie Grard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Thomas Denize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Marine Nervo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Lepine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Tartour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C&amp;#233;cile Badoual</w:t>
      </w:r>
      <w:r>
        <w:rPr>
          <w:rFonts w:ascii="Calibri" w:hAnsi="Calibri" w:cs="Calibri" w:eastAsia="Calibri"/>
          <w:color w:val="auto"/>
          <w:spacing w:val="0"/>
          <w:position w:val="0"/>
          <w:sz w:val="24"/>
          <w:shd w:fill="auto" w:val="clear"/>
          <w:vertAlign w:val="superscript"/>
        </w:rPr>
        <w:t xml:space="preserve">1,2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Georges Pompidou European Hospital, Assistance publique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Hôpitaux de Paris (APHP), Paris Descartes University,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Paris Cardiovascular Research Center (PARCC), Institut national de la sant&amp;#233; et de la recherche m&amp;#233;dicale (Inserm) U970,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Laboratory of Immunology, Georges Pompidou European Hospital, APHP, Paris Descartes University,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C&amp;#233;cile Badoual </w:t>
        <w:tab/>
        <w:t xml:space="preserve">(cecile.badoual@aphp.fr)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Sophie Outh-Gauer </w:t>
        <w:tab/>
        <w:t xml:space="preserve">(sophieouthgauer@gmail.com)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J&amp;#233;r&amp;#233;my Augustin </w:t>
        <w:tab/>
        <w:t xml:space="preserve">(jeremy.augustin@aphp.fr)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Marion Mandavit </w:t>
        <w:tab/>
        <w:t xml:space="preserve">(marion.mandavit@gmail.com)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Thomas Denize </w:t>
        <w:tab/>
        <w:t xml:space="preserve">(</w:t>
      </w:r>
      <w:r>
        <w:rPr>
          <w:rFonts w:ascii="Calibri" w:hAnsi="Calibri" w:cs="Calibri" w:eastAsia="Calibri"/>
          <w:color w:val="auto"/>
          <w:spacing w:val="0"/>
          <w:position w:val="0"/>
          <w:sz w:val="24"/>
          <w:u w:val="single"/>
          <w:shd w:fill="auto" w:val="clear"/>
        </w:rPr>
        <w:t xml:space="preserve">denize.thomas@gmail.com)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Marine Nervo </w:t>
        <w:tab/>
        <w:tab/>
        <w:t xml:space="preserve">(marine.nervo@gmail.com)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Charles L&amp;#233;pine </w:t>
        <w:tab/>
        <w:t xml:space="preserve">(</w:t>
      </w:r>
      <w:r>
        <w:rPr>
          <w:rFonts w:ascii="Calibri" w:hAnsi="Calibri" w:cs="Calibri" w:eastAsia="Calibri"/>
          <w:color w:val="auto"/>
          <w:spacing w:val="0"/>
          <w:position w:val="0"/>
          <w:sz w:val="24"/>
          <w:u w:val="single"/>
          <w:shd w:fill="auto" w:val="clear"/>
        </w:rPr>
        <w:t xml:space="preserve">lepine.charles@gmail.com)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Oph&amp;#233;lie Grard </w:t>
        <w:tab/>
        <w:tab/>
        <w:t xml:space="preserve">(</w:t>
      </w:r>
      <w:r>
        <w:rPr>
          <w:rFonts w:ascii="Calibri" w:hAnsi="Calibri" w:cs="Calibri" w:eastAsia="Calibri"/>
          <w:color w:val="000000"/>
          <w:spacing w:val="0"/>
          <w:position w:val="0"/>
          <w:sz w:val="24"/>
          <w:shd w:fill="auto" w:val="clear"/>
        </w:rPr>
        <w:t xml:space="preserve">ophelie.grard.14@gmail.com)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Tartour </w:t>
        <w:tab/>
        <w:tab/>
        <w:t xml:space="preserve">(eric.tartour@aphp.fr)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chromogenic in situ hybridization, HPV, transcription, semiquantitative analysis, head and neck cancer, E6, E7, RNA, squamous cell carcinoma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papillomavirus (HPV) RNA chromogenic in situ hybridization is considered to be one of the gold standards for active human papillomavirus infection detection within tumors. It allows the visualization of HPV E6-E7 mRNA expression with localization and semiquantitative evaluation of its signal.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papillomavirus (HPV) infection is a major risk factor for a subtype of oropharyngeal squamous cell carcinoma (OPSCC), which tends to be associated with a better outcome than alcohol- and tobacco-related OPSCC. Chromogenic in situ hybridization (CISH) of HPV viral RNA could allow the semiquantitative evaluation of viral transcripts of the oncogenic proteins E6 and E7 and an in situ visualization with a good spatial resolution. This technique allows the diagnosis of an active infection with the visualization of HPV transcription in the tumoral HPV-infected cells. An advantage of this technique is the avoidance of contamination from nonneoplastic HPV-infected cells adjacent to the tumor. Overall, its good diagnosis performances have it considered to be the gold standard for active HPV infection identification. Since E6 and E7 viral protein interaction with cell proteins pRb and p53 is mandatory for cell transformation, HPV RNA CISH is functionally relevant and acutely reflects active oncogenic HPV infection. This technique is clinically relevant as well since “low” or “high” HPV transcription levels helped the identification of two prognosis groups among HPV-related p16-positive head and neck cancer patients. Here we present the protocol for manual HPV RNA CISH performed on </w:t>
      </w:r>
      <w:r>
        <w:rPr>
          <w:rFonts w:ascii="Calibri" w:hAnsi="Calibri" w:cs="Calibri" w:eastAsia="Calibri"/>
          <w:color w:val="000000"/>
          <w:spacing w:val="0"/>
          <w:position w:val="0"/>
          <w:sz w:val="24"/>
          <w:shd w:fill="auto" w:val="clear"/>
        </w:rPr>
        <w:t xml:space="preserve">formalin-fixed paraffin-embedded (FFPE) </w:t>
      </w:r>
      <w:r>
        <w:rPr>
          <w:rFonts w:ascii="Calibri" w:hAnsi="Calibri" w:cs="Calibri" w:eastAsia="Calibri"/>
          <w:color w:val="auto"/>
          <w:spacing w:val="0"/>
          <w:position w:val="0"/>
          <w:sz w:val="24"/>
          <w:shd w:fill="auto" w:val="clear"/>
        </w:rPr>
        <w:t xml:space="preserve">slides with a kit obtained from the manufacturer. Instead of chromogenic revelation, RNA in situ hybridization may also be performed with fluorescent revelation (RNA FISH). It may also be combined with conventional immunostaining.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HPV RNA CISH is a powerful tool for the detection of active HPV infection, which may prove crucial in benign or malignant lesions in various locations such as the oropharynx or the uterine cervix. The detection of an active HPV infection may support the diagnosis of an HPV-induced lesion and, thereby, influence its treatment and prognosis.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HPV is the most frequent sexually transmitted infection, and over 100 viral genotypes have been described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Schematically, low-risk genotypes such as genotypes 6 and 11 are known to induce genital warts, recurrent respiratory papillomatosis, and other benign lesions, whereas high-risk genotypes such as genotypes 16 and also 18 are responsible for most cervical cancers and anal cancers and play a role in HNSCC oncogenesis in variable proportions as accounted for by regional epidemiological data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tools are available for the detection of HPV infection. As a high-risk HPV infection leads to the expression of viral oncogenic proteins E6 and E7</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detection of E6 and E7 transcripts is widely viewed as the gold standard for active HPV infection identification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HPV RNA CISH can be performed on FFPE samples that are quite easily obtained from patients suffering from various HPV-related diseases. </w:t>
      </w:r>
      <w:r>
        <w:rPr>
          <w:rFonts w:ascii="Calibri" w:hAnsi="Calibri" w:cs="Calibri" w:eastAsia="Calibri"/>
          <w:color w:val="000000"/>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performance has been evaluated in squamous intraepithelial neoplasia in the cervix, the anus, and the vagina, and in invasive squamous cell carcinoma in the cervix, the anus, and the upper aerodigestive tract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achieves a sensitivity of over 98% among HPV DNA polymerase chain reaction (PCR)-positive cases. This is slightly better than p16 immunostaining (93%) and HPV DNA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hybridization (DNA ISH: 97%), which are more commonly used. In another cohort of 57 patients with squamous cell carcinoma (SCC) arising from the head and neck region, the genital region, the skin, and the urinary tract, compared to HPV DNA ISH, HPV RNA CISH achieved better sensitivity (100% versus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88%) and specificity (87% versus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P16 immunostaining is an indirect marker reflecting cell cycle disruption that may be caused (but not exclusively) by HPV infection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cost-effective test possesses good sensitivity and a negative predictive value and is recommended as a surrogate marker of high-risk HPV infection in oropharynx cancer (OPC) by the College of American Pathologists (CAP) and by the Union for International Cancer Control (UICC)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this paper solely focuses on the detection of HPV in HNSCC, HPV RNA CISH is clinically relevant in various other conditions that involve HPV infection. For instance, this technique may improve the accuracy of the diagnosis of low-grade squamous intraepithelial lesions of the cervix (LSIL, formerly known as cervical intraepithelial neoplasia, grade 1 [CIN1]) for morphologically ambiguous cases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Regarding oropharyngeal SCC, HPV RNA CISH allows the identification of HPV-related SCC, labeled as distinct from HPV-unrelated oropharyngeal SCC in the recent eighth edition of the TNM Classification of Head and Neck Cancer (of the Union for International Cancer Control [UICC])</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Since HPV-related SCC exhibits a better prognosis with longer survival and enhanced radiotherapy and chemotherapy sensitivity than HPV-unrelated SCC</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the detection of HPV infection may impact patient management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Besides, HPV RNA CISH can be used for the diagnosis of HPV-related multiphenotypic sinonasal carcinoma with a higher signal than HPV DNA CISH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Several multivariate analyses suggest that the detection of E6 and E7 transcripts is correlated with a better prognosis in oropharyngeal SCC overall</w:t>
      </w:r>
      <w:r>
        <w:rPr>
          <w:rFonts w:ascii="Calibri" w:hAnsi="Calibri" w:cs="Calibri" w:eastAsia="Calibri"/>
          <w:color w:val="auto"/>
          <w:spacing w:val="0"/>
          <w:position w:val="0"/>
          <w:sz w:val="24"/>
          <w:shd w:fill="auto" w:val="clear"/>
          <w:vertAlign w:val="superscript"/>
        </w:rPr>
        <w:t xml:space="preserve">7,15,17,18</w:t>
      </w:r>
      <w:r>
        <w:rPr>
          <w:rFonts w:ascii="Calibri" w:hAnsi="Calibri" w:cs="Calibri" w:eastAsia="Calibri"/>
          <w:color w:val="auto"/>
          <w:spacing w:val="0"/>
          <w:position w:val="0"/>
          <w:sz w:val="24"/>
          <w:shd w:fill="auto" w:val="clear"/>
        </w:rPr>
        <w:t xml:space="preserve"> and in the subgroup of p16-positive oropharyngeal SCC</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present the protocol for manual HPV RNA CISH performed on FFPE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slides with a kit obtained from the manufacturer.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follows ethical guidelines and was approved by the Ethical Committee (Comit&amp;#233;-de-Protection-des-Personnes Ile-de-France-II, #2015-09-04).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Preparation of 1x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3 L of 1x wash buffer by adding 2.94 L of distilled water and one bottle (60 mL) of wash buffer (50x)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 large carboy. Mix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1x wash buffer may be prepared ahead of time and stored at room temperature for up to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Preparation of counterstaining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50% hematoxylin.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In a fume hood, add 100 mL of Gill’s hematoxylin I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100 mL of distilled water in a staining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50% hematoxylin staining solution can be reused for up to 1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Prepare 0.02% (w/v) ammonia water (bluing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In the fume hood, add 1.43 mL of 1 N ammonium hydroxide to 250 mL of distilled water in a graduated cylinder or another container. Seal the cylinder with paraffin film. Mix its contents well for 3x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assay quantitation, it is critical to use ammonium hydroxide. The reagents may be prepared ahead of time. Ensure all containers remain 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Preparation of 1x target retrieval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In a large beaker, add 70 mL of 10x target retrieval reagent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630 mL of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Place the beaker on a heating plate with a magnetic stirrer. Cover it with aluminum foil.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Boil its contents at 100 &amp;#176;C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it boil for more than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Reagent equilibration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Ensure the hybridization oven is on and at 40 &amp;#176;C. Place wet humidifying paper at the bottom of the tray.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hybridization oven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needed for steps 3.4 to 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Remove the amplification reagents (AMP1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AMP6,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from the refrigerator and keep them at room temperature, at least 30 min before the relevant incubation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Before each use, warm the target and/or control probes for at least 10 min at 40 &amp;#176;C in the oven or in a water bath or incubator.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Adhesion enhancing and deparaffinization in the fume hood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the protocol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&amp;#181;m-thick histological samples mounted on unstained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 order to enhance adhesion, bake the slides at 60 &amp;#176;C for 1 h or at 40 &amp;#176;C overnight in an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Charge the slide rack with unstained histological slides. Immerse the slide rack for 5 min in fresh xylene contained in a staining dish, with occasional agitation. repeat with fresh xylene.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Immerse the slide rack for 3 min in fresh 100% ethanol contained in a staining dish, with constant agitation. Repeat with fresh 100%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Let the slides dry for 2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reuse deparaffinization reagents for dehydration of the slides after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Tissue pretreatment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follow the “standard” pretreatment recommendation according to the manufacturer’s instructions for head and neck samples. The timing of sections 3.1 and 3.2 may need to be adjusted depending on the manipulated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Blockade of peroxidase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Add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drops of hydrogen peroxide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each slide and incubate them for 10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Wash the slides 2x for 2 min in distilled water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Breakage of RNA/tissue bounds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With a claw, remove the aluminum foil from the boiling 1x target retrieval reagent (TTR1x) from section 1.3 and stop stirring. Immerse the slide rack slowly and very carefully for 15 min. Cover the beaker again with the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Simmering has to persist during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the claw to manipulate the aluminum foil and the slide rack so as to avoid burn injuries. Make sure to wear </w:t>
      </w:r>
      <w:r>
        <w:rPr>
          <w:rFonts w:ascii="Calibri" w:hAnsi="Calibri" w:cs="Calibri" w:eastAsia="Calibri"/>
          <w:color w:val="000000"/>
          <w:spacing w:val="0"/>
          <w:position w:val="0"/>
          <w:sz w:val="24"/>
          <w:shd w:fill="auto" w:val="clear"/>
        </w:rPr>
        <w:t xml:space="preserve">proper personal protective equipment, such as gloves and a lab coat.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With the claw, immediately transfer the hot slide rack to a distilled water bath and wash it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samples do not cool down in the TTR1x.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Wash the slides in fresh 100% ethanol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Let the slides dry at room temperature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Barrier creation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w:t>
      </w:r>
      <w:r>
        <w:rPr>
          <w:rFonts w:ascii="Calibri" w:hAnsi="Calibri" w:cs="Calibri" w:eastAsia="Calibri"/>
          <w:color w:val="auto"/>
          <w:spacing w:val="0"/>
          <w:position w:val="0"/>
          <w:sz w:val="24"/>
          <w:shd w:fill="FFFF00" w:val="clear"/>
        </w:rPr>
        <w:t xml:space="preserve">With a hydrophobic barrier pen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draw a barrier around the sample. Let it dry out at for least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Allow the barrier to really dry out. If it wears out during the procedure, do not hesitate to draw it again. Avoid touching the tissue with the pen. The protocol can be paused overnight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Protease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Place the slides on the slide rack and add ~4 drops of Protease Plus per sample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Cover the humidity control tray with a lid and insert it into the hybridization oven for 30 min at 40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evaporation, make sure the turn knob is completely turned to the lock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Remove the tray from the oven and remove the slide rack.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One slide at a time, quickly remove any excess liquid and place the slide in a slide rack submerged in a staining dish filled with distilled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Wash the slides 2x for 2 min in distilled water at room temperature. Agitate constantly.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Running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sections dry out between the incubation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w:t>
      </w:r>
      <w:r>
        <w:rPr>
          <w:rFonts w:ascii="Calibri" w:hAnsi="Calibri" w:cs="Calibri" w:eastAsia="Calibri"/>
          <w:b/>
          <w:color w:val="auto"/>
          <w:spacing w:val="0"/>
          <w:position w:val="0"/>
          <w:sz w:val="24"/>
          <w:shd w:fill="FFFF00" w:val="clear"/>
        </w:rPr>
        <w:t xml:space="preserve">Hybridization of the HPV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probes are prewarmed to dissolve any precipitation prior to use. For this step, instead of </w:t>
      </w:r>
      <w:r>
        <w:rPr>
          <w:rFonts w:ascii="Calibri" w:hAnsi="Calibri" w:cs="Calibri" w:eastAsia="Calibri"/>
          <w:b/>
          <w:color w:val="auto"/>
          <w:spacing w:val="0"/>
          <w:position w:val="0"/>
          <w:sz w:val="24"/>
          <w:shd w:fill="auto" w:val="clear"/>
        </w:rPr>
        <w:t xml:space="preserve">HPV probe</w:t>
      </w:r>
      <w:r>
        <w:rPr>
          <w:rFonts w:ascii="Calibri" w:hAnsi="Calibri" w:cs="Calibri" w:eastAsia="Calibri"/>
          <w:color w:val="auto"/>
          <w:spacing w:val="0"/>
          <w:position w:val="0"/>
          <w:sz w:val="24"/>
          <w:shd w:fill="auto" w:val="clear"/>
        </w:rPr>
        <w:t xml:space="preserve">, peptidyl-prolyl isomerase B (PPIB) for positive control or </w:t>
      </w:r>
      <w:r>
        <w:rPr>
          <w:rFonts w:ascii="Calibri" w:hAnsi="Calibri" w:cs="Calibri" w:eastAsia="Calibri"/>
          <w:color w:val="000000"/>
          <w:spacing w:val="0"/>
          <w:position w:val="0"/>
          <w:sz w:val="24"/>
          <w:shd w:fill="auto" w:val="clear"/>
        </w:rPr>
        <w:t xml:space="preserve">dihydrodipicolinate reductase (</w:t>
      </w:r>
      <w:r>
        <w:rPr>
          <w:rFonts w:ascii="Calibri" w:hAnsi="Calibri" w:cs="Calibri" w:eastAsia="Calibri"/>
          <w:color w:val="auto"/>
          <w:spacing w:val="0"/>
          <w:position w:val="0"/>
          <w:sz w:val="24"/>
          <w:shd w:fill="auto" w:val="clear"/>
        </w:rPr>
        <w:t xml:space="preserve">DAPB) for negative control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may also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Tap and/or flick the slides to remove any excess liquid and place them in the slide rack. Add ~4 drops of HPV probe to entirely cover each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Cover the tray with a lid and insert it into the oven for </w:t>
      </w:r>
      <w:r>
        <w:rPr>
          <w:rFonts w:ascii="Calibri" w:hAnsi="Calibri" w:cs="Calibri" w:eastAsia="Calibri"/>
          <w:b/>
          <w:color w:val="auto"/>
          <w:spacing w:val="0"/>
          <w:position w:val="0"/>
          <w:sz w:val="24"/>
          <w:shd w:fill="FFFF00" w:val="clear"/>
        </w:rPr>
        <w:t xml:space="preserve">2 h</w:t>
      </w:r>
      <w:r>
        <w:rPr>
          <w:rFonts w:ascii="Calibri" w:hAnsi="Calibri" w:cs="Calibri" w:eastAsia="Calibri"/>
          <w:color w:val="auto"/>
          <w:spacing w:val="0"/>
          <w:position w:val="0"/>
          <w:sz w:val="24"/>
          <w:shd w:fill="FFFF00" w:val="clear"/>
        </w:rPr>
        <w:t xml:space="preserve"> at </w:t>
      </w:r>
      <w:r>
        <w:rPr>
          <w:rFonts w:ascii="Calibri" w:hAnsi="Calibri" w:cs="Calibri" w:eastAsia="Calibri"/>
          <w:b/>
          <w:color w:val="auto"/>
          <w:spacing w:val="0"/>
          <w:position w:val="0"/>
          <w:sz w:val="24"/>
          <w:shd w:fill="FFFF00" w:val="clear"/>
        </w:rPr>
        <w:t xml:space="preserve">40 &amp;#176;C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evaporation, make sure the turn nob is completely turned to the lock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Remove the tray from the oven and remove the slide rack.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One slide at a time, quickly remove any excess liquid and place the slide in a slide rack submerged in a staining dish filled with 1x wash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w:t>
      </w:r>
      <w:r>
        <w:rPr>
          <w:rFonts w:ascii="Calibri" w:hAnsi="Calibri" w:cs="Calibri" w:eastAsia="Calibri"/>
          <w:color w:val="auto"/>
          <w:spacing w:val="0"/>
          <w:position w:val="0"/>
          <w:sz w:val="24"/>
          <w:shd w:fill="FFFF00" w:val="clear"/>
        </w:rPr>
        <w:t xml:space="preserve">Wash the slides in 1x wash buffer for 2 min at room temperature with constant agitation. Repeat this with fresh 1x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 Hybridization of AMP1, AMP2, AMP3, and AMP4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include hybridization in the hybridization oven and AMP1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AMP4 from the purchased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Tap and/or flick to remove any excess liquid from the slides and place them in the slide rack. Add ~4 drops of </w:t>
      </w:r>
      <w:r>
        <w:rPr>
          <w:rFonts w:ascii="Calibri" w:hAnsi="Calibri" w:cs="Calibri" w:eastAsia="Calibri"/>
          <w:b/>
          <w:color w:val="auto"/>
          <w:spacing w:val="0"/>
          <w:position w:val="0"/>
          <w:sz w:val="24"/>
          <w:shd w:fill="FFFF00" w:val="clear"/>
        </w:rPr>
        <w:t xml:space="preserve">AMP1</w:t>
      </w:r>
      <w:r>
        <w:rPr>
          <w:rFonts w:ascii="Calibri" w:hAnsi="Calibri" w:cs="Calibri" w:eastAsia="Calibri"/>
          <w:color w:val="auto"/>
          <w:spacing w:val="0"/>
          <w:position w:val="0"/>
          <w:sz w:val="24"/>
          <w:shd w:fill="FFFF00" w:val="clear"/>
        </w:rPr>
        <w:t xml:space="preserve"> to entirely cover each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00" w:val="clear"/>
        </w:rPr>
        <w:t xml:space="preserve">Cover the tray with a lid and insert it into the oven for </w:t>
      </w:r>
      <w:r>
        <w:rPr>
          <w:rFonts w:ascii="Calibri" w:hAnsi="Calibri" w:cs="Calibri" w:eastAsia="Calibri"/>
          <w:b/>
          <w:color w:val="auto"/>
          <w:spacing w:val="0"/>
          <w:position w:val="0"/>
          <w:sz w:val="24"/>
          <w:shd w:fill="FFFF00" w:val="clear"/>
        </w:rPr>
        <w:t xml:space="preserve">30 min</w:t>
      </w:r>
      <w:r>
        <w:rPr>
          <w:rFonts w:ascii="Calibri" w:hAnsi="Calibri" w:cs="Calibri" w:eastAsia="Calibri"/>
          <w:color w:val="auto"/>
          <w:spacing w:val="0"/>
          <w:position w:val="0"/>
          <w:sz w:val="24"/>
          <w:shd w:fill="FFFF00" w:val="clear"/>
        </w:rPr>
        <w:t xml:space="preserve"> at </w:t>
      </w:r>
      <w:r>
        <w:rPr>
          <w:rFonts w:ascii="Calibri" w:hAnsi="Calibri" w:cs="Calibri" w:eastAsia="Calibri"/>
          <w:b/>
          <w:color w:val="auto"/>
          <w:spacing w:val="0"/>
          <w:position w:val="0"/>
          <w:sz w:val="24"/>
          <w:shd w:fill="FFFF00" w:val="clear"/>
        </w:rPr>
        <w:t xml:space="preserve">40 &amp;#176;C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Remove the tray from the oven and remove the slide rack.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One slide at a time, quickly remove any excess liquid and place the slide in a slide rack submerged in a staining dish filled with 1x wash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w:t>
      </w:r>
      <w:r>
        <w:rPr>
          <w:rFonts w:ascii="Calibri" w:hAnsi="Calibri" w:cs="Calibri" w:eastAsia="Calibri"/>
          <w:color w:val="auto"/>
          <w:spacing w:val="0"/>
          <w:position w:val="0"/>
          <w:sz w:val="24"/>
          <w:shd w:fill="FFFF00" w:val="clear"/>
        </w:rPr>
        <w:t xml:space="preserve">Wash the slides in 1x wash buffer for 2 min at room temperature with constant agitation. Repeat this with fresh 1x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Repeat steps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but use ~4 drops of </w:t>
      </w:r>
      <w:r>
        <w:rPr>
          <w:rFonts w:ascii="Calibri" w:hAnsi="Calibri" w:cs="Calibri" w:eastAsia="Calibri"/>
          <w:b/>
          <w:color w:val="auto"/>
          <w:spacing w:val="0"/>
          <w:position w:val="0"/>
          <w:sz w:val="24"/>
          <w:shd w:fill="auto" w:val="clear"/>
        </w:rPr>
        <w:t xml:space="preserve">AMP2</w:t>
      </w:r>
      <w:r>
        <w:rPr>
          <w:rFonts w:ascii="Calibri" w:hAnsi="Calibri" w:cs="Calibri" w:eastAsia="Calibri"/>
          <w:color w:val="auto"/>
          <w:spacing w:val="0"/>
          <w:position w:val="0"/>
          <w:sz w:val="24"/>
          <w:shd w:fill="auto" w:val="clear"/>
        </w:rPr>
        <w:t xml:space="preserve"> instead of AMP1 and incubate for </w:t>
      </w:r>
      <w:r>
        <w:rPr>
          <w:rFonts w:ascii="Calibri" w:hAnsi="Calibri" w:cs="Calibri" w:eastAsia="Calibri"/>
          <w:b/>
          <w:color w:val="auto"/>
          <w:spacing w:val="0"/>
          <w:position w:val="0"/>
          <w:sz w:val="24"/>
          <w:shd w:fill="auto" w:val="clear"/>
        </w:rPr>
        <w:t xml:space="preserve">15 min </w:t>
      </w:r>
      <w:r>
        <w:rPr>
          <w:rFonts w:ascii="Calibri" w:hAnsi="Calibri" w:cs="Calibri" w:eastAsia="Calibri"/>
          <w:color w:val="auto"/>
          <w:spacing w:val="0"/>
          <w:position w:val="0"/>
          <w:sz w:val="24"/>
          <w:shd w:fill="auto" w:val="clear"/>
        </w:rPr>
        <w:t xml:space="preserve">at </w:t>
      </w:r>
      <w:r>
        <w:rPr>
          <w:rFonts w:ascii="Calibri" w:hAnsi="Calibri" w:cs="Calibri" w:eastAsia="Calibri"/>
          <w:b/>
          <w:color w:val="auto"/>
          <w:spacing w:val="0"/>
          <w:position w:val="0"/>
          <w:sz w:val="24"/>
          <w:shd w:fill="auto" w:val="clear"/>
        </w:rPr>
        <w:t xml:space="preserve">40 &amp;#176;C. </w:t>
      </w:r>
      <w:r>
        <w:rPr>
          <w:rFonts w:ascii="Calibri" w:hAnsi="Calibri" w:cs="Calibri" w:eastAsia="Calibri"/>
          <w:color w:val="auto"/>
          <w:spacing w:val="0"/>
          <w:position w:val="0"/>
          <w:sz w:val="24"/>
          <w:shd w:fill="auto" w:val="clear"/>
        </w:rPr>
        <w:t xml:space="preserve">Wash the slides 2x for 2 min, both times in fresh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Repeat steps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but use ~4 drops of </w:t>
      </w:r>
      <w:r>
        <w:rPr>
          <w:rFonts w:ascii="Calibri" w:hAnsi="Calibri" w:cs="Calibri" w:eastAsia="Calibri"/>
          <w:b/>
          <w:color w:val="auto"/>
          <w:spacing w:val="0"/>
          <w:position w:val="0"/>
          <w:sz w:val="24"/>
          <w:shd w:fill="auto" w:val="clear"/>
        </w:rPr>
        <w:t xml:space="preserve">AMP3</w:t>
      </w:r>
      <w:r>
        <w:rPr>
          <w:rFonts w:ascii="Calibri" w:hAnsi="Calibri" w:cs="Calibri" w:eastAsia="Calibri"/>
          <w:color w:val="auto"/>
          <w:spacing w:val="0"/>
          <w:position w:val="0"/>
          <w:sz w:val="24"/>
          <w:shd w:fill="auto" w:val="clear"/>
        </w:rPr>
        <w:t xml:space="preserve"> instead of AMP1 and incubate for </w:t>
      </w:r>
      <w:r>
        <w:rPr>
          <w:rFonts w:ascii="Calibri" w:hAnsi="Calibri" w:cs="Calibri" w:eastAsia="Calibri"/>
          <w:b/>
          <w:color w:val="auto"/>
          <w:spacing w:val="0"/>
          <w:position w:val="0"/>
          <w:sz w:val="24"/>
          <w:shd w:fill="auto" w:val="clear"/>
        </w:rPr>
        <w:t xml:space="preserve">30 min </w:t>
      </w:r>
      <w:r>
        <w:rPr>
          <w:rFonts w:ascii="Calibri" w:hAnsi="Calibri" w:cs="Calibri" w:eastAsia="Calibri"/>
          <w:color w:val="auto"/>
          <w:spacing w:val="0"/>
          <w:position w:val="0"/>
          <w:sz w:val="24"/>
          <w:shd w:fill="auto" w:val="clear"/>
        </w:rPr>
        <w:t xml:space="preserve">at </w:t>
      </w:r>
      <w:r>
        <w:rPr>
          <w:rFonts w:ascii="Calibri" w:hAnsi="Calibri" w:cs="Calibri" w:eastAsia="Calibri"/>
          <w:b/>
          <w:color w:val="auto"/>
          <w:spacing w:val="0"/>
          <w:position w:val="0"/>
          <w:sz w:val="24"/>
          <w:shd w:fill="auto" w:val="clear"/>
        </w:rPr>
        <w:t xml:space="preserve">40 &amp;#176;C. </w:t>
      </w:r>
      <w:r>
        <w:rPr>
          <w:rFonts w:ascii="Calibri" w:hAnsi="Calibri" w:cs="Calibri" w:eastAsia="Calibri"/>
          <w:color w:val="auto"/>
          <w:spacing w:val="0"/>
          <w:position w:val="0"/>
          <w:sz w:val="24"/>
          <w:shd w:fill="auto" w:val="clear"/>
        </w:rPr>
        <w:t xml:space="preserve">Wash the slides 2x for 2 min, both times in fresh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Repeat steps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but use ~4 drops of </w:t>
      </w:r>
      <w:r>
        <w:rPr>
          <w:rFonts w:ascii="Calibri" w:hAnsi="Calibri" w:cs="Calibri" w:eastAsia="Calibri"/>
          <w:b/>
          <w:color w:val="auto"/>
          <w:spacing w:val="0"/>
          <w:position w:val="0"/>
          <w:sz w:val="24"/>
          <w:shd w:fill="auto" w:val="clear"/>
        </w:rPr>
        <w:t xml:space="preserve">AMP4 </w:t>
      </w:r>
      <w:r>
        <w:rPr>
          <w:rFonts w:ascii="Calibri" w:hAnsi="Calibri" w:cs="Calibri" w:eastAsia="Calibri"/>
          <w:color w:val="auto"/>
          <w:spacing w:val="0"/>
          <w:position w:val="0"/>
          <w:sz w:val="24"/>
          <w:shd w:fill="auto" w:val="clear"/>
        </w:rPr>
        <w:t xml:space="preserve">instead of AMP1 and incubate for </w:t>
      </w:r>
      <w:r>
        <w:rPr>
          <w:rFonts w:ascii="Calibri" w:hAnsi="Calibri" w:cs="Calibri" w:eastAsia="Calibri"/>
          <w:b/>
          <w:color w:val="auto"/>
          <w:spacing w:val="0"/>
          <w:position w:val="0"/>
          <w:sz w:val="24"/>
          <w:shd w:fill="auto" w:val="clear"/>
        </w:rPr>
        <w:t xml:space="preserve">15 min </w:t>
      </w:r>
      <w:r>
        <w:rPr>
          <w:rFonts w:ascii="Calibri" w:hAnsi="Calibri" w:cs="Calibri" w:eastAsia="Calibri"/>
          <w:color w:val="auto"/>
          <w:spacing w:val="0"/>
          <w:position w:val="0"/>
          <w:sz w:val="24"/>
          <w:shd w:fill="auto" w:val="clear"/>
        </w:rPr>
        <w:t xml:space="preserve">at </w:t>
      </w:r>
      <w:r>
        <w:rPr>
          <w:rFonts w:ascii="Calibri" w:hAnsi="Calibri" w:cs="Calibri" w:eastAsia="Calibri"/>
          <w:b/>
          <w:color w:val="auto"/>
          <w:spacing w:val="0"/>
          <w:position w:val="0"/>
          <w:sz w:val="24"/>
          <w:shd w:fill="auto" w:val="clear"/>
        </w:rPr>
        <w:t xml:space="preserve">40 &amp;#176;C. </w:t>
      </w:r>
      <w:r>
        <w:rPr>
          <w:rFonts w:ascii="Calibri" w:hAnsi="Calibri" w:cs="Calibri" w:eastAsia="Calibri"/>
          <w:color w:val="auto"/>
          <w:spacing w:val="0"/>
          <w:position w:val="0"/>
          <w:sz w:val="24"/>
          <w:shd w:fill="auto" w:val="clear"/>
        </w:rPr>
        <w:t xml:space="preserve">Wash the slides 2x for 2 min, both times in fresh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Hybridization of AMP5 and AMP6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do not include hybridization in the oven but hybridization at room temperature. AMP5 and AMP6 come from the purchased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Tap and/or flick the slides to remove any excess liquid and place them in the slide rack. Add ~4 drops of </w:t>
      </w:r>
      <w:r>
        <w:rPr>
          <w:rFonts w:ascii="Calibri" w:hAnsi="Calibri" w:cs="Calibri" w:eastAsia="Calibri"/>
          <w:b/>
          <w:color w:val="auto"/>
          <w:spacing w:val="0"/>
          <w:position w:val="0"/>
          <w:sz w:val="24"/>
          <w:shd w:fill="auto" w:val="clear"/>
        </w:rPr>
        <w:t xml:space="preserve">AMP5</w:t>
      </w:r>
      <w:r>
        <w:rPr>
          <w:rFonts w:ascii="Calibri" w:hAnsi="Calibri" w:cs="Calibri" w:eastAsia="Calibri"/>
          <w:color w:val="auto"/>
          <w:spacing w:val="0"/>
          <w:position w:val="0"/>
          <w:sz w:val="24"/>
          <w:shd w:fill="auto" w:val="clear"/>
        </w:rPr>
        <w:t xml:space="preserve"> to entirely cover each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Cover the tray with a lid and incubate for </w:t>
      </w:r>
      <w:r>
        <w:rPr>
          <w:rFonts w:ascii="Calibri" w:hAnsi="Calibri" w:cs="Calibri" w:eastAsia="Calibri"/>
          <w:b/>
          <w:color w:val="auto"/>
          <w:spacing w:val="0"/>
          <w:position w:val="0"/>
          <w:sz w:val="24"/>
          <w:shd w:fill="auto" w:val="clear"/>
        </w:rPr>
        <w:t xml:space="preserve">30 min</w:t>
      </w:r>
      <w:r>
        <w:rPr>
          <w:rFonts w:ascii="Calibri" w:hAnsi="Calibri" w:cs="Calibri" w:eastAsia="Calibri"/>
          <w:color w:val="auto"/>
          <w:spacing w:val="0"/>
          <w:position w:val="0"/>
          <w:sz w:val="24"/>
          <w:shd w:fill="auto" w:val="clear"/>
        </w:rPr>
        <w:t xml:space="preserve"> at </w:t>
      </w:r>
      <w:r>
        <w:rPr>
          <w:rFonts w:ascii="Calibri" w:hAnsi="Calibri" w:cs="Calibri" w:eastAsia="Calibri"/>
          <w:b/>
          <w:color w:val="auto"/>
          <w:spacing w:val="0"/>
          <w:position w:val="0"/>
          <w:sz w:val="24"/>
          <w:shd w:fill="auto" w:val="clear"/>
        </w:rPr>
        <w:t xml:space="preserve">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One slide at a time, quickly remove any excess liquid and place it in a slide rack submerged in a staining dish filled with 1x wash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Wash the slides in 1x wash buffer for 2 min at room temperature with constant agitation. Repeat this with fresh 1x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Repeat steps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but use ~4 drops of </w:t>
      </w:r>
      <w:r>
        <w:rPr>
          <w:rFonts w:ascii="Calibri" w:hAnsi="Calibri" w:cs="Calibri" w:eastAsia="Calibri"/>
          <w:b/>
          <w:color w:val="auto"/>
          <w:spacing w:val="0"/>
          <w:position w:val="0"/>
          <w:sz w:val="24"/>
          <w:shd w:fill="auto" w:val="clear"/>
        </w:rPr>
        <w:t xml:space="preserve">AMP6</w:t>
      </w:r>
      <w:r>
        <w:rPr>
          <w:rFonts w:ascii="Calibri" w:hAnsi="Calibri" w:cs="Calibri" w:eastAsia="Calibri"/>
          <w:color w:val="auto"/>
          <w:spacing w:val="0"/>
          <w:position w:val="0"/>
          <w:sz w:val="24"/>
          <w:shd w:fill="auto" w:val="clear"/>
        </w:rPr>
        <w:t xml:space="preserve"> instead of AMP5 and incubate for </w:t>
      </w:r>
      <w:r>
        <w:rPr>
          <w:rFonts w:ascii="Calibri" w:hAnsi="Calibri" w:cs="Calibri" w:eastAsia="Calibri"/>
          <w:b/>
          <w:color w:val="auto"/>
          <w:spacing w:val="0"/>
          <w:position w:val="0"/>
          <w:sz w:val="24"/>
          <w:shd w:fill="auto" w:val="clear"/>
        </w:rPr>
        <w:t xml:space="preserve">15 min </w:t>
      </w:r>
      <w:r>
        <w:rPr>
          <w:rFonts w:ascii="Calibri" w:hAnsi="Calibri" w:cs="Calibri" w:eastAsia="Calibri"/>
          <w:color w:val="auto"/>
          <w:spacing w:val="0"/>
          <w:position w:val="0"/>
          <w:sz w:val="24"/>
          <w:shd w:fill="auto" w:val="clear"/>
        </w:rPr>
        <w:t xml:space="preserve">at </w:t>
      </w:r>
      <w:r>
        <w:rPr>
          <w:rFonts w:ascii="Calibri" w:hAnsi="Calibri" w:cs="Calibri" w:eastAsia="Calibri"/>
          <w:b/>
          <w:color w:val="auto"/>
          <w:spacing w:val="0"/>
          <w:position w:val="0"/>
          <w:sz w:val="24"/>
          <w:shd w:fill="auto" w:val="clear"/>
        </w:rPr>
        <w:t xml:space="preserve">room temperature. </w:t>
      </w:r>
      <w:r>
        <w:rPr>
          <w:rFonts w:ascii="Calibri" w:hAnsi="Calibri" w:cs="Calibri" w:eastAsia="Calibri"/>
          <w:color w:val="auto"/>
          <w:spacing w:val="0"/>
          <w:position w:val="0"/>
          <w:sz w:val="24"/>
          <w:shd w:fill="auto" w:val="clear"/>
        </w:rPr>
        <w:t xml:space="preserve">Wash the slides 2x for 2 min, both times in fresh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Signal detection with 3,3'-diaminobenzidine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Diaminobenzidine (DAB) is toxic. Follow appropriate precautions and safety guidelines when disposing of and handling this chemical.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Mix equal volumes of DAB-A and DAB-B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an appropriately sized tube by dispensing the same number of drops of each solution. Make ~120 &amp;#181;L of DAB substrate per section (~2 drops of each reagent/total of 4). Mix it well for 3x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Take each slide, one at a time, from the slide rack and tap and/or flick to remove the excess liquid before placing it in the slide rack.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Pipette ~120 &amp;#181;L of DAB onto each tissue section. Ensure the sections are covered, and incubate for 10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Dispose the remaining DAB according to local regulation and insert the slide into a slide rack submerged in a staining dish filled with tap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Counterstaining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Move the slide rack to a staining dish containing 50% hematoxylin staining solution let it rest for 30 s at room temperature. Note that the slides will become purple.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Immediately transfer the slide rack back to a staining dish containing tap water, and wash the slides 3x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5x by moving the rack up and 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Keep repeating the washing step with fresh tap water until the slides are clear, while sections remain purple.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Replace the tap water in the staining dish with 0.02% ammonia water. Move the rack up and down 2x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3x. Note that the tissue section should turn blue.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Replace the ammonia water with tap water. Wash the slides 3x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Move the slide rack to a staining dish containing 70% ethanol in the fume hood and let it rest for 2 min with occasional agitation.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Move the slide rack to a first staining dish containing 100% ethanol and let it rest for 2 min with occasional agitation.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Move the slide rack to a second staining dish containing 100% ethanol and let it rest for 2 min with occasional agitation.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Move the slide rack to a staining dish containing xylene and let it rest for 5 min with occasional agitation.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Slide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Remove the slides from the slide rack and lay them flat with the sections facing up in the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Mount one slide at a time by adding 1 drop of a xylene-based mounting medium to each slide and carefully placing a 24 mm x 50 mm coverslip over the section. Avoid trapping any air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Air-dry the slides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Sample evaluation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Examine the tissue sections under a standard brightfield microscope at 20x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40x magnification.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described here, in head and neck squamous cell cancer, a case may be considered positive in the presence of brown punctiform staining in the cytoplasm or in the nuclei of tumor cells. In most studies, the signal is considered as either “positive” or “not detected”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Methods of semiquantification of the signal have been reported</w:t>
      </w:r>
      <w:r>
        <w:rPr>
          <w:rFonts w:ascii="Calibri" w:hAnsi="Calibri" w:cs="Calibri" w:eastAsia="Calibri"/>
          <w:color w:val="auto"/>
          <w:spacing w:val="0"/>
          <w:position w:val="0"/>
          <w:sz w:val="24"/>
          <w:shd w:fill="auto" w:val="clear"/>
        </w:rPr>
        <w:t xml:space="preserve"> but lack standardization between teams. For example, in some studies, the signals were scored as 1+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dots per tumor cell, 2+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dots per tumor cell, or 3+ with 10 dots or more per tumor cell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post hoc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analyses, only 2+ and 3+ signals, which were easier to interpret, were taken into account. In another study</w:t>
      </w:r>
      <w:r>
        <w:rPr>
          <w:rFonts w:ascii="Calibri" w:hAnsi="Calibri" w:cs="Calibri" w:eastAsia="Calibri"/>
          <w:color w:val="000000"/>
          <w:spacing w:val="0"/>
          <w:position w:val="0"/>
          <w:sz w:val="24"/>
          <w:shd w:fill="auto" w:val="clear"/>
        </w:rPr>
        <w:t xml:space="preserve">, the results were divided into two scores: RNA CISH “high” and RNA CISH “low”. RNA CISH “high” score was defined by more than 50% of stained cancer cells, or by staining covering more than 80% of the cell surface (nucleus and cytoplasm) in at least 30% of the cancer cells, as observed with a 20x objective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positive controls, the PPIB signal</w:t>
      </w:r>
      <w:r>
        <w:rPr>
          <w:rFonts w:ascii="Calibri" w:hAnsi="Calibri" w:cs="Calibri" w:eastAsia="Calibri"/>
          <w:color w:val="auto"/>
          <w:spacing w:val="0"/>
          <w:position w:val="0"/>
          <w:sz w:val="24"/>
          <w:shd w:fill="auto" w:val="clear"/>
        </w:rPr>
        <w:t xml:space="preserve"> should be visible as punctate dots within cell nuclei at 20x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40x magnification. As for negative control slides, one dot to every 10 cells displaying background DAB staining per 20x microscope field is acceptable.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Examples of “low” and “high” RNA CISH staining.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 CISH “low” score staining in oropharyngeal squamous cell carcinomas. Staining is observed in under 50% of the tumor cells and covers less than 80% of the cell surface.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 CISH “high” score staining in oropharyngeal squamous cell carcinomas. Staining is observed in more than 50% of the tumor cells and, in this case, the staining surface exceeds 80% in more than 30% of the tumor cells. This figure has been modified from Augustin et al.</w:t>
      </w:r>
      <w:r>
        <w:rPr>
          <w:rFonts w:ascii="Calibri" w:hAnsi="Calibri" w:cs="Calibri" w:eastAsia="Calibri"/>
          <w:color w:val="auto"/>
          <w:spacing w:val="0"/>
          <w:position w:val="0"/>
          <w:sz w:val="24"/>
          <w:shd w:fill="auto" w:val="clear"/>
          <w:vertAlign w:val="superscript"/>
        </w:rPr>
        <w:t xml:space="preserve">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sksjdfkjbsdfkjbsdfkjb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HPV RNA CISH performed with a purchased kit is a powerful tool for the detection of viral transcripts and it indicates active HPV infection. Performed manually, the steps of the protocol are overall easy to follow, and the purchased kit is convenient. This technique allows the staining of 19 histological samples plus one control slide at once, and the assay lasts around 8 h. It is critical not to let the samples dry out between steps unless otherwise mentioned. The pretreatment condition may need to be adjusted depending on the manipulated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HPV E6-E7 mRNA expression signal is detected with a precise spatial resolution, thereby ruling out any contamination from HPV-infected nonneoplastic cells adjacent to the tumor. Detection of HPV E6 and E7 RNA is functionally relevant since these transcripts are needed for HPV-induced cell transformation through their interaction with the cellular p53 and pRb proteins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Therefore, in precancerous lesions of the uterine cervix, HPV RNA CISH may help discriminate low-grade intraepithelial lesions (LSIL) from high-grade intraepithelial lesions (HSIL) according to the localization of the signal: in most cases of LSIL, abundant diffusely stained nuclei are labeled throughout the epithelial thickness, indicating a productive phase. HSIL exhibit either abundant diffusely stained cell nuclei in the superficial layer, coexisting with strong nuclear and cytoplasmic punctuate signals in the lower layer (in lesions formerly known as CIN2), or strong nuclear staining with cytoplasmic dots throughout the thickness of the epithelium, indicating the transformative phase of HPV infection (in lesions formerly known as CIN3)</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is as yet no standard recommendation for the semiquantitative evaluation of the signal, some authors report a clinical relevance since the semiquantitative evaluation of HPV E6 and E7 transcripts has allowed the identification of two prognostic groups among HPV-related HNSCC patients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has been postulated that the detection of HPV DNA without E6 and E7 transcripts or with only low levels of E6 and E7 transcripts would be functionally irrelevant and that such patients should be pooled with HPV-negative cancer patients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limitations of this procedure, it is postulated that a few nonspecific cross hybridizations might happen in some cases, as hypothesized by </w:t>
      </w:r>
      <w:r>
        <w:rPr>
          <w:rFonts w:ascii="Calibri" w:hAnsi="Calibri" w:cs="Calibri" w:eastAsia="Calibri"/>
          <w:color w:val="000000"/>
          <w:spacing w:val="0"/>
          <w:position w:val="0"/>
          <w:sz w:val="24"/>
          <w:shd w:fill="auto" w:val="clear"/>
        </w:rPr>
        <w:t xml:space="preserve">Dreyer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RNA CISH may not be suitable for discrimination between E6/E7 RNA transcripts and viral DNA, as the protocol includes a 100 &amp;#176;C heat treatment step, which is suspected to allow for viral DNA denaturation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is supported by the observation of two types of signals in positive cases, namely strong staining mainly localized in tumor cell nuclei, as well as a fine granular signal in the cytoplasm. </w:t>
      </w:r>
      <w:r>
        <w:rPr>
          <w:rFonts w:ascii="Calibri" w:hAnsi="Calibri" w:cs="Calibri" w:eastAsia="Calibri"/>
          <w:color w:val="auto"/>
          <w:spacing w:val="0"/>
          <w:position w:val="0"/>
          <w:sz w:val="24"/>
          <w:shd w:fill="auto" w:val="clear"/>
        </w:rPr>
        <w:t xml:space="preserve">As the probe used in this protocol specifically binds HPV genotypes 16 and 18, which are involved in a vast majority of HPV-related HNSCC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occasional HPV-associated cases may be missed by RNA CISH, either because of certain HPV genotypes that are not included in the probe, or because of mutations or deletions of primer binding sites. Finally, this method requires costly reagents and devices and is not easily accessible in routine practice.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every sample, a total of three sections are needed: one to perform the HPV assay, one for the positive control, and one for the negative control. As RNA is a fragile molecule and might deteriorate over time in FFPE samples, the quality of the transcripts has to be checked for every sample, using positive control probes such as PPIB, DNA-directed RNA polymerase II subunit RPB1 (</w:t>
      </w:r>
      <w:r>
        <w:rPr>
          <w:rFonts w:ascii="Calibri" w:hAnsi="Calibri" w:cs="Calibri" w:eastAsia="Calibri"/>
          <w:caps w:val="true"/>
          <w:color w:val="auto"/>
          <w:spacing w:val="0"/>
          <w:position w:val="0"/>
          <w:sz w:val="24"/>
          <w:shd w:fill="auto" w:val="clear"/>
        </w:rPr>
        <w:t xml:space="preserve">Polr2a</w:t>
      </w:r>
      <w:r>
        <w:rPr>
          <w:rFonts w:ascii="Calibri" w:hAnsi="Calibri" w:cs="Calibri" w:eastAsia="Calibri"/>
          <w:color w:val="auto"/>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polyubiquitin-C (</w:t>
      </w:r>
      <w:r>
        <w:rPr>
          <w:rFonts w:ascii="Calibri" w:hAnsi="Calibri" w:cs="Calibri" w:eastAsia="Calibri"/>
          <w:color w:val="auto"/>
          <w:spacing w:val="0"/>
          <w:position w:val="0"/>
          <w:sz w:val="24"/>
          <w:shd w:fill="auto" w:val="clear"/>
        </w:rPr>
        <w:t xml:space="preserve">UBC), which are human housekeeping genes. Moreover, when there is a semiquantitative approach, the signal must be normalized to the housekeeping gene control probe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recommended positive control for each tissue may be found in the manufacturer’s instructions. </w:t>
      </w:r>
      <w:r>
        <w:rPr>
          <w:rFonts w:ascii="Calibri" w:hAnsi="Calibri" w:cs="Calibri" w:eastAsia="Calibri"/>
          <w:color w:val="000000"/>
          <w:spacing w:val="0"/>
          <w:position w:val="0"/>
          <w:sz w:val="24"/>
          <w:shd w:fill="auto" w:val="clear"/>
        </w:rPr>
        <w:t xml:space="preserve">However, a recent study confirms that mRNA expression can be robustly studied both in prospective and retrospective samples, showing comparable mRNA levels between samples from 2004 and from 2008. This is in favor of the relative integrity of mRNA over time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recommended negative control probe used to avoid unspecific staining is the bacterial gene coding for DAPB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chromogenic in situ hybridization of HPV RNA is described as performed manually. This technique may also be performed with fluorescent labeling and/or combined with conventional immunostaining.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the department of Pathology of Hopital Europ&amp;#233;en Georges Pompidou and Necker (Laurianne Chambolle, Elodie Michel, and Gis&amp;#232;le Legall); the Histology platform of PARCC, Hopital Europ&amp;#233;en Georges Pompidou (Corinne Lesaffre); Virginia Clark for language editing; Alexandra Elbakyan for her contribution.</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Lowy, D.R., Schiller, J.T. Reducing HPV-associated cancer globally. </w:t>
      </w:r>
      <w:r>
        <w:rPr>
          <w:rFonts w:ascii="Calibri" w:hAnsi="Calibri" w:cs="Calibri" w:eastAsia="Calibri"/>
          <w:i/>
          <w:color w:val="000000"/>
          <w:spacing w:val="0"/>
          <w:position w:val="0"/>
          <w:sz w:val="24"/>
          <w:shd w:fill="auto" w:val="clear"/>
        </w:rPr>
        <w:t xml:space="preserve">Cancer Prevention Research </w:t>
      </w:r>
      <w:r>
        <w:rPr>
          <w:rFonts w:ascii="Calibri" w:hAnsi="Calibri" w:cs="Calibri" w:eastAsia="Calibri"/>
          <w:color w:val="000000"/>
          <w:spacing w:val="0"/>
          <w:position w:val="0"/>
          <w:sz w:val="24"/>
          <w:shd w:fill="auto" w:val="clear"/>
        </w:rPr>
        <w:t xml:space="preserve">(Philadelphia, PA).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doi: 10.1158/1940-6207.CAPR-11-0542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Laban, S., Hoffmann, T.K. Human Papillomavirus Immunity in Oropharyngeal Cancer: Time to Change the Game?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507, doi: 10.1158/1078-0432.CCR-17-2991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Wiest, T., Schwarz, E., Enders, C., Flechtenmacher, C., Bosch, F.X. Involvement of intact HPV16 E6/E7 gene expression in head and neck cancers with unaltered p53 status and perturbed pRb cell cycle control.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1510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1517, doi: 10.1038/sj.onc.1205214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Ndiaye, C. et al. HPV DNA, E6/E7 mRNA, and p16INK4a detection in head and neck cancers: a systematic review and meta-analysis. </w:t>
      </w:r>
      <w:r>
        <w:rPr>
          <w:rFonts w:ascii="Calibri" w:hAnsi="Calibri" w:cs="Calibri" w:eastAsia="Calibri"/>
          <w:i/>
          <w:color w:val="000000"/>
          <w:spacing w:val="0"/>
          <w:position w:val="0"/>
          <w:sz w:val="24"/>
          <w:shd w:fill="auto" w:val="clear"/>
        </w:rPr>
        <w:t xml:space="preserve">The 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1319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1331, doi: 10.1016/s1470-2045(14)70471-1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Mills, A.M., Dirks, D.C., Poulter, M.D., Mills, S.E., Stoler, M.H. HR-HPV E6/E7 mRNA In Situ Hybridization. </w:t>
      </w:r>
      <w:r>
        <w:rPr>
          <w:rFonts w:ascii="Calibri" w:hAnsi="Calibri" w:cs="Calibri" w:eastAsia="Calibri"/>
          <w:i/>
          <w:color w:val="000000"/>
          <w:spacing w:val="0"/>
          <w:position w:val="0"/>
          <w:sz w:val="24"/>
          <w:shd w:fill="auto" w:val="clear"/>
        </w:rPr>
        <w:t xml:space="preserve">The American Journal of Surgical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615, doi: 10.1097/PAS.0000000000000800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Mendez-Pena, J.E., Sadow, P.M., Nose, V., Hoang, M.P. RNA chromogenic in situ hybridization assay with clinical automated platform is a sensitive method in detecting high-risk human papillomavirus in squamous cell carcinoma. </w:t>
      </w:r>
      <w:r>
        <w:rPr>
          <w:rFonts w:ascii="Calibri" w:hAnsi="Calibri" w:cs="Calibri" w:eastAsia="Calibri"/>
          <w:i/>
          <w:color w:val="000000"/>
          <w:spacing w:val="0"/>
          <w:position w:val="0"/>
          <w:sz w:val="24"/>
          <w:shd w:fill="auto" w:val="clear"/>
        </w:rPr>
        <w:t xml:space="preserve">Human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doi: 10.1016/j.humpath.2017.02.021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Mirghani, H. et al. Diagnosis of HPV driven oropharyngeal cancers: Comparing p16 based algorithms with the RNAscope HPV-test.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doi: 10.1016/j.oraloncology.2016.10.009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Lewis, J.S. et al. Human Papillomavirus Testing in Head and Neck Carcinomas: Guideline From the College of American Pathologists. </w:t>
      </w:r>
      <w:r>
        <w:rPr>
          <w:rFonts w:ascii="Calibri" w:hAnsi="Calibri" w:cs="Calibri" w:eastAsia="Calibri"/>
          <w:i/>
          <w:color w:val="000000"/>
          <w:spacing w:val="0"/>
          <w:position w:val="0"/>
          <w:sz w:val="24"/>
          <w:shd w:fill="auto" w:val="clear"/>
        </w:rPr>
        <w:t xml:space="preserve">Archives of Pathology &amp;amp; Laboratory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(5), 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597, doi: 10.5858/arpa.2017-0286-cp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Mills, A.M., Coppock, J.D., Willis, B.C., Stoler, M.H. HPV E6/E7 mRNA In Situ Hybridization in the Diagnosis of Cervical Low-grade Squamous Intraepithelial Lesions (LSIL). </w:t>
      </w:r>
      <w:r>
        <w:rPr>
          <w:rFonts w:ascii="Calibri" w:hAnsi="Calibri" w:cs="Calibri" w:eastAsia="Calibri"/>
          <w:i/>
          <w:color w:val="000000"/>
          <w:spacing w:val="0"/>
          <w:position w:val="0"/>
          <w:sz w:val="24"/>
          <w:shd w:fill="auto" w:val="clear"/>
        </w:rPr>
        <w:t xml:space="preserve">The American Journal of Surgical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doi: 10.1097/PAS.0000000000000974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El-Naggar, A., Chan, J.K.C., Grandis, J.R., Takata, T., Slootweg, P.J. </w:t>
      </w:r>
      <w:r>
        <w:rPr>
          <w:rFonts w:ascii="Calibri" w:hAnsi="Calibri" w:cs="Calibri" w:eastAsia="Calibri"/>
          <w:i/>
          <w:color w:val="000000"/>
          <w:spacing w:val="0"/>
          <w:position w:val="0"/>
          <w:sz w:val="24"/>
          <w:shd w:fill="auto" w:val="clear"/>
        </w:rPr>
        <w:t xml:space="preserve">WHO Classification of Head and Neck Tumours</w:t>
      </w:r>
      <w:r>
        <w:rPr>
          <w:rFonts w:ascii="Calibri" w:hAnsi="Calibri" w:cs="Calibri" w:eastAsia="Calibri"/>
          <w:color w:val="000000"/>
          <w:spacing w:val="0"/>
          <w:position w:val="0"/>
          <w:sz w:val="24"/>
          <w:shd w:fill="auto" w:val="clear"/>
        </w:rPr>
        <w:t xml:space="preserve">. International Agency for Research on Cancer. Lyon, France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Ang, K.K. et al. Human papillomavirus and survival of patients with oropharyngeal cancer.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363</w:t>
      </w:r>
      <w:r>
        <w:rPr>
          <w:rFonts w:ascii="Calibri" w:hAnsi="Calibri" w:cs="Calibri" w:eastAsia="Calibri"/>
          <w:color w:val="000000"/>
          <w:spacing w:val="0"/>
          <w:position w:val="0"/>
          <w:sz w:val="24"/>
          <w:shd w:fill="auto" w:val="clear"/>
        </w:rPr>
        <w:t xml:space="preserve"> (1),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doi: 10.1056/NEJMoa0912217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Badoual, C. et al. PD-1-expressing tumor-infiltrating T cells are a favorable prognostic biomarker in HPV-associated head and neck cancer.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doi: 10.1158/0008-5472.CAN-12-2606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Outh-Gauer, S. et al. Immunotherapy in head and neck cancers: a new challenge for immunologists, pathologists and clinicians. </w:t>
      </w:r>
      <w:r>
        <w:rPr>
          <w:rFonts w:ascii="Calibri" w:hAnsi="Calibri" w:cs="Calibri" w:eastAsia="Calibri"/>
          <w:i/>
          <w:color w:val="000000"/>
          <w:spacing w:val="0"/>
          <w:position w:val="0"/>
          <w:sz w:val="24"/>
          <w:shd w:fill="auto" w:val="clear"/>
        </w:rPr>
        <w:t xml:space="preserve">Cancer Treatment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(February), 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doi: 10.1016/j.ctrv.2018.02.008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Mirghani, H. et al. Diagnosis of HPV-driven head and neck cancer with a single test in routine clinical practice. </w:t>
      </w:r>
      <w:r>
        <w:rPr>
          <w:rFonts w:ascii="Calibri" w:hAnsi="Calibri" w:cs="Calibri" w:eastAsia="Calibri"/>
          <w:i/>
          <w:color w:val="000000"/>
          <w:spacing w:val="0"/>
          <w:position w:val="0"/>
          <w:sz w:val="24"/>
          <w:shd w:fill="auto" w:val="clear"/>
        </w:rPr>
        <w:t xml:space="preserve">Modern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(12), 1518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1527, doi: 10.1038/modpathol.2015.113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Bishop, J.A. et al. Detection of Transcriptionally Active High-risk HPV in Patients With Head and Neck Squamous Cell Carcinoma as Visualized by a Novel E6/E7 mRNA In Situ Hybridization Method. </w:t>
      </w:r>
      <w:r>
        <w:rPr>
          <w:rFonts w:ascii="Calibri" w:hAnsi="Calibri" w:cs="Calibri" w:eastAsia="Calibri"/>
          <w:i/>
          <w:color w:val="000000"/>
          <w:spacing w:val="0"/>
          <w:position w:val="0"/>
          <w:sz w:val="24"/>
          <w:shd w:fill="auto" w:val="clear"/>
        </w:rPr>
        <w:t xml:space="preserve">The American Journal of Surgical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(12), 1874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1882, doi: 10.1097/pas.0b013e318265fb2b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Hsieh, M.-S., Lee, Y.-H., Jin, Y.-T., Huang, W.-C. Strong SOX10 expression in human papillomavirus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related multiphenotypic sinonasal carcinoma: report of 6 new cases validated by high-risk human papillomavirus mRNA in situ hybridization test. </w:t>
      </w:r>
      <w:r>
        <w:rPr>
          <w:rFonts w:ascii="Calibri" w:hAnsi="Calibri" w:cs="Calibri" w:eastAsia="Calibri"/>
          <w:i/>
          <w:color w:val="000000"/>
          <w:spacing w:val="0"/>
          <w:position w:val="0"/>
          <w:sz w:val="24"/>
          <w:shd w:fill="auto" w:val="clear"/>
        </w:rPr>
        <w:t xml:space="preserve">Human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264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 doi: 10.1016/j.humpath.2018.07.026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Shi, W. et al. Comparative Prognostic Value of HPV16 E6 mRNA Compared With In Situ Hybridization for Human Oropharyngeal Squamous Carcinoma.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(36), 6213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6221, doi: 10.1200/jco.2009.23.1670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Kuo, K.-T. et al. The biomarkers of human papillomavirus infection in tonsillar squamous cell carcinoma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molecular basis and predicting favorable outcome. </w:t>
      </w:r>
      <w:r>
        <w:rPr>
          <w:rFonts w:ascii="Calibri" w:hAnsi="Calibri" w:cs="Calibri" w:eastAsia="Calibri"/>
          <w:i/>
          <w:color w:val="000000"/>
          <w:spacing w:val="0"/>
          <w:position w:val="0"/>
          <w:sz w:val="24"/>
          <w:shd w:fill="auto" w:val="clear"/>
        </w:rPr>
        <w:t xml:space="preserve">Modern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376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386, doi: 10.1038/modpathol.3800979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Augustin, J. et al. Evaluation of the efficacy of the four tests (p16 immunochemistry, PCR, DNA and RNA In situ Hybridization) to evaluate a Human Papillomavirus infection in head and neck cancers: a cohort of 348 French squamous cell carcinomas. </w:t>
      </w:r>
      <w:r>
        <w:rPr>
          <w:rFonts w:ascii="Calibri" w:hAnsi="Calibri" w:cs="Calibri" w:eastAsia="Calibri"/>
          <w:i/>
          <w:color w:val="000000"/>
          <w:spacing w:val="0"/>
          <w:position w:val="0"/>
          <w:sz w:val="24"/>
          <w:shd w:fill="auto" w:val="clear"/>
        </w:rPr>
        <w:t xml:space="preserve">Human Pathology</w:t>
      </w:r>
      <w:r>
        <w:rPr>
          <w:rFonts w:ascii="Calibri" w:hAnsi="Calibri" w:cs="Calibri" w:eastAsia="Calibri"/>
          <w:color w:val="000000"/>
          <w:spacing w:val="0"/>
          <w:position w:val="0"/>
          <w:sz w:val="24"/>
          <w:shd w:fill="auto" w:val="clear"/>
        </w:rPr>
        <w:t xml:space="preserve">. doi: 10.1016/j.humpath.2018.04.006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Jung, A.C. et al. Biological and clinical relevance of transcriptionally active human papillomavirus (HPV) infection in oropharynx squamous cell carcinoma.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(8), 1882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1894, doi: 10.1002/ijc.24911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Augustin, J. et al. HPV RNA CISH score identifies two prognostic groups in a p16 positive oropharyngeal squamous cell carcinoma population. </w:t>
      </w:r>
      <w:r>
        <w:rPr>
          <w:rFonts w:ascii="Calibri" w:hAnsi="Calibri" w:cs="Calibri" w:eastAsia="Calibri"/>
          <w:i/>
          <w:color w:val="000000"/>
          <w:spacing w:val="0"/>
          <w:position w:val="0"/>
          <w:sz w:val="24"/>
          <w:shd w:fill="auto" w:val="clear"/>
        </w:rPr>
        <w:t xml:space="preserve">Modern Pathology</w:t>
      </w:r>
      <w:r>
        <w:rPr>
          <w:rFonts w:ascii="Calibri" w:hAnsi="Calibri" w:cs="Calibri" w:eastAsia="Calibri"/>
          <w:color w:val="000000"/>
          <w:spacing w:val="0"/>
          <w:position w:val="0"/>
          <w:sz w:val="24"/>
          <w:shd w:fill="auto" w:val="clear"/>
        </w:rPr>
        <w:t xml:space="preserve">. doi: 10.1038/s41379-018-0090-y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Evans, M.F. et al. HPV E6/E7 RNA In Situ Hybridization Signal Patterns as Biomarkers of Three-Tier Cervical Intraepithelial Neoplasia Grade.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e91142, doi: 10.1371/journal.pone.0091142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Dreyer, J.H., Hauck, F., Oliveira-Silva, M., Barros, M.H.M., Niedobitek, G. Detection of HPV infection in head and neck squamous cell carcinoma: a practical proposal. </w:t>
      </w:r>
      <w:r>
        <w:rPr>
          <w:rFonts w:ascii="Calibri" w:hAnsi="Calibri" w:cs="Calibri" w:eastAsia="Calibri"/>
          <w:i/>
          <w:color w:val="000000"/>
          <w:spacing w:val="0"/>
          <w:position w:val="0"/>
          <w:sz w:val="24"/>
          <w:shd w:fill="auto" w:val="clear"/>
        </w:rPr>
        <w:t xml:space="preserve">Virchows Archiv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462</w:t>
      </w:r>
      <w:r>
        <w:rPr>
          <w:rFonts w:ascii="Calibri" w:hAnsi="Calibri" w:cs="Calibri" w:eastAsia="Calibri"/>
          <w:color w:val="000000"/>
          <w:spacing w:val="0"/>
          <w:position w:val="0"/>
          <w:sz w:val="24"/>
          <w:shd w:fill="auto" w:val="clear"/>
        </w:rPr>
        <w:t xml:space="preserve"> (4), 381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389, doi: 10.1007/s00428-013-1393-5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Bingham, V. et al. RNAscope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confirms mRNA integrity in formalin-fixed, paraffin-embedded cancer tissue samples.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doi: 10.18632/oncotarget.21851 (2017).</w:t>
      </w:r>
    </w:p>
    <w:p>
      <w:pPr>
        <w:spacing w:before="0" w:after="0" w:line="240"/>
        <w:ind w:right="0" w:left="640" w:hanging="64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