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5F82F" w14:textId="77777777" w:rsidR="00115E45" w:rsidRDefault="00115E45" w:rsidP="00115E45">
      <w:bookmarkStart w:id="0" w:name="_Hlk534656378"/>
      <w:r>
        <w:rPr>
          <w:rFonts w:hint="eastAsia"/>
        </w:rPr>
        <w:t>D</w:t>
      </w:r>
      <w:r>
        <w:t>ear Reviewers:</w:t>
      </w:r>
    </w:p>
    <w:p w14:paraId="088EEE88" w14:textId="77777777" w:rsidR="00115E45" w:rsidRDefault="00115E45" w:rsidP="00115E45"/>
    <w:p w14:paraId="6E619E83" w14:textId="77777777" w:rsidR="00115E45" w:rsidRDefault="00115E45" w:rsidP="00115E45">
      <w:r>
        <w:t>We wish to thank you for the time and effort you have spent reviewing our paper. We are pleased to note that you have found our research work interesting and also pointed out some problems to help us improve the quality of our work.</w:t>
      </w:r>
    </w:p>
    <w:p w14:paraId="320AEFE4" w14:textId="77777777" w:rsidR="00115E45" w:rsidRDefault="00115E45" w:rsidP="00115E45"/>
    <w:p w14:paraId="68A1D1AC" w14:textId="2C19E461" w:rsidR="00115E45" w:rsidRDefault="00115E45" w:rsidP="00115E45">
      <w:r>
        <w:rPr>
          <w:rFonts w:hint="eastAsia"/>
        </w:rPr>
        <w:t>M</w:t>
      </w:r>
      <w:r>
        <w:t>otivated by your comments, we have deeply reconsidered the architecture of our work and tried to fix all the problems you mentioned. In particular, this revised manuscript of our resubmitted letter has significantly been improved mainly as follows:</w:t>
      </w:r>
      <w:r w:rsidRPr="00F07E19">
        <w:t xml:space="preserve"> </w:t>
      </w:r>
      <w:r w:rsidRPr="00F07E19">
        <w:rPr>
          <w:color w:val="FF0000"/>
        </w:rPr>
        <w:t xml:space="preserve">(The </w:t>
      </w:r>
      <w:r w:rsidR="00425301">
        <w:rPr>
          <w:color w:val="FF0000"/>
        </w:rPr>
        <w:t>reply is</w:t>
      </w:r>
      <w:r w:rsidRPr="00F07E19">
        <w:rPr>
          <w:color w:val="FF0000"/>
        </w:rPr>
        <w:t xml:space="preserve"> in red in the revised letter for your convenience)</w:t>
      </w:r>
    </w:p>
    <w:bookmarkEnd w:id="0"/>
    <w:p w14:paraId="2DF5DD88" w14:textId="6AD7E0C8" w:rsidR="00932A4E" w:rsidRDefault="00932A4E" w:rsidP="00115E45"/>
    <w:p w14:paraId="76D749CC" w14:textId="4DF56F15" w:rsidR="00115E45" w:rsidRDefault="00115E45" w:rsidP="00115E45">
      <w:r>
        <w:rPr>
          <w:rFonts w:hint="eastAsia"/>
        </w:rPr>
        <w:t>1</w:t>
      </w:r>
      <w:r>
        <w:t>.</w:t>
      </w:r>
      <w:r w:rsidRPr="00115E45">
        <w:t xml:space="preserve"> I think the most interesting thing is this work is the visualized and constant volume gas-solid coupling test system. However, in the line "84" of the manuscript, the authors added a review (review 24) there. I am failed to find this review, but from the name of this literature, I think it is closely related to this work. So, the difference between these two papers should be illustrated.</w:t>
      </w:r>
    </w:p>
    <w:p w14:paraId="5BB35277" w14:textId="51E9CE4A" w:rsidR="00115E45" w:rsidRDefault="00115E45" w:rsidP="00115E45">
      <w:pPr>
        <w:rPr>
          <w:color w:val="FF0000"/>
        </w:rPr>
      </w:pPr>
      <w:r w:rsidRPr="005006AC">
        <w:rPr>
          <w:rFonts w:hint="eastAsia"/>
          <w:color w:val="FF0000"/>
        </w:rPr>
        <w:t>R</w:t>
      </w:r>
      <w:r w:rsidRPr="005006AC">
        <w:rPr>
          <w:color w:val="FF0000"/>
        </w:rPr>
        <w:t xml:space="preserve">eply: Thanks for the comments. In fact, the review 24 focus on the system introduction and related experiment analysis. </w:t>
      </w:r>
      <w:r w:rsidR="00425301">
        <w:rPr>
          <w:color w:val="FF0000"/>
        </w:rPr>
        <w:t>Most importantly,</w:t>
      </w:r>
      <w:r w:rsidRPr="005006AC">
        <w:rPr>
          <w:color w:val="FF0000"/>
        </w:rPr>
        <w:t xml:space="preserve"> its application test</w:t>
      </w:r>
      <w:r w:rsidR="00EA788F">
        <w:rPr>
          <w:color w:val="FF0000"/>
        </w:rPr>
        <w:t>s are</w:t>
      </w:r>
      <w:r w:rsidRPr="005006AC">
        <w:rPr>
          <w:color w:val="FF0000"/>
        </w:rPr>
        <w:t xml:space="preserve"> different from the test in this paper.</w:t>
      </w:r>
      <w:r w:rsidR="00EA788F">
        <w:rPr>
          <w:color w:val="FF0000"/>
        </w:rPr>
        <w:t xml:space="preserve"> In fact,</w:t>
      </w:r>
      <w:r w:rsidR="00EA788F" w:rsidRPr="00EA788F">
        <w:rPr>
          <w:color w:val="FF0000"/>
        </w:rPr>
        <w:t xml:space="preserve"> </w:t>
      </w:r>
      <w:proofErr w:type="spellStart"/>
      <w:r w:rsidR="00EA788F" w:rsidRPr="00EA788F">
        <w:rPr>
          <w:color w:val="FF0000"/>
        </w:rPr>
        <w:t>JoVE</w:t>
      </w:r>
      <w:proofErr w:type="spellEnd"/>
      <w:r w:rsidR="00EA788F" w:rsidRPr="00EA788F">
        <w:rPr>
          <w:color w:val="FF0000"/>
        </w:rPr>
        <w:t xml:space="preserve"> is a method-based journal</w:t>
      </w:r>
      <w:r w:rsidR="00EA788F">
        <w:rPr>
          <w:color w:val="FF0000"/>
        </w:rPr>
        <w:t>.</w:t>
      </w:r>
      <w:r w:rsidR="00EA788F" w:rsidRPr="00EA788F">
        <w:rPr>
          <w:color w:val="FF0000"/>
        </w:rPr>
        <w:t xml:space="preserve"> </w:t>
      </w:r>
      <w:r w:rsidR="00EA788F">
        <w:rPr>
          <w:color w:val="FF0000"/>
        </w:rPr>
        <w:t>T</w:t>
      </w:r>
      <w:r w:rsidRPr="005006AC">
        <w:rPr>
          <w:color w:val="FF0000"/>
        </w:rPr>
        <w:t xml:space="preserve">his paper aims to present the whole procedure </w:t>
      </w:r>
      <w:r w:rsidR="00EA788F">
        <w:rPr>
          <w:color w:val="FF0000"/>
        </w:rPr>
        <w:t>of</w:t>
      </w:r>
      <w:r w:rsidRPr="005006AC">
        <w:rPr>
          <w:color w:val="FF0000"/>
        </w:rPr>
        <w:t xml:space="preserve"> test and provide this </w:t>
      </w:r>
      <w:r w:rsidR="00EA788F">
        <w:rPr>
          <w:color w:val="FF0000"/>
        </w:rPr>
        <w:t xml:space="preserve">experimental </w:t>
      </w:r>
      <w:r w:rsidRPr="005006AC">
        <w:rPr>
          <w:color w:val="FF0000"/>
        </w:rPr>
        <w:t xml:space="preserve">method for </w:t>
      </w:r>
      <w:r w:rsidR="005006AC" w:rsidRPr="005006AC">
        <w:rPr>
          <w:color w:val="FF0000"/>
        </w:rPr>
        <w:t>readers</w:t>
      </w:r>
      <w:r w:rsidRPr="005006AC">
        <w:rPr>
          <w:color w:val="FF0000"/>
        </w:rPr>
        <w:t>, which lies in the requirement of method-based journal</w:t>
      </w:r>
      <w:r w:rsidR="00EA788F">
        <w:rPr>
          <w:color w:val="FF0000"/>
        </w:rPr>
        <w:t xml:space="preserve">. </w:t>
      </w:r>
      <w:r w:rsidRPr="005006AC">
        <w:rPr>
          <w:color w:val="FF0000"/>
        </w:rPr>
        <w:t xml:space="preserve">Additionally, the test </w:t>
      </w:r>
      <w:r w:rsidR="00425301">
        <w:rPr>
          <w:color w:val="FF0000"/>
        </w:rPr>
        <w:t xml:space="preserve">apparatus and </w:t>
      </w:r>
      <w:r w:rsidRPr="005006AC">
        <w:rPr>
          <w:color w:val="FF0000"/>
        </w:rPr>
        <w:t>method ha</w:t>
      </w:r>
      <w:r w:rsidR="00425301">
        <w:rPr>
          <w:color w:val="FF0000"/>
        </w:rPr>
        <w:t xml:space="preserve">ve </w:t>
      </w:r>
      <w:r w:rsidRPr="005006AC">
        <w:rPr>
          <w:color w:val="FF0000"/>
        </w:rPr>
        <w:t xml:space="preserve">been </w:t>
      </w:r>
      <w:r w:rsidR="005006AC" w:rsidRPr="005006AC">
        <w:rPr>
          <w:color w:val="FF0000"/>
        </w:rPr>
        <w:t xml:space="preserve">great </w:t>
      </w:r>
      <w:r w:rsidRPr="005006AC">
        <w:rPr>
          <w:color w:val="FF0000"/>
        </w:rPr>
        <w:t>improved</w:t>
      </w:r>
      <w:r w:rsidR="005006AC" w:rsidRPr="005006AC">
        <w:rPr>
          <w:color w:val="FF0000"/>
        </w:rPr>
        <w:t xml:space="preserve"> and become more concise and accurate</w:t>
      </w:r>
      <w:r w:rsidRPr="005006AC">
        <w:rPr>
          <w:color w:val="FF0000"/>
        </w:rPr>
        <w:t>. Thus, there are no interest conflict between two papers.</w:t>
      </w:r>
    </w:p>
    <w:p w14:paraId="30F91FE2" w14:textId="6048F46C" w:rsidR="005006AC" w:rsidRDefault="005006AC" w:rsidP="00115E45">
      <w:pPr>
        <w:rPr>
          <w:color w:val="FF0000"/>
        </w:rPr>
      </w:pPr>
    </w:p>
    <w:p w14:paraId="69D5AC79" w14:textId="74B22D59" w:rsidR="005006AC" w:rsidRDefault="005006AC" w:rsidP="00115E45">
      <w:r w:rsidRPr="005006AC">
        <w:rPr>
          <w:rFonts w:hint="eastAsia"/>
        </w:rPr>
        <w:t>2</w:t>
      </w:r>
      <w:r w:rsidRPr="005006AC">
        <w:t>. In this work, the authors take a lot of space to illustrate how to prepare the standard briquette sample. But as far as I know, many methods have been proposed by different scholars to prepare the briquette, and no related standard has been widely accepted. Under different press pressure, press time, coal particle size, water content and additive, the physical and mechanical properties of the briquette sample would be rather different. This is the reason that the briquette sample is seldom used currently, although it a little dispersion degree as stated by the authors. So why you choose the particle size, the press pressure and press time in your work? And why this is the standard?</w:t>
      </w:r>
    </w:p>
    <w:p w14:paraId="13EF9B17" w14:textId="1DEDDD85" w:rsidR="005006AC" w:rsidRPr="00076187" w:rsidRDefault="005006AC" w:rsidP="00115E45">
      <w:pPr>
        <w:rPr>
          <w:color w:val="FF0000"/>
        </w:rPr>
      </w:pPr>
      <w:r w:rsidRPr="00076187">
        <w:rPr>
          <w:color w:val="FF0000"/>
        </w:rPr>
        <w:t>Response: Thanks for the comments. I agree with your opinion that the properties of briquette are different as there is no widely accepted sample preparation standard. An effective approach to investigate the mechanism of coal outburst is to conduct model test using similar materials. Based on this experiment objective, the briquette</w:t>
      </w:r>
      <w:r w:rsidR="009E24E3">
        <w:rPr>
          <w:color w:val="FF0000"/>
        </w:rPr>
        <w:t xml:space="preserve"> in this paper</w:t>
      </w:r>
      <w:r w:rsidRPr="00076187">
        <w:rPr>
          <w:color w:val="FF0000"/>
        </w:rPr>
        <w:t xml:space="preserve"> was initial developed for coal and gas outburst physical simulation test. The</w:t>
      </w:r>
      <w:r w:rsidR="00881074">
        <w:rPr>
          <w:color w:val="FF0000"/>
        </w:rPr>
        <w:t xml:space="preserve"> related </w:t>
      </w:r>
      <w:r w:rsidRPr="00076187">
        <w:rPr>
          <w:color w:val="FF0000"/>
        </w:rPr>
        <w:t>test</w:t>
      </w:r>
      <w:r w:rsidR="00881074">
        <w:rPr>
          <w:color w:val="FF0000"/>
        </w:rPr>
        <w:t xml:space="preserve"> (</w:t>
      </w:r>
      <w:r w:rsidR="00881074" w:rsidRPr="001C40C4">
        <w:rPr>
          <w:color w:val="FF0000"/>
        </w:rPr>
        <w:t>figure</w:t>
      </w:r>
      <w:r w:rsidR="001C40C4" w:rsidRPr="001C40C4">
        <w:rPr>
          <w:color w:val="FF0000"/>
        </w:rPr>
        <w:t xml:space="preserve"> 1</w:t>
      </w:r>
      <w:r w:rsidR="00881074" w:rsidRPr="001C40C4">
        <w:rPr>
          <w:color w:val="FF0000"/>
        </w:rPr>
        <w:t xml:space="preserve">, </w:t>
      </w:r>
      <w:r w:rsidR="001C40C4" w:rsidRPr="001C40C4">
        <w:rPr>
          <w:color w:val="FF0000"/>
        </w:rPr>
        <w:t>t</w:t>
      </w:r>
      <w:r w:rsidR="00881074" w:rsidRPr="001C40C4">
        <w:rPr>
          <w:color w:val="FF0000"/>
        </w:rPr>
        <w:t>able</w:t>
      </w:r>
      <w:r w:rsidR="001C40C4" w:rsidRPr="001C40C4">
        <w:rPr>
          <w:color w:val="FF0000"/>
        </w:rPr>
        <w:t xml:space="preserve"> </w:t>
      </w:r>
      <w:r w:rsidR="001C40C4">
        <w:rPr>
          <w:color w:val="FF0000"/>
        </w:rPr>
        <w:t>1</w:t>
      </w:r>
      <w:r w:rsidR="00881074">
        <w:rPr>
          <w:color w:val="FF0000"/>
        </w:rPr>
        <w:t>)</w:t>
      </w:r>
      <w:r w:rsidRPr="00076187">
        <w:rPr>
          <w:color w:val="FF0000"/>
        </w:rPr>
        <w:t xml:space="preserve"> and isothermal adsorption</w:t>
      </w:r>
      <w:r w:rsidR="00881074">
        <w:rPr>
          <w:color w:val="FF0000"/>
        </w:rPr>
        <w:t xml:space="preserve"> test </w:t>
      </w:r>
      <w:r w:rsidR="00881074" w:rsidRPr="001C40C4">
        <w:rPr>
          <w:color w:val="FF0000"/>
        </w:rPr>
        <w:t xml:space="preserve">(figure </w:t>
      </w:r>
      <w:r w:rsidR="001C40C4" w:rsidRPr="001C40C4">
        <w:rPr>
          <w:color w:val="FF0000"/>
        </w:rPr>
        <w:t>2</w:t>
      </w:r>
      <w:r w:rsidR="00881074" w:rsidRPr="001C40C4">
        <w:rPr>
          <w:color w:val="FF0000"/>
        </w:rPr>
        <w:t>)</w:t>
      </w:r>
      <w:r w:rsidRPr="00076187">
        <w:rPr>
          <w:color w:val="FF0000"/>
        </w:rPr>
        <w:t xml:space="preserve"> showed that the briquette perform</w:t>
      </w:r>
      <w:r w:rsidR="001C40C4">
        <w:rPr>
          <w:color w:val="FF0000"/>
        </w:rPr>
        <w:t>s</w:t>
      </w:r>
      <w:r w:rsidRPr="00076187">
        <w:rPr>
          <w:color w:val="FF0000"/>
        </w:rPr>
        <w:t xml:space="preserve"> well in mechanical properties and adsorption capacity</w:t>
      </w:r>
      <w:r w:rsidR="00881074">
        <w:rPr>
          <w:color w:val="FF0000"/>
        </w:rPr>
        <w:t xml:space="preserve"> with raw coal</w:t>
      </w:r>
      <w:r w:rsidRPr="00076187">
        <w:rPr>
          <w:color w:val="FF0000"/>
        </w:rPr>
        <w:t>. Moreover, the briquette has been used to successfully reveal the phenomenon and process of methane outburst in model test</w:t>
      </w:r>
      <w:r w:rsidR="001C40C4">
        <w:rPr>
          <w:color w:val="FF0000"/>
        </w:rPr>
        <w:t xml:space="preserve"> </w:t>
      </w:r>
      <w:r w:rsidR="00881074" w:rsidRPr="00076187">
        <w:rPr>
          <w:color w:val="FF0000"/>
          <w:vertAlign w:val="superscript"/>
        </w:rPr>
        <w:t>[R1</w:t>
      </w:r>
      <w:r w:rsidR="00881074">
        <w:rPr>
          <w:color w:val="FF0000"/>
          <w:vertAlign w:val="superscript"/>
        </w:rPr>
        <w:t xml:space="preserve">, </w:t>
      </w:r>
      <w:r w:rsidRPr="00076187">
        <w:rPr>
          <w:color w:val="FF0000"/>
          <w:vertAlign w:val="superscript"/>
        </w:rPr>
        <w:t>R2]</w:t>
      </w:r>
      <w:r w:rsidRPr="00076187">
        <w:rPr>
          <w:color w:val="FF0000"/>
        </w:rPr>
        <w:t>. Thus, this paper adopted the scheme of briquette preparation to carried out the related test.</w:t>
      </w:r>
    </w:p>
    <w:p w14:paraId="05C1D072" w14:textId="77777777" w:rsidR="005006AC" w:rsidRDefault="005006AC" w:rsidP="00115E45"/>
    <w:p w14:paraId="72829648" w14:textId="4CB6E840" w:rsidR="005006AC" w:rsidRPr="00881074" w:rsidRDefault="005006AC" w:rsidP="00115E45">
      <w:pPr>
        <w:rPr>
          <w:color w:val="FF0000"/>
        </w:rPr>
      </w:pPr>
      <w:r w:rsidRPr="00881074">
        <w:rPr>
          <w:color w:val="FF0000"/>
        </w:rPr>
        <w:t xml:space="preserve">As for the standard of briquette, we are very sorry for our incorrect statement. In fact, </w:t>
      </w:r>
      <w:r w:rsidRPr="00881074">
        <w:rPr>
          <w:color w:val="FF0000"/>
        </w:rPr>
        <w:lastRenderedPageBreak/>
        <w:t xml:space="preserve">it </w:t>
      </w:r>
      <w:r w:rsidR="001C40C4">
        <w:rPr>
          <w:color w:val="FF0000"/>
        </w:rPr>
        <w:t>only</w:t>
      </w:r>
      <w:r w:rsidRPr="00881074">
        <w:rPr>
          <w:color w:val="FF0000"/>
        </w:rPr>
        <w:t xml:space="preserve"> means that the briquette sample is cylindrical with a height of 100 mm and a diameter of 50mm. which is the standard size suggested by ISRM for uniaxial compression test</w:t>
      </w:r>
      <w:r w:rsidR="0040782E" w:rsidRPr="00881074">
        <w:rPr>
          <w:color w:val="FF0000"/>
          <w:vertAlign w:val="superscript"/>
        </w:rPr>
        <w:t>[R3]</w:t>
      </w:r>
      <w:r w:rsidRPr="00881074">
        <w:rPr>
          <w:color w:val="FF0000"/>
        </w:rPr>
        <w:t xml:space="preserve">. We have rewritten </w:t>
      </w:r>
      <w:r w:rsidR="0040782E" w:rsidRPr="00881074">
        <w:rPr>
          <w:color w:val="FF0000"/>
        </w:rPr>
        <w:t>this relevant part</w:t>
      </w:r>
      <w:r w:rsidRPr="00881074">
        <w:rPr>
          <w:color w:val="FF0000"/>
        </w:rPr>
        <w:t xml:space="preserve"> in the </w:t>
      </w:r>
      <w:r w:rsidR="0040782E" w:rsidRPr="00881074">
        <w:rPr>
          <w:color w:val="FF0000"/>
        </w:rPr>
        <w:t xml:space="preserve">revised </w:t>
      </w:r>
      <w:r w:rsidRPr="00881074">
        <w:rPr>
          <w:color w:val="FF0000"/>
        </w:rPr>
        <w:t>manuscript.</w:t>
      </w:r>
    </w:p>
    <w:p w14:paraId="596BA6FA" w14:textId="35651C5A" w:rsidR="0040782E" w:rsidRDefault="001C40C4" w:rsidP="001C40C4">
      <w:pPr>
        <w:jc w:val="center"/>
      </w:pPr>
      <w:r>
        <w:object w:dxaOrig="5685" w:dyaOrig="3766" w14:anchorId="4439B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188.25pt" o:ole="">
            <v:imagedata r:id="rId6" o:title=""/>
          </v:shape>
          <o:OLEObject Type="Embed" ProgID="Visio.Drawing.15" ShapeID="_x0000_i1025" DrawAspect="Content" ObjectID="_1609565627" r:id="rId7"/>
        </w:object>
      </w:r>
    </w:p>
    <w:p w14:paraId="02FD6FF5" w14:textId="64C36C20" w:rsidR="001C40C4" w:rsidRDefault="001C40C4" w:rsidP="001C40C4">
      <w:pPr>
        <w:jc w:val="center"/>
      </w:pPr>
      <w:r>
        <w:t>Figure 1 F</w:t>
      </w:r>
      <w:r w:rsidRPr="001C40C4">
        <w:t>ull stress-strain curves generated from test system using briquette</w:t>
      </w:r>
    </w:p>
    <w:p w14:paraId="3E2273BF" w14:textId="4ABF3DFA" w:rsidR="001C40C4" w:rsidRDefault="001C40C4" w:rsidP="00115E45"/>
    <w:tbl>
      <w:tblPr>
        <w:tblStyle w:val="a7"/>
        <w:tblW w:w="0" w:type="auto"/>
        <w:jc w:val="center"/>
        <w:tblLook w:val="04A0" w:firstRow="1" w:lastRow="0" w:firstColumn="1" w:lastColumn="0" w:noHBand="0" w:noVBand="1"/>
      </w:tblPr>
      <w:tblGrid>
        <w:gridCol w:w="969"/>
        <w:gridCol w:w="1523"/>
        <w:gridCol w:w="1246"/>
        <w:gridCol w:w="1289"/>
        <w:gridCol w:w="1261"/>
        <w:gridCol w:w="1078"/>
        <w:gridCol w:w="930"/>
      </w:tblGrid>
      <w:tr w:rsidR="001C40C4" w:rsidRPr="001C40C4" w14:paraId="08DB98E4" w14:textId="77777777" w:rsidTr="001C40C4">
        <w:trPr>
          <w:trHeight w:val="600"/>
          <w:jc w:val="center"/>
        </w:trPr>
        <w:tc>
          <w:tcPr>
            <w:tcW w:w="969" w:type="dxa"/>
            <w:noWrap/>
            <w:vAlign w:val="center"/>
            <w:hideMark/>
          </w:tcPr>
          <w:p w14:paraId="1A8272D2" w14:textId="77777777" w:rsidR="001C40C4" w:rsidRPr="001C40C4" w:rsidRDefault="001C40C4" w:rsidP="001C40C4">
            <w:pPr>
              <w:jc w:val="center"/>
              <w:rPr>
                <w:sz w:val="21"/>
              </w:rPr>
            </w:pPr>
            <w:r w:rsidRPr="001C40C4">
              <w:rPr>
                <w:sz w:val="21"/>
              </w:rPr>
              <w:t>Sample</w:t>
            </w:r>
          </w:p>
        </w:tc>
        <w:tc>
          <w:tcPr>
            <w:tcW w:w="1523" w:type="dxa"/>
            <w:vAlign w:val="center"/>
            <w:hideMark/>
          </w:tcPr>
          <w:p w14:paraId="197BAD4C" w14:textId="77777777" w:rsidR="001C40C4" w:rsidRPr="001C40C4" w:rsidRDefault="001C40C4" w:rsidP="001C40C4">
            <w:pPr>
              <w:jc w:val="center"/>
              <w:rPr>
                <w:sz w:val="21"/>
              </w:rPr>
            </w:pPr>
            <w:r w:rsidRPr="001C40C4">
              <w:rPr>
                <w:sz w:val="21"/>
              </w:rPr>
              <w:t>Uniaxial compressive</w:t>
            </w:r>
            <w:r w:rsidRPr="001C40C4">
              <w:rPr>
                <w:sz w:val="21"/>
              </w:rPr>
              <w:br/>
              <w:t>strength / MPa</w:t>
            </w:r>
          </w:p>
        </w:tc>
        <w:tc>
          <w:tcPr>
            <w:tcW w:w="1246" w:type="dxa"/>
            <w:vAlign w:val="center"/>
            <w:hideMark/>
          </w:tcPr>
          <w:p w14:paraId="38B3E944" w14:textId="77777777" w:rsidR="001C40C4" w:rsidRPr="001C40C4" w:rsidRDefault="001C40C4" w:rsidP="001C40C4">
            <w:pPr>
              <w:jc w:val="center"/>
              <w:rPr>
                <w:sz w:val="21"/>
              </w:rPr>
            </w:pPr>
            <w:r w:rsidRPr="001C40C4">
              <w:rPr>
                <w:sz w:val="21"/>
              </w:rPr>
              <w:t xml:space="preserve">Elastic modulus </w:t>
            </w:r>
            <w:r w:rsidRPr="001C40C4">
              <w:rPr>
                <w:sz w:val="21"/>
              </w:rPr>
              <w:br/>
              <w:t xml:space="preserve">/ </w:t>
            </w:r>
            <w:proofErr w:type="spellStart"/>
            <w:r w:rsidRPr="001C40C4">
              <w:rPr>
                <w:sz w:val="21"/>
              </w:rPr>
              <w:t>GPa</w:t>
            </w:r>
            <w:proofErr w:type="spellEnd"/>
          </w:p>
        </w:tc>
        <w:tc>
          <w:tcPr>
            <w:tcW w:w="1289" w:type="dxa"/>
            <w:vAlign w:val="center"/>
            <w:hideMark/>
          </w:tcPr>
          <w:p w14:paraId="6908B96E" w14:textId="77777777" w:rsidR="001C40C4" w:rsidRPr="001C40C4" w:rsidRDefault="001C40C4" w:rsidP="001C40C4">
            <w:pPr>
              <w:jc w:val="center"/>
              <w:rPr>
                <w:sz w:val="21"/>
              </w:rPr>
            </w:pPr>
            <w:r w:rsidRPr="001C40C4">
              <w:rPr>
                <w:sz w:val="21"/>
              </w:rPr>
              <w:t xml:space="preserve">Tensile strength </w:t>
            </w:r>
            <w:r w:rsidRPr="001C40C4">
              <w:rPr>
                <w:sz w:val="21"/>
              </w:rPr>
              <w:br/>
              <w:t>/ MPa</w:t>
            </w:r>
          </w:p>
        </w:tc>
        <w:tc>
          <w:tcPr>
            <w:tcW w:w="1261" w:type="dxa"/>
            <w:vAlign w:val="center"/>
            <w:hideMark/>
          </w:tcPr>
          <w:p w14:paraId="0EBEA81A" w14:textId="77777777" w:rsidR="001C40C4" w:rsidRPr="001C40C4" w:rsidRDefault="001C40C4" w:rsidP="001C40C4">
            <w:pPr>
              <w:jc w:val="center"/>
              <w:rPr>
                <w:sz w:val="21"/>
              </w:rPr>
            </w:pPr>
            <w:r w:rsidRPr="001C40C4">
              <w:rPr>
                <w:sz w:val="21"/>
              </w:rPr>
              <w:t xml:space="preserve">Internal friction </w:t>
            </w:r>
            <w:r w:rsidRPr="001C40C4">
              <w:rPr>
                <w:sz w:val="21"/>
              </w:rPr>
              <w:br/>
              <w:t>angle / °</w:t>
            </w:r>
          </w:p>
        </w:tc>
        <w:tc>
          <w:tcPr>
            <w:tcW w:w="1078" w:type="dxa"/>
            <w:vAlign w:val="center"/>
            <w:hideMark/>
          </w:tcPr>
          <w:p w14:paraId="43439994" w14:textId="77777777" w:rsidR="001C40C4" w:rsidRPr="001C40C4" w:rsidRDefault="001C40C4" w:rsidP="001C40C4">
            <w:pPr>
              <w:jc w:val="center"/>
              <w:rPr>
                <w:sz w:val="21"/>
              </w:rPr>
            </w:pPr>
            <w:r w:rsidRPr="001C40C4">
              <w:rPr>
                <w:sz w:val="21"/>
              </w:rPr>
              <w:t xml:space="preserve">Cohesion </w:t>
            </w:r>
            <w:r w:rsidRPr="001C40C4">
              <w:rPr>
                <w:sz w:val="21"/>
              </w:rPr>
              <w:br/>
              <w:t>/ MPa</w:t>
            </w:r>
          </w:p>
        </w:tc>
        <w:tc>
          <w:tcPr>
            <w:tcW w:w="930" w:type="dxa"/>
            <w:noWrap/>
            <w:vAlign w:val="center"/>
            <w:hideMark/>
          </w:tcPr>
          <w:p w14:paraId="13679C15" w14:textId="77777777" w:rsidR="001C40C4" w:rsidRPr="001C40C4" w:rsidRDefault="001C40C4" w:rsidP="001C40C4">
            <w:pPr>
              <w:jc w:val="center"/>
              <w:rPr>
                <w:sz w:val="21"/>
              </w:rPr>
            </w:pPr>
            <w:proofErr w:type="spellStart"/>
            <w:r w:rsidRPr="001C40C4">
              <w:rPr>
                <w:sz w:val="21"/>
              </w:rPr>
              <w:t>Pission</w:t>
            </w:r>
            <w:proofErr w:type="spellEnd"/>
            <w:r w:rsidRPr="001C40C4">
              <w:rPr>
                <w:sz w:val="21"/>
              </w:rPr>
              <w:t xml:space="preserve"> ratio</w:t>
            </w:r>
          </w:p>
        </w:tc>
      </w:tr>
      <w:tr w:rsidR="001C40C4" w:rsidRPr="001C40C4" w14:paraId="2BFE7FF1" w14:textId="77777777" w:rsidTr="001C40C4">
        <w:trPr>
          <w:trHeight w:val="300"/>
          <w:jc w:val="center"/>
        </w:trPr>
        <w:tc>
          <w:tcPr>
            <w:tcW w:w="969" w:type="dxa"/>
            <w:noWrap/>
            <w:vAlign w:val="center"/>
            <w:hideMark/>
          </w:tcPr>
          <w:p w14:paraId="6B850C56" w14:textId="5A95A149" w:rsidR="001C40C4" w:rsidRPr="001C40C4" w:rsidRDefault="001C40C4" w:rsidP="001C40C4">
            <w:pPr>
              <w:jc w:val="center"/>
              <w:rPr>
                <w:sz w:val="21"/>
              </w:rPr>
            </w:pPr>
            <w:r w:rsidRPr="001C40C4">
              <w:rPr>
                <w:sz w:val="21"/>
              </w:rPr>
              <w:t>raw coal</w:t>
            </w:r>
          </w:p>
        </w:tc>
        <w:tc>
          <w:tcPr>
            <w:tcW w:w="1523" w:type="dxa"/>
            <w:noWrap/>
            <w:vAlign w:val="center"/>
            <w:hideMark/>
          </w:tcPr>
          <w:p w14:paraId="6A373135" w14:textId="77777777" w:rsidR="001C40C4" w:rsidRPr="001C40C4" w:rsidRDefault="001C40C4" w:rsidP="001C40C4">
            <w:pPr>
              <w:jc w:val="center"/>
              <w:rPr>
                <w:sz w:val="21"/>
              </w:rPr>
            </w:pPr>
            <w:r w:rsidRPr="001C40C4">
              <w:rPr>
                <w:sz w:val="21"/>
              </w:rPr>
              <w:t>25.23</w:t>
            </w:r>
          </w:p>
        </w:tc>
        <w:tc>
          <w:tcPr>
            <w:tcW w:w="1246" w:type="dxa"/>
            <w:noWrap/>
            <w:vAlign w:val="center"/>
            <w:hideMark/>
          </w:tcPr>
          <w:p w14:paraId="6267A2BB" w14:textId="77777777" w:rsidR="001C40C4" w:rsidRPr="001C40C4" w:rsidRDefault="001C40C4" w:rsidP="001C40C4">
            <w:pPr>
              <w:jc w:val="center"/>
              <w:rPr>
                <w:sz w:val="21"/>
              </w:rPr>
            </w:pPr>
            <w:r w:rsidRPr="001C40C4">
              <w:rPr>
                <w:sz w:val="21"/>
              </w:rPr>
              <w:t>4.529</w:t>
            </w:r>
          </w:p>
        </w:tc>
        <w:tc>
          <w:tcPr>
            <w:tcW w:w="1289" w:type="dxa"/>
            <w:noWrap/>
            <w:vAlign w:val="center"/>
            <w:hideMark/>
          </w:tcPr>
          <w:p w14:paraId="3CDAD007" w14:textId="77777777" w:rsidR="001C40C4" w:rsidRPr="001C40C4" w:rsidRDefault="001C40C4" w:rsidP="001C40C4">
            <w:pPr>
              <w:jc w:val="center"/>
              <w:rPr>
                <w:sz w:val="21"/>
              </w:rPr>
            </w:pPr>
            <w:r w:rsidRPr="001C40C4">
              <w:rPr>
                <w:sz w:val="21"/>
              </w:rPr>
              <w:t>2.30</w:t>
            </w:r>
          </w:p>
        </w:tc>
        <w:tc>
          <w:tcPr>
            <w:tcW w:w="1261" w:type="dxa"/>
            <w:noWrap/>
            <w:vAlign w:val="center"/>
            <w:hideMark/>
          </w:tcPr>
          <w:p w14:paraId="316B6C31" w14:textId="77777777" w:rsidR="001C40C4" w:rsidRPr="001C40C4" w:rsidRDefault="001C40C4" w:rsidP="001C40C4">
            <w:pPr>
              <w:jc w:val="center"/>
              <w:rPr>
                <w:sz w:val="21"/>
              </w:rPr>
            </w:pPr>
            <w:r w:rsidRPr="001C40C4">
              <w:rPr>
                <w:sz w:val="21"/>
              </w:rPr>
              <w:t>30</w:t>
            </w:r>
          </w:p>
        </w:tc>
        <w:tc>
          <w:tcPr>
            <w:tcW w:w="1078" w:type="dxa"/>
            <w:noWrap/>
            <w:vAlign w:val="center"/>
            <w:hideMark/>
          </w:tcPr>
          <w:p w14:paraId="012270DE" w14:textId="77777777" w:rsidR="001C40C4" w:rsidRPr="001C40C4" w:rsidRDefault="001C40C4" w:rsidP="001C40C4">
            <w:pPr>
              <w:jc w:val="center"/>
              <w:rPr>
                <w:sz w:val="21"/>
              </w:rPr>
            </w:pPr>
            <w:r w:rsidRPr="001C40C4">
              <w:rPr>
                <w:sz w:val="21"/>
              </w:rPr>
              <w:t>0.800</w:t>
            </w:r>
          </w:p>
        </w:tc>
        <w:tc>
          <w:tcPr>
            <w:tcW w:w="930" w:type="dxa"/>
            <w:noWrap/>
            <w:vAlign w:val="center"/>
            <w:hideMark/>
          </w:tcPr>
          <w:p w14:paraId="215098B1" w14:textId="77777777" w:rsidR="001C40C4" w:rsidRPr="001C40C4" w:rsidRDefault="001C40C4" w:rsidP="001C40C4">
            <w:pPr>
              <w:jc w:val="center"/>
              <w:rPr>
                <w:sz w:val="21"/>
              </w:rPr>
            </w:pPr>
            <w:r w:rsidRPr="001C40C4">
              <w:rPr>
                <w:sz w:val="21"/>
              </w:rPr>
              <w:t>0.25</w:t>
            </w:r>
          </w:p>
        </w:tc>
      </w:tr>
      <w:tr w:rsidR="001C40C4" w:rsidRPr="001C40C4" w14:paraId="17C99F5A" w14:textId="77777777" w:rsidTr="001C40C4">
        <w:trPr>
          <w:trHeight w:val="300"/>
          <w:jc w:val="center"/>
        </w:trPr>
        <w:tc>
          <w:tcPr>
            <w:tcW w:w="969" w:type="dxa"/>
            <w:noWrap/>
            <w:vAlign w:val="center"/>
            <w:hideMark/>
          </w:tcPr>
          <w:p w14:paraId="5D7F0406" w14:textId="77777777" w:rsidR="001C40C4" w:rsidRPr="001C40C4" w:rsidRDefault="001C40C4" w:rsidP="001C40C4">
            <w:pPr>
              <w:jc w:val="center"/>
              <w:rPr>
                <w:sz w:val="21"/>
              </w:rPr>
            </w:pPr>
            <w:r w:rsidRPr="001C40C4">
              <w:rPr>
                <w:sz w:val="21"/>
              </w:rPr>
              <w:t>briquette</w:t>
            </w:r>
          </w:p>
        </w:tc>
        <w:tc>
          <w:tcPr>
            <w:tcW w:w="1523" w:type="dxa"/>
            <w:noWrap/>
            <w:vAlign w:val="center"/>
            <w:hideMark/>
          </w:tcPr>
          <w:p w14:paraId="6CCA369A" w14:textId="77777777" w:rsidR="001C40C4" w:rsidRPr="001C40C4" w:rsidRDefault="001C40C4" w:rsidP="001C40C4">
            <w:pPr>
              <w:jc w:val="center"/>
              <w:rPr>
                <w:sz w:val="21"/>
              </w:rPr>
            </w:pPr>
            <w:r w:rsidRPr="001C40C4">
              <w:rPr>
                <w:sz w:val="21"/>
              </w:rPr>
              <w:t>1.011</w:t>
            </w:r>
          </w:p>
        </w:tc>
        <w:tc>
          <w:tcPr>
            <w:tcW w:w="1246" w:type="dxa"/>
            <w:noWrap/>
            <w:vAlign w:val="center"/>
            <w:hideMark/>
          </w:tcPr>
          <w:p w14:paraId="249DA0FE" w14:textId="77777777" w:rsidR="001C40C4" w:rsidRPr="001C40C4" w:rsidRDefault="001C40C4" w:rsidP="001C40C4">
            <w:pPr>
              <w:jc w:val="center"/>
              <w:rPr>
                <w:sz w:val="21"/>
              </w:rPr>
            </w:pPr>
            <w:r w:rsidRPr="001C40C4">
              <w:rPr>
                <w:sz w:val="21"/>
              </w:rPr>
              <w:t>0.067</w:t>
            </w:r>
          </w:p>
        </w:tc>
        <w:tc>
          <w:tcPr>
            <w:tcW w:w="1289" w:type="dxa"/>
            <w:noWrap/>
            <w:vAlign w:val="center"/>
            <w:hideMark/>
          </w:tcPr>
          <w:p w14:paraId="4E35EB3E" w14:textId="77777777" w:rsidR="001C40C4" w:rsidRPr="001C40C4" w:rsidRDefault="001C40C4" w:rsidP="001C40C4">
            <w:pPr>
              <w:jc w:val="center"/>
              <w:rPr>
                <w:sz w:val="21"/>
              </w:rPr>
            </w:pPr>
            <w:r w:rsidRPr="001C40C4">
              <w:rPr>
                <w:sz w:val="21"/>
              </w:rPr>
              <w:t>0.11</w:t>
            </w:r>
          </w:p>
        </w:tc>
        <w:tc>
          <w:tcPr>
            <w:tcW w:w="1261" w:type="dxa"/>
            <w:noWrap/>
            <w:vAlign w:val="center"/>
            <w:hideMark/>
          </w:tcPr>
          <w:p w14:paraId="058E817E" w14:textId="77777777" w:rsidR="001C40C4" w:rsidRPr="001C40C4" w:rsidRDefault="001C40C4" w:rsidP="001C40C4">
            <w:pPr>
              <w:jc w:val="center"/>
              <w:rPr>
                <w:sz w:val="21"/>
              </w:rPr>
            </w:pPr>
            <w:r w:rsidRPr="001C40C4">
              <w:rPr>
                <w:sz w:val="21"/>
              </w:rPr>
              <w:t>29</w:t>
            </w:r>
          </w:p>
        </w:tc>
        <w:tc>
          <w:tcPr>
            <w:tcW w:w="1078" w:type="dxa"/>
            <w:noWrap/>
            <w:vAlign w:val="center"/>
            <w:hideMark/>
          </w:tcPr>
          <w:p w14:paraId="470A7BB1" w14:textId="77777777" w:rsidR="001C40C4" w:rsidRPr="001C40C4" w:rsidRDefault="001C40C4" w:rsidP="001C40C4">
            <w:pPr>
              <w:jc w:val="center"/>
              <w:rPr>
                <w:sz w:val="21"/>
              </w:rPr>
            </w:pPr>
            <w:r w:rsidRPr="001C40C4">
              <w:rPr>
                <w:sz w:val="21"/>
              </w:rPr>
              <w:t>0.117</w:t>
            </w:r>
          </w:p>
        </w:tc>
        <w:tc>
          <w:tcPr>
            <w:tcW w:w="930" w:type="dxa"/>
            <w:noWrap/>
            <w:vAlign w:val="center"/>
            <w:hideMark/>
          </w:tcPr>
          <w:p w14:paraId="783802A0" w14:textId="77777777" w:rsidR="001C40C4" w:rsidRPr="001C40C4" w:rsidRDefault="001C40C4" w:rsidP="001C40C4">
            <w:pPr>
              <w:jc w:val="center"/>
              <w:rPr>
                <w:sz w:val="21"/>
              </w:rPr>
            </w:pPr>
            <w:r w:rsidRPr="001C40C4">
              <w:rPr>
                <w:sz w:val="21"/>
              </w:rPr>
              <w:t>0.25</w:t>
            </w:r>
          </w:p>
        </w:tc>
      </w:tr>
    </w:tbl>
    <w:p w14:paraId="25B986A0" w14:textId="2CFCA932" w:rsidR="001C40C4" w:rsidRDefault="001C40C4" w:rsidP="001C40C4">
      <w:pPr>
        <w:jc w:val="center"/>
      </w:pPr>
      <w:r>
        <w:t xml:space="preserve">Table 1 </w:t>
      </w:r>
      <w:r w:rsidRPr="001C40C4">
        <w:t>The mechanical characteristics of raw coal and briquette</w:t>
      </w:r>
    </w:p>
    <w:p w14:paraId="1966D935" w14:textId="3817E3A3" w:rsidR="001C40C4" w:rsidRDefault="001C40C4" w:rsidP="00115E45"/>
    <w:p w14:paraId="0784C028" w14:textId="22E6DE25" w:rsidR="001C40C4" w:rsidRDefault="00922325" w:rsidP="001C40C4">
      <w:pPr>
        <w:jc w:val="center"/>
      </w:pPr>
      <w:r>
        <w:object w:dxaOrig="6195" w:dyaOrig="4500" w14:anchorId="653AFC1D">
          <v:shape id="_x0000_i1030" type="#_x0000_t75" style="width:309.75pt;height:225pt" o:ole="">
            <v:imagedata r:id="rId8" o:title=""/>
          </v:shape>
          <o:OLEObject Type="Embed" ProgID="Visio.Drawing.15" ShapeID="_x0000_i1030" DrawAspect="Content" ObjectID="_1609565628" r:id="rId9"/>
        </w:object>
      </w:r>
    </w:p>
    <w:p w14:paraId="583EBD1D" w14:textId="34099E8A" w:rsidR="001C40C4" w:rsidRDefault="001C40C4" w:rsidP="001C40C4">
      <w:pPr>
        <w:jc w:val="center"/>
      </w:pPr>
      <w:r>
        <w:t xml:space="preserve">Figure 2 </w:t>
      </w:r>
      <w:r w:rsidRPr="001C40C4">
        <w:t>Comparison of adsorption capacity between raw coal and briquette</w:t>
      </w:r>
    </w:p>
    <w:p w14:paraId="7013D5FE" w14:textId="77777777" w:rsidR="001C40C4" w:rsidRDefault="001C40C4" w:rsidP="001C40C4">
      <w:pPr>
        <w:jc w:val="center"/>
      </w:pPr>
    </w:p>
    <w:p w14:paraId="004629B4" w14:textId="04DD10C7" w:rsidR="0040782E" w:rsidRPr="00606850" w:rsidRDefault="0040782E" w:rsidP="00115E45">
      <w:pPr>
        <w:rPr>
          <w:color w:val="FF0000"/>
        </w:rPr>
      </w:pPr>
      <w:r w:rsidRPr="00606850">
        <w:rPr>
          <w:color w:val="FF0000"/>
        </w:rPr>
        <w:t xml:space="preserve">Reference 1: </w:t>
      </w:r>
      <w:r w:rsidR="00881074" w:rsidRPr="00606850">
        <w:rPr>
          <w:color w:val="FF0000"/>
        </w:rPr>
        <w:t xml:space="preserve">Wang, H. P. et al. Development of a similar material for methane-bearing coal and its application to outburst experiment. </w:t>
      </w:r>
      <w:r w:rsidR="00881074" w:rsidRPr="00606850">
        <w:rPr>
          <w:i/>
          <w:color w:val="FF0000"/>
        </w:rPr>
        <w:t>Rock and Soil Mechanics</w:t>
      </w:r>
      <w:r w:rsidR="00881074" w:rsidRPr="00606850">
        <w:rPr>
          <w:color w:val="FF0000"/>
        </w:rPr>
        <w:t xml:space="preserve">. </w:t>
      </w:r>
      <w:r w:rsidR="00881074" w:rsidRPr="00606850">
        <w:rPr>
          <w:b/>
          <w:color w:val="FF0000"/>
        </w:rPr>
        <w:t>36</w:t>
      </w:r>
      <w:r w:rsidR="00881074" w:rsidRPr="00606850">
        <w:rPr>
          <w:color w:val="FF0000"/>
        </w:rPr>
        <w:t>(6), 1676-</w:t>
      </w:r>
      <w:r w:rsidR="00881074" w:rsidRPr="00606850">
        <w:rPr>
          <w:color w:val="FF0000"/>
        </w:rPr>
        <w:lastRenderedPageBreak/>
        <w:t>1682 (2015).</w:t>
      </w:r>
    </w:p>
    <w:p w14:paraId="52196FAE" w14:textId="206AD1B8" w:rsidR="0040782E" w:rsidRPr="00606850" w:rsidRDefault="0040782E" w:rsidP="00115E45">
      <w:pPr>
        <w:rPr>
          <w:color w:val="FF0000"/>
        </w:rPr>
      </w:pPr>
      <w:r w:rsidRPr="00606850">
        <w:rPr>
          <w:rFonts w:hint="eastAsia"/>
          <w:color w:val="FF0000"/>
        </w:rPr>
        <w:t>R</w:t>
      </w:r>
      <w:r w:rsidRPr="00606850">
        <w:rPr>
          <w:color w:val="FF0000"/>
        </w:rPr>
        <w:t xml:space="preserve">eference 2: </w:t>
      </w:r>
      <w:r w:rsidR="00881074" w:rsidRPr="00606850">
        <w:rPr>
          <w:color w:val="FF0000"/>
        </w:rPr>
        <w:t xml:space="preserve">Wang, H. P. et al. Coal and gas outburst simulation system based on CRISO model. </w:t>
      </w:r>
      <w:r w:rsidR="00881074" w:rsidRPr="00606850">
        <w:rPr>
          <w:i/>
          <w:color w:val="FF0000"/>
        </w:rPr>
        <w:t>Chinese Journal of Rock Mechanics and Engineering</w:t>
      </w:r>
      <w:r w:rsidR="00881074" w:rsidRPr="00606850">
        <w:rPr>
          <w:color w:val="FF0000"/>
        </w:rPr>
        <w:t xml:space="preserve">. </w:t>
      </w:r>
      <w:r w:rsidR="00881074" w:rsidRPr="00606850">
        <w:rPr>
          <w:b/>
          <w:color w:val="FF0000"/>
        </w:rPr>
        <w:t>34</w:t>
      </w:r>
      <w:r w:rsidR="00881074" w:rsidRPr="00606850">
        <w:rPr>
          <w:color w:val="FF0000"/>
        </w:rPr>
        <w:t>(11), 2301-2308 (2015).</w:t>
      </w:r>
    </w:p>
    <w:p w14:paraId="4D15B7CD" w14:textId="5B5DFA56" w:rsidR="0040782E" w:rsidRPr="00606850" w:rsidRDefault="00881074" w:rsidP="00115E45">
      <w:pPr>
        <w:rPr>
          <w:color w:val="FF0000"/>
        </w:rPr>
      </w:pPr>
      <w:r w:rsidRPr="00606850">
        <w:rPr>
          <w:color w:val="FF0000"/>
        </w:rPr>
        <w:t xml:space="preserve">Reference 3: </w:t>
      </w:r>
      <w:proofErr w:type="spellStart"/>
      <w:r w:rsidRPr="00606850">
        <w:rPr>
          <w:color w:val="FF0000"/>
        </w:rPr>
        <w:t>Ulusay</w:t>
      </w:r>
      <w:proofErr w:type="spellEnd"/>
      <w:r w:rsidRPr="00606850">
        <w:rPr>
          <w:color w:val="FF0000"/>
        </w:rPr>
        <w:t xml:space="preserve">, R. </w:t>
      </w:r>
      <w:r w:rsidRPr="00EE2F6A">
        <w:rPr>
          <w:i/>
          <w:color w:val="FF0000"/>
        </w:rPr>
        <w:t>The ISRM Suggested Methods for Rock Characterization, Testing and Monitoring: 2007-2014</w:t>
      </w:r>
      <w:r w:rsidRPr="00606850">
        <w:rPr>
          <w:color w:val="FF0000"/>
        </w:rPr>
        <w:t>. Springer International Publishing. Switzerland (2015).</w:t>
      </w:r>
    </w:p>
    <w:p w14:paraId="0107DF24" w14:textId="77777777" w:rsidR="00881074" w:rsidRDefault="00881074" w:rsidP="00115E45"/>
    <w:p w14:paraId="095EA0A0" w14:textId="70C92EF6" w:rsidR="0040782E" w:rsidRDefault="002B54F1" w:rsidP="00115E45">
      <w:r>
        <w:rPr>
          <w:rFonts w:hint="eastAsia"/>
        </w:rPr>
        <w:t>3</w:t>
      </w:r>
      <w:r>
        <w:t>.</w:t>
      </w:r>
      <w:r w:rsidRPr="002B54F1">
        <w:t xml:space="preserve"> In the discussion part, the related analysis and discussion are rather poor. Generally speaking, this part is the most important part of the paper. Therefore, the discussion part is required to be further analyzed.</w:t>
      </w:r>
    </w:p>
    <w:p w14:paraId="027AB40B" w14:textId="1393BA64" w:rsidR="006325AF" w:rsidRPr="007B476E" w:rsidRDefault="002B54F1" w:rsidP="00115E45">
      <w:pPr>
        <w:rPr>
          <w:color w:val="FF0000"/>
        </w:rPr>
      </w:pPr>
      <w:r w:rsidRPr="002B54F1">
        <w:rPr>
          <w:rFonts w:hint="eastAsia"/>
          <w:color w:val="FF0000"/>
        </w:rPr>
        <w:t>R</w:t>
      </w:r>
      <w:r w:rsidRPr="002B54F1">
        <w:rPr>
          <w:color w:val="FF0000"/>
        </w:rPr>
        <w:t>eply: Thanks for the c</w:t>
      </w:r>
      <w:bookmarkStart w:id="1" w:name="_GoBack"/>
      <w:bookmarkEnd w:id="1"/>
      <w:r w:rsidRPr="002B54F1">
        <w:rPr>
          <w:color w:val="FF0000"/>
        </w:rPr>
        <w:t xml:space="preserve">omments. It is really reasonable as reviewer suggested that the discussion is the most important section in the paper. </w:t>
      </w:r>
      <w:r w:rsidR="00A41547">
        <w:rPr>
          <w:color w:val="FF0000"/>
        </w:rPr>
        <w:t>As</w:t>
      </w:r>
      <w:r w:rsidRPr="002B54F1">
        <w:rPr>
          <w:color w:val="FF0000"/>
        </w:rPr>
        <w:t xml:space="preserve"> </w:t>
      </w:r>
      <w:proofErr w:type="spellStart"/>
      <w:r w:rsidRPr="002B54F1">
        <w:rPr>
          <w:color w:val="FF0000"/>
        </w:rPr>
        <w:t>JoVE</w:t>
      </w:r>
      <w:proofErr w:type="spellEnd"/>
      <w:r w:rsidRPr="002B54F1">
        <w:rPr>
          <w:color w:val="FF0000"/>
        </w:rPr>
        <w:t xml:space="preserve"> is a method-based journal. Th</w:t>
      </w:r>
      <w:r w:rsidR="00EE2F6A">
        <w:rPr>
          <w:color w:val="FF0000"/>
        </w:rPr>
        <w:t>erefore</w:t>
      </w:r>
      <w:r w:rsidRPr="002B54F1">
        <w:rPr>
          <w:color w:val="FF0000"/>
        </w:rPr>
        <w:t xml:space="preserve">, the discussion section </w:t>
      </w:r>
      <w:r w:rsidR="00A41547">
        <w:rPr>
          <w:color w:val="FF0000"/>
        </w:rPr>
        <w:t xml:space="preserve">is required to </w:t>
      </w:r>
      <w:r w:rsidRPr="002B54F1">
        <w:rPr>
          <w:color w:val="FF0000"/>
        </w:rPr>
        <w:t>focus on protocol including the critical steps, modifications, limitations and future application of the method rather than the representative results. Based on such purpose, we have rewritten the part in the revised manuscript.</w:t>
      </w:r>
    </w:p>
    <w:p w14:paraId="67CEE539" w14:textId="77777777" w:rsidR="006325AF" w:rsidRDefault="006325AF" w:rsidP="00115E45">
      <w:pPr>
        <w:rPr>
          <w:color w:val="FF0000"/>
        </w:rPr>
      </w:pPr>
    </w:p>
    <w:p w14:paraId="6D593138" w14:textId="224C8C54" w:rsidR="00DA5A42" w:rsidRPr="00A6473C" w:rsidRDefault="00DA5A42" w:rsidP="00115E45">
      <w:r w:rsidRPr="00A6473C">
        <w:rPr>
          <w:rFonts w:hint="eastAsia"/>
        </w:rPr>
        <w:t>4</w:t>
      </w:r>
      <w:r w:rsidRPr="00A6473C">
        <w:t>.</w:t>
      </w:r>
      <w:r w:rsidR="00A6473C" w:rsidRPr="00A6473C">
        <w:t xml:space="preserve"> The English in this paper is very good on a whole, but many grammar errors can still be found.</w:t>
      </w:r>
    </w:p>
    <w:p w14:paraId="6DB02EE8" w14:textId="5A32F3D1" w:rsidR="00A6473C" w:rsidRDefault="00A6473C" w:rsidP="00115E45">
      <w:pPr>
        <w:rPr>
          <w:color w:val="FF0000"/>
        </w:rPr>
      </w:pPr>
      <w:r>
        <w:rPr>
          <w:color w:val="FF0000"/>
        </w:rPr>
        <w:t>Reply: Thanks for the comments. We have thoroughly checked and correct the</w:t>
      </w:r>
      <w:r w:rsidR="000410F6">
        <w:rPr>
          <w:color w:val="FF0000"/>
        </w:rPr>
        <w:t xml:space="preserve"> spelling and grammar</w:t>
      </w:r>
      <w:r>
        <w:rPr>
          <w:color w:val="FF0000"/>
        </w:rPr>
        <w:t xml:space="preserve"> errors in the revised manuscript.</w:t>
      </w:r>
    </w:p>
    <w:p w14:paraId="6FC07BFA" w14:textId="46612AF8" w:rsidR="000659B5" w:rsidRDefault="000659B5" w:rsidP="00115E45">
      <w:pPr>
        <w:rPr>
          <w:color w:val="FF0000"/>
        </w:rPr>
      </w:pPr>
    </w:p>
    <w:sectPr w:rsidR="000659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DB134" w14:textId="77777777" w:rsidR="00981792" w:rsidRDefault="00981792" w:rsidP="00115E45">
      <w:r>
        <w:separator/>
      </w:r>
    </w:p>
  </w:endnote>
  <w:endnote w:type="continuationSeparator" w:id="0">
    <w:p w14:paraId="3DC9F38D" w14:textId="77777777" w:rsidR="00981792" w:rsidRDefault="00981792" w:rsidP="0011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59387" w14:textId="77777777" w:rsidR="00981792" w:rsidRDefault="00981792" w:rsidP="00115E45">
      <w:r>
        <w:separator/>
      </w:r>
    </w:p>
  </w:footnote>
  <w:footnote w:type="continuationSeparator" w:id="0">
    <w:p w14:paraId="3D94ABA3" w14:textId="77777777" w:rsidR="00981792" w:rsidRDefault="00981792" w:rsidP="00115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F8"/>
    <w:rsid w:val="000410F6"/>
    <w:rsid w:val="000659B5"/>
    <w:rsid w:val="00076187"/>
    <w:rsid w:val="000A59A9"/>
    <w:rsid w:val="00115E45"/>
    <w:rsid w:val="001C0530"/>
    <w:rsid w:val="001C40C4"/>
    <w:rsid w:val="002B54F1"/>
    <w:rsid w:val="00362D17"/>
    <w:rsid w:val="003F60F8"/>
    <w:rsid w:val="0040782E"/>
    <w:rsid w:val="00425301"/>
    <w:rsid w:val="005006AC"/>
    <w:rsid w:val="005700C0"/>
    <w:rsid w:val="00606850"/>
    <w:rsid w:val="006325AF"/>
    <w:rsid w:val="00666B7F"/>
    <w:rsid w:val="007B476E"/>
    <w:rsid w:val="007C3237"/>
    <w:rsid w:val="00881074"/>
    <w:rsid w:val="00887434"/>
    <w:rsid w:val="00922325"/>
    <w:rsid w:val="00932A4E"/>
    <w:rsid w:val="00981792"/>
    <w:rsid w:val="009E24E3"/>
    <w:rsid w:val="00A41547"/>
    <w:rsid w:val="00A6473C"/>
    <w:rsid w:val="00C24D8F"/>
    <w:rsid w:val="00CB1BB4"/>
    <w:rsid w:val="00D30AFF"/>
    <w:rsid w:val="00D556A0"/>
    <w:rsid w:val="00D55B7F"/>
    <w:rsid w:val="00DA5A42"/>
    <w:rsid w:val="00DA6646"/>
    <w:rsid w:val="00EA788F"/>
    <w:rsid w:val="00EE2F6A"/>
    <w:rsid w:val="00FB1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BF9B9"/>
  <w15:chartTrackingRefBased/>
  <w15:docId w15:val="{EFFD3DCA-F1A7-4FF4-A2CE-C282654D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5E45"/>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E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5E45"/>
    <w:rPr>
      <w:sz w:val="18"/>
      <w:szCs w:val="18"/>
    </w:rPr>
  </w:style>
  <w:style w:type="paragraph" w:styleId="a5">
    <w:name w:val="footer"/>
    <w:basedOn w:val="a"/>
    <w:link w:val="a6"/>
    <w:uiPriority w:val="99"/>
    <w:unhideWhenUsed/>
    <w:rsid w:val="00115E45"/>
    <w:pPr>
      <w:tabs>
        <w:tab w:val="center" w:pos="4153"/>
        <w:tab w:val="right" w:pos="8306"/>
      </w:tabs>
      <w:snapToGrid w:val="0"/>
      <w:jc w:val="left"/>
    </w:pPr>
    <w:rPr>
      <w:sz w:val="18"/>
      <w:szCs w:val="18"/>
    </w:rPr>
  </w:style>
  <w:style w:type="character" w:customStyle="1" w:styleId="a6">
    <w:name w:val="页脚 字符"/>
    <w:basedOn w:val="a0"/>
    <w:link w:val="a5"/>
    <w:uiPriority w:val="99"/>
    <w:rsid w:val="00115E45"/>
    <w:rPr>
      <w:sz w:val="18"/>
      <w:szCs w:val="18"/>
    </w:rPr>
  </w:style>
  <w:style w:type="table" w:styleId="a7">
    <w:name w:val="Table Grid"/>
    <w:basedOn w:val="a1"/>
    <w:uiPriority w:val="39"/>
    <w:rsid w:val="001C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9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package" Target="embeddings/Microsoft_Visio_Drawing.vs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package" Target="embeddings/Microsoft_Visio_Drawing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HWT</dc:creator>
  <cp:keywords/>
  <dc:description/>
  <cp:lastModifiedBy>HWT</cp:lastModifiedBy>
  <cp:revision>4</cp:revision>
  <dcterms:created xsi:type="dcterms:W3CDTF">2019-01-20T11:23:00Z</dcterms:created>
  <dcterms:modified xsi:type="dcterms:W3CDTF">2019-01-21T00:45:00Z</dcterms:modified>
</cp:coreProperties>
</file>