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8C86B9" w14:textId="5706D998" w:rsidR="00747D98" w:rsidRPr="00B610E1" w:rsidRDefault="00C3168E">
      <w:pPr>
        <w:rPr>
          <w:b/>
          <w:color w:val="4472C4" w:themeColor="accent1"/>
          <w:sz w:val="27"/>
          <w:szCs w:val="27"/>
        </w:rPr>
      </w:pPr>
      <w:r w:rsidRPr="00B610E1">
        <w:rPr>
          <w:b/>
          <w:color w:val="4472C4" w:themeColor="accent1"/>
          <w:sz w:val="27"/>
          <w:szCs w:val="27"/>
        </w:rPr>
        <w:t>Point-by-point response</w:t>
      </w:r>
      <w:r w:rsidR="00B610E1" w:rsidRPr="00B610E1">
        <w:rPr>
          <w:b/>
          <w:color w:val="4472C4" w:themeColor="accent1"/>
          <w:sz w:val="27"/>
          <w:szCs w:val="27"/>
        </w:rPr>
        <w:t xml:space="preserve"> to editorial comments</w:t>
      </w:r>
    </w:p>
    <w:p w14:paraId="53271962" w14:textId="77777777" w:rsidR="00B610E1" w:rsidRDefault="00B610E1">
      <w:pPr>
        <w:rPr>
          <w:color w:val="4472C4" w:themeColor="accent1"/>
          <w:sz w:val="27"/>
          <w:szCs w:val="27"/>
        </w:rPr>
      </w:pPr>
    </w:p>
    <w:p w14:paraId="1E05A0EA" w14:textId="758B208F" w:rsidR="00B610E1" w:rsidRPr="00B610E1" w:rsidRDefault="00B610E1">
      <w:pPr>
        <w:rPr>
          <w:color w:val="4472C4" w:themeColor="accent1"/>
          <w:sz w:val="27"/>
          <w:szCs w:val="27"/>
        </w:rPr>
      </w:pPr>
      <w:r>
        <w:rPr>
          <w:color w:val="4472C4" w:themeColor="accent1"/>
          <w:sz w:val="27"/>
          <w:szCs w:val="27"/>
        </w:rPr>
        <w:t>First of all, we would like to thank the editorial team for the thorough corrections and suggestions to our manuscript. We have provided a point-by-point response below.</w:t>
      </w:r>
    </w:p>
    <w:p w14:paraId="6C98CF77" w14:textId="77777777" w:rsidR="00C3168E" w:rsidRDefault="00C3168E"/>
    <w:p w14:paraId="7F5BD642" w14:textId="5105F249" w:rsidR="00C3168E" w:rsidRPr="00C3168E" w:rsidRDefault="00C3168E" w:rsidP="00C3168E">
      <w:pPr>
        <w:rPr>
          <w:rFonts w:ascii="Calibri" w:eastAsia="Times New Roman" w:hAnsi="Calibri" w:cs="Times New Roman"/>
          <w:color w:val="4472C4" w:themeColor="accent1"/>
          <w:sz w:val="27"/>
          <w:szCs w:val="27"/>
        </w:rPr>
      </w:pPr>
      <w:r w:rsidRPr="00C3168E">
        <w:rPr>
          <w:rFonts w:ascii="Calibri" w:eastAsia="Times New Roman" w:hAnsi="Calibri" w:cs="Times New Roman"/>
          <w:b/>
          <w:bCs/>
          <w:color w:val="000000"/>
        </w:rPr>
        <w:t>Editorial comments:</w:t>
      </w:r>
      <w:r w:rsidRPr="00C3168E">
        <w:rPr>
          <w:rFonts w:ascii="Calibri" w:eastAsia="Times New Roman" w:hAnsi="Calibri" w:cs="Times New Roman"/>
          <w:color w:val="000000"/>
        </w:rPr>
        <w:br/>
      </w:r>
      <w:r w:rsidRPr="00C3168E">
        <w:rPr>
          <w:rFonts w:ascii="Calibri" w:eastAsia="Times New Roman" w:hAnsi="Calibri" w:cs="Times New Roman"/>
          <w:color w:val="000000"/>
          <w:sz w:val="27"/>
          <w:szCs w:val="27"/>
        </w:rPr>
        <w:t>Changes to be made by the author(s) regarding the manuscript:</w:t>
      </w:r>
      <w:r w:rsidRPr="00C3168E">
        <w:rPr>
          <w:rFonts w:ascii="Calibri" w:eastAsia="Times New Roman" w:hAnsi="Calibri" w:cs="Times New Roman"/>
          <w:color w:val="000000"/>
        </w:rPr>
        <w:br/>
      </w:r>
      <w:r w:rsidRPr="00C3168E">
        <w:rPr>
          <w:rFonts w:ascii="Calibri" w:eastAsia="Times New Roman" w:hAnsi="Calibri" w:cs="Times New Roman"/>
          <w:color w:val="000000"/>
          <w:sz w:val="27"/>
          <w:szCs w:val="27"/>
        </w:rPr>
        <w:t>1. Please take this opportunity to thoroughly proofread the manuscript to ensure that there are no spelling or grammar issues.</w:t>
      </w:r>
      <w:r w:rsidRPr="00C3168E">
        <w:rPr>
          <w:rFonts w:ascii="Calibri" w:eastAsia="Times New Roman" w:hAnsi="Calibri" w:cs="Times New Roman"/>
          <w:color w:val="000000"/>
        </w:rPr>
        <w:br/>
      </w:r>
      <w:r>
        <w:rPr>
          <w:rFonts w:ascii="Calibri" w:eastAsia="Times New Roman" w:hAnsi="Calibri" w:cs="Times New Roman"/>
          <w:color w:val="4472C4" w:themeColor="accent1"/>
          <w:sz w:val="27"/>
          <w:szCs w:val="27"/>
        </w:rPr>
        <w:t>We have proofread the manuscript, and to the best of our knowledge, there are no spelling or grammar issues.</w:t>
      </w:r>
    </w:p>
    <w:p w14:paraId="6C2CCBA9" w14:textId="1A44B92F" w:rsidR="00C3168E" w:rsidRPr="00C3168E" w:rsidRDefault="00C3168E" w:rsidP="00C3168E">
      <w:pPr>
        <w:rPr>
          <w:rFonts w:ascii="Calibri" w:eastAsia="Times New Roman" w:hAnsi="Calibri" w:cs="Times New Roman"/>
          <w:color w:val="4472C4" w:themeColor="accent1"/>
          <w:sz w:val="27"/>
          <w:szCs w:val="27"/>
        </w:rPr>
      </w:pPr>
      <w:r w:rsidRPr="00C3168E">
        <w:rPr>
          <w:rFonts w:ascii="Calibri" w:eastAsia="Times New Roman" w:hAnsi="Calibri" w:cs="Times New Roman"/>
          <w:color w:val="000000"/>
          <w:sz w:val="27"/>
          <w:szCs w:val="27"/>
        </w:rPr>
        <w:t>2.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Tribrissen, Eppendorf, Lympholyte, Parafilm, etc.</w:t>
      </w:r>
      <w:r w:rsidRPr="00C3168E">
        <w:rPr>
          <w:rFonts w:ascii="Calibri" w:eastAsia="Times New Roman" w:hAnsi="Calibri" w:cs="Times New Roman"/>
          <w:color w:val="000000"/>
        </w:rPr>
        <w:br/>
      </w:r>
      <w:r>
        <w:rPr>
          <w:rFonts w:ascii="Calibri" w:eastAsia="Times New Roman" w:hAnsi="Calibri" w:cs="Times New Roman"/>
          <w:color w:val="4472C4" w:themeColor="accent1"/>
          <w:sz w:val="27"/>
          <w:szCs w:val="27"/>
        </w:rPr>
        <w:t>We have gone</w:t>
      </w:r>
      <w:bookmarkStart w:id="0" w:name="_GoBack"/>
      <w:bookmarkEnd w:id="0"/>
      <w:r>
        <w:rPr>
          <w:rFonts w:ascii="Calibri" w:eastAsia="Times New Roman" w:hAnsi="Calibri" w:cs="Times New Roman"/>
          <w:color w:val="4472C4" w:themeColor="accent1"/>
          <w:sz w:val="27"/>
          <w:szCs w:val="27"/>
        </w:rPr>
        <w:t xml:space="preserve"> through the manuscript and replaced the trade names of reagents with generic alternatives, but continue to reference the specific reagents employed in the studies presented in the Table of Materials and Reagents.</w:t>
      </w:r>
    </w:p>
    <w:p w14:paraId="7997FFC8" w14:textId="77777777" w:rsidR="00E37456" w:rsidRDefault="00C3168E" w:rsidP="00C3168E">
      <w:pPr>
        <w:rPr>
          <w:rFonts w:ascii="Calibri" w:eastAsia="Times New Roman" w:hAnsi="Calibri" w:cs="Times New Roman"/>
          <w:color w:val="000000"/>
          <w:sz w:val="27"/>
          <w:szCs w:val="27"/>
        </w:rPr>
      </w:pPr>
      <w:r w:rsidRPr="00C3168E">
        <w:rPr>
          <w:rFonts w:ascii="Calibri" w:eastAsia="Times New Roman" w:hAnsi="Calibri" w:cs="Times New Roman"/>
          <w:color w:val="000000"/>
          <w:sz w:val="27"/>
          <w:szCs w:val="27"/>
        </w:rPr>
        <w:t>3. Please define all abbreviations before use.</w:t>
      </w:r>
    </w:p>
    <w:p w14:paraId="7F579501" w14:textId="4C2B4D8C" w:rsidR="0039576E" w:rsidRDefault="00E37456" w:rsidP="00C3168E">
      <w:pPr>
        <w:rPr>
          <w:rFonts w:ascii="Calibri" w:eastAsia="Times New Roman" w:hAnsi="Calibri" w:cs="Times New Roman"/>
          <w:color w:val="000000"/>
          <w:sz w:val="27"/>
          <w:szCs w:val="27"/>
        </w:rPr>
      </w:pPr>
      <w:r w:rsidRPr="00973995">
        <w:rPr>
          <w:rFonts w:ascii="Calibri" w:eastAsia="Times New Roman" w:hAnsi="Calibri" w:cs="Times New Roman"/>
          <w:color w:val="4472C4" w:themeColor="accent1"/>
          <w:sz w:val="27"/>
          <w:szCs w:val="27"/>
        </w:rPr>
        <w:t>We have gone through the abbreviations and ensured that they are defined at first usage.</w:t>
      </w:r>
      <w:r w:rsidR="00C3168E" w:rsidRPr="00C3168E">
        <w:rPr>
          <w:rFonts w:ascii="Calibri" w:eastAsia="Times New Roman" w:hAnsi="Calibri" w:cs="Times New Roman"/>
          <w:color w:val="000000"/>
        </w:rPr>
        <w:br/>
      </w:r>
      <w:r w:rsidR="00C3168E" w:rsidRPr="00C3168E">
        <w:rPr>
          <w:rFonts w:ascii="Calibri" w:eastAsia="Times New Roman" w:hAnsi="Calibri" w:cs="Times New Roman"/>
          <w:color w:val="000000"/>
          <w:sz w:val="27"/>
          <w:szCs w:val="27"/>
        </w:rPr>
        <w:t>4. Please abbreviate liters to L to avoid confusion.</w:t>
      </w:r>
    </w:p>
    <w:p w14:paraId="29E27108" w14:textId="4ECD01DA" w:rsidR="00ED47FE" w:rsidRDefault="0039576E" w:rsidP="00C3168E">
      <w:pPr>
        <w:rPr>
          <w:rFonts w:ascii="Calibri" w:eastAsia="Times New Roman" w:hAnsi="Calibri" w:cs="Times New Roman"/>
          <w:color w:val="000000"/>
          <w:sz w:val="27"/>
          <w:szCs w:val="27"/>
        </w:rPr>
      </w:pPr>
      <w:r>
        <w:rPr>
          <w:rFonts w:ascii="Calibri" w:eastAsia="Times New Roman" w:hAnsi="Calibri" w:cs="Times New Roman"/>
          <w:color w:val="4472C4" w:themeColor="accent1"/>
          <w:sz w:val="27"/>
          <w:szCs w:val="27"/>
        </w:rPr>
        <w:t>We have changed the abbreviation of liters to capital L.</w:t>
      </w:r>
      <w:r w:rsidR="00C3168E" w:rsidRPr="00C3168E">
        <w:rPr>
          <w:rFonts w:ascii="Calibri" w:eastAsia="Times New Roman" w:hAnsi="Calibri" w:cs="Times New Roman"/>
          <w:color w:val="000000"/>
        </w:rPr>
        <w:br/>
      </w:r>
      <w:r w:rsidR="00C3168E" w:rsidRPr="00C3168E">
        <w:rPr>
          <w:rFonts w:ascii="Calibri" w:eastAsia="Times New Roman" w:hAnsi="Calibri" w:cs="Times New Roman"/>
          <w:color w:val="000000"/>
          <w:sz w:val="27"/>
          <w:szCs w:val="27"/>
        </w:rPr>
        <w:t>5.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r w:rsidR="00C3168E" w:rsidRPr="00C3168E">
        <w:rPr>
          <w:rFonts w:ascii="Calibri" w:eastAsia="Times New Roman" w:hAnsi="Calibri" w:cs="Times New Roman"/>
          <w:color w:val="000000"/>
        </w:rPr>
        <w:br/>
      </w:r>
      <w:r w:rsidR="00C3168E" w:rsidRPr="00C3168E">
        <w:rPr>
          <w:rFonts w:ascii="Calibri" w:eastAsia="Times New Roman" w:hAnsi="Calibri" w:cs="Times New Roman"/>
          <w:color w:val="000000"/>
          <w:sz w:val="27"/>
          <w:szCs w:val="27"/>
        </w:rPr>
        <w:t>6. 1.2: Please describe how to verify absence spontaneous germinal centers in naïve mice.</w:t>
      </w:r>
      <w:r w:rsidR="00C3168E" w:rsidRPr="00C3168E">
        <w:rPr>
          <w:rFonts w:ascii="Calibri" w:eastAsia="Times New Roman" w:hAnsi="Calibri" w:cs="Times New Roman"/>
          <w:color w:val="000000"/>
        </w:rPr>
        <w:br/>
      </w:r>
      <w:r w:rsidR="006654A5">
        <w:rPr>
          <w:rFonts w:ascii="Calibri" w:eastAsia="Times New Roman" w:hAnsi="Calibri" w:cs="Times New Roman"/>
          <w:color w:val="4472C4" w:themeColor="accent1"/>
          <w:sz w:val="27"/>
          <w:szCs w:val="27"/>
        </w:rPr>
        <w:t>A note has been added with reference to appropriate procedures to verify absence of spontaneous germinal centers in naïve mice.</w:t>
      </w:r>
    </w:p>
    <w:p w14:paraId="50F0AE8B" w14:textId="2AEDD484" w:rsidR="00ED47FE" w:rsidRDefault="00C3168E" w:rsidP="00C3168E">
      <w:pPr>
        <w:rPr>
          <w:rFonts w:ascii="Calibri" w:eastAsia="Times New Roman" w:hAnsi="Calibri" w:cs="Times New Roman"/>
          <w:color w:val="000000"/>
          <w:sz w:val="27"/>
          <w:szCs w:val="27"/>
        </w:rPr>
      </w:pPr>
      <w:r w:rsidRPr="00C3168E">
        <w:rPr>
          <w:rFonts w:ascii="Calibri" w:eastAsia="Times New Roman" w:hAnsi="Calibri" w:cs="Times New Roman"/>
          <w:color w:val="000000"/>
          <w:sz w:val="27"/>
          <w:szCs w:val="27"/>
        </w:rPr>
        <w:t>7. 1.3: What are the genders of the recipients and donors?</w:t>
      </w:r>
      <w:r w:rsidRPr="00C3168E">
        <w:rPr>
          <w:rFonts w:ascii="Calibri" w:eastAsia="Times New Roman" w:hAnsi="Calibri" w:cs="Times New Roman"/>
          <w:color w:val="000000"/>
        </w:rPr>
        <w:br/>
      </w:r>
      <w:r w:rsidR="006654A5">
        <w:rPr>
          <w:rFonts w:ascii="Calibri" w:eastAsia="Times New Roman" w:hAnsi="Calibri" w:cs="Times New Roman"/>
          <w:color w:val="4472C4" w:themeColor="accent1"/>
          <w:sz w:val="27"/>
          <w:szCs w:val="27"/>
        </w:rPr>
        <w:t>A note has been added regarding genders of donors and recipients.</w:t>
      </w:r>
    </w:p>
    <w:p w14:paraId="7CB0BFDD" w14:textId="63A5424B" w:rsidR="00A84E47" w:rsidRDefault="00C3168E" w:rsidP="00C3168E">
      <w:pPr>
        <w:rPr>
          <w:rFonts w:ascii="Calibri" w:eastAsia="Times New Roman" w:hAnsi="Calibri" w:cs="Times New Roman"/>
          <w:color w:val="000000"/>
          <w:sz w:val="27"/>
          <w:szCs w:val="27"/>
        </w:rPr>
      </w:pPr>
      <w:r w:rsidRPr="00C3168E">
        <w:rPr>
          <w:rFonts w:ascii="Calibri" w:eastAsia="Times New Roman" w:hAnsi="Calibri" w:cs="Times New Roman"/>
          <w:color w:val="000000"/>
          <w:sz w:val="27"/>
          <w:szCs w:val="27"/>
        </w:rPr>
        <w:lastRenderedPageBreak/>
        <w:t>8. 1.6 and 1.7: Please list an approximate volume to prepare.</w:t>
      </w:r>
      <w:r w:rsidRPr="00C3168E">
        <w:rPr>
          <w:rFonts w:ascii="Calibri" w:eastAsia="Times New Roman" w:hAnsi="Calibri" w:cs="Times New Roman"/>
          <w:color w:val="000000"/>
        </w:rPr>
        <w:br/>
      </w:r>
      <w:r w:rsidR="006654A5" w:rsidRPr="006654A5">
        <w:rPr>
          <w:rFonts w:ascii="Calibri" w:eastAsia="Times New Roman" w:hAnsi="Calibri" w:cs="Times New Roman"/>
          <w:color w:val="4472C4" w:themeColor="accent1"/>
          <w:sz w:val="27"/>
          <w:szCs w:val="27"/>
        </w:rPr>
        <w:t>Volumes have been added.</w:t>
      </w:r>
    </w:p>
    <w:p w14:paraId="7FA479E6" w14:textId="77777777" w:rsidR="00FB6FEE" w:rsidRDefault="00C3168E" w:rsidP="00C3168E">
      <w:pPr>
        <w:rPr>
          <w:rFonts w:ascii="Calibri" w:eastAsia="Times New Roman" w:hAnsi="Calibri" w:cs="Times New Roman"/>
          <w:color w:val="000000"/>
          <w:sz w:val="27"/>
          <w:szCs w:val="27"/>
        </w:rPr>
      </w:pPr>
      <w:r w:rsidRPr="00C3168E">
        <w:rPr>
          <w:rFonts w:ascii="Calibri" w:eastAsia="Times New Roman" w:hAnsi="Calibri" w:cs="Times New Roman"/>
          <w:color w:val="000000"/>
          <w:sz w:val="27"/>
          <w:szCs w:val="27"/>
        </w:rPr>
        <w:t>9. 2.1.1: Are the recipients anesthetized before irradiation?</w:t>
      </w:r>
    </w:p>
    <w:p w14:paraId="65FB1B2B" w14:textId="77777777" w:rsidR="00FB6FEE" w:rsidRDefault="00FB6FEE" w:rsidP="00C3168E">
      <w:pPr>
        <w:rPr>
          <w:rFonts w:ascii="Calibri" w:eastAsia="Times New Roman" w:hAnsi="Calibri" w:cs="Times New Roman"/>
          <w:color w:val="000000"/>
          <w:sz w:val="27"/>
          <w:szCs w:val="27"/>
        </w:rPr>
      </w:pPr>
      <w:r w:rsidRPr="00FB6FEE">
        <w:rPr>
          <w:rFonts w:ascii="Calibri" w:eastAsia="Times New Roman" w:hAnsi="Calibri" w:cs="Times New Roman"/>
          <w:color w:val="4472C4" w:themeColor="accent1"/>
          <w:sz w:val="27"/>
          <w:szCs w:val="27"/>
        </w:rPr>
        <w:t>No, the recipients are not anesthetized</w:t>
      </w:r>
      <w:r>
        <w:rPr>
          <w:rFonts w:ascii="Calibri" w:eastAsia="Times New Roman" w:hAnsi="Calibri" w:cs="Times New Roman"/>
          <w:color w:val="4472C4" w:themeColor="accent1"/>
          <w:sz w:val="27"/>
          <w:szCs w:val="27"/>
        </w:rPr>
        <w:t xml:space="preserve"> before irradiation</w:t>
      </w:r>
      <w:r w:rsidRPr="00FB6FEE">
        <w:rPr>
          <w:rFonts w:ascii="Calibri" w:eastAsia="Times New Roman" w:hAnsi="Calibri" w:cs="Times New Roman"/>
          <w:color w:val="4472C4" w:themeColor="accent1"/>
          <w:sz w:val="27"/>
          <w:szCs w:val="27"/>
        </w:rPr>
        <w:t>.</w:t>
      </w:r>
      <w:r>
        <w:rPr>
          <w:rFonts w:ascii="Calibri" w:eastAsia="Times New Roman" w:hAnsi="Calibri" w:cs="Times New Roman"/>
          <w:color w:val="4472C4" w:themeColor="accent1"/>
          <w:sz w:val="27"/>
          <w:szCs w:val="27"/>
        </w:rPr>
        <w:t xml:space="preserve"> Although the procedure is somewhat stressful to the animals due to enclosure in a confined space for the duration of irradiation, the irradiation itself does not cause any pain or discomfort. Therefore, anesthesia is never used for whole body irradiation as it would actually cause a greater cumulative degree of stress.</w:t>
      </w:r>
      <w:r w:rsidR="00C3168E" w:rsidRPr="00C3168E">
        <w:rPr>
          <w:rFonts w:ascii="Calibri" w:eastAsia="Times New Roman" w:hAnsi="Calibri" w:cs="Times New Roman"/>
          <w:color w:val="4472C4" w:themeColor="accent1"/>
        </w:rPr>
        <w:br/>
      </w:r>
      <w:r w:rsidR="00C3168E" w:rsidRPr="00C3168E">
        <w:rPr>
          <w:rFonts w:ascii="Calibri" w:eastAsia="Times New Roman" w:hAnsi="Calibri" w:cs="Times New Roman"/>
          <w:color w:val="000000"/>
          <w:sz w:val="27"/>
          <w:szCs w:val="27"/>
        </w:rPr>
        <w:t>10. 2.2.2: Please describe how to remove the hind limbs and extract the femurs and tibia.</w:t>
      </w:r>
    </w:p>
    <w:p w14:paraId="7E7339C3" w14:textId="77777777" w:rsidR="00C40702" w:rsidRPr="00C40702" w:rsidRDefault="00FB6FEE" w:rsidP="00C3168E">
      <w:pPr>
        <w:rPr>
          <w:rFonts w:ascii="Calibri" w:eastAsia="Times New Roman" w:hAnsi="Calibri" w:cs="Times New Roman"/>
          <w:color w:val="4472C4" w:themeColor="accent1"/>
          <w:sz w:val="27"/>
          <w:szCs w:val="27"/>
        </w:rPr>
      </w:pPr>
      <w:r w:rsidRPr="00FB6FEE">
        <w:rPr>
          <w:rFonts w:ascii="Calibri" w:eastAsia="Times New Roman" w:hAnsi="Calibri" w:cs="Times New Roman"/>
          <w:color w:val="4472C4" w:themeColor="accent1"/>
          <w:sz w:val="27"/>
          <w:szCs w:val="27"/>
        </w:rPr>
        <w:t xml:space="preserve">We have </w:t>
      </w:r>
      <w:r w:rsidR="00734C88">
        <w:rPr>
          <w:rFonts w:ascii="Calibri" w:eastAsia="Times New Roman" w:hAnsi="Calibri" w:cs="Times New Roman"/>
          <w:color w:val="4472C4" w:themeColor="accent1"/>
          <w:sz w:val="27"/>
          <w:szCs w:val="27"/>
        </w:rPr>
        <w:t>extended the description of how to remove the hind limbs and extract the femurs and tibia.</w:t>
      </w:r>
      <w:r w:rsidR="00C3168E" w:rsidRPr="00C3168E">
        <w:rPr>
          <w:rFonts w:ascii="Calibri" w:eastAsia="Times New Roman" w:hAnsi="Calibri" w:cs="Times New Roman"/>
          <w:color w:val="4472C4" w:themeColor="accent1"/>
        </w:rPr>
        <w:br/>
      </w:r>
      <w:r w:rsidR="00C3168E" w:rsidRPr="00C3168E">
        <w:rPr>
          <w:rFonts w:ascii="Calibri" w:eastAsia="Times New Roman" w:hAnsi="Calibri" w:cs="Times New Roman"/>
          <w:color w:val="000000"/>
          <w:sz w:val="27"/>
          <w:szCs w:val="27"/>
        </w:rPr>
        <w:t>11. Please specify all surgical tools used throughout the protocol.</w:t>
      </w:r>
      <w:r w:rsidR="00C3168E" w:rsidRPr="00C3168E">
        <w:rPr>
          <w:rFonts w:ascii="Calibri" w:eastAsia="Times New Roman" w:hAnsi="Calibri" w:cs="Times New Roman"/>
          <w:color w:val="000000"/>
        </w:rPr>
        <w:br/>
      </w:r>
      <w:r w:rsidR="00C40702" w:rsidRPr="00C40702">
        <w:rPr>
          <w:rFonts w:ascii="Calibri" w:eastAsia="Times New Roman" w:hAnsi="Calibri" w:cs="Times New Roman"/>
          <w:color w:val="4472C4" w:themeColor="accent1"/>
          <w:sz w:val="27"/>
          <w:szCs w:val="27"/>
        </w:rPr>
        <w:t>We have specified surgical tools used at appropriate places in the text and they are additionally listed in the materials table.</w:t>
      </w:r>
    </w:p>
    <w:p w14:paraId="1B3A7245" w14:textId="344ACB14" w:rsidR="00C40702" w:rsidRPr="00C40702" w:rsidRDefault="00C3168E" w:rsidP="00C3168E">
      <w:pPr>
        <w:rPr>
          <w:rFonts w:ascii="Calibri" w:eastAsia="Times New Roman" w:hAnsi="Calibri" w:cs="Times New Roman"/>
          <w:color w:val="4472C4" w:themeColor="accent1"/>
          <w:sz w:val="27"/>
          <w:szCs w:val="27"/>
        </w:rPr>
      </w:pPr>
      <w:r w:rsidRPr="00C3168E">
        <w:rPr>
          <w:rFonts w:ascii="Calibri" w:eastAsia="Times New Roman" w:hAnsi="Calibri" w:cs="Times New Roman"/>
          <w:color w:val="000000"/>
          <w:sz w:val="27"/>
          <w:szCs w:val="27"/>
        </w:rPr>
        <w:t>12. 5.2.1: Please specify the euthanasia method.</w:t>
      </w:r>
      <w:r w:rsidRPr="00C3168E">
        <w:rPr>
          <w:rFonts w:ascii="Calibri" w:eastAsia="Times New Roman" w:hAnsi="Calibri" w:cs="Times New Roman"/>
          <w:color w:val="000000"/>
        </w:rPr>
        <w:br/>
      </w:r>
      <w:r w:rsidR="00C40702" w:rsidRPr="00C40702">
        <w:rPr>
          <w:rFonts w:ascii="Calibri" w:eastAsia="Times New Roman" w:hAnsi="Calibri" w:cs="Times New Roman"/>
          <w:color w:val="4472C4" w:themeColor="accent1"/>
          <w:sz w:val="27"/>
          <w:szCs w:val="27"/>
        </w:rPr>
        <w:t xml:space="preserve">We have specified the euthanasia method with a reference to </w:t>
      </w:r>
      <w:r w:rsidR="00E37456">
        <w:rPr>
          <w:rFonts w:ascii="Calibri" w:eastAsia="Times New Roman" w:hAnsi="Calibri" w:cs="Times New Roman"/>
          <w:color w:val="4472C4" w:themeColor="accent1"/>
          <w:sz w:val="27"/>
          <w:szCs w:val="27"/>
        </w:rPr>
        <w:t xml:space="preserve">the </w:t>
      </w:r>
      <w:r w:rsidR="00C40702" w:rsidRPr="00C40702">
        <w:rPr>
          <w:rFonts w:ascii="Calibri" w:eastAsia="Times New Roman" w:hAnsi="Calibri" w:cs="Times New Roman"/>
          <w:color w:val="4472C4" w:themeColor="accent1"/>
          <w:sz w:val="27"/>
          <w:szCs w:val="27"/>
        </w:rPr>
        <w:t>previously described procedure in step 2.2.1.</w:t>
      </w:r>
    </w:p>
    <w:p w14:paraId="71D91732" w14:textId="77777777" w:rsidR="00C40702" w:rsidRDefault="00C3168E" w:rsidP="00C3168E">
      <w:pPr>
        <w:rPr>
          <w:rFonts w:ascii="Calibri" w:eastAsia="Times New Roman" w:hAnsi="Calibri" w:cs="Times New Roman"/>
          <w:color w:val="000000"/>
          <w:sz w:val="27"/>
          <w:szCs w:val="27"/>
        </w:rPr>
      </w:pPr>
      <w:r w:rsidRPr="00C3168E">
        <w:rPr>
          <w:rFonts w:ascii="Calibri" w:eastAsia="Times New Roman" w:hAnsi="Calibri" w:cs="Times New Roman"/>
          <w:color w:val="000000"/>
          <w:sz w:val="27"/>
          <w:szCs w:val="27"/>
        </w:rPr>
        <w:t>13. 5.2.9: Please revise the Protocol steps so that individual steps contain only 2-3 actions per step and a maximum of 4 sentences per step. Use sub-steps as necessary.</w:t>
      </w:r>
    </w:p>
    <w:p w14:paraId="15735883" w14:textId="77777777" w:rsidR="00C40702" w:rsidRDefault="00C40702" w:rsidP="00C3168E">
      <w:pPr>
        <w:rPr>
          <w:rFonts w:ascii="Calibri" w:eastAsia="Times New Roman" w:hAnsi="Calibri" w:cs="Times New Roman"/>
          <w:color w:val="000000"/>
          <w:sz w:val="27"/>
          <w:szCs w:val="27"/>
        </w:rPr>
      </w:pPr>
      <w:r w:rsidRPr="00C40702">
        <w:rPr>
          <w:rFonts w:ascii="Calibri" w:eastAsia="Times New Roman" w:hAnsi="Calibri" w:cs="Times New Roman"/>
          <w:color w:val="4472C4" w:themeColor="accent1"/>
          <w:sz w:val="27"/>
          <w:szCs w:val="27"/>
        </w:rPr>
        <w:t>Step 5.2.9 has been split into steps 5.2.9-5.2.12.</w:t>
      </w:r>
      <w:r w:rsidR="00C3168E" w:rsidRPr="00C3168E">
        <w:rPr>
          <w:rFonts w:ascii="Calibri" w:eastAsia="Times New Roman" w:hAnsi="Calibri" w:cs="Times New Roman"/>
          <w:color w:val="000000"/>
        </w:rPr>
        <w:br/>
      </w:r>
      <w:r w:rsidR="00C3168E" w:rsidRPr="00C3168E">
        <w:rPr>
          <w:rFonts w:ascii="Calibri" w:eastAsia="Times New Roman" w:hAnsi="Calibri" w:cs="Times New Roman"/>
          <w:color w:val="000000"/>
          <w:sz w:val="27"/>
          <w:szCs w:val="27"/>
        </w:rPr>
        <w:t>14.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0E10DAC2" w14:textId="77777777" w:rsidR="00B610E1" w:rsidRDefault="00C40702" w:rsidP="00C3168E">
      <w:pPr>
        <w:rPr>
          <w:rFonts w:ascii="Calibri" w:eastAsia="Times New Roman" w:hAnsi="Calibri" w:cs="Times New Roman"/>
          <w:color w:val="000000"/>
          <w:sz w:val="27"/>
          <w:szCs w:val="27"/>
        </w:rPr>
      </w:pPr>
      <w:r w:rsidRPr="00B610E1">
        <w:rPr>
          <w:rFonts w:ascii="Calibri" w:eastAsia="Times New Roman" w:hAnsi="Calibri" w:cs="Times New Roman"/>
          <w:color w:val="4472C4" w:themeColor="accent1"/>
          <w:sz w:val="27"/>
          <w:szCs w:val="27"/>
        </w:rPr>
        <w:t>We have, to the best of our ability, complied with this request.</w:t>
      </w:r>
      <w:r w:rsidR="00C3168E" w:rsidRPr="00C3168E">
        <w:rPr>
          <w:rFonts w:ascii="Calibri" w:eastAsia="Times New Roman" w:hAnsi="Calibri" w:cs="Times New Roman"/>
          <w:color w:val="000000"/>
        </w:rPr>
        <w:br/>
      </w:r>
      <w:r w:rsidR="00C3168E" w:rsidRPr="00C3168E">
        <w:rPr>
          <w:rFonts w:ascii="Calibri" w:eastAsia="Times New Roman" w:hAnsi="Calibri" w:cs="Times New Roman"/>
          <w:color w:val="000000"/>
          <w:sz w:val="27"/>
          <w:szCs w:val="27"/>
        </w:rPr>
        <w:t>15. Please highlight complete sentences (not parts of sentences). Please ensure that the highlighted part of the step includes at least one action that is written in imperative tense. Notes cannot usually be filmed and should be excluded from the highlighting. Please do not highlight any steps describing anesthetization and euthanasia.</w:t>
      </w:r>
    </w:p>
    <w:p w14:paraId="45BD8F35" w14:textId="77777777" w:rsidR="00B610E1" w:rsidRDefault="00B610E1" w:rsidP="00C3168E">
      <w:pPr>
        <w:rPr>
          <w:rFonts w:ascii="Calibri" w:eastAsia="Times New Roman" w:hAnsi="Calibri" w:cs="Times New Roman"/>
          <w:color w:val="000000"/>
          <w:sz w:val="27"/>
          <w:szCs w:val="27"/>
        </w:rPr>
      </w:pPr>
      <w:r w:rsidRPr="00B610E1">
        <w:rPr>
          <w:rFonts w:ascii="Calibri" w:eastAsia="Times New Roman" w:hAnsi="Calibri" w:cs="Times New Roman"/>
          <w:color w:val="4472C4" w:themeColor="accent1"/>
          <w:sz w:val="27"/>
          <w:szCs w:val="27"/>
        </w:rPr>
        <w:t>Again, we have to the best of our ability complied with this.</w:t>
      </w:r>
      <w:r w:rsidR="00C3168E" w:rsidRPr="00C3168E">
        <w:rPr>
          <w:rFonts w:ascii="Calibri" w:eastAsia="Times New Roman" w:hAnsi="Calibri" w:cs="Times New Roman"/>
          <w:color w:val="000000"/>
        </w:rPr>
        <w:br/>
      </w:r>
      <w:r w:rsidR="00C3168E" w:rsidRPr="00C3168E">
        <w:rPr>
          <w:rFonts w:ascii="Calibri" w:eastAsia="Times New Roman" w:hAnsi="Calibri" w:cs="Times New Roman"/>
          <w:color w:val="000000"/>
          <w:sz w:val="27"/>
          <w:szCs w:val="27"/>
        </w:rPr>
        <w:t>16.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110B3FFE" w14:textId="560911D0" w:rsidR="00B610E1" w:rsidRDefault="00B610E1" w:rsidP="00C3168E">
      <w:pPr>
        <w:rPr>
          <w:rFonts w:ascii="Calibri" w:eastAsia="Times New Roman" w:hAnsi="Calibri" w:cs="Times New Roman"/>
          <w:color w:val="000000"/>
          <w:sz w:val="27"/>
          <w:szCs w:val="27"/>
        </w:rPr>
      </w:pPr>
      <w:r w:rsidRPr="00B610E1">
        <w:rPr>
          <w:rFonts w:ascii="Calibri" w:eastAsia="Times New Roman" w:hAnsi="Calibri" w:cs="Times New Roman"/>
          <w:color w:val="4472C4" w:themeColor="accent1"/>
          <w:sz w:val="27"/>
          <w:szCs w:val="27"/>
        </w:rPr>
        <w:t>As we understand this, we have complied</w:t>
      </w:r>
      <w:r w:rsidR="00A3735C">
        <w:rPr>
          <w:rFonts w:ascii="Calibri" w:eastAsia="Times New Roman" w:hAnsi="Calibri" w:cs="Times New Roman"/>
          <w:color w:val="4472C4" w:themeColor="accent1"/>
          <w:sz w:val="27"/>
          <w:szCs w:val="27"/>
        </w:rPr>
        <w:t>, but please advise if inadequate</w:t>
      </w:r>
      <w:r w:rsidRPr="00B610E1">
        <w:rPr>
          <w:rFonts w:ascii="Calibri" w:eastAsia="Times New Roman" w:hAnsi="Calibri" w:cs="Times New Roman"/>
          <w:color w:val="4472C4" w:themeColor="accent1"/>
          <w:sz w:val="27"/>
          <w:szCs w:val="27"/>
        </w:rPr>
        <w:t>.</w:t>
      </w:r>
      <w:r w:rsidR="00C3168E" w:rsidRPr="00C3168E">
        <w:rPr>
          <w:rFonts w:ascii="Calibri" w:eastAsia="Times New Roman" w:hAnsi="Calibri" w:cs="Times New Roman"/>
          <w:color w:val="000000"/>
        </w:rPr>
        <w:br/>
      </w:r>
      <w:r w:rsidR="00C3168E" w:rsidRPr="00C3168E">
        <w:rPr>
          <w:rFonts w:ascii="Calibri" w:eastAsia="Times New Roman" w:hAnsi="Calibri" w:cs="Times New Roman"/>
          <w:color w:val="000000"/>
          <w:sz w:val="27"/>
          <w:szCs w:val="27"/>
        </w:rPr>
        <w:t>17. References: If there are six or more authors, list the first author and then “et al.”.</w:t>
      </w:r>
    </w:p>
    <w:p w14:paraId="6F6C6DED" w14:textId="77777777" w:rsidR="00A3735C" w:rsidRDefault="00B610E1" w:rsidP="00C3168E">
      <w:pPr>
        <w:rPr>
          <w:rFonts w:ascii="Calibri" w:eastAsia="Times New Roman" w:hAnsi="Calibri" w:cs="Times New Roman"/>
          <w:color w:val="000000"/>
          <w:sz w:val="27"/>
          <w:szCs w:val="27"/>
        </w:rPr>
      </w:pPr>
      <w:r w:rsidRPr="00B610E1">
        <w:rPr>
          <w:rFonts w:ascii="Calibri" w:eastAsia="Times New Roman" w:hAnsi="Calibri" w:cs="Times New Roman"/>
          <w:color w:val="4472C4" w:themeColor="accent1"/>
          <w:sz w:val="27"/>
          <w:szCs w:val="27"/>
        </w:rPr>
        <w:t>We have corrected the reference list</w:t>
      </w:r>
      <w:r w:rsidR="00A3735C">
        <w:rPr>
          <w:rFonts w:ascii="Calibri" w:eastAsia="Times New Roman" w:hAnsi="Calibri" w:cs="Times New Roman"/>
          <w:color w:val="4472C4" w:themeColor="accent1"/>
          <w:sz w:val="27"/>
          <w:szCs w:val="27"/>
        </w:rPr>
        <w:t xml:space="preserve"> to abbreviate author lists with et al. in references with six or more authors.</w:t>
      </w:r>
      <w:r w:rsidR="00C3168E" w:rsidRPr="00C3168E">
        <w:rPr>
          <w:rFonts w:ascii="Calibri" w:eastAsia="Times New Roman" w:hAnsi="Calibri" w:cs="Times New Roman"/>
          <w:color w:val="000000"/>
        </w:rPr>
        <w:br/>
      </w:r>
      <w:r w:rsidR="00C3168E" w:rsidRPr="00C3168E">
        <w:rPr>
          <w:rFonts w:ascii="Calibri" w:eastAsia="Times New Roman" w:hAnsi="Calibri" w:cs="Times New Roman"/>
          <w:color w:val="000000"/>
          <w:sz w:val="27"/>
          <w:szCs w:val="27"/>
        </w:rPr>
        <w:t>18. Table of Materials: Please remove trademark (™) and registered (®) symbols. Please sort the items in alphabetical order according to the name of material/equipment.</w:t>
      </w:r>
    </w:p>
    <w:p w14:paraId="756CF952" w14:textId="0C2CE32B" w:rsidR="00B610E1" w:rsidRDefault="00A3735C" w:rsidP="00C3168E">
      <w:pPr>
        <w:rPr>
          <w:rFonts w:ascii="Calibri" w:eastAsia="Times New Roman" w:hAnsi="Calibri" w:cs="Times New Roman"/>
          <w:b/>
          <w:bCs/>
          <w:color w:val="000000"/>
        </w:rPr>
      </w:pPr>
      <w:r w:rsidRPr="00A3735C">
        <w:rPr>
          <w:rFonts w:ascii="Calibri" w:eastAsia="Times New Roman" w:hAnsi="Calibri" w:cs="Times New Roman"/>
          <w:color w:val="4472C4" w:themeColor="accent1"/>
          <w:sz w:val="27"/>
          <w:szCs w:val="27"/>
        </w:rPr>
        <w:t>We have removed the symbols and sorted the list alphabetically according to the name of material/equipment.</w:t>
      </w:r>
      <w:r w:rsidR="00C3168E" w:rsidRPr="00C3168E">
        <w:rPr>
          <w:rFonts w:ascii="Calibri" w:eastAsia="Times New Roman" w:hAnsi="Calibri" w:cs="Times New Roman"/>
          <w:color w:val="4472C4" w:themeColor="accent1"/>
        </w:rPr>
        <w:br/>
      </w:r>
      <w:r w:rsidR="00C3168E" w:rsidRPr="00C3168E">
        <w:rPr>
          <w:rFonts w:ascii="Calibri" w:eastAsia="Times New Roman" w:hAnsi="Calibri" w:cs="Times New Roman"/>
          <w:color w:val="000000"/>
        </w:rPr>
        <w:br/>
      </w:r>
    </w:p>
    <w:p w14:paraId="2B569111" w14:textId="77777777" w:rsidR="00B610E1" w:rsidRDefault="00B610E1" w:rsidP="00C3168E">
      <w:pPr>
        <w:rPr>
          <w:rFonts w:ascii="Calibri" w:eastAsia="Times New Roman" w:hAnsi="Calibri" w:cs="Times New Roman"/>
          <w:b/>
          <w:bCs/>
          <w:color w:val="4472C4" w:themeColor="accent1"/>
          <w:sz w:val="29"/>
          <w:szCs w:val="29"/>
        </w:rPr>
      </w:pPr>
      <w:r>
        <w:rPr>
          <w:rFonts w:ascii="Calibri" w:eastAsia="Times New Roman" w:hAnsi="Calibri" w:cs="Times New Roman"/>
          <w:b/>
          <w:bCs/>
          <w:color w:val="4472C4" w:themeColor="accent1"/>
          <w:sz w:val="29"/>
          <w:szCs w:val="29"/>
        </w:rPr>
        <w:t>Point-by-point r</w:t>
      </w:r>
      <w:r w:rsidRPr="00B610E1">
        <w:rPr>
          <w:rFonts w:ascii="Calibri" w:eastAsia="Times New Roman" w:hAnsi="Calibri" w:cs="Times New Roman"/>
          <w:b/>
          <w:bCs/>
          <w:color w:val="4472C4" w:themeColor="accent1"/>
          <w:sz w:val="29"/>
          <w:szCs w:val="29"/>
        </w:rPr>
        <w:t xml:space="preserve">esponse to </w:t>
      </w:r>
      <w:r w:rsidR="00C3168E" w:rsidRPr="00B610E1">
        <w:rPr>
          <w:rFonts w:ascii="Calibri" w:eastAsia="Times New Roman" w:hAnsi="Calibri" w:cs="Times New Roman"/>
          <w:b/>
          <w:bCs/>
          <w:color w:val="4472C4" w:themeColor="accent1"/>
          <w:sz w:val="29"/>
          <w:szCs w:val="29"/>
        </w:rPr>
        <w:t>Reviewers' comments</w:t>
      </w:r>
    </w:p>
    <w:p w14:paraId="0DDED7AA" w14:textId="19FB94FD" w:rsidR="00B610E1" w:rsidRPr="00B610E1" w:rsidRDefault="00C3168E" w:rsidP="00C3168E">
      <w:pPr>
        <w:rPr>
          <w:rFonts w:ascii="Calibri" w:eastAsia="Times New Roman" w:hAnsi="Calibri" w:cs="Times New Roman"/>
          <w:color w:val="000000"/>
        </w:rPr>
      </w:pPr>
      <w:r w:rsidRPr="00C3168E">
        <w:rPr>
          <w:rFonts w:ascii="Calibri" w:eastAsia="Times New Roman" w:hAnsi="Calibri" w:cs="Times New Roman"/>
          <w:color w:val="000000"/>
          <w:sz w:val="27"/>
          <w:szCs w:val="27"/>
        </w:rPr>
        <w:br/>
      </w:r>
      <w:r w:rsidR="00B610E1" w:rsidRPr="00B610E1">
        <w:rPr>
          <w:rFonts w:ascii="Calibri" w:eastAsia="Times New Roman" w:hAnsi="Calibri" w:cs="Times New Roman"/>
          <w:color w:val="4472C4" w:themeColor="accent1"/>
          <w:sz w:val="27"/>
          <w:szCs w:val="27"/>
        </w:rPr>
        <w:t>We would like to start by thanking the Reviewers for their thorough evaluation of our manuscript. We were happy to read the positive response. Below we address the minor points raised by the review.</w:t>
      </w:r>
      <w:r w:rsidRPr="00C3168E">
        <w:rPr>
          <w:rFonts w:ascii="Calibri" w:eastAsia="Times New Roman" w:hAnsi="Calibri" w:cs="Times New Roman"/>
          <w:color w:val="4472C4" w:themeColor="accent1"/>
          <w:sz w:val="27"/>
          <w:szCs w:val="27"/>
        </w:rPr>
        <w:br/>
      </w:r>
      <w:r w:rsidRPr="00C3168E">
        <w:rPr>
          <w:rFonts w:ascii="Calibri" w:eastAsia="Times New Roman" w:hAnsi="Calibri" w:cs="Times New Roman"/>
          <w:color w:val="000000"/>
          <w:sz w:val="27"/>
          <w:szCs w:val="27"/>
        </w:rPr>
        <w:br/>
      </w:r>
      <w:r w:rsidRPr="00C3168E">
        <w:rPr>
          <w:rFonts w:ascii="Calibri" w:eastAsia="Times New Roman" w:hAnsi="Calibri" w:cs="Times New Roman"/>
          <w:color w:val="000000"/>
        </w:rPr>
        <w:br/>
      </w:r>
      <w:r w:rsidRPr="00C3168E">
        <w:rPr>
          <w:rFonts w:ascii="Calibri" w:eastAsia="Times New Roman" w:hAnsi="Calibri" w:cs="Times New Roman"/>
          <w:color w:val="000000"/>
          <w:sz w:val="27"/>
          <w:szCs w:val="27"/>
        </w:rPr>
        <w:t>Reviewer #1:</w:t>
      </w:r>
      <w:r w:rsidRPr="00C3168E">
        <w:rPr>
          <w:rFonts w:ascii="Calibri" w:eastAsia="Times New Roman" w:hAnsi="Calibri" w:cs="Times New Roman"/>
          <w:color w:val="000000"/>
        </w:rPr>
        <w:br/>
      </w:r>
      <w:r w:rsidRPr="00C3168E">
        <w:rPr>
          <w:rFonts w:ascii="Calibri" w:eastAsia="Times New Roman" w:hAnsi="Calibri" w:cs="Times New Roman"/>
          <w:color w:val="000000"/>
        </w:rPr>
        <w:br/>
      </w:r>
      <w:r w:rsidRPr="00C3168E">
        <w:rPr>
          <w:rFonts w:ascii="Calibri" w:eastAsia="Times New Roman" w:hAnsi="Calibri" w:cs="Times New Roman"/>
          <w:color w:val="000000"/>
          <w:sz w:val="27"/>
          <w:szCs w:val="27"/>
        </w:rPr>
        <w:t>Manuscript Summary:</w:t>
      </w:r>
      <w:r w:rsidRPr="00C3168E">
        <w:rPr>
          <w:rFonts w:ascii="Calibri" w:eastAsia="Times New Roman" w:hAnsi="Calibri" w:cs="Times New Roman"/>
          <w:color w:val="000000"/>
        </w:rPr>
        <w:br/>
      </w:r>
      <w:r w:rsidRPr="00C3168E">
        <w:rPr>
          <w:rFonts w:ascii="Calibri" w:eastAsia="Times New Roman" w:hAnsi="Calibri" w:cs="Times New Roman"/>
          <w:color w:val="000000"/>
        </w:rPr>
        <w:br/>
      </w:r>
      <w:r w:rsidRPr="00C3168E">
        <w:rPr>
          <w:rFonts w:ascii="Calibri" w:eastAsia="Times New Roman" w:hAnsi="Calibri" w:cs="Times New Roman"/>
          <w:color w:val="000000"/>
          <w:sz w:val="27"/>
          <w:szCs w:val="27"/>
        </w:rPr>
        <w:t>In the manuscript by Wittenborn et al a state of the art method is described that allows specific isolation of lymphocytes that are isolated from specific areas in tissues. In the manuscript germinal center B cells can be isolated. Basis of the method are several protocols that are described in great detail:</w:t>
      </w:r>
      <w:r w:rsidRPr="00C3168E">
        <w:rPr>
          <w:rFonts w:ascii="Calibri" w:eastAsia="Times New Roman" w:hAnsi="Calibri" w:cs="Times New Roman"/>
          <w:color w:val="000000"/>
        </w:rPr>
        <w:br/>
      </w:r>
      <w:r w:rsidRPr="00C3168E">
        <w:rPr>
          <w:rFonts w:ascii="Calibri" w:eastAsia="Times New Roman" w:hAnsi="Calibri" w:cs="Times New Roman"/>
          <w:color w:val="000000"/>
        </w:rPr>
        <w:br/>
      </w:r>
      <w:r w:rsidRPr="00C3168E">
        <w:rPr>
          <w:rFonts w:ascii="Calibri" w:eastAsia="Times New Roman" w:hAnsi="Calibri" w:cs="Times New Roman"/>
          <w:color w:val="000000"/>
          <w:sz w:val="27"/>
          <w:szCs w:val="27"/>
        </w:rPr>
        <w:t>1. generation bone marrow chimeric mice to allow the colonization of photo-activatable lymphocytes.</w:t>
      </w:r>
      <w:r w:rsidRPr="00C3168E">
        <w:rPr>
          <w:rFonts w:ascii="Calibri" w:eastAsia="Times New Roman" w:hAnsi="Calibri" w:cs="Times New Roman"/>
          <w:color w:val="000000"/>
        </w:rPr>
        <w:br/>
      </w:r>
      <w:r w:rsidRPr="00C3168E">
        <w:rPr>
          <w:rFonts w:ascii="Calibri" w:eastAsia="Times New Roman" w:hAnsi="Calibri" w:cs="Times New Roman"/>
          <w:color w:val="000000"/>
          <w:sz w:val="27"/>
          <w:szCs w:val="27"/>
        </w:rPr>
        <w:t>2. identification of the region of interest, here the germinal center regions in spleen or lymph nodes</w:t>
      </w:r>
      <w:r w:rsidRPr="00C3168E">
        <w:rPr>
          <w:rFonts w:ascii="Calibri" w:eastAsia="Times New Roman" w:hAnsi="Calibri" w:cs="Times New Roman"/>
          <w:color w:val="000000"/>
        </w:rPr>
        <w:br/>
      </w:r>
      <w:r w:rsidRPr="00C3168E">
        <w:rPr>
          <w:rFonts w:ascii="Calibri" w:eastAsia="Times New Roman" w:hAnsi="Calibri" w:cs="Times New Roman"/>
          <w:color w:val="000000"/>
          <w:sz w:val="27"/>
          <w:szCs w:val="27"/>
        </w:rPr>
        <w:t>3. Photoactivation of the GFP in the region of interest</w:t>
      </w:r>
      <w:r w:rsidRPr="00C3168E">
        <w:rPr>
          <w:rFonts w:ascii="Calibri" w:eastAsia="Times New Roman" w:hAnsi="Calibri" w:cs="Times New Roman"/>
          <w:color w:val="000000"/>
        </w:rPr>
        <w:br/>
      </w:r>
      <w:r w:rsidRPr="00C3168E">
        <w:rPr>
          <w:rFonts w:ascii="Calibri" w:eastAsia="Times New Roman" w:hAnsi="Calibri" w:cs="Times New Roman"/>
          <w:color w:val="000000"/>
          <w:sz w:val="27"/>
          <w:szCs w:val="27"/>
        </w:rPr>
        <w:t>4. recovery and analysis of photoactivated cells.</w:t>
      </w:r>
      <w:r w:rsidRPr="00C3168E">
        <w:rPr>
          <w:rFonts w:ascii="Calibri" w:eastAsia="Times New Roman" w:hAnsi="Calibri" w:cs="Times New Roman"/>
          <w:color w:val="000000"/>
        </w:rPr>
        <w:br/>
      </w:r>
      <w:r w:rsidRPr="00C3168E">
        <w:rPr>
          <w:rFonts w:ascii="Calibri" w:eastAsia="Times New Roman" w:hAnsi="Calibri" w:cs="Times New Roman"/>
          <w:color w:val="000000"/>
        </w:rPr>
        <w:br/>
      </w:r>
      <w:r w:rsidRPr="00C3168E">
        <w:rPr>
          <w:rFonts w:ascii="Calibri" w:eastAsia="Times New Roman" w:hAnsi="Calibri" w:cs="Times New Roman"/>
          <w:color w:val="000000"/>
          <w:sz w:val="27"/>
          <w:szCs w:val="27"/>
        </w:rPr>
        <w:t>All procedures are described very well. The method is very helpful for a series of questions that needs detailed molecular analysis about cells in which the spatial distribution in tissues is important.</w:t>
      </w:r>
      <w:r w:rsidRPr="00C3168E">
        <w:rPr>
          <w:rFonts w:ascii="Calibri" w:eastAsia="Times New Roman" w:hAnsi="Calibri" w:cs="Times New Roman"/>
          <w:color w:val="000000"/>
        </w:rPr>
        <w:br/>
      </w:r>
      <w:r w:rsidRPr="00C3168E">
        <w:rPr>
          <w:rFonts w:ascii="Calibri" w:eastAsia="Times New Roman" w:hAnsi="Calibri" w:cs="Times New Roman"/>
          <w:color w:val="000000"/>
          <w:sz w:val="27"/>
          <w:szCs w:val="27"/>
        </w:rPr>
        <w:t>I have no major or minor concerns.</w:t>
      </w:r>
      <w:r w:rsidRPr="00C3168E">
        <w:rPr>
          <w:rFonts w:ascii="Calibri" w:eastAsia="Times New Roman" w:hAnsi="Calibri" w:cs="Times New Roman"/>
          <w:color w:val="000000"/>
        </w:rPr>
        <w:br/>
      </w:r>
      <w:r w:rsidRPr="00C3168E">
        <w:rPr>
          <w:rFonts w:ascii="Calibri" w:eastAsia="Times New Roman" w:hAnsi="Calibri" w:cs="Times New Roman"/>
          <w:color w:val="000000"/>
        </w:rPr>
        <w:br/>
      </w:r>
      <w:r w:rsidRPr="00C3168E">
        <w:rPr>
          <w:rFonts w:ascii="Calibri" w:eastAsia="Times New Roman" w:hAnsi="Calibri" w:cs="Times New Roman"/>
          <w:color w:val="000000"/>
          <w:sz w:val="27"/>
          <w:szCs w:val="27"/>
        </w:rPr>
        <w:t>Major Concerns:</w:t>
      </w:r>
      <w:r w:rsidRPr="00C3168E">
        <w:rPr>
          <w:rFonts w:ascii="Calibri" w:eastAsia="Times New Roman" w:hAnsi="Calibri" w:cs="Times New Roman"/>
          <w:color w:val="000000"/>
        </w:rPr>
        <w:br/>
      </w:r>
      <w:r w:rsidRPr="00C3168E">
        <w:rPr>
          <w:rFonts w:ascii="Calibri" w:eastAsia="Times New Roman" w:hAnsi="Calibri" w:cs="Times New Roman"/>
          <w:color w:val="000000"/>
          <w:sz w:val="27"/>
          <w:szCs w:val="27"/>
        </w:rPr>
        <w:t>I have no major concerns</w:t>
      </w:r>
      <w:r w:rsidRPr="00C3168E">
        <w:rPr>
          <w:rFonts w:ascii="Calibri" w:eastAsia="Times New Roman" w:hAnsi="Calibri" w:cs="Times New Roman"/>
          <w:color w:val="000000"/>
        </w:rPr>
        <w:br/>
      </w:r>
      <w:r w:rsidRPr="00C3168E">
        <w:rPr>
          <w:rFonts w:ascii="Calibri" w:eastAsia="Times New Roman" w:hAnsi="Calibri" w:cs="Times New Roman"/>
          <w:color w:val="000000"/>
        </w:rPr>
        <w:br/>
      </w:r>
      <w:r w:rsidR="00B610E1">
        <w:rPr>
          <w:rFonts w:ascii="Calibri" w:eastAsia="Times New Roman" w:hAnsi="Calibri" w:cs="Times New Roman"/>
          <w:color w:val="4472C4" w:themeColor="accent1"/>
          <w:sz w:val="27"/>
          <w:szCs w:val="27"/>
        </w:rPr>
        <w:t xml:space="preserve">We thank </w:t>
      </w:r>
      <w:r w:rsidR="00B610E1" w:rsidRPr="00B610E1">
        <w:rPr>
          <w:rFonts w:ascii="Calibri" w:eastAsia="Times New Roman" w:hAnsi="Calibri" w:cs="Times New Roman"/>
          <w:color w:val="4472C4" w:themeColor="accent1"/>
          <w:sz w:val="27"/>
          <w:szCs w:val="27"/>
        </w:rPr>
        <w:t xml:space="preserve">Reviewer </w:t>
      </w:r>
      <w:r w:rsidR="00B610E1">
        <w:rPr>
          <w:rFonts w:ascii="Calibri" w:eastAsia="Times New Roman" w:hAnsi="Calibri" w:cs="Times New Roman"/>
          <w:color w:val="4472C4" w:themeColor="accent1"/>
          <w:sz w:val="27"/>
          <w:szCs w:val="27"/>
        </w:rPr>
        <w:t xml:space="preserve">#1 </w:t>
      </w:r>
      <w:r w:rsidR="00B610E1" w:rsidRPr="00B610E1">
        <w:rPr>
          <w:rFonts w:ascii="Calibri" w:eastAsia="Times New Roman" w:hAnsi="Calibri" w:cs="Times New Roman"/>
          <w:color w:val="4472C4" w:themeColor="accent1"/>
          <w:sz w:val="27"/>
          <w:szCs w:val="27"/>
        </w:rPr>
        <w:t>for the positive and constructive reception of our manuscript.</w:t>
      </w:r>
      <w:r w:rsidRPr="00C3168E">
        <w:rPr>
          <w:rFonts w:ascii="Calibri" w:eastAsia="Times New Roman" w:hAnsi="Calibri" w:cs="Times New Roman"/>
          <w:color w:val="000000"/>
        </w:rPr>
        <w:br/>
      </w:r>
      <w:r w:rsidRPr="00C3168E">
        <w:rPr>
          <w:rFonts w:ascii="Calibri" w:eastAsia="Times New Roman" w:hAnsi="Calibri" w:cs="Times New Roman"/>
          <w:color w:val="000000"/>
        </w:rPr>
        <w:br/>
      </w:r>
      <w:r w:rsidRPr="00C3168E">
        <w:rPr>
          <w:rFonts w:ascii="Calibri" w:eastAsia="Times New Roman" w:hAnsi="Calibri" w:cs="Times New Roman"/>
          <w:color w:val="000000"/>
          <w:sz w:val="27"/>
          <w:szCs w:val="27"/>
        </w:rPr>
        <w:t>Reviewer #2:</w:t>
      </w:r>
      <w:r w:rsidRPr="00C3168E">
        <w:rPr>
          <w:rFonts w:ascii="Calibri" w:eastAsia="Times New Roman" w:hAnsi="Calibri" w:cs="Times New Roman"/>
          <w:color w:val="000000"/>
        </w:rPr>
        <w:br/>
      </w:r>
      <w:r w:rsidRPr="00C3168E">
        <w:rPr>
          <w:rFonts w:ascii="Calibri" w:eastAsia="Times New Roman" w:hAnsi="Calibri" w:cs="Times New Roman"/>
          <w:color w:val="000000"/>
        </w:rPr>
        <w:br/>
      </w:r>
      <w:r w:rsidRPr="00C3168E">
        <w:rPr>
          <w:rFonts w:ascii="Calibri" w:eastAsia="Times New Roman" w:hAnsi="Calibri" w:cs="Times New Roman"/>
          <w:color w:val="000000"/>
          <w:sz w:val="27"/>
          <w:szCs w:val="27"/>
        </w:rPr>
        <w:t>Manuscript Summary:</w:t>
      </w:r>
      <w:r w:rsidRPr="00C3168E">
        <w:rPr>
          <w:rFonts w:ascii="Calibri" w:eastAsia="Times New Roman" w:hAnsi="Calibri" w:cs="Times New Roman"/>
          <w:color w:val="000000"/>
        </w:rPr>
        <w:br/>
      </w:r>
      <w:r w:rsidRPr="00C3168E">
        <w:rPr>
          <w:rFonts w:ascii="Calibri" w:eastAsia="Times New Roman" w:hAnsi="Calibri" w:cs="Times New Roman"/>
          <w:color w:val="000000"/>
          <w:sz w:val="27"/>
          <w:szCs w:val="27"/>
        </w:rPr>
        <w:t>Generation of autoantibodies through dysregulated spontaneous germinal centers is one of the major mechanism contributing to autoimmunity. Understanding the generation, signaling and regulation of autoreactive B cells could lead to the development of a new selective class of therapeutics targeting specifically autoreactive B cells. Towards this, visualization of autoreactive B cells and their isolation could be the first step in understanding the biology behind their generation. This protocol describes the identification and isolation of autoreactive germinal center B cells. The authors describe the procedure for generating mixed bone marrow chimeric mice to analyze spontaneous autoreactive germinal centers reconstituted with lymphocytes carrying a photoactivatable green fluorescent protein. Importantly, the germinal center cells are photoactivatable using a two-photon microscope which can subsequently be analyzed by flow cytometry or sorted and analyzed further by several techniques.</w:t>
      </w:r>
      <w:r w:rsidRPr="00C3168E">
        <w:rPr>
          <w:rFonts w:ascii="Calibri" w:eastAsia="Times New Roman" w:hAnsi="Calibri" w:cs="Times New Roman"/>
          <w:color w:val="000000"/>
        </w:rPr>
        <w:br/>
      </w:r>
      <w:r w:rsidRPr="00C3168E">
        <w:rPr>
          <w:rFonts w:ascii="Calibri" w:eastAsia="Times New Roman" w:hAnsi="Calibri" w:cs="Times New Roman"/>
          <w:color w:val="000000"/>
        </w:rPr>
        <w:br/>
      </w:r>
      <w:r w:rsidRPr="00C3168E">
        <w:rPr>
          <w:rFonts w:ascii="Calibri" w:eastAsia="Times New Roman" w:hAnsi="Calibri" w:cs="Times New Roman"/>
          <w:color w:val="000000"/>
          <w:sz w:val="27"/>
          <w:szCs w:val="27"/>
        </w:rPr>
        <w:t>The study is well presented and the protocol is described clearly. The following question should be addressed by the authors.</w:t>
      </w:r>
      <w:r w:rsidRPr="00C3168E">
        <w:rPr>
          <w:rFonts w:ascii="Calibri" w:eastAsia="Times New Roman" w:hAnsi="Calibri" w:cs="Times New Roman"/>
          <w:color w:val="000000"/>
        </w:rPr>
        <w:br/>
      </w:r>
    </w:p>
    <w:p w14:paraId="36EB63AE" w14:textId="09188CD1" w:rsidR="00C3168E" w:rsidRDefault="00C3168E" w:rsidP="00C3168E">
      <w:pPr>
        <w:rPr>
          <w:rFonts w:ascii="Calibri" w:eastAsia="Times New Roman" w:hAnsi="Calibri" w:cs="Times New Roman"/>
          <w:color w:val="000000"/>
          <w:sz w:val="27"/>
          <w:szCs w:val="27"/>
        </w:rPr>
      </w:pPr>
      <w:r w:rsidRPr="00C3168E">
        <w:rPr>
          <w:rFonts w:ascii="Calibri" w:eastAsia="Times New Roman" w:hAnsi="Calibri" w:cs="Times New Roman"/>
          <w:color w:val="000000"/>
        </w:rPr>
        <w:br/>
      </w:r>
      <w:r w:rsidRPr="00C3168E">
        <w:rPr>
          <w:rFonts w:ascii="Calibri" w:eastAsia="Times New Roman" w:hAnsi="Calibri" w:cs="Times New Roman"/>
          <w:color w:val="000000"/>
          <w:sz w:val="27"/>
          <w:szCs w:val="27"/>
        </w:rPr>
        <w:t>Minor Concerns:</w:t>
      </w:r>
      <w:r w:rsidRPr="00C3168E">
        <w:rPr>
          <w:rFonts w:ascii="Calibri" w:eastAsia="Times New Roman" w:hAnsi="Calibri" w:cs="Times New Roman"/>
          <w:color w:val="000000"/>
        </w:rPr>
        <w:br/>
      </w:r>
      <w:r w:rsidRPr="00C3168E">
        <w:rPr>
          <w:rFonts w:ascii="Calibri" w:eastAsia="Times New Roman" w:hAnsi="Calibri" w:cs="Times New Roman"/>
          <w:color w:val="000000"/>
        </w:rPr>
        <w:br/>
      </w:r>
      <w:r w:rsidRPr="00C3168E">
        <w:rPr>
          <w:rFonts w:ascii="Calibri" w:eastAsia="Times New Roman" w:hAnsi="Calibri" w:cs="Times New Roman"/>
          <w:color w:val="000000"/>
          <w:sz w:val="27"/>
          <w:szCs w:val="27"/>
        </w:rPr>
        <w:t>The authors describe the use of retro-orbital injection and bleeding as the prototype method for intravenous injection of BM cells and blood collection for analysis of reconstitution, respectively. Does intravenous injection through tail-vein yield similar results? If not, the authors should mention that giving reasons. However, if both the methods of i.v. injection (retro-orbital and tail-vein) work equally well then the authors should clearly mention in the manuscript. Similarly, submandibular vein puncture method is commonly used for collection of small volume of blood. The authors should mention if it has been used and works well for this protocol or not.</w:t>
      </w:r>
    </w:p>
    <w:p w14:paraId="638F771D" w14:textId="77777777" w:rsidR="00B610E1" w:rsidRDefault="00B610E1" w:rsidP="00C3168E">
      <w:pPr>
        <w:rPr>
          <w:rFonts w:ascii="Calibri" w:eastAsia="Times New Roman" w:hAnsi="Calibri" w:cs="Times New Roman"/>
          <w:color w:val="000000"/>
          <w:sz w:val="27"/>
          <w:szCs w:val="27"/>
        </w:rPr>
      </w:pPr>
    </w:p>
    <w:p w14:paraId="5F073078" w14:textId="0B0155ED" w:rsidR="003C6843" w:rsidRDefault="00B610E1" w:rsidP="00C3168E">
      <w:pPr>
        <w:rPr>
          <w:rFonts w:ascii="Calibri" w:eastAsia="Times New Roman" w:hAnsi="Calibri" w:cs="Times New Roman"/>
          <w:color w:val="4472C4" w:themeColor="accent1"/>
          <w:sz w:val="27"/>
          <w:szCs w:val="27"/>
        </w:rPr>
      </w:pPr>
      <w:r w:rsidRPr="00B610E1">
        <w:rPr>
          <w:rFonts w:ascii="Calibri" w:eastAsia="Times New Roman" w:hAnsi="Calibri" w:cs="Times New Roman"/>
          <w:color w:val="4472C4" w:themeColor="accent1"/>
          <w:sz w:val="27"/>
          <w:szCs w:val="27"/>
        </w:rPr>
        <w:t xml:space="preserve">We thank Reviewer </w:t>
      </w:r>
      <w:r w:rsidR="005A060F">
        <w:rPr>
          <w:rFonts w:ascii="Calibri" w:eastAsia="Times New Roman" w:hAnsi="Calibri" w:cs="Times New Roman"/>
          <w:color w:val="4472C4" w:themeColor="accent1"/>
          <w:sz w:val="27"/>
          <w:szCs w:val="27"/>
        </w:rPr>
        <w:t xml:space="preserve">#2 </w:t>
      </w:r>
      <w:r w:rsidRPr="00B610E1">
        <w:rPr>
          <w:rFonts w:ascii="Calibri" w:eastAsia="Times New Roman" w:hAnsi="Calibri" w:cs="Times New Roman"/>
          <w:color w:val="4472C4" w:themeColor="accent1"/>
          <w:sz w:val="27"/>
          <w:szCs w:val="27"/>
        </w:rPr>
        <w:t>for the positive reception of the manuscript and for the</w:t>
      </w:r>
      <w:r>
        <w:rPr>
          <w:rFonts w:ascii="Calibri" w:eastAsia="Times New Roman" w:hAnsi="Calibri" w:cs="Times New Roman"/>
          <w:color w:val="4472C4" w:themeColor="accent1"/>
          <w:sz w:val="27"/>
          <w:szCs w:val="27"/>
        </w:rPr>
        <w:t xml:space="preserve"> good questions regarding potential use of i.v. injection and submandibular vein p</w:t>
      </w:r>
      <w:r w:rsidR="003C6843">
        <w:rPr>
          <w:rFonts w:ascii="Calibri" w:eastAsia="Times New Roman" w:hAnsi="Calibri" w:cs="Times New Roman"/>
          <w:color w:val="4472C4" w:themeColor="accent1"/>
          <w:sz w:val="27"/>
          <w:szCs w:val="27"/>
        </w:rPr>
        <w:t>uncture.</w:t>
      </w:r>
    </w:p>
    <w:p w14:paraId="471A016E" w14:textId="77777777" w:rsidR="003C6843" w:rsidRDefault="003C6843" w:rsidP="00C3168E">
      <w:pPr>
        <w:rPr>
          <w:rFonts w:ascii="Calibri" w:eastAsia="Times New Roman" w:hAnsi="Calibri" w:cs="Times New Roman"/>
          <w:color w:val="4472C4" w:themeColor="accent1"/>
          <w:sz w:val="27"/>
          <w:szCs w:val="27"/>
        </w:rPr>
      </w:pPr>
    </w:p>
    <w:p w14:paraId="11D97F23" w14:textId="796F01CA" w:rsidR="00B610E1" w:rsidRDefault="003C6843" w:rsidP="00C3168E">
      <w:pPr>
        <w:rPr>
          <w:rFonts w:ascii="Calibri" w:eastAsia="Times New Roman" w:hAnsi="Calibri" w:cs="Times New Roman"/>
          <w:color w:val="4472C4" w:themeColor="accent1"/>
          <w:sz w:val="27"/>
          <w:szCs w:val="27"/>
        </w:rPr>
      </w:pPr>
      <w:r>
        <w:rPr>
          <w:rFonts w:ascii="Calibri" w:eastAsia="Times New Roman" w:hAnsi="Calibri" w:cs="Times New Roman"/>
          <w:color w:val="4472C4" w:themeColor="accent1"/>
          <w:sz w:val="27"/>
          <w:szCs w:val="27"/>
        </w:rPr>
        <w:t>Tail-vein i.v. injection works equivalently to retroorbital i.v. injection, although we personally prefer using retroorbital i.v. injection as it is significantly faster than tail-vein injection, in our hands. We have added a note specifying that tail-vein injection can be used interchangeably.</w:t>
      </w:r>
    </w:p>
    <w:p w14:paraId="32A4A00A" w14:textId="2CE2A9CE" w:rsidR="003C6843" w:rsidRDefault="003C6843" w:rsidP="00C3168E">
      <w:pPr>
        <w:rPr>
          <w:rFonts w:ascii="Calibri" w:eastAsia="Times New Roman" w:hAnsi="Calibri" w:cs="Times New Roman"/>
          <w:color w:val="4472C4" w:themeColor="accent1"/>
          <w:sz w:val="27"/>
          <w:szCs w:val="27"/>
        </w:rPr>
      </w:pPr>
      <w:r>
        <w:rPr>
          <w:rFonts w:ascii="Calibri" w:eastAsia="Times New Roman" w:hAnsi="Calibri" w:cs="Times New Roman"/>
          <w:color w:val="4472C4" w:themeColor="accent1"/>
          <w:sz w:val="27"/>
          <w:szCs w:val="27"/>
        </w:rPr>
        <w:t>Regarding submandibular vein puncture, we also routinely employ this technique in other settings. However, we find that the volume of blood collected is more variable and the amount of blood lost due to excessive bleeding is more variable. In contrast, in our experience retroorbital bleeding, when performed by an experienced researcher, allows collection of precise volumes with minimal bleeding. Additionally, collecting blood from the virtually sterile eye cavity using a sterile capillary tube prevents adventitious infections, something that is a potential concern when breaking the skin with a lancet in an immunosuppressed (reconstitution phase) animal. As the bone marrow chimeras are quite sensitive in the reconstitution phase, before the new bone marrow is fully engrafted and hematopoiesis has resumed normal levels, we prefer to use retroorbital bleeding.</w:t>
      </w:r>
      <w:r w:rsidR="000740FC">
        <w:rPr>
          <w:rFonts w:ascii="Calibri" w:eastAsia="Times New Roman" w:hAnsi="Calibri" w:cs="Times New Roman"/>
          <w:color w:val="4472C4" w:themeColor="accent1"/>
          <w:sz w:val="27"/>
          <w:szCs w:val="27"/>
        </w:rPr>
        <w:t xml:space="preserve"> We have added a note with these considerations to the text.</w:t>
      </w:r>
    </w:p>
    <w:p w14:paraId="5AA90529" w14:textId="77777777" w:rsidR="00E33A32" w:rsidRDefault="00E33A32" w:rsidP="00C3168E">
      <w:pPr>
        <w:rPr>
          <w:rFonts w:ascii="Calibri" w:eastAsia="Times New Roman" w:hAnsi="Calibri" w:cs="Times New Roman"/>
          <w:color w:val="4472C4" w:themeColor="accent1"/>
          <w:sz w:val="27"/>
          <w:szCs w:val="27"/>
        </w:rPr>
      </w:pPr>
    </w:p>
    <w:p w14:paraId="2137E397" w14:textId="057E3BC9" w:rsidR="00E33A32" w:rsidRPr="00C3168E" w:rsidRDefault="00E33A32" w:rsidP="00C3168E">
      <w:pPr>
        <w:rPr>
          <w:rFonts w:ascii="Calibri" w:eastAsia="Times New Roman" w:hAnsi="Calibri" w:cs="Times New Roman"/>
          <w:color w:val="000000"/>
          <w:sz w:val="27"/>
          <w:szCs w:val="27"/>
        </w:rPr>
      </w:pPr>
      <w:r>
        <w:rPr>
          <w:rFonts w:ascii="Calibri" w:eastAsia="Times New Roman" w:hAnsi="Calibri" w:cs="Times New Roman"/>
          <w:color w:val="4472C4" w:themeColor="accent1"/>
          <w:sz w:val="27"/>
          <w:szCs w:val="27"/>
        </w:rPr>
        <w:t>Once more, we would like to thank the Reviewers for taking the time to evaluate our manuscript and for providing valuable feedback.</w:t>
      </w:r>
    </w:p>
    <w:p w14:paraId="0C103ADB" w14:textId="77777777" w:rsidR="00C3168E" w:rsidRDefault="00C3168E"/>
    <w:sectPr w:rsidR="00C3168E" w:rsidSect="00717591">
      <w:pgSz w:w="12240" w:h="15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41"/>
    <w:rsid w:val="000740FC"/>
    <w:rsid w:val="0039576E"/>
    <w:rsid w:val="003C6843"/>
    <w:rsid w:val="0058728C"/>
    <w:rsid w:val="005A060F"/>
    <w:rsid w:val="006654A5"/>
    <w:rsid w:val="00717591"/>
    <w:rsid w:val="00734C88"/>
    <w:rsid w:val="008C0141"/>
    <w:rsid w:val="00973995"/>
    <w:rsid w:val="00A15306"/>
    <w:rsid w:val="00A3735C"/>
    <w:rsid w:val="00A47950"/>
    <w:rsid w:val="00A542B6"/>
    <w:rsid w:val="00A84E47"/>
    <w:rsid w:val="00B610E1"/>
    <w:rsid w:val="00C3168E"/>
    <w:rsid w:val="00C40702"/>
    <w:rsid w:val="00C575E1"/>
    <w:rsid w:val="00E33A32"/>
    <w:rsid w:val="00E37456"/>
    <w:rsid w:val="00E62C14"/>
    <w:rsid w:val="00E65203"/>
    <w:rsid w:val="00ED47FE"/>
    <w:rsid w:val="00F63D47"/>
    <w:rsid w:val="00FB6FE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9EA3D2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316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1423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1484</Words>
  <Characters>8463</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Søren Degn</dc:creator>
  <cp:keywords/>
  <dc:description/>
  <cp:lastModifiedBy>Søren Degn</cp:lastModifiedBy>
  <cp:revision>9</cp:revision>
  <dcterms:created xsi:type="dcterms:W3CDTF">2019-01-04T22:39:00Z</dcterms:created>
  <dcterms:modified xsi:type="dcterms:W3CDTF">2019-01-10T17:20:00Z</dcterms:modified>
</cp:coreProperties>
</file>