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F2328" w14:textId="77777777" w:rsidR="003C6682" w:rsidRDefault="003C6682" w:rsidP="00A8328C">
      <w:pPr>
        <w:rPr>
          <w:color w:val="808080"/>
        </w:rPr>
      </w:pPr>
    </w:p>
    <w:p w14:paraId="070D2623" w14:textId="77777777" w:rsidR="00A8328C" w:rsidRDefault="003C6682" w:rsidP="00A8328C">
      <w:pPr>
        <w:pStyle w:val="NormalWeb"/>
        <w:spacing w:after="0"/>
        <w:rPr>
          <w:rStyle w:val="InternetLink"/>
        </w:rPr>
      </w:pPr>
      <w:r>
        <w:rPr>
          <w:b/>
          <w:bCs/>
        </w:rPr>
        <w:t>TITLE:</w:t>
      </w:r>
      <w:hyperlink w:anchor="Title">
        <w:r>
          <w:rPr>
            <w:rStyle w:val="InternetLink"/>
          </w:rPr>
          <w:t xml:space="preserve"> </w:t>
        </w:r>
      </w:hyperlink>
      <w:r>
        <w:rPr>
          <w:rStyle w:val="InternetLink"/>
        </w:rPr>
        <w:t xml:space="preserve"> </w:t>
      </w:r>
    </w:p>
    <w:p w14:paraId="0A447AEB" w14:textId="78ED68FC" w:rsidR="003C6682" w:rsidRDefault="003C6682" w:rsidP="00A8328C">
      <w:pPr>
        <w:pStyle w:val="NormalWeb"/>
        <w:spacing w:after="0"/>
        <w:rPr>
          <w:color w:val="00000A"/>
        </w:rPr>
      </w:pPr>
      <w:r>
        <w:rPr>
          <w:color w:val="00000A"/>
        </w:rPr>
        <w:t>Inducible</w:t>
      </w:r>
      <w:r w:rsidR="004C00FA">
        <w:rPr>
          <w:color w:val="00000A"/>
        </w:rPr>
        <w:t xml:space="preserve">, Cell Type-Specific Expression in </w:t>
      </w:r>
      <w:r>
        <w:rPr>
          <w:i/>
          <w:iCs/>
          <w:color w:val="00000A"/>
        </w:rPr>
        <w:t xml:space="preserve">Arabidopsis </w:t>
      </w:r>
      <w:r w:rsidR="004C00FA">
        <w:rPr>
          <w:i/>
          <w:iCs/>
          <w:color w:val="00000A"/>
        </w:rPr>
        <w:t xml:space="preserve">thaliana </w:t>
      </w:r>
      <w:r w:rsidR="004C00FA">
        <w:rPr>
          <w:color w:val="00000A"/>
        </w:rPr>
        <w:t xml:space="preserve">Through </w:t>
      </w:r>
      <w:proofErr w:type="spellStart"/>
      <w:r w:rsidR="004C00FA">
        <w:rPr>
          <w:color w:val="00000A"/>
        </w:rPr>
        <w:t>LhGR</w:t>
      </w:r>
      <w:proofErr w:type="spellEnd"/>
      <w:r w:rsidR="004C00FA">
        <w:rPr>
          <w:color w:val="00000A"/>
        </w:rPr>
        <w:t xml:space="preserve">-Mediated </w:t>
      </w:r>
      <w:r w:rsidR="004C00FA">
        <w:rPr>
          <w:i/>
          <w:iCs/>
          <w:color w:val="00000A"/>
        </w:rPr>
        <w:t>Trans</w:t>
      </w:r>
      <w:r w:rsidR="004C00FA">
        <w:rPr>
          <w:color w:val="00000A"/>
        </w:rPr>
        <w:t>-Activation</w:t>
      </w:r>
    </w:p>
    <w:p w14:paraId="002C447E" w14:textId="77777777" w:rsidR="003C6682" w:rsidRDefault="003C6682" w:rsidP="00A8328C">
      <w:pPr>
        <w:rPr>
          <w:b/>
          <w:bCs/>
        </w:rPr>
      </w:pPr>
    </w:p>
    <w:p w14:paraId="3D4C5550" w14:textId="77777777" w:rsidR="003C6682" w:rsidRPr="00A8328C" w:rsidRDefault="005F1C36" w:rsidP="00A8328C">
      <w:pPr>
        <w:rPr>
          <w:rStyle w:val="InternetLink"/>
          <w:b/>
          <w:bCs/>
          <w:color w:val="auto"/>
          <w:u w:val="none"/>
        </w:rPr>
      </w:pPr>
      <w:hyperlink w:anchor="Authors_and_Affiliations">
        <w:r w:rsidR="003C6682" w:rsidRPr="00A8328C">
          <w:rPr>
            <w:rStyle w:val="InternetLink"/>
            <w:b/>
            <w:bCs/>
            <w:color w:val="auto"/>
            <w:u w:val="none"/>
          </w:rPr>
          <w:t xml:space="preserve">AUTHORS AND AFFILIATIONS: </w:t>
        </w:r>
      </w:hyperlink>
    </w:p>
    <w:p w14:paraId="3471B91A" w14:textId="77777777" w:rsidR="003C6682" w:rsidRDefault="003C6682" w:rsidP="00A8328C">
      <w:pPr>
        <w:rPr>
          <w:color w:val="00000A"/>
          <w:vertAlign w:val="superscript"/>
        </w:rPr>
      </w:pPr>
      <w:proofErr w:type="spellStart"/>
      <w:r>
        <w:rPr>
          <w:color w:val="00000A"/>
        </w:rPr>
        <w:t>Vadir</w:t>
      </w:r>
      <w:proofErr w:type="spellEnd"/>
      <w:r>
        <w:rPr>
          <w:color w:val="00000A"/>
        </w:rPr>
        <w:t xml:space="preserve"> López-Salmerón</w:t>
      </w:r>
      <w:proofErr w:type="gramStart"/>
      <w:r>
        <w:rPr>
          <w:color w:val="00000A"/>
          <w:vertAlign w:val="superscript"/>
        </w:rPr>
        <w:t>1,*</w:t>
      </w:r>
      <w:proofErr w:type="gramEnd"/>
      <w:r>
        <w:rPr>
          <w:color w:val="00000A"/>
        </w:rPr>
        <w:t>, Ann-Kathrin Schürholz</w:t>
      </w:r>
      <w:r>
        <w:rPr>
          <w:color w:val="00000A"/>
          <w:vertAlign w:val="superscript"/>
        </w:rPr>
        <w:t>2,*</w:t>
      </w:r>
      <w:r>
        <w:rPr>
          <w:color w:val="00000A"/>
        </w:rPr>
        <w:t xml:space="preserve">, </w:t>
      </w:r>
      <w:proofErr w:type="spellStart"/>
      <w:r>
        <w:rPr>
          <w:color w:val="00000A"/>
        </w:rPr>
        <w:t>Zhenni</w:t>
      </w:r>
      <w:proofErr w:type="spellEnd"/>
      <w:r>
        <w:rPr>
          <w:color w:val="00000A"/>
        </w:rPr>
        <w:t xml:space="preserve"> Li</w:t>
      </w:r>
      <w:r w:rsidRPr="00203C82">
        <w:rPr>
          <w:color w:val="00000A"/>
          <w:vertAlign w:val="superscript"/>
        </w:rPr>
        <w:t>2</w:t>
      </w:r>
      <w:r>
        <w:rPr>
          <w:color w:val="00000A"/>
        </w:rPr>
        <w:t>, Christian Wenzl</w:t>
      </w:r>
      <w:r>
        <w:rPr>
          <w:color w:val="00000A"/>
          <w:vertAlign w:val="superscript"/>
        </w:rPr>
        <w:t>3</w:t>
      </w:r>
      <w:r>
        <w:rPr>
          <w:color w:val="00000A"/>
        </w:rPr>
        <w:t>, Jan U. Lohmann</w:t>
      </w:r>
      <w:r>
        <w:rPr>
          <w:color w:val="00000A"/>
          <w:vertAlign w:val="superscript"/>
        </w:rPr>
        <w:t>3</w:t>
      </w:r>
      <w:r>
        <w:rPr>
          <w:color w:val="00000A"/>
        </w:rPr>
        <w:t>, Thomas Greb</w:t>
      </w:r>
      <w:r>
        <w:rPr>
          <w:color w:val="00000A"/>
          <w:vertAlign w:val="superscript"/>
        </w:rPr>
        <w:t>1</w:t>
      </w:r>
      <w:r>
        <w:rPr>
          <w:color w:val="00000A"/>
        </w:rPr>
        <w:t>, Sebastian Wolf</w:t>
      </w:r>
      <w:r>
        <w:rPr>
          <w:color w:val="00000A"/>
          <w:vertAlign w:val="superscript"/>
        </w:rPr>
        <w:t>2</w:t>
      </w:r>
    </w:p>
    <w:p w14:paraId="09D6F6E9" w14:textId="77777777" w:rsidR="003C6682" w:rsidRDefault="003C6682" w:rsidP="00A8328C">
      <w:pPr>
        <w:rPr>
          <w:color w:val="00000A"/>
          <w:vertAlign w:val="superscript"/>
        </w:rPr>
      </w:pPr>
    </w:p>
    <w:p w14:paraId="16CB01AB" w14:textId="77777777" w:rsidR="003C6682" w:rsidRDefault="003C6682" w:rsidP="00A8328C">
      <w:pPr>
        <w:rPr>
          <w:color w:val="00000A"/>
        </w:rPr>
      </w:pPr>
      <w:r>
        <w:rPr>
          <w:color w:val="00000A"/>
          <w:vertAlign w:val="superscript"/>
        </w:rPr>
        <w:t>1</w:t>
      </w:r>
      <w:r>
        <w:rPr>
          <w:color w:val="00000A"/>
        </w:rPr>
        <w:t>Department of Developmental Physiology, Centre for Organismal Studies (COS) Heidelberg, Heidelberg, Germany</w:t>
      </w:r>
    </w:p>
    <w:p w14:paraId="050BB95E" w14:textId="77777777" w:rsidR="003C6682" w:rsidRDefault="003C6682" w:rsidP="00A8328C">
      <w:pPr>
        <w:rPr>
          <w:color w:val="00000A"/>
        </w:rPr>
      </w:pPr>
      <w:r>
        <w:rPr>
          <w:color w:val="00000A"/>
          <w:vertAlign w:val="superscript"/>
        </w:rPr>
        <w:t>2</w:t>
      </w:r>
      <w:r>
        <w:rPr>
          <w:color w:val="00000A"/>
        </w:rPr>
        <w:t>Department of Cell Biology, Centre for Organismal Studies (COS) Heidelberg, Heidelberg, Germany</w:t>
      </w:r>
    </w:p>
    <w:p w14:paraId="2DD30020" w14:textId="77777777" w:rsidR="003C6682" w:rsidRDefault="003C6682" w:rsidP="00A8328C">
      <w:pPr>
        <w:rPr>
          <w:color w:val="00000A"/>
        </w:rPr>
      </w:pPr>
      <w:r>
        <w:rPr>
          <w:color w:val="00000A"/>
          <w:vertAlign w:val="superscript"/>
        </w:rPr>
        <w:t>3</w:t>
      </w:r>
      <w:r>
        <w:rPr>
          <w:color w:val="00000A"/>
        </w:rPr>
        <w:t>Department of Stem Cell Biology, Centre for Organismal Studies (COS) Heidelberg, Heidelberg, Germany</w:t>
      </w:r>
    </w:p>
    <w:p w14:paraId="4D5ADE50" w14:textId="77777777" w:rsidR="003C6682" w:rsidRDefault="003C6682" w:rsidP="00A8328C">
      <w:pPr>
        <w:rPr>
          <w:color w:val="00000A"/>
        </w:rPr>
      </w:pPr>
    </w:p>
    <w:p w14:paraId="320F78C8" w14:textId="77777777" w:rsidR="003C6682" w:rsidRDefault="003C6682" w:rsidP="00A8328C">
      <w:pPr>
        <w:rPr>
          <w:color w:val="00000A"/>
        </w:rPr>
      </w:pPr>
      <w:r>
        <w:rPr>
          <w:color w:val="00000A"/>
        </w:rPr>
        <w:t>*These authors contributed equally</w:t>
      </w:r>
    </w:p>
    <w:p w14:paraId="169962B5" w14:textId="77777777" w:rsidR="003C6682" w:rsidRDefault="003C6682" w:rsidP="00A8328C">
      <w:pPr>
        <w:rPr>
          <w:color w:val="00000A"/>
        </w:rPr>
      </w:pPr>
    </w:p>
    <w:p w14:paraId="156C6943" w14:textId="77777777" w:rsidR="003C6682" w:rsidRPr="008618D1" w:rsidRDefault="003C6682" w:rsidP="00A8328C">
      <w:pPr>
        <w:rPr>
          <w:bCs/>
          <w:color w:val="auto"/>
        </w:rPr>
      </w:pPr>
      <w:r w:rsidRPr="008618D1">
        <w:rPr>
          <w:bCs/>
          <w:color w:val="auto"/>
        </w:rPr>
        <w:t>Cor</w:t>
      </w:r>
      <w:r>
        <w:rPr>
          <w:bCs/>
          <w:color w:val="auto"/>
        </w:rPr>
        <w:t>r</w:t>
      </w:r>
      <w:r w:rsidRPr="008618D1">
        <w:rPr>
          <w:bCs/>
          <w:color w:val="auto"/>
        </w:rPr>
        <w:t>esponding author:</w:t>
      </w:r>
    </w:p>
    <w:p w14:paraId="2B5FA250" w14:textId="5E96E086" w:rsidR="003C6682" w:rsidRPr="00AC20D3" w:rsidRDefault="003C6682" w:rsidP="00A8328C">
      <w:pPr>
        <w:rPr>
          <w:bCs/>
          <w:color w:val="auto"/>
          <w:lang w:val="es-MX"/>
        </w:rPr>
      </w:pPr>
      <w:proofErr w:type="spellStart"/>
      <w:r w:rsidRPr="00AC20D3">
        <w:rPr>
          <w:bCs/>
          <w:color w:val="auto"/>
          <w:lang w:val="es-MX"/>
        </w:rPr>
        <w:t>Sebastian</w:t>
      </w:r>
      <w:proofErr w:type="spellEnd"/>
      <w:r w:rsidRPr="00AC20D3">
        <w:rPr>
          <w:bCs/>
          <w:color w:val="auto"/>
          <w:lang w:val="es-MX"/>
        </w:rPr>
        <w:t xml:space="preserve"> Wolf</w:t>
      </w:r>
      <w:r w:rsidR="00A8328C" w:rsidRPr="00AC20D3">
        <w:rPr>
          <w:bCs/>
          <w:color w:val="auto"/>
          <w:lang w:val="es-MX"/>
        </w:rPr>
        <w:tab/>
      </w:r>
      <w:r w:rsidR="00A8328C" w:rsidRPr="00AC20D3">
        <w:rPr>
          <w:bCs/>
          <w:color w:val="auto"/>
          <w:lang w:val="es-MX"/>
        </w:rPr>
        <w:tab/>
        <w:t>(</w:t>
      </w:r>
      <w:proofErr w:type="spellStart"/>
      <w:r w:rsidR="00A8328C" w:rsidRPr="00AC20D3">
        <w:rPr>
          <w:rStyle w:val="Hyperlink"/>
          <w:bCs/>
          <w:color w:val="auto"/>
          <w:u w:val="none"/>
          <w:lang w:val="es-MX"/>
        </w:rPr>
        <w:t>sebastian.wolf@cos.uni-heidelberg.de</w:t>
      </w:r>
      <w:proofErr w:type="spellEnd"/>
      <w:r w:rsidR="00A8328C" w:rsidRPr="00AC20D3">
        <w:rPr>
          <w:rStyle w:val="Hyperlink"/>
          <w:bCs/>
          <w:color w:val="auto"/>
          <w:u w:val="none"/>
          <w:lang w:val="es-MX"/>
        </w:rPr>
        <w:t>)</w:t>
      </w:r>
    </w:p>
    <w:p w14:paraId="2484DAD3" w14:textId="3CE1900A" w:rsidR="003C6682" w:rsidRPr="00AC20D3" w:rsidRDefault="003C6682" w:rsidP="00A8328C">
      <w:pPr>
        <w:rPr>
          <w:bCs/>
          <w:color w:val="auto"/>
        </w:rPr>
      </w:pPr>
      <w:r w:rsidRPr="00AC20D3">
        <w:rPr>
          <w:bCs/>
          <w:color w:val="auto"/>
        </w:rPr>
        <w:t xml:space="preserve">Thomas </w:t>
      </w:r>
      <w:proofErr w:type="spellStart"/>
      <w:r w:rsidRPr="00AC20D3">
        <w:rPr>
          <w:bCs/>
          <w:color w:val="auto"/>
        </w:rPr>
        <w:t>Greb</w:t>
      </w:r>
      <w:proofErr w:type="spellEnd"/>
      <w:r w:rsidR="00A8328C" w:rsidRPr="00AC20D3">
        <w:rPr>
          <w:bCs/>
          <w:color w:val="auto"/>
        </w:rPr>
        <w:tab/>
      </w:r>
      <w:r w:rsidR="00A8328C" w:rsidRPr="00AC20D3">
        <w:rPr>
          <w:bCs/>
          <w:color w:val="auto"/>
        </w:rPr>
        <w:tab/>
      </w:r>
      <w:r w:rsidR="00A8328C" w:rsidRPr="00AC20D3">
        <w:rPr>
          <w:bCs/>
          <w:color w:val="auto"/>
        </w:rPr>
        <w:tab/>
        <w:t>(</w:t>
      </w:r>
      <w:r w:rsidR="00A8328C" w:rsidRPr="00AC20D3">
        <w:rPr>
          <w:rStyle w:val="Hyperlink"/>
          <w:bCs/>
          <w:color w:val="auto"/>
          <w:u w:val="none"/>
        </w:rPr>
        <w:t>thomas.greb@cos.uni-heidelberg.de)</w:t>
      </w:r>
    </w:p>
    <w:p w14:paraId="76ACAB3E" w14:textId="77777777" w:rsidR="003C6682" w:rsidRPr="00AC20D3" w:rsidRDefault="003C6682" w:rsidP="00A8328C">
      <w:pPr>
        <w:rPr>
          <w:bCs/>
          <w:color w:val="auto"/>
        </w:rPr>
      </w:pPr>
    </w:p>
    <w:p w14:paraId="59325D49" w14:textId="77777777" w:rsidR="003C6682" w:rsidRPr="00AC20D3" w:rsidRDefault="003C6682" w:rsidP="00A8328C">
      <w:pPr>
        <w:pStyle w:val="NormalWeb"/>
        <w:spacing w:after="0"/>
        <w:rPr>
          <w:rFonts w:cs="Arial"/>
          <w:b/>
          <w:bCs/>
          <w:color w:val="auto"/>
        </w:rPr>
      </w:pPr>
      <w:r w:rsidRPr="00AC20D3">
        <w:rPr>
          <w:rFonts w:cs="Arial"/>
          <w:color w:val="auto"/>
        </w:rPr>
        <w:t>Email Addresses of Co-authors</w:t>
      </w:r>
      <w:r w:rsidRPr="00AC20D3">
        <w:rPr>
          <w:rFonts w:cs="Arial"/>
          <w:b/>
          <w:bCs/>
          <w:color w:val="auto"/>
        </w:rPr>
        <w:t>:</w:t>
      </w:r>
    </w:p>
    <w:p w14:paraId="7C31ABC8" w14:textId="61F8452C" w:rsidR="003C6682" w:rsidRPr="00AC20D3" w:rsidRDefault="003C6682" w:rsidP="00A8328C">
      <w:pPr>
        <w:pStyle w:val="NormalWeb"/>
        <w:spacing w:after="0"/>
        <w:rPr>
          <w:rFonts w:cs="Arial"/>
          <w:color w:val="auto"/>
          <w:lang w:val="es-MX"/>
        </w:rPr>
      </w:pPr>
      <w:proofErr w:type="spellStart"/>
      <w:r w:rsidRPr="00AC20D3">
        <w:rPr>
          <w:color w:val="auto"/>
          <w:lang w:val="es-MX"/>
        </w:rPr>
        <w:t>Vadir</w:t>
      </w:r>
      <w:proofErr w:type="spellEnd"/>
      <w:r w:rsidRPr="00AC20D3">
        <w:rPr>
          <w:color w:val="auto"/>
          <w:lang w:val="es-MX"/>
        </w:rPr>
        <w:t xml:space="preserve"> López-Salmerón</w:t>
      </w:r>
      <w:r w:rsidRPr="00AC20D3">
        <w:rPr>
          <w:color w:val="auto"/>
          <w:lang w:val="es-MX"/>
        </w:rPr>
        <w:tab/>
      </w:r>
      <w:r w:rsidRPr="00AC20D3">
        <w:rPr>
          <w:rFonts w:cs="Arial"/>
          <w:bCs/>
          <w:color w:val="auto"/>
          <w:lang w:val="es-MX"/>
        </w:rPr>
        <w:tab/>
      </w:r>
      <w:r w:rsidRPr="00AC20D3">
        <w:rPr>
          <w:rFonts w:cs="Arial"/>
          <w:color w:val="auto"/>
          <w:lang w:val="es-MX"/>
        </w:rPr>
        <w:t>(</w:t>
      </w:r>
      <w:proofErr w:type="spellStart"/>
      <w:r w:rsidRPr="00AC20D3">
        <w:rPr>
          <w:rStyle w:val="Hyperlink"/>
          <w:rFonts w:cs="Arial"/>
          <w:color w:val="auto"/>
          <w:u w:val="none"/>
          <w:lang w:val="es-MX"/>
        </w:rPr>
        <w:t>vadir.lopez-salmeron@cos.uni-heidelberg.de</w:t>
      </w:r>
      <w:proofErr w:type="spellEnd"/>
      <w:r w:rsidRPr="00AC20D3">
        <w:rPr>
          <w:rFonts w:cs="Arial"/>
          <w:color w:val="auto"/>
          <w:lang w:val="es-MX"/>
        </w:rPr>
        <w:t>)</w:t>
      </w:r>
    </w:p>
    <w:p w14:paraId="189817F0" w14:textId="73364CD7" w:rsidR="003C6682" w:rsidRPr="00AC20D3" w:rsidRDefault="003C6682" w:rsidP="00A8328C">
      <w:pPr>
        <w:pStyle w:val="NormalWeb"/>
        <w:spacing w:after="0"/>
        <w:rPr>
          <w:rFonts w:cs="Arial"/>
          <w:color w:val="auto"/>
          <w:lang w:val="de-DE"/>
        </w:rPr>
      </w:pPr>
      <w:r w:rsidRPr="00AC20D3">
        <w:rPr>
          <w:rFonts w:cs="Arial"/>
          <w:color w:val="auto"/>
          <w:lang w:val="de-DE"/>
        </w:rPr>
        <w:t>Ann-Kathrin Schürholz</w:t>
      </w:r>
      <w:r w:rsidRPr="00AC20D3">
        <w:rPr>
          <w:rFonts w:cs="Arial"/>
          <w:color w:val="auto"/>
          <w:lang w:val="de-DE"/>
        </w:rPr>
        <w:tab/>
        <w:t>(ann-kathrin.schuerholz@cos.uni-heidelberg.de)</w:t>
      </w:r>
    </w:p>
    <w:p w14:paraId="1DDB0478" w14:textId="678CA908" w:rsidR="003C6682" w:rsidRPr="00AC20D3" w:rsidRDefault="003C6682" w:rsidP="00A8328C">
      <w:pPr>
        <w:pStyle w:val="NormalWeb"/>
        <w:spacing w:after="0"/>
        <w:rPr>
          <w:rFonts w:cs="Arial"/>
          <w:color w:val="auto"/>
          <w:lang w:val="en-GB"/>
        </w:rPr>
      </w:pPr>
      <w:proofErr w:type="spellStart"/>
      <w:r w:rsidRPr="00AC20D3">
        <w:rPr>
          <w:rFonts w:cs="Arial"/>
          <w:color w:val="auto"/>
          <w:lang w:val="en-GB"/>
        </w:rPr>
        <w:t>Zhenni</w:t>
      </w:r>
      <w:proofErr w:type="spellEnd"/>
      <w:r w:rsidRPr="00AC20D3">
        <w:rPr>
          <w:rFonts w:cs="Arial"/>
          <w:color w:val="auto"/>
          <w:lang w:val="en-GB"/>
        </w:rPr>
        <w:t xml:space="preserve"> Li</w:t>
      </w:r>
      <w:r w:rsidRPr="00AC20D3">
        <w:rPr>
          <w:rFonts w:cs="Arial"/>
          <w:color w:val="auto"/>
          <w:lang w:val="en-GB"/>
        </w:rPr>
        <w:tab/>
      </w:r>
      <w:r w:rsidRPr="00AC20D3">
        <w:rPr>
          <w:rFonts w:cs="Arial"/>
          <w:color w:val="auto"/>
          <w:lang w:val="en-GB"/>
        </w:rPr>
        <w:tab/>
      </w:r>
      <w:r w:rsidRPr="00AC20D3">
        <w:rPr>
          <w:rFonts w:cs="Arial"/>
          <w:color w:val="auto"/>
          <w:lang w:val="en-GB"/>
        </w:rPr>
        <w:tab/>
        <w:t>(</w:t>
      </w:r>
      <w:r w:rsidRPr="00AC20D3">
        <w:rPr>
          <w:rStyle w:val="Hyperlink"/>
          <w:rFonts w:cs="Arial"/>
          <w:color w:val="auto"/>
          <w:u w:val="none"/>
          <w:lang w:val="en-GB"/>
        </w:rPr>
        <w:t>zhenni.li@cos.uni-heidelberg.de</w:t>
      </w:r>
      <w:r w:rsidRPr="00AC20D3">
        <w:rPr>
          <w:rFonts w:cs="Arial"/>
          <w:color w:val="auto"/>
          <w:lang w:val="en-GB"/>
        </w:rPr>
        <w:t>)</w:t>
      </w:r>
    </w:p>
    <w:p w14:paraId="76471E7F" w14:textId="5F3E2BD9" w:rsidR="003C6682" w:rsidRPr="00AC20D3" w:rsidRDefault="003C6682" w:rsidP="00A8328C">
      <w:pPr>
        <w:pStyle w:val="NormalWeb"/>
        <w:spacing w:after="0"/>
        <w:rPr>
          <w:rFonts w:cs="Arial"/>
          <w:color w:val="auto"/>
          <w:lang w:val="en-GB"/>
        </w:rPr>
      </w:pPr>
      <w:r w:rsidRPr="00AC20D3">
        <w:rPr>
          <w:rFonts w:cs="Arial"/>
          <w:color w:val="auto"/>
          <w:lang w:val="en-GB"/>
        </w:rPr>
        <w:t xml:space="preserve">Christian </w:t>
      </w:r>
      <w:proofErr w:type="spellStart"/>
      <w:r w:rsidRPr="00AC20D3">
        <w:rPr>
          <w:rFonts w:cs="Arial"/>
          <w:color w:val="auto"/>
          <w:lang w:val="en-GB"/>
        </w:rPr>
        <w:t>Wenzl</w:t>
      </w:r>
      <w:proofErr w:type="spellEnd"/>
      <w:r w:rsidRPr="00AC20D3">
        <w:rPr>
          <w:rFonts w:cs="Arial"/>
          <w:color w:val="auto"/>
          <w:lang w:val="en-GB"/>
        </w:rPr>
        <w:tab/>
      </w:r>
      <w:r w:rsidRPr="00AC20D3">
        <w:rPr>
          <w:rFonts w:cs="Arial"/>
          <w:color w:val="auto"/>
          <w:lang w:val="en-GB"/>
        </w:rPr>
        <w:tab/>
        <w:t>(</w:t>
      </w:r>
      <w:r w:rsidRPr="00AC20D3">
        <w:rPr>
          <w:rStyle w:val="Hyperlink"/>
          <w:rFonts w:cs="Arial"/>
          <w:color w:val="auto"/>
          <w:u w:val="none"/>
          <w:lang w:val="en-GB"/>
        </w:rPr>
        <w:t>Christian.wenzl@cos.uni-heidelberg.de</w:t>
      </w:r>
      <w:r w:rsidRPr="00AC20D3">
        <w:rPr>
          <w:rFonts w:cs="Arial"/>
          <w:color w:val="auto"/>
          <w:lang w:val="en-GB"/>
        </w:rPr>
        <w:t>)</w:t>
      </w:r>
    </w:p>
    <w:p w14:paraId="2169E31A" w14:textId="0C579CD9" w:rsidR="003C6682" w:rsidRPr="00AC20D3" w:rsidRDefault="003C6682" w:rsidP="00A8328C">
      <w:pPr>
        <w:pStyle w:val="NormalWeb"/>
        <w:spacing w:after="0"/>
        <w:rPr>
          <w:rFonts w:cs="Arial"/>
          <w:color w:val="auto"/>
          <w:lang w:val="en-GB"/>
        </w:rPr>
      </w:pPr>
      <w:r w:rsidRPr="00AC20D3">
        <w:rPr>
          <w:rFonts w:cs="Arial"/>
          <w:color w:val="auto"/>
          <w:lang w:val="en-GB"/>
        </w:rPr>
        <w:t>Jan U. Lohmann</w:t>
      </w:r>
      <w:r w:rsidRPr="00AC20D3">
        <w:rPr>
          <w:rFonts w:cs="Arial"/>
          <w:color w:val="auto"/>
          <w:lang w:val="en-GB"/>
        </w:rPr>
        <w:tab/>
      </w:r>
      <w:r w:rsidRPr="00AC20D3">
        <w:rPr>
          <w:rFonts w:cs="Arial"/>
          <w:color w:val="auto"/>
          <w:lang w:val="en-GB"/>
        </w:rPr>
        <w:tab/>
        <w:t>(</w:t>
      </w:r>
      <w:r w:rsidRPr="00AC20D3">
        <w:rPr>
          <w:rStyle w:val="Hyperlink"/>
          <w:rFonts w:cs="Arial"/>
          <w:color w:val="auto"/>
          <w:u w:val="none"/>
          <w:lang w:val="en-GB"/>
        </w:rPr>
        <w:t>jan.lohmann@cos.uni-heidelberg.de</w:t>
      </w:r>
      <w:r w:rsidRPr="00AC20D3">
        <w:rPr>
          <w:rFonts w:cs="Arial"/>
          <w:color w:val="auto"/>
          <w:lang w:val="en-GB"/>
        </w:rPr>
        <w:t>)</w:t>
      </w:r>
    </w:p>
    <w:p w14:paraId="763A24C0" w14:textId="77777777" w:rsidR="003C6682" w:rsidRPr="00AC20D3" w:rsidRDefault="003C6682" w:rsidP="00A8328C">
      <w:pPr>
        <w:rPr>
          <w:bCs/>
          <w:color w:val="auto"/>
        </w:rPr>
      </w:pPr>
      <w:r w:rsidRPr="00AC20D3">
        <w:rPr>
          <w:rFonts w:cs="Arial"/>
          <w:color w:val="auto"/>
          <w:lang w:val="en-GB"/>
        </w:rPr>
        <w:t xml:space="preserve">Thomas </w:t>
      </w:r>
      <w:proofErr w:type="spellStart"/>
      <w:r w:rsidRPr="00AC20D3">
        <w:rPr>
          <w:rFonts w:cs="Arial"/>
          <w:color w:val="auto"/>
          <w:lang w:val="en-GB"/>
        </w:rPr>
        <w:t>Greb</w:t>
      </w:r>
      <w:proofErr w:type="spellEnd"/>
      <w:r w:rsidRPr="00AC20D3">
        <w:rPr>
          <w:rFonts w:cs="Arial"/>
          <w:color w:val="auto"/>
          <w:lang w:val="en-GB"/>
        </w:rPr>
        <w:tab/>
      </w:r>
      <w:r w:rsidRPr="00AC20D3">
        <w:rPr>
          <w:rFonts w:cs="Arial"/>
          <w:color w:val="auto"/>
          <w:lang w:val="en-GB"/>
        </w:rPr>
        <w:tab/>
      </w:r>
      <w:r w:rsidRPr="00AC20D3">
        <w:rPr>
          <w:rFonts w:cs="Arial"/>
          <w:color w:val="auto"/>
          <w:lang w:val="en-GB"/>
        </w:rPr>
        <w:tab/>
        <w:t>(</w:t>
      </w:r>
      <w:hyperlink r:id="rId7" w:history="1">
        <w:r w:rsidRPr="00AC20D3">
          <w:rPr>
            <w:rStyle w:val="Hyperlink"/>
            <w:bCs/>
            <w:color w:val="auto"/>
            <w:u w:val="none"/>
          </w:rPr>
          <w:t>thomas.greb@cos.uni-heidelberg.de</w:t>
        </w:r>
      </w:hyperlink>
      <w:r w:rsidRPr="00AC20D3">
        <w:rPr>
          <w:bCs/>
          <w:color w:val="auto"/>
        </w:rPr>
        <w:t>)</w:t>
      </w:r>
    </w:p>
    <w:p w14:paraId="2FA0BE74" w14:textId="77777777" w:rsidR="003C6682" w:rsidRPr="00AC20D3" w:rsidRDefault="003C6682" w:rsidP="00A8328C">
      <w:pPr>
        <w:rPr>
          <w:bCs/>
          <w:color w:val="auto"/>
        </w:rPr>
      </w:pPr>
      <w:r w:rsidRPr="00AC20D3">
        <w:rPr>
          <w:bCs/>
          <w:color w:val="auto"/>
        </w:rPr>
        <w:t xml:space="preserve">Sebastian Wolf </w:t>
      </w:r>
      <w:r w:rsidRPr="00AC20D3">
        <w:rPr>
          <w:bCs/>
          <w:color w:val="auto"/>
        </w:rPr>
        <w:tab/>
      </w:r>
      <w:r w:rsidRPr="00AC20D3">
        <w:rPr>
          <w:bCs/>
          <w:color w:val="auto"/>
        </w:rPr>
        <w:tab/>
        <w:t>(</w:t>
      </w:r>
      <w:hyperlink r:id="rId8" w:history="1">
        <w:r w:rsidRPr="00AC20D3">
          <w:rPr>
            <w:rStyle w:val="Hyperlink"/>
            <w:bCs/>
            <w:color w:val="auto"/>
            <w:u w:val="none"/>
          </w:rPr>
          <w:t>sebastian.wolf@cos.uni-heidelberg.de</w:t>
        </w:r>
      </w:hyperlink>
      <w:r w:rsidRPr="00AC20D3">
        <w:rPr>
          <w:bCs/>
          <w:color w:val="auto"/>
        </w:rPr>
        <w:t>)</w:t>
      </w:r>
    </w:p>
    <w:p w14:paraId="46230394" w14:textId="77777777" w:rsidR="003C6682" w:rsidRPr="008618D1" w:rsidRDefault="003C6682" w:rsidP="00A8328C">
      <w:pPr>
        <w:rPr>
          <w:bCs/>
          <w:color w:val="auto"/>
          <w:lang w:val="en-GB"/>
        </w:rPr>
      </w:pPr>
    </w:p>
    <w:p w14:paraId="484D22F3" w14:textId="77777777" w:rsidR="003C6682" w:rsidRDefault="003C6682" w:rsidP="00A8328C">
      <w:pPr>
        <w:pStyle w:val="NormalWeb"/>
        <w:spacing w:after="0"/>
        <w:rPr>
          <w:rStyle w:val="InternetLink"/>
        </w:rPr>
      </w:pPr>
      <w:r>
        <w:rPr>
          <w:b/>
          <w:bCs/>
        </w:rPr>
        <w:t>KEYWORDS:</w:t>
      </w:r>
      <w:hyperlink w:anchor="Keywords">
        <w:r>
          <w:rPr>
            <w:rStyle w:val="InternetLink"/>
          </w:rPr>
          <w:t xml:space="preserve"> </w:t>
        </w:r>
      </w:hyperlink>
    </w:p>
    <w:p w14:paraId="5242AA7B" w14:textId="77777777" w:rsidR="003C6682" w:rsidRDefault="003C6682" w:rsidP="00A8328C">
      <w:pPr>
        <w:rPr>
          <w:color w:val="00000A"/>
        </w:rPr>
      </w:pPr>
      <w:r>
        <w:rPr>
          <w:color w:val="00000A"/>
        </w:rPr>
        <w:t xml:space="preserve">inducible expression, </w:t>
      </w:r>
      <w:r>
        <w:rPr>
          <w:i/>
          <w:iCs/>
          <w:color w:val="00000A"/>
        </w:rPr>
        <w:t>trans</w:t>
      </w:r>
      <w:r>
        <w:rPr>
          <w:color w:val="00000A"/>
        </w:rPr>
        <w:t>-activation, promoter-reporter studies, expression control, mis-expression, functional genetics</w:t>
      </w:r>
    </w:p>
    <w:p w14:paraId="6293013B" w14:textId="77777777" w:rsidR="003C6682" w:rsidRDefault="003C6682" w:rsidP="00A8328C">
      <w:pPr>
        <w:pStyle w:val="NormalWeb"/>
        <w:spacing w:after="0"/>
      </w:pPr>
    </w:p>
    <w:p w14:paraId="3CA31863" w14:textId="77777777" w:rsidR="003C6682" w:rsidRDefault="003C6682" w:rsidP="00A8328C">
      <w:pPr>
        <w:rPr>
          <w:rStyle w:val="InternetLink"/>
        </w:rPr>
      </w:pPr>
      <w:r>
        <w:rPr>
          <w:b/>
          <w:bCs/>
        </w:rPr>
        <w:t>SUMMARY:</w:t>
      </w:r>
      <w:hyperlink w:anchor="Short_Abstract">
        <w:r>
          <w:rPr>
            <w:rStyle w:val="InternetLink"/>
          </w:rPr>
          <w:t xml:space="preserve"> </w:t>
        </w:r>
      </w:hyperlink>
    </w:p>
    <w:p w14:paraId="57EB73A4" w14:textId="7A18B543" w:rsidR="003C6682" w:rsidRDefault="003C6682" w:rsidP="00A8328C">
      <w:r>
        <w:t xml:space="preserve">Here, we describe </w:t>
      </w:r>
      <w:r w:rsidR="00AC20D3">
        <w:t xml:space="preserve">the </w:t>
      </w:r>
      <w:r>
        <w:t xml:space="preserve">generation and application of a set of transgenic </w:t>
      </w:r>
      <w:r>
        <w:rPr>
          <w:i/>
          <w:iCs/>
        </w:rPr>
        <w:t>Arabidopsis thaliana</w:t>
      </w:r>
      <w:r>
        <w:t xml:space="preserve"> lines enabling inducible, tissue-specific expression in the three main meristems, the shoot apical meristem, the root apical meristem, and the cambium.  </w:t>
      </w:r>
    </w:p>
    <w:p w14:paraId="7EC04712" w14:textId="77777777" w:rsidR="003C6682" w:rsidRDefault="003C6682" w:rsidP="00A8328C"/>
    <w:p w14:paraId="31737E58" w14:textId="77777777" w:rsidR="003C6682" w:rsidRDefault="003C6682" w:rsidP="00A8328C">
      <w:pPr>
        <w:rPr>
          <w:rStyle w:val="InternetLink"/>
        </w:rPr>
      </w:pPr>
      <w:r>
        <w:rPr>
          <w:b/>
          <w:bCs/>
        </w:rPr>
        <w:t>ABSTRACT:</w:t>
      </w:r>
      <w:hyperlink w:anchor="Long_Abstract">
        <w:r>
          <w:rPr>
            <w:rStyle w:val="InternetLink"/>
          </w:rPr>
          <w:t xml:space="preserve"> </w:t>
        </w:r>
      </w:hyperlink>
    </w:p>
    <w:p w14:paraId="36C2B2BD" w14:textId="49F4F796" w:rsidR="003C6682" w:rsidRDefault="003C6682" w:rsidP="00A8328C">
      <w:r>
        <w:t xml:space="preserve">Inducible, tissue-specific expression is an important and powerful tool to study the </w:t>
      </w:r>
      <w:proofErr w:type="spellStart"/>
      <w:r>
        <w:t>spatio</w:t>
      </w:r>
      <w:proofErr w:type="spellEnd"/>
      <w:r>
        <w:t xml:space="preserve">-temporal dynamics of genetic perturbation. Combining the flexible and efficient </w:t>
      </w:r>
      <w:proofErr w:type="spellStart"/>
      <w:r>
        <w:t>GreenGate</w:t>
      </w:r>
      <w:proofErr w:type="spellEnd"/>
      <w:r>
        <w:t xml:space="preserve"> cloning system with the proven and benchmarked </w:t>
      </w:r>
      <w:proofErr w:type="spellStart"/>
      <w:r>
        <w:t>LhGR</w:t>
      </w:r>
      <w:proofErr w:type="spellEnd"/>
      <w:r>
        <w:t xml:space="preserve"> system (here termed GR-LhG4) for </w:t>
      </w:r>
      <w:r w:rsidR="004C00FA">
        <w:t xml:space="preserve">the </w:t>
      </w:r>
      <w:r>
        <w:t xml:space="preserve">inducible expression, we have generated a set of transgenic Arabidopsis lines that can drive </w:t>
      </w:r>
      <w:r w:rsidR="00AC20D3">
        <w:t xml:space="preserve">the </w:t>
      </w:r>
      <w:r>
        <w:t xml:space="preserve">expression of an effector cassette in a range of specific cell types in the three main plant meristems. To this end, we chose the previously developed GR-LhG4 system based on </w:t>
      </w:r>
      <w:r>
        <w:lastRenderedPageBreak/>
        <w:t xml:space="preserve">a chimeric transcription factor and a cognate </w:t>
      </w:r>
      <w:proofErr w:type="spellStart"/>
      <w:r w:rsidRPr="009C79C2">
        <w:rPr>
          <w:i/>
        </w:rPr>
        <w:t>pOp</w:t>
      </w:r>
      <w:proofErr w:type="spellEnd"/>
      <w:r>
        <w:rPr>
          <w:i/>
        </w:rPr>
        <w:t>-type</w:t>
      </w:r>
      <w:r>
        <w:t xml:space="preserve"> promoter ensuring tight control over a wide range of expression levels. In addition, to visualize the expression domain where the synthetic transcription factor is active, </w:t>
      </w:r>
      <w:r w:rsidR="00AC20D3">
        <w:t>an</w:t>
      </w:r>
      <w:r>
        <w:t xml:space="preserve"> ER-localized mTurquoise2 fluorescent reporter under control of the </w:t>
      </w:r>
      <w:r w:rsidRPr="009C79C2">
        <w:rPr>
          <w:i/>
        </w:rPr>
        <w:t>pOp</w:t>
      </w:r>
      <w:r>
        <w:rPr>
          <w:i/>
        </w:rPr>
        <w:t>4 or pOp6</w:t>
      </w:r>
      <w:r>
        <w:t xml:space="preserve"> promoter is encoded in driver lines. Here, we describe the steps necessary to generate a driver or effector line and demonstrate how cell type specific expression can be induced and followed in the shoot apical meristem, the root apical meristem and the cambium of Arabidopsis. By using several or all driver lines, the context specific effect of expressing one or multiple factors (effectors) under control of the synthetic </w:t>
      </w:r>
      <w:proofErr w:type="spellStart"/>
      <w:r w:rsidRPr="009C79C2">
        <w:rPr>
          <w:i/>
        </w:rPr>
        <w:t>pOp</w:t>
      </w:r>
      <w:proofErr w:type="spellEnd"/>
      <w:r>
        <w:t xml:space="preserve"> promoter can be assessed rapidly, for example in F1 plants of a cross between one effector and multiple driver lines. This approach is exemplified by </w:t>
      </w:r>
      <w:r w:rsidR="00120C6A">
        <w:t xml:space="preserve">the </w:t>
      </w:r>
      <w:r>
        <w:t>ectopic expression of VND7, a NAC transcription factor capable of inducing ectopic secondary cell wall deposition in a cell autonomous manner.</w:t>
      </w:r>
    </w:p>
    <w:p w14:paraId="664FBC0C" w14:textId="77777777" w:rsidR="003C6682" w:rsidRDefault="003C6682" w:rsidP="00A8328C"/>
    <w:p w14:paraId="1BEE0BD4" w14:textId="77777777" w:rsidR="003C6682" w:rsidRDefault="003C6682" w:rsidP="00A8328C">
      <w:pPr>
        <w:rPr>
          <w:rStyle w:val="InternetLink"/>
        </w:rPr>
      </w:pPr>
      <w:r>
        <w:rPr>
          <w:b/>
          <w:bCs/>
        </w:rPr>
        <w:t>INTRODUCTION:</w:t>
      </w:r>
      <w:hyperlink w:anchor="Introduction">
        <w:r>
          <w:rPr>
            <w:rStyle w:val="InternetLink"/>
          </w:rPr>
          <w:t xml:space="preserve"> </w:t>
        </w:r>
      </w:hyperlink>
    </w:p>
    <w:p w14:paraId="164873F9" w14:textId="621FF6C1" w:rsidR="003C6682" w:rsidRDefault="003C6682" w:rsidP="00A8328C">
      <w:r w:rsidRPr="7505B55A">
        <w:t>A major limitation</w:t>
      </w:r>
      <w:r w:rsidR="00AC20D3">
        <w:t xml:space="preserve"> in</w:t>
      </w:r>
      <w:r w:rsidRPr="7505B55A">
        <w:t xml:space="preserve"> biology in the postgenomic era is to decipher the context specific role of a given factor or genetic perturbation. Constitutive genetic perturbations such as loss-of-function and gain-of-function approaches often only allow end-point analysis of life-long adaptation processes, obfuscating the distinction between primary and secondary effects. In addition, context specific functions can be masked or diluted by large scale effects in distant tissues or during other phases of development. Moreover, in extreme cases, lethality can preclude any mechanistic insight. Ideally, to circumvent these issues, one could analyze the effect of acute genetic perturbation within a specific context such as a specific cell type in a time-resolved manner. To achieve this, genetic tools for inducible, cell type-specific expression are required</w:t>
      </w:r>
      <w:r w:rsidRPr="001136E6">
        <w:rPr>
          <w:noProof/>
          <w:vertAlign w:val="superscript"/>
        </w:rPr>
        <w:t>1</w:t>
      </w:r>
      <w:r w:rsidRPr="7505B55A">
        <w:t>. To provide a resource for the rapid assessment of the spatiotemporal dynamics of a response to a given effector, we have combined the ease of cloning p</w:t>
      </w:r>
      <w:r>
        <w:t xml:space="preserve">rovided by the </w:t>
      </w:r>
      <w:proofErr w:type="spellStart"/>
      <w:r>
        <w:t>GreenGate</w:t>
      </w:r>
      <w:proofErr w:type="spellEnd"/>
      <w:r>
        <w:t xml:space="preserve"> system</w:t>
      </w:r>
      <w:r w:rsidRPr="001136E6">
        <w:rPr>
          <w:noProof/>
          <w:vertAlign w:val="superscript"/>
        </w:rPr>
        <w:t>2</w:t>
      </w:r>
      <w:r>
        <w:t xml:space="preserve"> </w:t>
      </w:r>
      <w:r w:rsidRPr="7505B55A">
        <w:t xml:space="preserve">with the proven </w:t>
      </w:r>
      <w:bookmarkStart w:id="0" w:name="__DdeLink__1191_1561505683"/>
      <w:r w:rsidRPr="7505B55A">
        <w:t>efficacy</w:t>
      </w:r>
      <w:bookmarkEnd w:id="0"/>
      <w:r w:rsidRPr="7505B55A">
        <w:t xml:space="preserve"> of the GR-LhG4 system </w:t>
      </w:r>
      <w:r w:rsidRPr="001136E6">
        <w:rPr>
          <w:noProof/>
          <w:vertAlign w:val="superscript"/>
        </w:rPr>
        <w:t>3-6</w:t>
      </w:r>
      <w:r>
        <w:t xml:space="preserve">. </w:t>
      </w:r>
      <w:r w:rsidRPr="7505B55A">
        <w:t>We have generated a set of lines expressing the chimeric transcription factor LhG4 fused to the ligand binding domain of the rat corticoid receptor (GR)</w:t>
      </w:r>
      <w:r w:rsidRPr="001136E6">
        <w:rPr>
          <w:noProof/>
          <w:vertAlign w:val="superscript"/>
        </w:rPr>
        <w:t>7</w:t>
      </w:r>
      <w:r w:rsidRPr="7505B55A">
        <w:t xml:space="preserve"> under the control of well-characterized cell type specific promoters</w:t>
      </w:r>
      <w:r w:rsidRPr="00344862">
        <w:rPr>
          <w:noProof/>
          <w:vertAlign w:val="superscript"/>
        </w:rPr>
        <w:t>8</w:t>
      </w:r>
      <w:r w:rsidRPr="7505B55A">
        <w:t>. In resting conditions, the transcription factor remains outside of the nucleus, as the GR domain is bound by</w:t>
      </w:r>
      <w:r w:rsidR="00AC20D3">
        <w:t xml:space="preserve"> the</w:t>
      </w:r>
      <w:r w:rsidRPr="7505B55A">
        <w:t xml:space="preserve"> cytosolic HSP90. With the addition of synthetic ligand dexamethasone</w:t>
      </w:r>
      <w:r>
        <w:t xml:space="preserve"> (</w:t>
      </w:r>
      <w:proofErr w:type="spellStart"/>
      <w:r>
        <w:t>Dex</w:t>
      </w:r>
      <w:proofErr w:type="spellEnd"/>
      <w:r>
        <w:t>)</w:t>
      </w:r>
      <w:r w:rsidRPr="7505B55A">
        <w:t xml:space="preserve">, nuclear translocation is induced and LhG4 will mediate transcription of expression cassettes under control of </w:t>
      </w:r>
      <w:r>
        <w:t>a</w:t>
      </w:r>
      <w:r w:rsidRPr="7505B55A">
        <w:t xml:space="preserve"> cognate synthetic </w:t>
      </w:r>
      <w:proofErr w:type="spellStart"/>
      <w:r w:rsidRPr="5A0ECB01">
        <w:rPr>
          <w:i/>
          <w:iCs/>
        </w:rPr>
        <w:t>pOp</w:t>
      </w:r>
      <w:proofErr w:type="spellEnd"/>
      <w:r>
        <w:rPr>
          <w:i/>
          <w:iCs/>
        </w:rPr>
        <w:t>-type</w:t>
      </w:r>
      <w:r w:rsidRPr="7505B55A">
        <w:t xml:space="preserve"> promoter, such as an mTurquoise2 reporter included in the driver lines to visualize the expression domain after induction</w:t>
      </w:r>
      <w:r>
        <w:t xml:space="preserve">.  Thus, the driver lines technically also contain an effector cassette. </w:t>
      </w:r>
      <w:r w:rsidR="001D13B4">
        <w:t>The c</w:t>
      </w:r>
      <w:r w:rsidRPr="7505B55A">
        <w:t>rossing of a set of driver lines with a line carrying an effector cassette</w:t>
      </w:r>
      <w:r>
        <w:t xml:space="preserve"> with, for example, a gene of interest</w:t>
      </w:r>
      <w:r w:rsidRPr="7505B55A">
        <w:t xml:space="preserve"> </w:t>
      </w:r>
      <w:r>
        <w:t>under control of</w:t>
      </w:r>
      <w:r w:rsidRPr="7505B55A">
        <w:t xml:space="preserve"> the same </w:t>
      </w:r>
      <w:proofErr w:type="spellStart"/>
      <w:r w:rsidRPr="5A0ECB01">
        <w:rPr>
          <w:i/>
          <w:iCs/>
        </w:rPr>
        <w:t>pOp</w:t>
      </w:r>
      <w:proofErr w:type="spellEnd"/>
      <w:r>
        <w:rPr>
          <w:i/>
          <w:iCs/>
        </w:rPr>
        <w:t>-type</w:t>
      </w:r>
      <w:r w:rsidRPr="7505B55A">
        <w:t xml:space="preserve"> promoter thus allows the rapid assessment of the acute or long-term consequences of effector expression in a wide range of cell types.</w:t>
      </w:r>
    </w:p>
    <w:p w14:paraId="1E135AB0" w14:textId="77777777" w:rsidR="00AC20D3" w:rsidRDefault="00AC20D3" w:rsidP="00A8328C"/>
    <w:p w14:paraId="7495D485" w14:textId="4B19B295" w:rsidR="003C6682" w:rsidRDefault="003C6682" w:rsidP="00A8328C">
      <w:r>
        <w:t xml:space="preserve">Here, </w:t>
      </w:r>
      <w:r w:rsidR="00AC20D3">
        <w:t xml:space="preserve">we </w:t>
      </w:r>
      <w:r>
        <w:t xml:space="preserve">provide a protocol describing the procedures necessary to generate </w:t>
      </w:r>
      <w:r w:rsidR="00AC20D3">
        <w:t xml:space="preserve">the </w:t>
      </w:r>
      <w:r>
        <w:t>driver and effector lines</w:t>
      </w:r>
      <w:r w:rsidR="00AC20D3">
        <w:t xml:space="preserve"> and</w:t>
      </w:r>
      <w:r>
        <w:t xml:space="preserve"> demonstrate how cell type specific expression can be induced and followed in the shoot apical meristem, the root apical meristem and the cambium of Arabidopsis. To illustrate the prowess and specificity of this approach</w:t>
      </w:r>
      <w:r w:rsidR="00AC20D3">
        <w:t>,</w:t>
      </w:r>
      <w:r>
        <w:t xml:space="preserve"> we utilize the well-known transcription factor VND7 which is capable of driving xylem-like secondary cell wall thickenings ectopically</w:t>
      </w:r>
      <w:r w:rsidRPr="00344862">
        <w:rPr>
          <w:noProof/>
          <w:vertAlign w:val="superscript"/>
        </w:rPr>
        <w:t>9</w:t>
      </w:r>
      <w:r>
        <w:t xml:space="preserve">. Treating F1 from a cross between the </w:t>
      </w:r>
      <w:r w:rsidRPr="009C79C2">
        <w:rPr>
          <w:i/>
        </w:rPr>
        <w:t>pSCR</w:t>
      </w:r>
      <w:r w:rsidRPr="00344862">
        <w:rPr>
          <w:noProof/>
          <w:vertAlign w:val="superscript"/>
        </w:rPr>
        <w:t>10,11</w:t>
      </w:r>
      <w:r>
        <w:t xml:space="preserve"> driver line and the </w:t>
      </w:r>
      <w:r w:rsidRPr="009C79C2">
        <w:rPr>
          <w:i/>
        </w:rPr>
        <w:t>pOp6:VND7</w:t>
      </w:r>
      <w:r>
        <w:t xml:space="preserve"> effector line leads to the formation of ectopic xylem-like cells in the starch sheath cells of the </w:t>
      </w:r>
      <w:r w:rsidRPr="009C79C2">
        <w:rPr>
          <w:i/>
        </w:rPr>
        <w:t>Arabidopsis</w:t>
      </w:r>
      <w:r>
        <w:t xml:space="preserve"> stem. </w:t>
      </w:r>
    </w:p>
    <w:p w14:paraId="33E4E635" w14:textId="77777777" w:rsidR="004C00FA" w:rsidRDefault="004C00FA" w:rsidP="00A8328C"/>
    <w:p w14:paraId="4544EFA9" w14:textId="611B49CB" w:rsidR="00AC20D3" w:rsidRDefault="007353C6" w:rsidP="00AC20D3">
      <w:r>
        <w:t xml:space="preserve">To facilitate the generation of large DNA assemblies required for </w:t>
      </w:r>
      <w:r w:rsidR="00E25574">
        <w:t xml:space="preserve">constructing driver and effector expression plasmids, we used the fast and efficient </w:t>
      </w:r>
      <w:proofErr w:type="spellStart"/>
      <w:r w:rsidR="00E25574">
        <w:t>GreenGate</w:t>
      </w:r>
      <w:proofErr w:type="spellEnd"/>
      <w:r w:rsidR="00E25574">
        <w:t xml:space="preserve"> cloning method</w:t>
      </w:r>
      <w:r w:rsidR="00E25574" w:rsidRPr="004C00FA">
        <w:rPr>
          <w:vertAlign w:val="superscript"/>
        </w:rPr>
        <w:t>2</w:t>
      </w:r>
      <w:r w:rsidR="00E25574">
        <w:t xml:space="preserve">. </w:t>
      </w:r>
      <w:proofErr w:type="spellStart"/>
      <w:r w:rsidR="00AC20D3">
        <w:t>GreenGate</w:t>
      </w:r>
      <w:proofErr w:type="spellEnd"/>
      <w:r w:rsidR="00AC20D3">
        <w:t xml:space="preserve"> cloning is based on type II S restriction enzymes such as </w:t>
      </w:r>
      <w:r w:rsidR="00AC20D3" w:rsidRPr="52789E5C">
        <w:rPr>
          <w:i/>
          <w:iCs/>
        </w:rPr>
        <w:t>Eco</w:t>
      </w:r>
      <w:r w:rsidR="00AC20D3">
        <w:t xml:space="preserve">31I or its </w:t>
      </w:r>
      <w:proofErr w:type="spellStart"/>
      <w:r w:rsidR="00AC20D3">
        <w:t>isoschizomer</w:t>
      </w:r>
      <w:proofErr w:type="spellEnd"/>
      <w:r w:rsidR="00AC20D3">
        <w:t xml:space="preserve"> </w:t>
      </w:r>
      <w:r w:rsidR="00AC20D3" w:rsidRPr="52789E5C">
        <w:rPr>
          <w:i/>
          <w:iCs/>
        </w:rPr>
        <w:t>Bsa</w:t>
      </w:r>
      <w:r w:rsidR="00AC20D3">
        <w:t>I</w:t>
      </w:r>
      <w:r w:rsidR="00AC20D3" w:rsidRPr="001136E6">
        <w:rPr>
          <w:noProof/>
          <w:vertAlign w:val="superscript"/>
        </w:rPr>
        <w:t>2</w:t>
      </w:r>
      <w:r w:rsidR="00AC20D3">
        <w:t xml:space="preserve">. These enzymes cut downstream of their asymmetric recognition sites producing overhangs with varying base composition. By incorporating </w:t>
      </w:r>
      <w:r w:rsidR="00AC20D3" w:rsidRPr="00975016">
        <w:rPr>
          <w:i/>
          <w:iCs/>
        </w:rPr>
        <w:t>Eco</w:t>
      </w:r>
      <w:r w:rsidR="00AC20D3">
        <w:t>31I/</w:t>
      </w:r>
      <w:proofErr w:type="spellStart"/>
      <w:r w:rsidR="00AC20D3" w:rsidRPr="00975016">
        <w:rPr>
          <w:i/>
          <w:iCs/>
        </w:rPr>
        <w:t>Bsa</w:t>
      </w:r>
      <w:r w:rsidR="00AC20D3">
        <w:t>I</w:t>
      </w:r>
      <w:proofErr w:type="spellEnd"/>
      <w:r w:rsidR="00AC20D3">
        <w:t xml:space="preserve"> restriction sites in oligonucleotides and allocating specific overhang sequences to DNA elements, modular cloning is achieved, facilitating the generation of large assemblies. In the </w:t>
      </w:r>
      <w:proofErr w:type="spellStart"/>
      <w:r w:rsidR="00AC20D3">
        <w:t>GreenGate</w:t>
      </w:r>
      <w:proofErr w:type="spellEnd"/>
      <w:r w:rsidR="00AC20D3">
        <w:t xml:space="preserve"> framework, DNA modules fall into categories A-F based on overhang sequence that serve as adapters and are assembled in that order. Therefore, the primers designed to amplify your desired product should be in accordance with the selected module</w:t>
      </w:r>
      <w:r w:rsidR="00AC20D3" w:rsidRPr="00344862">
        <w:rPr>
          <w:noProof/>
          <w:vertAlign w:val="superscript"/>
        </w:rPr>
        <w:t>2</w:t>
      </w:r>
      <w:r w:rsidR="00AC20D3">
        <w:t xml:space="preserve"> (</w:t>
      </w:r>
      <w:r w:rsidR="00AC20D3" w:rsidRPr="004C00FA">
        <w:rPr>
          <w:b/>
        </w:rPr>
        <w:t>Figure 1A</w:t>
      </w:r>
      <w:r w:rsidR="00AC20D3">
        <w:t xml:space="preserve">). If there is an internal </w:t>
      </w:r>
      <w:r w:rsidR="00AC20D3" w:rsidRPr="00975016">
        <w:rPr>
          <w:i/>
          <w:iCs/>
        </w:rPr>
        <w:t>Eco</w:t>
      </w:r>
      <w:r w:rsidR="00AC20D3">
        <w:t>31I/</w:t>
      </w:r>
      <w:proofErr w:type="spellStart"/>
      <w:r w:rsidR="00AC20D3" w:rsidRPr="00975016">
        <w:rPr>
          <w:i/>
          <w:iCs/>
        </w:rPr>
        <w:t>Bsa</w:t>
      </w:r>
      <w:r w:rsidR="00AC20D3">
        <w:t>I</w:t>
      </w:r>
      <w:proofErr w:type="spellEnd"/>
      <w:r w:rsidR="00AC20D3">
        <w:t xml:space="preserve"> site and the sequence is not compatible with the </w:t>
      </w:r>
      <w:proofErr w:type="spellStart"/>
      <w:r w:rsidR="00AC20D3">
        <w:t>GreenGate</w:t>
      </w:r>
      <w:proofErr w:type="spellEnd"/>
      <w:r w:rsidR="00AC20D3">
        <w:t xml:space="preserve"> entry and destination modules, you can proceed without mutagenizing, but with lower efficiency. Alternatively, use site-directed mutagenesis to remove </w:t>
      </w:r>
      <w:r w:rsidR="00AC20D3" w:rsidRPr="00975016">
        <w:rPr>
          <w:i/>
          <w:iCs/>
        </w:rPr>
        <w:t>Eco</w:t>
      </w:r>
      <w:r w:rsidR="00AC20D3" w:rsidRPr="521BAE00">
        <w:t>31</w:t>
      </w:r>
      <w:r w:rsidR="00AC20D3">
        <w:t>I/</w:t>
      </w:r>
      <w:proofErr w:type="spellStart"/>
      <w:r w:rsidR="00AC20D3" w:rsidRPr="00975016">
        <w:rPr>
          <w:i/>
          <w:iCs/>
        </w:rPr>
        <w:t>Bsa</w:t>
      </w:r>
      <w:r w:rsidR="00AC20D3">
        <w:t>I</w:t>
      </w:r>
      <w:proofErr w:type="spellEnd"/>
      <w:r w:rsidR="00AC20D3">
        <w:t xml:space="preserve"> restriction sites taking care not to change amino acids in gene products.</w:t>
      </w:r>
      <w:r w:rsidR="0002421F">
        <w:t xml:space="preserve"> </w:t>
      </w:r>
    </w:p>
    <w:p w14:paraId="3306F3F2" w14:textId="77777777" w:rsidR="003C6682" w:rsidRDefault="003C6682" w:rsidP="00A8328C">
      <w:pPr>
        <w:rPr>
          <w:b/>
        </w:rPr>
      </w:pPr>
    </w:p>
    <w:p w14:paraId="2CC947AF" w14:textId="77777777" w:rsidR="003C6682" w:rsidRDefault="003C6682" w:rsidP="00A8328C">
      <w:pPr>
        <w:rPr>
          <w:rStyle w:val="InternetLink"/>
        </w:rPr>
      </w:pPr>
      <w:bookmarkStart w:id="1" w:name="_Hlk533170005"/>
      <w:r>
        <w:rPr>
          <w:b/>
          <w:bCs/>
        </w:rPr>
        <w:t>PROTOCOL:</w:t>
      </w:r>
      <w:hyperlink w:anchor="Protocol">
        <w:r>
          <w:rPr>
            <w:rStyle w:val="InternetLink"/>
          </w:rPr>
          <w:t xml:space="preserve"> </w:t>
        </w:r>
      </w:hyperlink>
    </w:p>
    <w:p w14:paraId="7D443791" w14:textId="1F59131A" w:rsidR="004C00FA" w:rsidRDefault="004C00FA" w:rsidP="004C00FA">
      <w:r>
        <w:t xml:space="preserve">Vectors and modules can be obtained from the non-profit repository, </w:t>
      </w:r>
      <w:proofErr w:type="spellStart"/>
      <w:r>
        <w:t>Addgene</w:t>
      </w:r>
      <w:proofErr w:type="spellEnd"/>
      <w:r>
        <w:t xml:space="preserve"> (</w:t>
      </w:r>
      <w:r w:rsidRPr="00280EC9">
        <w:t>https://</w:t>
      </w:r>
      <w:r>
        <w:t>www.addgene.org).</w:t>
      </w:r>
    </w:p>
    <w:p w14:paraId="40CFC3F7" w14:textId="77777777" w:rsidR="003C6682" w:rsidRDefault="003C6682" w:rsidP="00A8328C"/>
    <w:p w14:paraId="243C6CB3" w14:textId="6C0976D3" w:rsidR="003C6682" w:rsidRDefault="003C6682" w:rsidP="00A8328C">
      <w:pPr>
        <w:rPr>
          <w:b/>
          <w:bCs/>
        </w:rPr>
      </w:pPr>
      <w:r>
        <w:rPr>
          <w:b/>
          <w:bCs/>
        </w:rPr>
        <w:t xml:space="preserve">1. Cloning using </w:t>
      </w:r>
      <w:proofErr w:type="spellStart"/>
      <w:r>
        <w:rPr>
          <w:b/>
          <w:bCs/>
        </w:rPr>
        <w:t>GreenGate</w:t>
      </w:r>
      <w:proofErr w:type="spellEnd"/>
    </w:p>
    <w:p w14:paraId="462C732A" w14:textId="77777777" w:rsidR="003C6682" w:rsidRDefault="003C6682" w:rsidP="00A8328C"/>
    <w:p w14:paraId="0D7A89D4" w14:textId="54826E20" w:rsidR="003C6682" w:rsidRDefault="003C6682" w:rsidP="00A8328C">
      <w:r>
        <w:t>1.1. Design primers using the overhangs</w:t>
      </w:r>
      <w:r w:rsidR="005562C0">
        <w:t xml:space="preserve"> listed in </w:t>
      </w:r>
      <w:r w:rsidR="005562C0" w:rsidRPr="004C00FA">
        <w:rPr>
          <w:b/>
        </w:rPr>
        <w:t>Table 1</w:t>
      </w:r>
      <w:r>
        <w:t>, replacing ‘NNNN’ with module type-specific adapter sequences listed below:</w:t>
      </w:r>
      <w:r w:rsidR="00E25574">
        <w:t xml:space="preserve"> </w:t>
      </w:r>
      <w:r>
        <w:t xml:space="preserve">Forward: 5´AACA GGTCTC A NNNN (n) </w:t>
      </w:r>
      <w:r>
        <w:rPr>
          <w:u w:val="single"/>
        </w:rPr>
        <w:t>CA</w:t>
      </w:r>
      <w:r>
        <w:rPr>
          <w:vertAlign w:val="superscript"/>
        </w:rPr>
        <w:t>*</w:t>
      </w:r>
      <w:r>
        <w:t xml:space="preserve"> + specific sequence 3´</w:t>
      </w:r>
      <w:r w:rsidR="00AC20D3">
        <w:t xml:space="preserve">, </w:t>
      </w:r>
      <w:r>
        <w:t>Reverse: 5´AACA GGTCTC A NNNN (n) + reverse complement of specific sequence 3´</w:t>
      </w:r>
      <w:r w:rsidR="00AC20D3">
        <w:t xml:space="preserve">. </w:t>
      </w:r>
      <w:r>
        <w:t>Add the underlined bases to ensure maintenance of the reading frame.</w:t>
      </w:r>
    </w:p>
    <w:p w14:paraId="31064450" w14:textId="77777777" w:rsidR="003C6682" w:rsidRDefault="003C6682" w:rsidP="00A8328C">
      <w:r>
        <w:t>Module overhangs:</w:t>
      </w:r>
    </w:p>
    <w:p w14:paraId="5C9A97D7" w14:textId="77777777" w:rsidR="003C6682" w:rsidRDefault="003C6682" w:rsidP="00A8328C"/>
    <w:p w14:paraId="31BFF4BD" w14:textId="3D1DC29C" w:rsidR="003C6682" w:rsidRDefault="00991462" w:rsidP="00A8328C">
      <w:r>
        <w:t xml:space="preserve">NOTE: </w:t>
      </w:r>
      <w:r w:rsidR="003C6682">
        <w:t xml:space="preserve">In the default </w:t>
      </w:r>
      <w:proofErr w:type="spellStart"/>
      <w:r w:rsidR="003C6682">
        <w:t>GreenGate</w:t>
      </w:r>
      <w:proofErr w:type="spellEnd"/>
      <w:r w:rsidR="003C6682">
        <w:t xml:space="preserve"> framework, </w:t>
      </w:r>
      <w:r w:rsidR="005562C0">
        <w:t>six</w:t>
      </w:r>
      <w:r w:rsidR="003C6682">
        <w:t xml:space="preserve"> module</w:t>
      </w:r>
      <w:r w:rsidR="005562C0">
        <w:t>s, A-F, are assembled with a plant transformation vector backbone into one expression plasmid (</w:t>
      </w:r>
      <w:r w:rsidR="005562C0" w:rsidRPr="004C00FA">
        <w:rPr>
          <w:b/>
        </w:rPr>
        <w:t>Figure 1C</w:t>
      </w:r>
      <w:r w:rsidR="005562C0">
        <w:t xml:space="preserve">). Typically, the A module </w:t>
      </w:r>
      <w:r w:rsidR="003C6682">
        <w:t>will harbor promoter sequences, a B-module an N-terminal tag or “dummy” sequence</w:t>
      </w:r>
      <w:r w:rsidR="003C6682" w:rsidRPr="001136E6">
        <w:rPr>
          <w:noProof/>
          <w:vertAlign w:val="superscript"/>
        </w:rPr>
        <w:t>6</w:t>
      </w:r>
      <w:r w:rsidR="003C6682">
        <w:t xml:space="preserve">, a C-module a CDS, a D-module </w:t>
      </w:r>
      <w:r w:rsidR="004C00FA">
        <w:t>a</w:t>
      </w:r>
      <w:r w:rsidR="003C6682">
        <w:t xml:space="preserve"> C-terminal tag or dummy, an E-module a terminator, and an F-module a resistance cassette for selection of transgenic plants. Adapter for coupling with other preassembled units are available for use instead of the F module</w:t>
      </w:r>
      <w:r w:rsidR="003C6682" w:rsidRPr="001136E6">
        <w:rPr>
          <w:noProof/>
          <w:vertAlign w:val="superscript"/>
        </w:rPr>
        <w:t>2</w:t>
      </w:r>
      <w:r w:rsidR="003C6682">
        <w:t>.</w:t>
      </w:r>
    </w:p>
    <w:p w14:paraId="2C1CC423" w14:textId="77777777" w:rsidR="003C6682" w:rsidRDefault="003C6682" w:rsidP="00A8328C">
      <w:r>
        <w:t xml:space="preserve"> </w:t>
      </w:r>
    </w:p>
    <w:p w14:paraId="669D4582" w14:textId="77777777" w:rsidR="003C6682" w:rsidRDefault="003C6682" w:rsidP="00A8328C">
      <w:r>
        <w:t>1.2. PCR amplification</w:t>
      </w:r>
    </w:p>
    <w:p w14:paraId="34191311" w14:textId="77777777" w:rsidR="00AC20D3" w:rsidRDefault="00AC20D3" w:rsidP="00A8328C"/>
    <w:p w14:paraId="3A80816A" w14:textId="73777E0E" w:rsidR="003C6682" w:rsidRDefault="00AC20D3" w:rsidP="00A8328C">
      <w:r>
        <w:t xml:space="preserve">1.2.1. </w:t>
      </w:r>
      <w:r w:rsidR="003C6682">
        <w:t xml:space="preserve">Amplify </w:t>
      </w:r>
      <w:r>
        <w:t>the</w:t>
      </w:r>
      <w:r w:rsidR="003C6682">
        <w:t xml:space="preserve"> sequence </w:t>
      </w:r>
      <w:r>
        <w:t xml:space="preserve">of interest </w:t>
      </w:r>
      <w:r w:rsidR="003C6682">
        <w:t xml:space="preserve">with the designed primers by polymerase chain reaction (PCR) according to standard protocols. </w:t>
      </w:r>
    </w:p>
    <w:p w14:paraId="322FD33F" w14:textId="77777777" w:rsidR="00AC20D3" w:rsidRDefault="00AC20D3" w:rsidP="00A8328C"/>
    <w:p w14:paraId="6EF19CA4" w14:textId="6777F8AB" w:rsidR="003C6682" w:rsidRDefault="00AC20D3" w:rsidP="00A8328C">
      <w:r>
        <w:t xml:space="preserve">1.2.2. </w:t>
      </w:r>
      <w:r w:rsidR="003C6682">
        <w:t xml:space="preserve">Separate the PCR product </w:t>
      </w:r>
      <w:r>
        <w:t xml:space="preserve">on an </w:t>
      </w:r>
      <w:r w:rsidR="003C6682">
        <w:t xml:space="preserve">agarose gel. Excise and column purify the correct fragment using a commercial kit (see </w:t>
      </w:r>
      <w:r w:rsidRPr="00AC20D3">
        <w:rPr>
          <w:b/>
        </w:rPr>
        <w:t>Ta</w:t>
      </w:r>
      <w:r w:rsidR="003C6682" w:rsidRPr="00AC20D3">
        <w:rPr>
          <w:b/>
        </w:rPr>
        <w:t xml:space="preserve">ble of </w:t>
      </w:r>
      <w:r w:rsidRPr="00AC20D3">
        <w:rPr>
          <w:b/>
        </w:rPr>
        <w:t>M</w:t>
      </w:r>
      <w:r w:rsidR="003C6682" w:rsidRPr="00AC20D3">
        <w:rPr>
          <w:b/>
        </w:rPr>
        <w:t>aterials</w:t>
      </w:r>
      <w:r w:rsidR="003C6682">
        <w:t xml:space="preserve">) </w:t>
      </w:r>
      <w:r>
        <w:t>as per</w:t>
      </w:r>
      <w:r w:rsidR="003C6682">
        <w:t xml:space="preserve"> the manufacturer’s instructions.</w:t>
      </w:r>
    </w:p>
    <w:p w14:paraId="46133750" w14:textId="77777777" w:rsidR="003C6682" w:rsidRDefault="003C6682" w:rsidP="00A8328C"/>
    <w:p w14:paraId="6A3DDC17" w14:textId="5A13FCB0" w:rsidR="003C6682" w:rsidRDefault="003C6682" w:rsidP="00A8328C">
      <w:r>
        <w:t>1.3. Entry module creation</w:t>
      </w:r>
    </w:p>
    <w:p w14:paraId="4BD1D9C8" w14:textId="77777777" w:rsidR="00AC20D3" w:rsidRDefault="00AC20D3" w:rsidP="00A8328C"/>
    <w:p w14:paraId="3CD238D2" w14:textId="061E7F29" w:rsidR="00F87239" w:rsidRDefault="003C6682" w:rsidP="00F87239">
      <w:r>
        <w:t>1.3.1. Separately digest</w:t>
      </w:r>
      <w:r w:rsidRPr="005B3A6D">
        <w:t xml:space="preserve"> </w:t>
      </w:r>
      <w:r>
        <w:t>the module vector</w:t>
      </w:r>
      <w:r w:rsidR="00AC20D3">
        <w:t xml:space="preserve"> </w:t>
      </w:r>
      <w:r>
        <w:t>and the PCR fragment</w:t>
      </w:r>
      <w:r w:rsidR="00AC20D3">
        <w:t xml:space="preserve"> (step </w:t>
      </w:r>
      <w:r w:rsidR="005562C0">
        <w:t>1.2</w:t>
      </w:r>
      <w:r w:rsidR="00F52C83">
        <w:t>.</w:t>
      </w:r>
      <w:r w:rsidR="00AC20D3">
        <w:t>)</w:t>
      </w:r>
      <w:r>
        <w:t xml:space="preserve"> (</w:t>
      </w:r>
      <w:r w:rsidRPr="00AC20D3">
        <w:rPr>
          <w:b/>
        </w:rPr>
        <w:t>Figure 1</w:t>
      </w:r>
      <w:r w:rsidR="00280EC9">
        <w:rPr>
          <w:b/>
        </w:rPr>
        <w:t xml:space="preserve"> A, </w:t>
      </w:r>
      <w:r w:rsidRPr="00AC20D3">
        <w:rPr>
          <w:b/>
        </w:rPr>
        <w:t>B</w:t>
      </w:r>
      <w:r>
        <w:t>) with</w:t>
      </w:r>
      <w:r w:rsidRPr="5044FF45">
        <w:rPr>
          <w:i/>
          <w:iCs/>
        </w:rPr>
        <w:t xml:space="preserve"> Eco</w:t>
      </w:r>
      <w:r w:rsidRPr="00975016">
        <w:t>31I</w:t>
      </w:r>
      <w:r w:rsidRPr="5044FF45">
        <w:rPr>
          <w:i/>
          <w:iCs/>
        </w:rPr>
        <w:t>/</w:t>
      </w:r>
      <w:proofErr w:type="spellStart"/>
      <w:r w:rsidRPr="5044FF45">
        <w:rPr>
          <w:i/>
          <w:iCs/>
        </w:rPr>
        <w:t>Bsa</w:t>
      </w:r>
      <w:r w:rsidRPr="00975016">
        <w:t>I</w:t>
      </w:r>
      <w:proofErr w:type="spellEnd"/>
      <w:r>
        <w:t xml:space="preserve"> </w:t>
      </w:r>
      <w:r w:rsidR="00715435">
        <w:t xml:space="preserve">using </w:t>
      </w:r>
      <w:r>
        <w:t>100-500 ng of DNA (Vector or Fragment)</w:t>
      </w:r>
      <w:r w:rsidR="00F87239">
        <w:t xml:space="preserve">, </w:t>
      </w:r>
      <w:r>
        <w:t>3 µL 10x digestion buffer</w:t>
      </w:r>
      <w:r w:rsidR="00F87239">
        <w:t xml:space="preserve">, </w:t>
      </w:r>
      <w:r w:rsidR="00715435">
        <w:t xml:space="preserve">and </w:t>
      </w:r>
      <w:r>
        <w:t xml:space="preserve">5-10 U </w:t>
      </w:r>
      <w:r w:rsidRPr="5044FF45">
        <w:rPr>
          <w:i/>
          <w:iCs/>
        </w:rPr>
        <w:t>Eco</w:t>
      </w:r>
      <w:r w:rsidRPr="00975016">
        <w:t>31I</w:t>
      </w:r>
      <w:r w:rsidR="00F87239">
        <w:t xml:space="preserve"> in a tube and </w:t>
      </w:r>
      <w:r w:rsidR="004C00FA">
        <w:t>bring the</w:t>
      </w:r>
      <w:r w:rsidR="00F87239">
        <w:t xml:space="preserve"> volume to 30 µL with ddH</w:t>
      </w:r>
      <w:r w:rsidR="00F87239">
        <w:rPr>
          <w:vertAlign w:val="subscript"/>
        </w:rPr>
        <w:t>2</w:t>
      </w:r>
      <w:r w:rsidR="00F87239">
        <w:t>O.</w:t>
      </w:r>
    </w:p>
    <w:p w14:paraId="4CD3C763" w14:textId="77777777" w:rsidR="00280EC9" w:rsidRDefault="00280EC9" w:rsidP="00A8328C"/>
    <w:p w14:paraId="4BAFC335" w14:textId="5002B9AF" w:rsidR="003C6682" w:rsidRDefault="003C6682" w:rsidP="00A8328C">
      <w:r>
        <w:t>1.3.2. Mix gently by pipetting up and down</w:t>
      </w:r>
      <w:r w:rsidR="00F87239">
        <w:t xml:space="preserve"> and </w:t>
      </w:r>
      <w:r>
        <w:t>spin down</w:t>
      </w:r>
      <w:r w:rsidR="005562C0">
        <w:t xml:space="preserve"> briefly at 1000 x g</w:t>
      </w:r>
      <w:r>
        <w:t xml:space="preserve">. Incubate at 37 °C </w:t>
      </w:r>
      <w:r w:rsidR="00F87239">
        <w:t>on</w:t>
      </w:r>
      <w:r>
        <w:t xml:space="preserve"> a heat block for 15 min (or following the time recommendation of the purchased restriction enzyme).</w:t>
      </w:r>
    </w:p>
    <w:p w14:paraId="30E09B33" w14:textId="77777777" w:rsidR="003C6682" w:rsidRDefault="003C6682" w:rsidP="00A8328C"/>
    <w:p w14:paraId="33AED04A" w14:textId="3A359DB2" w:rsidR="003C6682" w:rsidRDefault="003C6682" w:rsidP="00A8328C">
      <w:r>
        <w:t xml:space="preserve">1.3.3. After the digestion, column purify each sample using a commercial kit (see </w:t>
      </w:r>
      <w:r w:rsidR="00F87239" w:rsidRPr="00F87239">
        <w:rPr>
          <w:b/>
        </w:rPr>
        <w:t>T</w:t>
      </w:r>
      <w:r w:rsidRPr="00F87239">
        <w:rPr>
          <w:b/>
        </w:rPr>
        <w:t xml:space="preserve">able of </w:t>
      </w:r>
      <w:r w:rsidR="00F87239">
        <w:rPr>
          <w:b/>
        </w:rPr>
        <w:t>M</w:t>
      </w:r>
      <w:r w:rsidRPr="00F87239">
        <w:rPr>
          <w:b/>
        </w:rPr>
        <w:t>aterials</w:t>
      </w:r>
      <w:r>
        <w:t>)</w:t>
      </w:r>
      <w:r w:rsidR="00280EC9">
        <w:t xml:space="preserve"> and</w:t>
      </w:r>
      <w:r>
        <w:t xml:space="preserve"> </w:t>
      </w:r>
      <w:r w:rsidR="00991462">
        <w:t>q</w:t>
      </w:r>
      <w:r>
        <w:t>uantify the obtained DNA by determining the optical density at 260 nm (OD</w:t>
      </w:r>
      <w:r w:rsidRPr="00A8328C">
        <w:rPr>
          <w:vertAlign w:val="subscript"/>
        </w:rPr>
        <w:t>260</w:t>
      </w:r>
      <w:r>
        <w:t xml:space="preserve">) using a spectrophotometer. </w:t>
      </w:r>
    </w:p>
    <w:p w14:paraId="1622E659" w14:textId="77777777" w:rsidR="003C6682" w:rsidRDefault="003C6682" w:rsidP="00A8328C"/>
    <w:p w14:paraId="53EB99D4" w14:textId="778287A7" w:rsidR="003C6682" w:rsidRDefault="003C6682" w:rsidP="00A8328C">
      <w:r>
        <w:t>1.3.5. Mix</w:t>
      </w:r>
      <w:r w:rsidR="00F87239">
        <w:t xml:space="preserve"> the</w:t>
      </w:r>
      <w:r>
        <w:t xml:space="preserve"> </w:t>
      </w:r>
      <w:r w:rsidR="00162F90">
        <w:t xml:space="preserve">30 – 100 ng digested </w:t>
      </w:r>
      <w:r>
        <w:t xml:space="preserve">insert </w:t>
      </w:r>
      <w:r w:rsidR="00F87239">
        <w:t xml:space="preserve">and the </w:t>
      </w:r>
      <w:r w:rsidR="00162F90">
        <w:t xml:space="preserve">10 – 50 ng digested </w:t>
      </w:r>
      <w:r>
        <w:t xml:space="preserve">vector by pipetting up and down several times and incubate with </w:t>
      </w:r>
      <w:r w:rsidR="00162F90" w:rsidRPr="004C00FA">
        <w:rPr>
          <w:lang w:val="en-GB"/>
        </w:rPr>
        <w:t>1 µL T4 Ligase (5 U/µL</w:t>
      </w:r>
      <w:r w:rsidR="00162F90">
        <w:t>,</w:t>
      </w:r>
      <w:r>
        <w:t xml:space="preserve"> and </w:t>
      </w:r>
      <w:r w:rsidR="00162F90">
        <w:t>3 µL 10 x T4 ligation buffer in a total volume of 30 µ</w:t>
      </w:r>
      <w:r w:rsidR="00991462">
        <w:t>L</w:t>
      </w:r>
      <w:r w:rsidR="00162F90">
        <w:t xml:space="preserve"> </w:t>
      </w:r>
      <w:r>
        <w:t xml:space="preserve">at room temperature for 1 h (following the recommendation of the T4 ligase supplier) (see </w:t>
      </w:r>
      <w:r w:rsidR="00F52C83" w:rsidRPr="004C00FA">
        <w:rPr>
          <w:b/>
        </w:rPr>
        <w:t>T</w:t>
      </w:r>
      <w:r w:rsidRPr="004C00FA">
        <w:rPr>
          <w:b/>
        </w:rPr>
        <w:t xml:space="preserve">able of </w:t>
      </w:r>
      <w:r w:rsidR="00F52C83" w:rsidRPr="004C00FA">
        <w:rPr>
          <w:b/>
        </w:rPr>
        <w:t>M</w:t>
      </w:r>
      <w:r w:rsidRPr="004C00FA">
        <w:rPr>
          <w:b/>
        </w:rPr>
        <w:t>aterials</w:t>
      </w:r>
      <w:r>
        <w:t>).</w:t>
      </w:r>
    </w:p>
    <w:p w14:paraId="28907EDD" w14:textId="77777777" w:rsidR="00280EC9" w:rsidRDefault="00280EC9" w:rsidP="00A8328C"/>
    <w:p w14:paraId="60A46FD6" w14:textId="71C19C96" w:rsidR="00280EC9" w:rsidRDefault="00991462" w:rsidP="00280EC9">
      <w:r>
        <w:t xml:space="preserve">NOTE: </w:t>
      </w:r>
      <w:r w:rsidR="00280EC9">
        <w:t xml:space="preserve">Calculate the desired molar ratio entry </w:t>
      </w:r>
      <w:proofErr w:type="spellStart"/>
      <w:r w:rsidR="00280EC9">
        <w:t>module:destination</w:t>
      </w:r>
      <w:proofErr w:type="spellEnd"/>
      <w:r w:rsidR="00280EC9">
        <w:t xml:space="preserve"> vector (e.g.</w:t>
      </w:r>
      <w:r>
        <w:t>,</w:t>
      </w:r>
      <w:r w:rsidR="00280EC9">
        <w:t xml:space="preserve"> 3:1) for the ligation depending on the concentration and length of the entry module inserts.</w:t>
      </w:r>
    </w:p>
    <w:p w14:paraId="6943BF4F" w14:textId="77777777" w:rsidR="003C6682" w:rsidRDefault="003C6682" w:rsidP="00A8328C"/>
    <w:p w14:paraId="670F2226" w14:textId="6D431D34" w:rsidR="003C6682" w:rsidRDefault="003C6682" w:rsidP="00A8328C">
      <w:r>
        <w:t xml:space="preserve">1.3.6. </w:t>
      </w:r>
      <w:r w:rsidR="00280EC9">
        <w:t>To increase the efficiency of transformation</w:t>
      </w:r>
      <w:r w:rsidR="00F87239">
        <w:t>,</w:t>
      </w:r>
      <w:r>
        <w:t xml:space="preserve"> </w:t>
      </w:r>
      <w:r w:rsidR="00F87239">
        <w:t>h</w:t>
      </w:r>
      <w:r>
        <w:t xml:space="preserve">eat inactivate the T4 ligase </w:t>
      </w:r>
      <w:r w:rsidR="00280EC9">
        <w:t xml:space="preserve">by Incubating </w:t>
      </w:r>
      <w:r>
        <w:t>the reaction at 65 °C for 20 min</w:t>
      </w:r>
      <w:r w:rsidR="006A4016">
        <w:t>.</w:t>
      </w:r>
    </w:p>
    <w:p w14:paraId="4A9DED96" w14:textId="77777777" w:rsidR="003C6682" w:rsidRDefault="003C6682" w:rsidP="00A8328C"/>
    <w:p w14:paraId="27B06EE8" w14:textId="68E9F455" w:rsidR="003C6682" w:rsidRDefault="003C6682" w:rsidP="00A8328C">
      <w:r>
        <w:t xml:space="preserve">1.3.7. Use the ligation product to transform competent </w:t>
      </w:r>
      <w:r>
        <w:rPr>
          <w:i/>
          <w:iCs/>
        </w:rPr>
        <w:t>E. coli</w:t>
      </w:r>
      <w:r>
        <w:t xml:space="preserve"> cells according to</w:t>
      </w:r>
      <w:r w:rsidR="00F87239">
        <w:t xml:space="preserve"> the</w:t>
      </w:r>
      <w:r>
        <w:t xml:space="preserve"> standard lab protocols and spread the bacteria on agar plates supplemented with ampicillin (100 µg/mL)</w:t>
      </w:r>
    </w:p>
    <w:p w14:paraId="369B84D6" w14:textId="77777777" w:rsidR="003C6682" w:rsidRDefault="003C6682" w:rsidP="00A8328C"/>
    <w:p w14:paraId="0743D552" w14:textId="5A0A846E" w:rsidR="003C6682" w:rsidRDefault="003C6682" w:rsidP="00A8328C">
      <w:r>
        <w:t>1.3.8. Incubate the plate with bacteria at 37 °C</w:t>
      </w:r>
      <w:r w:rsidR="00F87239">
        <w:t xml:space="preserve"> for overnight</w:t>
      </w:r>
      <w:r>
        <w:t>.</w:t>
      </w:r>
    </w:p>
    <w:p w14:paraId="505B5A85" w14:textId="77777777" w:rsidR="003C6682" w:rsidRDefault="003C6682" w:rsidP="00A8328C"/>
    <w:p w14:paraId="012515BC" w14:textId="292A4021" w:rsidR="003C6682" w:rsidRDefault="003C6682" w:rsidP="006A4016">
      <w:r>
        <w:t xml:space="preserve">1.3.9. </w:t>
      </w:r>
      <w:r w:rsidR="006A4016">
        <w:t xml:space="preserve">Screen for colonies with the desired entry module </w:t>
      </w:r>
      <w:r>
        <w:t>by colony PCR</w:t>
      </w:r>
      <w:r w:rsidR="006A4016">
        <w:t xml:space="preserve"> using</w:t>
      </w:r>
      <w:r>
        <w:t xml:space="preserve"> the primers </w:t>
      </w:r>
      <w:r>
        <w:rPr>
          <w:i/>
          <w:iCs/>
        </w:rPr>
        <w:t>86A1</w:t>
      </w:r>
      <w:r>
        <w:t xml:space="preserve"> (</w:t>
      </w:r>
      <w:r>
        <w:rPr>
          <w:rFonts w:eastAsia="Calibri"/>
          <w:lang w:val="en-GB"/>
        </w:rPr>
        <w:t xml:space="preserve">5′-GTTGTGTGGAATTGTGAGC-3′) </w:t>
      </w:r>
      <w:r>
        <w:t xml:space="preserve">and </w:t>
      </w:r>
      <w:r>
        <w:rPr>
          <w:i/>
          <w:iCs/>
        </w:rPr>
        <w:t>86A2</w:t>
      </w:r>
      <w:r>
        <w:t xml:space="preserve"> (</w:t>
      </w:r>
      <w:r>
        <w:rPr>
          <w:rFonts w:eastAsia="Calibri"/>
          <w:lang w:val="en-GB"/>
        </w:rPr>
        <w:t>5′-GTTTTCCCAGTCACGACG-3′)</w:t>
      </w:r>
      <w:r>
        <w:t xml:space="preserve"> and standard PCR </w:t>
      </w:r>
      <w:r w:rsidR="004C00FA">
        <w:t>conditions.</w:t>
      </w:r>
      <w:r>
        <w:t xml:space="preserve"> </w:t>
      </w:r>
    </w:p>
    <w:p w14:paraId="06BF88CB" w14:textId="77777777" w:rsidR="003C6682" w:rsidRDefault="003C6682" w:rsidP="00A8328C"/>
    <w:p w14:paraId="7CEF8FC3" w14:textId="785FFF87" w:rsidR="003C6682" w:rsidRDefault="00991462" w:rsidP="00A8328C">
      <w:r>
        <w:t xml:space="preserve">NOTE: </w:t>
      </w:r>
      <w:r w:rsidR="003C6682">
        <w:t>This primer combination is valid for all entry modules as the primers bind to the entry vector backbone.</w:t>
      </w:r>
    </w:p>
    <w:p w14:paraId="62563159" w14:textId="77777777" w:rsidR="003C6682" w:rsidRDefault="003C6682" w:rsidP="00A8328C"/>
    <w:p w14:paraId="1FB00CFC" w14:textId="68C4BCE3" w:rsidR="003C6682" w:rsidRDefault="003C6682" w:rsidP="00A8328C">
      <w:r>
        <w:t xml:space="preserve">1.3.10. Select single colonies for </w:t>
      </w:r>
      <w:r w:rsidR="00F87239">
        <w:t xml:space="preserve">the </w:t>
      </w:r>
      <w:r>
        <w:t>plasmid isolation. Use 2 mL LB liquid culture supplemented with ampicillin (100 µg/mL) and incubate overnight in a 37 °C shaker.</w:t>
      </w:r>
    </w:p>
    <w:p w14:paraId="3FEED75E" w14:textId="77777777" w:rsidR="003C6682" w:rsidRDefault="003C6682" w:rsidP="00A8328C"/>
    <w:p w14:paraId="48C9175A" w14:textId="35D111E9" w:rsidR="003C6682" w:rsidRDefault="003C6682" w:rsidP="00A8328C">
      <w:r>
        <w:t xml:space="preserve">1.3.11. Isolate plasmids from the overnight liquid culture with a Mini-Prep Kit or the desired extraction protocol (see </w:t>
      </w:r>
      <w:r w:rsidR="00F87239" w:rsidRPr="00F87239">
        <w:rPr>
          <w:b/>
        </w:rPr>
        <w:t>T</w:t>
      </w:r>
      <w:r w:rsidRPr="00F87239">
        <w:rPr>
          <w:b/>
        </w:rPr>
        <w:t xml:space="preserve">able of </w:t>
      </w:r>
      <w:r w:rsidR="00F87239" w:rsidRPr="00F87239">
        <w:rPr>
          <w:b/>
        </w:rPr>
        <w:t>M</w:t>
      </w:r>
      <w:r w:rsidRPr="00F87239">
        <w:rPr>
          <w:b/>
        </w:rPr>
        <w:t>aterials</w:t>
      </w:r>
      <w:r>
        <w:t>).</w:t>
      </w:r>
    </w:p>
    <w:p w14:paraId="6591A83E" w14:textId="77777777" w:rsidR="003C6682" w:rsidRDefault="003C6682" w:rsidP="00A8328C"/>
    <w:p w14:paraId="225611F8" w14:textId="64B7AECF" w:rsidR="00F87239" w:rsidRDefault="003C6682" w:rsidP="00F87239">
      <w:pPr>
        <w:rPr>
          <w:rStyle w:val="eop"/>
          <w:rFonts w:asciiTheme="minorHAnsi" w:hAnsiTheme="minorHAnsi"/>
        </w:rPr>
      </w:pPr>
      <w:r w:rsidRPr="00A8328C">
        <w:rPr>
          <w:rFonts w:asciiTheme="minorHAnsi" w:hAnsiTheme="minorHAnsi"/>
        </w:rPr>
        <w:t xml:space="preserve">1.3.12. </w:t>
      </w:r>
      <w:r w:rsidR="006A4016">
        <w:rPr>
          <w:rFonts w:asciiTheme="minorHAnsi" w:hAnsiTheme="minorHAnsi"/>
        </w:rPr>
        <w:t>To identify</w:t>
      </w:r>
      <w:r w:rsidRPr="00A8328C">
        <w:rPr>
          <w:rFonts w:asciiTheme="minorHAnsi" w:hAnsiTheme="minorHAnsi"/>
        </w:rPr>
        <w:t xml:space="preserve"> plasmids </w:t>
      </w:r>
      <w:r w:rsidR="006A4016">
        <w:rPr>
          <w:rFonts w:asciiTheme="minorHAnsi" w:hAnsiTheme="minorHAnsi"/>
        </w:rPr>
        <w:t xml:space="preserve">with the correct </w:t>
      </w:r>
      <w:r w:rsidR="00991462">
        <w:rPr>
          <w:rFonts w:asciiTheme="minorHAnsi" w:hAnsiTheme="minorHAnsi"/>
        </w:rPr>
        <w:t>insert,</w:t>
      </w:r>
      <w:r w:rsidR="006A4016">
        <w:rPr>
          <w:rFonts w:asciiTheme="minorHAnsi" w:hAnsiTheme="minorHAnsi"/>
        </w:rPr>
        <w:t xml:space="preserve"> perform</w:t>
      </w:r>
      <w:r w:rsidR="006A4016" w:rsidRPr="00A8328C">
        <w:rPr>
          <w:rFonts w:asciiTheme="minorHAnsi" w:hAnsiTheme="minorHAnsi"/>
        </w:rPr>
        <w:t xml:space="preserve"> </w:t>
      </w:r>
      <w:r w:rsidRPr="00A8328C">
        <w:rPr>
          <w:rFonts w:asciiTheme="minorHAnsi" w:hAnsiTheme="minorHAnsi"/>
        </w:rPr>
        <w:t>restriction enzyme analysis</w:t>
      </w:r>
      <w:r w:rsidR="00162F90">
        <w:rPr>
          <w:rFonts w:asciiTheme="minorHAnsi" w:hAnsiTheme="minorHAnsi"/>
        </w:rPr>
        <w:t>, for example by selecting two enzymes that cut uniquely in your insert</w:t>
      </w:r>
      <w:r w:rsidR="006A4016">
        <w:rPr>
          <w:rFonts w:asciiTheme="minorHAnsi" w:hAnsiTheme="minorHAnsi"/>
        </w:rPr>
        <w:t xml:space="preserve"> by mixing</w:t>
      </w:r>
      <w:r w:rsidR="00F87239">
        <w:rPr>
          <w:rStyle w:val="normaltextrun"/>
          <w:rFonts w:asciiTheme="minorHAnsi" w:hAnsiTheme="minorHAnsi"/>
        </w:rPr>
        <w:t xml:space="preserve"> </w:t>
      </w:r>
      <w:r w:rsidR="00F87239" w:rsidRPr="0069502C">
        <w:rPr>
          <w:rStyle w:val="normaltextrun"/>
          <w:rFonts w:asciiTheme="minorHAnsi" w:hAnsiTheme="minorHAnsi"/>
        </w:rPr>
        <w:t>200 ng of plasmid</w:t>
      </w:r>
      <w:r w:rsidR="00F87239">
        <w:rPr>
          <w:rStyle w:val="eop"/>
          <w:rFonts w:asciiTheme="minorHAnsi" w:hAnsiTheme="minorHAnsi"/>
        </w:rPr>
        <w:t xml:space="preserve">, </w:t>
      </w:r>
      <w:r w:rsidR="00F87239" w:rsidRPr="0069502C">
        <w:rPr>
          <w:rStyle w:val="normaltextrun"/>
          <w:rFonts w:asciiTheme="minorHAnsi" w:hAnsiTheme="minorHAnsi"/>
        </w:rPr>
        <w:t>2</w:t>
      </w:r>
      <w:r w:rsidR="00F87239">
        <w:rPr>
          <w:rStyle w:val="normaltextrun"/>
          <w:rFonts w:asciiTheme="minorHAnsi" w:hAnsiTheme="minorHAnsi"/>
        </w:rPr>
        <w:t xml:space="preserve"> </w:t>
      </w:r>
      <w:r w:rsidR="00F87239" w:rsidRPr="0069502C">
        <w:rPr>
          <w:rStyle w:val="normaltextrun"/>
          <w:rFonts w:asciiTheme="minorHAnsi" w:hAnsiTheme="minorHAnsi"/>
        </w:rPr>
        <w:t xml:space="preserve">µL </w:t>
      </w:r>
      <w:r w:rsidR="00F87239">
        <w:rPr>
          <w:rStyle w:val="spellingerror"/>
          <w:rFonts w:asciiTheme="minorHAnsi" w:hAnsiTheme="minorHAnsi"/>
        </w:rPr>
        <w:t>10 x digestion</w:t>
      </w:r>
      <w:r w:rsidR="00F87239" w:rsidRPr="0069502C">
        <w:rPr>
          <w:rStyle w:val="normaltextrun"/>
          <w:rFonts w:asciiTheme="minorHAnsi" w:hAnsiTheme="minorHAnsi"/>
        </w:rPr>
        <w:t xml:space="preserve"> buffer</w:t>
      </w:r>
      <w:r w:rsidR="00F87239">
        <w:rPr>
          <w:rStyle w:val="normaltextrun"/>
          <w:rFonts w:asciiTheme="minorHAnsi" w:hAnsiTheme="minorHAnsi"/>
        </w:rPr>
        <w:t>, 5-10 U of</w:t>
      </w:r>
      <w:r w:rsidR="00F87239" w:rsidRPr="0069502C">
        <w:rPr>
          <w:rStyle w:val="normaltextrun"/>
          <w:rFonts w:asciiTheme="minorHAnsi" w:hAnsiTheme="minorHAnsi"/>
        </w:rPr>
        <w:t xml:space="preserve"> selected restriction enzymes</w:t>
      </w:r>
      <w:r w:rsidR="00162F90">
        <w:rPr>
          <w:rStyle w:val="eop"/>
          <w:rFonts w:asciiTheme="minorHAnsi" w:hAnsiTheme="minorHAnsi"/>
        </w:rPr>
        <w:t xml:space="preserve"> </w:t>
      </w:r>
      <w:r w:rsidR="00F87239">
        <w:rPr>
          <w:rStyle w:val="eop"/>
          <w:rFonts w:asciiTheme="minorHAnsi" w:hAnsiTheme="minorHAnsi"/>
        </w:rPr>
        <w:t xml:space="preserve">and </w:t>
      </w:r>
      <w:r w:rsidR="00F87239" w:rsidRPr="0069502C">
        <w:rPr>
          <w:rStyle w:val="normaltextrun"/>
          <w:rFonts w:asciiTheme="minorHAnsi" w:hAnsiTheme="minorHAnsi"/>
        </w:rPr>
        <w:t>ddH</w:t>
      </w:r>
      <w:r w:rsidR="00F87239" w:rsidRPr="0069502C">
        <w:rPr>
          <w:rStyle w:val="normaltextrun"/>
          <w:rFonts w:asciiTheme="minorHAnsi" w:hAnsiTheme="minorHAnsi"/>
          <w:sz w:val="19"/>
          <w:szCs w:val="19"/>
          <w:vertAlign w:val="subscript"/>
        </w:rPr>
        <w:t>2</w:t>
      </w:r>
      <w:r w:rsidR="00F87239" w:rsidRPr="0069502C">
        <w:rPr>
          <w:rStyle w:val="normaltextrun"/>
          <w:rFonts w:asciiTheme="minorHAnsi" w:hAnsiTheme="minorHAnsi"/>
        </w:rPr>
        <w:t>O to 20 µL</w:t>
      </w:r>
      <w:r w:rsidR="00F87239">
        <w:rPr>
          <w:rStyle w:val="eop"/>
          <w:rFonts w:asciiTheme="minorHAnsi" w:hAnsiTheme="minorHAnsi"/>
        </w:rPr>
        <w:t xml:space="preserve">. </w:t>
      </w:r>
    </w:p>
    <w:p w14:paraId="7E95422D" w14:textId="77777777" w:rsidR="003C6682" w:rsidRDefault="003C6682" w:rsidP="00A8328C"/>
    <w:p w14:paraId="3F18B4A7" w14:textId="6233CCF4" w:rsidR="003C6682" w:rsidRDefault="00F87239" w:rsidP="00A8328C">
      <w:r>
        <w:t xml:space="preserve">1.3.13. </w:t>
      </w:r>
      <w:r w:rsidR="003C6682">
        <w:t>Sequence</w:t>
      </w:r>
      <w:r>
        <w:t xml:space="preserve"> the</w:t>
      </w:r>
      <w:r w:rsidR="003C6682">
        <w:t xml:space="preserve"> selected plasmids using the primers </w:t>
      </w:r>
      <w:r w:rsidR="003C6682" w:rsidRPr="6804B111">
        <w:rPr>
          <w:i/>
          <w:iCs/>
        </w:rPr>
        <w:t>86A1</w:t>
      </w:r>
      <w:r w:rsidR="003C6682">
        <w:t xml:space="preserve"> and </w:t>
      </w:r>
      <w:r w:rsidR="003C6682" w:rsidRPr="6804B111">
        <w:rPr>
          <w:i/>
          <w:iCs/>
        </w:rPr>
        <w:t>86A2</w:t>
      </w:r>
      <w:r w:rsidR="003C6682">
        <w:t xml:space="preserve"> (see </w:t>
      </w:r>
      <w:r>
        <w:t xml:space="preserve">step </w:t>
      </w:r>
      <w:r w:rsidR="003C6682">
        <w:t>1.3.9.).</w:t>
      </w:r>
    </w:p>
    <w:p w14:paraId="31D751B2" w14:textId="77777777" w:rsidR="003C6682" w:rsidRDefault="003C6682" w:rsidP="00A8328C"/>
    <w:p w14:paraId="4E8E18F0" w14:textId="77777777" w:rsidR="00F87239" w:rsidRDefault="003C6682" w:rsidP="00A8328C">
      <w:r>
        <w:t>1.4. Destination module creation</w:t>
      </w:r>
      <w:r w:rsidR="00F87239">
        <w:t xml:space="preserve">: </w:t>
      </w:r>
    </w:p>
    <w:p w14:paraId="298742E6" w14:textId="77777777" w:rsidR="00F87239" w:rsidRDefault="00F87239" w:rsidP="00A8328C"/>
    <w:p w14:paraId="5CD41DB3" w14:textId="456F83DE" w:rsidR="003C6682" w:rsidRDefault="00F87239" w:rsidP="00A8328C">
      <w:r>
        <w:t xml:space="preserve">NOTE: </w:t>
      </w:r>
      <w:r w:rsidR="003C6682">
        <w:t>For the destination plasmid use the desired destination module pGGZ001, pGGZ002 or pGGZ003</w:t>
      </w:r>
      <w:r w:rsidR="003C6682" w:rsidRPr="001136E6">
        <w:rPr>
          <w:noProof/>
          <w:vertAlign w:val="superscript"/>
        </w:rPr>
        <w:t>2</w:t>
      </w:r>
      <w:r w:rsidR="003C6682">
        <w:t xml:space="preserve"> (</w:t>
      </w:r>
      <w:r w:rsidR="003C6682" w:rsidRPr="00F87239">
        <w:rPr>
          <w:b/>
        </w:rPr>
        <w:t>Figure 1C</w:t>
      </w:r>
      <w:r w:rsidR="003C6682">
        <w:t xml:space="preserve">). </w:t>
      </w:r>
    </w:p>
    <w:p w14:paraId="508445D3" w14:textId="77777777" w:rsidR="003C6682" w:rsidRDefault="003C6682" w:rsidP="00A8328C"/>
    <w:p w14:paraId="4300FA2E" w14:textId="445D5F14" w:rsidR="003C6682" w:rsidRDefault="003C6682" w:rsidP="00A8328C">
      <w:r>
        <w:t xml:space="preserve">1.4.1. </w:t>
      </w:r>
      <w:r w:rsidR="00F87239">
        <w:t xml:space="preserve">In a tube add and mix </w:t>
      </w:r>
      <w:r w:rsidR="00162F90">
        <w:t>50 – 150 ng</w:t>
      </w:r>
      <w:r>
        <w:t xml:space="preserve"> empty destination vector (pGGZ003, for example)</w:t>
      </w:r>
      <w:r w:rsidR="00F87239">
        <w:t xml:space="preserve">, </w:t>
      </w:r>
      <w:r>
        <w:t>50-300 ng of each filled entry module</w:t>
      </w:r>
      <w:r w:rsidR="00F87239">
        <w:t xml:space="preserve">, </w:t>
      </w:r>
      <w:r w:rsidRPr="004C00FA">
        <w:rPr>
          <w:lang w:val="en-GB"/>
        </w:rPr>
        <w:t xml:space="preserve">2 µL 10 x digestion buffer </w:t>
      </w:r>
      <w:proofErr w:type="spellStart"/>
      <w:r w:rsidR="00F87239" w:rsidRPr="004C00FA">
        <w:rPr>
          <w:lang w:val="en-GB"/>
        </w:rPr>
        <w:t>buffer</w:t>
      </w:r>
      <w:proofErr w:type="spellEnd"/>
      <w:r w:rsidR="00F87239" w:rsidRPr="004C00FA">
        <w:rPr>
          <w:lang w:val="en-GB"/>
        </w:rPr>
        <w:t>, 1.5</w:t>
      </w:r>
      <w:r w:rsidRPr="004C00FA">
        <w:rPr>
          <w:lang w:val="en-GB"/>
        </w:rPr>
        <w:t xml:space="preserve"> µL 10 mM ATP</w:t>
      </w:r>
      <w:r w:rsidR="00F87239" w:rsidRPr="004C00FA">
        <w:rPr>
          <w:lang w:val="en-GB"/>
        </w:rPr>
        <w:t xml:space="preserve">, </w:t>
      </w:r>
      <w:r w:rsidRPr="004C00FA">
        <w:rPr>
          <w:lang w:val="en-GB"/>
        </w:rPr>
        <w:t>1 µL T4 Ligase (30 U/µL)</w:t>
      </w:r>
      <w:r w:rsidR="00F87239" w:rsidRPr="004C00FA">
        <w:rPr>
          <w:lang w:val="en-GB"/>
        </w:rPr>
        <w:t xml:space="preserve">, </w:t>
      </w:r>
      <w:r>
        <w:t xml:space="preserve">5-10 U µL </w:t>
      </w:r>
      <w:r w:rsidRPr="5044FF45">
        <w:rPr>
          <w:i/>
          <w:iCs/>
        </w:rPr>
        <w:t>Eco</w:t>
      </w:r>
      <w:r w:rsidRPr="00975016">
        <w:t>31I</w:t>
      </w:r>
      <w:r>
        <w:t xml:space="preserve"> </w:t>
      </w:r>
      <w:r w:rsidR="00F87239">
        <w:t>and dH</w:t>
      </w:r>
      <w:r w:rsidR="00F87239" w:rsidRPr="00F87239">
        <w:rPr>
          <w:vertAlign w:val="subscript"/>
        </w:rPr>
        <w:t>2</w:t>
      </w:r>
      <w:r w:rsidR="00F87239">
        <w:t>O</w:t>
      </w:r>
      <w:r w:rsidR="00162F90">
        <w:t xml:space="preserve"> to a total volume of 20 µl.</w:t>
      </w:r>
    </w:p>
    <w:p w14:paraId="05B0B749" w14:textId="1F01F34E" w:rsidR="00F87239" w:rsidRDefault="00F87239" w:rsidP="00A8328C"/>
    <w:p w14:paraId="28DFA9D7" w14:textId="7AF91477" w:rsidR="00F87239" w:rsidRDefault="00991462" w:rsidP="00A8328C">
      <w:r>
        <w:t xml:space="preserve">NOTE: </w:t>
      </w:r>
      <w:r w:rsidR="00F87239">
        <w:t xml:space="preserve">Calculate the desired </w:t>
      </w:r>
      <w:r w:rsidR="00162F90">
        <w:t xml:space="preserve">molar </w:t>
      </w:r>
      <w:r w:rsidR="00F87239">
        <w:t xml:space="preserve">ratio entry </w:t>
      </w:r>
      <w:proofErr w:type="spellStart"/>
      <w:r w:rsidR="00F87239">
        <w:t>module:destination</w:t>
      </w:r>
      <w:proofErr w:type="spellEnd"/>
      <w:r w:rsidR="00F87239">
        <w:t xml:space="preserve"> vector </w:t>
      </w:r>
      <w:r w:rsidR="00162F90">
        <w:t xml:space="preserve">(e.g. 3:1) </w:t>
      </w:r>
      <w:r w:rsidR="00F87239">
        <w:t>for the ligation depending on the concentration and length of the entry module inserts.</w:t>
      </w:r>
    </w:p>
    <w:p w14:paraId="178A852A" w14:textId="77777777" w:rsidR="003C6682" w:rsidRDefault="003C6682" w:rsidP="00A8328C"/>
    <w:p w14:paraId="6EBC9E89" w14:textId="4DA37758" w:rsidR="003C6682" w:rsidRPr="00F87239" w:rsidRDefault="003C6682" w:rsidP="00A8328C">
      <w:r>
        <w:t xml:space="preserve">1.4.2. Mix and perform the </w:t>
      </w:r>
      <w:proofErr w:type="spellStart"/>
      <w:r>
        <w:t>GreenGate</w:t>
      </w:r>
      <w:proofErr w:type="spellEnd"/>
      <w:r>
        <w:t xml:space="preserve"> reaction</w:t>
      </w:r>
      <w:r w:rsidRPr="001136E6">
        <w:rPr>
          <w:noProof/>
          <w:vertAlign w:val="superscript"/>
        </w:rPr>
        <w:t>2</w:t>
      </w:r>
      <w:r>
        <w:t xml:space="preserve"> using a PCR thermocycler</w:t>
      </w:r>
      <w:r w:rsidR="00386A1F">
        <w:t xml:space="preserve"> </w:t>
      </w:r>
      <w:r w:rsidR="004C00FA">
        <w:t>alternating 30</w:t>
      </w:r>
      <w:r w:rsidR="00386A1F">
        <w:t xml:space="preserve"> times between</w:t>
      </w:r>
      <w:r w:rsidR="00F87239">
        <w:t xml:space="preserve"> 37</w:t>
      </w:r>
      <w:r>
        <w:rPr>
          <w:lang w:val="en-GB"/>
        </w:rPr>
        <w:t xml:space="preserve"> °C for</w:t>
      </w:r>
      <w:r w:rsidR="00F87239">
        <w:rPr>
          <w:lang w:val="en-GB"/>
        </w:rPr>
        <w:t xml:space="preserve"> </w:t>
      </w:r>
      <w:r>
        <w:rPr>
          <w:lang w:val="en-GB"/>
        </w:rPr>
        <w:t>5 min</w:t>
      </w:r>
      <w:r w:rsidR="00386A1F">
        <w:rPr>
          <w:lang w:val="en-GB"/>
        </w:rPr>
        <w:t xml:space="preserve"> and</w:t>
      </w:r>
      <w:r w:rsidR="00F87239">
        <w:rPr>
          <w:lang w:val="en-GB"/>
        </w:rPr>
        <w:t xml:space="preserve"> </w:t>
      </w:r>
      <w:r>
        <w:rPr>
          <w:lang w:val="en-GB"/>
        </w:rPr>
        <w:t>16 °C for</w:t>
      </w:r>
      <w:r w:rsidR="00F87239">
        <w:rPr>
          <w:lang w:val="en-GB"/>
        </w:rPr>
        <w:t xml:space="preserve"> </w:t>
      </w:r>
      <w:r>
        <w:rPr>
          <w:lang w:val="en-GB"/>
        </w:rPr>
        <w:t>2 min</w:t>
      </w:r>
      <w:r w:rsidR="00F87239">
        <w:rPr>
          <w:lang w:val="en-GB"/>
        </w:rPr>
        <w:t xml:space="preserve">, </w:t>
      </w:r>
      <w:r w:rsidR="00386A1F">
        <w:rPr>
          <w:lang w:val="en-GB"/>
        </w:rPr>
        <w:t>followed by</w:t>
      </w:r>
      <w:r w:rsidR="00F87239">
        <w:rPr>
          <w:lang w:val="en-GB"/>
        </w:rPr>
        <w:t xml:space="preserve"> </w:t>
      </w:r>
      <w:r w:rsidR="00386A1F">
        <w:rPr>
          <w:lang w:val="en-GB"/>
        </w:rPr>
        <w:t xml:space="preserve">single steps of </w:t>
      </w:r>
      <w:r>
        <w:rPr>
          <w:lang w:val="en-GB"/>
        </w:rPr>
        <w:t>5 min</w:t>
      </w:r>
      <w:r w:rsidR="00F87239">
        <w:rPr>
          <w:lang w:val="en-GB"/>
        </w:rPr>
        <w:t xml:space="preserve"> </w:t>
      </w:r>
      <w:r w:rsidR="00386A1F">
        <w:rPr>
          <w:lang w:val="en-GB"/>
        </w:rPr>
        <w:t xml:space="preserve">at 50 °C </w:t>
      </w:r>
      <w:r w:rsidR="00F87239">
        <w:rPr>
          <w:lang w:val="en-GB"/>
        </w:rPr>
        <w:t xml:space="preserve">and </w:t>
      </w:r>
      <w:r w:rsidR="00991462">
        <w:rPr>
          <w:lang w:val="en-GB"/>
        </w:rPr>
        <w:t xml:space="preserve">5 </w:t>
      </w:r>
      <w:r w:rsidR="00386A1F">
        <w:rPr>
          <w:lang w:val="en-GB"/>
        </w:rPr>
        <w:t xml:space="preserve">min at </w:t>
      </w:r>
      <w:r>
        <w:rPr>
          <w:lang w:val="en-GB"/>
        </w:rPr>
        <w:t>80 °C</w:t>
      </w:r>
      <w:r w:rsidR="00F87239">
        <w:rPr>
          <w:lang w:val="en-GB"/>
        </w:rPr>
        <w:t xml:space="preserve">. </w:t>
      </w:r>
    </w:p>
    <w:p w14:paraId="551ADFBC" w14:textId="77777777" w:rsidR="003C6682" w:rsidRDefault="003C6682" w:rsidP="00A8328C"/>
    <w:p w14:paraId="030613C8" w14:textId="3869E306" w:rsidR="003C6682" w:rsidRDefault="00C02A71" w:rsidP="00A8328C">
      <w:r>
        <w:t xml:space="preserve">1.4.3. </w:t>
      </w:r>
      <w:r w:rsidR="00F87239">
        <w:t>To increase the efficiency,</w:t>
      </w:r>
      <w:r>
        <w:t xml:space="preserve"> add</w:t>
      </w:r>
      <w:r w:rsidR="00F87239">
        <w:t xml:space="preserve"> </w:t>
      </w:r>
      <w:r w:rsidR="003C6682">
        <w:t>1 µL T4 Ligase</w:t>
      </w:r>
      <w:r w:rsidR="00E913A2">
        <w:t xml:space="preserve"> </w:t>
      </w:r>
      <w:r w:rsidR="00E913A2" w:rsidRPr="00D379E5">
        <w:rPr>
          <w:lang w:val="en-GB"/>
        </w:rPr>
        <w:t>(30 U/µL)</w:t>
      </w:r>
      <w:r w:rsidR="003C6682">
        <w:t xml:space="preserve"> and 1.5 µL </w:t>
      </w:r>
      <w:r w:rsidR="00E913A2">
        <w:t xml:space="preserve">10 mM </w:t>
      </w:r>
      <w:r w:rsidR="004C00FA">
        <w:t>ATP to</w:t>
      </w:r>
      <w:r w:rsidR="00F87239">
        <w:t xml:space="preserve"> the reaction </w:t>
      </w:r>
      <w:r>
        <w:t>and</w:t>
      </w:r>
      <w:r w:rsidR="003C6682">
        <w:t xml:space="preserve"> incubate for 1 h at room temperature</w:t>
      </w:r>
      <w:r w:rsidR="00162F90">
        <w:t>, followed by</w:t>
      </w:r>
      <w:r w:rsidR="00F87239">
        <w:t xml:space="preserve"> </w:t>
      </w:r>
      <w:r w:rsidR="003C6682">
        <w:t>heat-inactivat</w:t>
      </w:r>
      <w:r w:rsidR="00F87239">
        <w:t>ion of</w:t>
      </w:r>
      <w:r w:rsidR="003C6682">
        <w:t xml:space="preserve"> T4 DNA Ligase at 65 °C for 20 min.</w:t>
      </w:r>
    </w:p>
    <w:p w14:paraId="1B318306" w14:textId="77777777" w:rsidR="003C6682" w:rsidRDefault="003C6682" w:rsidP="00A8328C"/>
    <w:p w14:paraId="557C4CD4" w14:textId="4134BC88" w:rsidR="003C6682" w:rsidRDefault="003C6682" w:rsidP="00A8328C">
      <w:r>
        <w:t>1.4.</w:t>
      </w:r>
      <w:r w:rsidR="00162F90">
        <w:t>4</w:t>
      </w:r>
      <w:r>
        <w:t xml:space="preserve">. Use the ligation reaction to transform competent </w:t>
      </w:r>
      <w:r>
        <w:rPr>
          <w:i/>
          <w:iCs/>
        </w:rPr>
        <w:t>E. coli</w:t>
      </w:r>
      <w:r>
        <w:t xml:space="preserve"> and spread the bacteria on agar plates supplemented with the appropriate selective agent spectinomycin (50 µg/mL).</w:t>
      </w:r>
    </w:p>
    <w:p w14:paraId="1C9C5515" w14:textId="77777777" w:rsidR="003C6682" w:rsidRDefault="003C6682" w:rsidP="00A8328C"/>
    <w:p w14:paraId="3478C7F8" w14:textId="7A08E98D" w:rsidR="003C6682" w:rsidRDefault="003C6682" w:rsidP="00A8328C">
      <w:r>
        <w:t>1.4.</w:t>
      </w:r>
      <w:r w:rsidR="00162F90">
        <w:t>5</w:t>
      </w:r>
      <w:r>
        <w:t xml:space="preserve">. Incubate the transformed </w:t>
      </w:r>
      <w:r w:rsidRPr="00A8328C">
        <w:rPr>
          <w:i/>
        </w:rPr>
        <w:t>E. coli</w:t>
      </w:r>
      <w:r>
        <w:t xml:space="preserve"> on </w:t>
      </w:r>
      <w:r w:rsidR="001D13B4">
        <w:t xml:space="preserve">the </w:t>
      </w:r>
      <w:r>
        <w:t>plate at 37 °C</w:t>
      </w:r>
      <w:r w:rsidR="001D13B4">
        <w:t xml:space="preserve"> for </w:t>
      </w:r>
      <w:r w:rsidR="001D13B4">
        <w:t>overnight</w:t>
      </w:r>
      <w:r>
        <w:t>.</w:t>
      </w:r>
    </w:p>
    <w:p w14:paraId="189C378F" w14:textId="77777777" w:rsidR="003C6682" w:rsidRDefault="003C6682" w:rsidP="00A8328C"/>
    <w:p w14:paraId="3C0C20D9" w14:textId="4B4EFFDA" w:rsidR="003C6682" w:rsidRDefault="003C6682" w:rsidP="00A8328C">
      <w:r>
        <w:t>1.4.</w:t>
      </w:r>
      <w:r w:rsidR="00162F90">
        <w:t>6</w:t>
      </w:r>
      <w:r>
        <w:t xml:space="preserve">. To confirm transformation, re-streak each of the selected single colonies on </w:t>
      </w:r>
      <w:r w:rsidR="00F87239">
        <w:t>spectinomycin (</w:t>
      </w:r>
      <w:r>
        <w:t>50 µg/mL) and ampicillin (100 µg/mL) containing plates, respectively. Use only colonies that grow on spectinomycin but not on ampicillin plates.</w:t>
      </w:r>
    </w:p>
    <w:p w14:paraId="3854EBA4" w14:textId="77777777" w:rsidR="003C6682" w:rsidRDefault="003C6682" w:rsidP="00A8328C"/>
    <w:p w14:paraId="2CE0BF02" w14:textId="30BA18C0" w:rsidR="003C6682" w:rsidRDefault="003C6682" w:rsidP="00A8328C">
      <w:r>
        <w:t>1.4.</w:t>
      </w:r>
      <w:r w:rsidR="00162F90">
        <w:t>7</w:t>
      </w:r>
      <w:r>
        <w:t xml:space="preserve">. Incubate the </w:t>
      </w:r>
      <w:r w:rsidRPr="00A8328C">
        <w:rPr>
          <w:i/>
        </w:rPr>
        <w:t>E. coli</w:t>
      </w:r>
      <w:r>
        <w:t xml:space="preserve"> colonies overnight at 37 °C.</w:t>
      </w:r>
    </w:p>
    <w:p w14:paraId="450C6DB1" w14:textId="77777777" w:rsidR="003C6682" w:rsidRDefault="003C6682" w:rsidP="00A8328C"/>
    <w:p w14:paraId="08D90176" w14:textId="6E544D52" w:rsidR="003C6682" w:rsidRDefault="003C6682" w:rsidP="00A8328C">
      <w:r>
        <w:t>1.4.</w:t>
      </w:r>
      <w:r w:rsidR="00162F90">
        <w:t>8</w:t>
      </w:r>
      <w:r>
        <w:t>. Select single colonies for plasmid isolation. Use 2 mL LB liquid culture supplemented with spectinomycin (50 µg/mL) and incubate overnight at a 37 °C shaker.</w:t>
      </w:r>
    </w:p>
    <w:p w14:paraId="0819BD66" w14:textId="77777777" w:rsidR="003C6682" w:rsidRDefault="003C6682" w:rsidP="00A8328C"/>
    <w:p w14:paraId="5E83A800" w14:textId="7E033BC1" w:rsidR="003C6682" w:rsidRDefault="003C6682" w:rsidP="00A8328C">
      <w:r>
        <w:t>1.4.</w:t>
      </w:r>
      <w:r w:rsidR="00162F90">
        <w:t>9</w:t>
      </w:r>
      <w:r>
        <w:t xml:space="preserve">8. Isolate the corresponding plasmids with a Mini-Prep </w:t>
      </w:r>
      <w:r w:rsidR="004C00FA">
        <w:t>Kit (</w:t>
      </w:r>
      <w:r>
        <w:t xml:space="preserve">see </w:t>
      </w:r>
      <w:r w:rsidR="00386A1F" w:rsidRPr="004C00FA">
        <w:rPr>
          <w:b/>
        </w:rPr>
        <w:t>T</w:t>
      </w:r>
      <w:r w:rsidRPr="004C00FA">
        <w:rPr>
          <w:b/>
        </w:rPr>
        <w:t xml:space="preserve">able of </w:t>
      </w:r>
      <w:r w:rsidR="00386A1F" w:rsidRPr="004C00FA">
        <w:rPr>
          <w:b/>
        </w:rPr>
        <w:t>M</w:t>
      </w:r>
      <w:r w:rsidRPr="004C00FA">
        <w:rPr>
          <w:b/>
        </w:rPr>
        <w:t>aterials</w:t>
      </w:r>
      <w:r>
        <w:t>).</w:t>
      </w:r>
    </w:p>
    <w:p w14:paraId="7BD0FFCF" w14:textId="77777777" w:rsidR="003C6682" w:rsidRDefault="003C6682" w:rsidP="00A8328C"/>
    <w:p w14:paraId="1BF2930D" w14:textId="5DB5E895" w:rsidR="003C6682" w:rsidRDefault="003C6682" w:rsidP="00A8328C">
      <w:r>
        <w:t>1.4.</w:t>
      </w:r>
      <w:r w:rsidR="00162F90">
        <w:t>10</w:t>
      </w:r>
      <w:r>
        <w:t>. Check by restriction enzyme analysis (see 1.3.12.)</w:t>
      </w:r>
      <w:r w:rsidR="00386A1F">
        <w:t xml:space="preserve"> and</w:t>
      </w:r>
      <w:r>
        <w:t xml:space="preserve"> </w:t>
      </w:r>
      <w:r w:rsidR="00386A1F">
        <w:t>s</w:t>
      </w:r>
      <w:r w:rsidR="00A55219">
        <w:t xml:space="preserve">equence </w:t>
      </w:r>
      <w:r>
        <w:t>selected positive</w:t>
      </w:r>
      <w:r w:rsidR="00386A1F">
        <w:t xml:space="preserve"> constructs</w:t>
      </w:r>
      <w:r>
        <w:t xml:space="preserve"> </w:t>
      </w:r>
      <w:r w:rsidR="004C00FA">
        <w:t>using primers</w:t>
      </w:r>
      <w:r>
        <w:t xml:space="preserve"> </w:t>
      </w:r>
      <w:r>
        <w:rPr>
          <w:i/>
          <w:iCs/>
        </w:rPr>
        <w:t>88C3</w:t>
      </w:r>
      <w:r>
        <w:t xml:space="preserve"> (</w:t>
      </w:r>
      <w:r>
        <w:rPr>
          <w:rFonts w:eastAsia="Calibri"/>
          <w:lang w:val="en-GB"/>
        </w:rPr>
        <w:t>5′-ACCTCTCGGGCTTCTGG-3′)</w:t>
      </w:r>
      <w:r>
        <w:t xml:space="preserve">, </w:t>
      </w:r>
      <w:r>
        <w:rPr>
          <w:i/>
          <w:iCs/>
        </w:rPr>
        <w:t>88C4</w:t>
      </w:r>
      <w:r>
        <w:t xml:space="preserve"> (</w:t>
      </w:r>
      <w:r>
        <w:rPr>
          <w:rFonts w:eastAsia="Calibri"/>
          <w:lang w:val="en-GB"/>
        </w:rPr>
        <w:t>5′-CCTTTTTACGGTTCCTG-3′).</w:t>
      </w:r>
      <w:r w:rsidRPr="000A1725">
        <w:rPr>
          <w:rFonts w:asciiTheme="minorHAnsi" w:hAnsiTheme="minorHAnsi"/>
        </w:rPr>
        <w:t xml:space="preserve"> </w:t>
      </w:r>
      <w:r w:rsidRPr="00A8328C">
        <w:rPr>
          <w:rFonts w:asciiTheme="minorHAnsi" w:hAnsiTheme="minorHAnsi"/>
        </w:rPr>
        <w:t>If the insert cannot be fully sequenced with these primers, design internal primers for sequencing.</w:t>
      </w:r>
    </w:p>
    <w:p w14:paraId="44000E19" w14:textId="77777777" w:rsidR="003C6682" w:rsidRDefault="003C6682" w:rsidP="00A8328C"/>
    <w:p w14:paraId="5129ADA6" w14:textId="20C2022A" w:rsidR="003C6682" w:rsidRDefault="00A55219" w:rsidP="00A8328C">
      <w:pPr>
        <w:rPr>
          <w:rFonts w:eastAsia="Calibri"/>
          <w:lang w:val="en-GB"/>
        </w:rPr>
      </w:pPr>
      <w:r w:rsidRPr="00A55219">
        <w:rPr>
          <w:rFonts w:eastAsia="Calibri"/>
          <w:bCs/>
          <w:lang w:val="en-GB"/>
        </w:rPr>
        <w:t>NOTE:</w:t>
      </w:r>
      <w:r>
        <w:rPr>
          <w:rFonts w:eastAsia="Calibri"/>
          <w:lang w:val="en-GB"/>
        </w:rPr>
        <w:t xml:space="preserve"> </w:t>
      </w:r>
      <w:r w:rsidR="003C6682">
        <w:rPr>
          <w:rFonts w:eastAsia="Calibri"/>
          <w:lang w:val="en-GB"/>
        </w:rPr>
        <w:t xml:space="preserve"> To identify clones with the correct </w:t>
      </w:r>
      <w:r w:rsidR="00E913A2">
        <w:rPr>
          <w:rFonts w:eastAsia="Calibri"/>
          <w:lang w:val="en-GB"/>
        </w:rPr>
        <w:t xml:space="preserve">number of </w:t>
      </w:r>
      <w:proofErr w:type="spellStart"/>
      <w:r w:rsidR="003C6682" w:rsidRPr="73466799">
        <w:rPr>
          <w:rFonts w:eastAsia="Calibri"/>
          <w:i/>
          <w:iCs/>
          <w:lang w:val="en-GB"/>
        </w:rPr>
        <w:t>pOp</w:t>
      </w:r>
      <w:proofErr w:type="spellEnd"/>
      <w:r w:rsidR="003C6682">
        <w:rPr>
          <w:rFonts w:eastAsia="Calibri"/>
          <w:lang w:val="en-GB"/>
        </w:rPr>
        <w:t xml:space="preserve"> </w:t>
      </w:r>
      <w:r w:rsidR="00E913A2">
        <w:rPr>
          <w:rFonts w:eastAsia="Calibri"/>
          <w:lang w:val="en-GB"/>
        </w:rPr>
        <w:t xml:space="preserve">repeat </w:t>
      </w:r>
      <w:r w:rsidR="003C6682">
        <w:rPr>
          <w:rFonts w:eastAsia="Calibri"/>
          <w:lang w:val="en-GB"/>
        </w:rPr>
        <w:t>sequences</w:t>
      </w:r>
      <w:r w:rsidR="00E913A2">
        <w:rPr>
          <w:rFonts w:eastAsia="Calibri"/>
          <w:lang w:val="en-GB"/>
        </w:rPr>
        <w:t xml:space="preserve"> (see Discussion)</w:t>
      </w:r>
      <w:r w:rsidR="003C6682">
        <w:rPr>
          <w:rFonts w:eastAsia="Calibri"/>
          <w:lang w:val="en-GB"/>
        </w:rPr>
        <w:t xml:space="preserve">, the primers </w:t>
      </w:r>
      <w:r w:rsidR="003C6682" w:rsidRPr="73466799">
        <w:rPr>
          <w:rFonts w:eastAsia="Calibri"/>
          <w:i/>
          <w:iCs/>
          <w:lang w:val="en-GB"/>
        </w:rPr>
        <w:t>pOp6</w:t>
      </w:r>
      <w:r w:rsidR="003C6682">
        <w:rPr>
          <w:rFonts w:eastAsia="Calibri"/>
          <w:lang w:val="en-GB"/>
        </w:rPr>
        <w:t xml:space="preserve"> (</w:t>
      </w:r>
      <w:r w:rsidR="003C6682" w:rsidRPr="73466799">
        <w:rPr>
          <w:rFonts w:eastAsia="Calibri"/>
          <w:i/>
          <w:iCs/>
          <w:lang w:val="en-GB"/>
        </w:rPr>
        <w:t>pOp6</w:t>
      </w:r>
      <w:r w:rsidR="003C6682">
        <w:rPr>
          <w:rFonts w:eastAsia="Calibri"/>
          <w:lang w:val="en-GB"/>
        </w:rPr>
        <w:t xml:space="preserve">_F, 5′-TGCATATGTCGAGCTCAAGAA-3′; and </w:t>
      </w:r>
      <w:r w:rsidR="003C6682" w:rsidRPr="73466799">
        <w:rPr>
          <w:rFonts w:eastAsia="Calibri"/>
          <w:i/>
          <w:iCs/>
          <w:lang w:val="en-GB"/>
        </w:rPr>
        <w:t>pOp6</w:t>
      </w:r>
      <w:r w:rsidR="003C6682">
        <w:rPr>
          <w:rFonts w:eastAsia="Calibri"/>
          <w:lang w:val="en-GB"/>
        </w:rPr>
        <w:t xml:space="preserve">_R, 5′-CTTATATAGAGGAAGGGTCTT-3′) that bind in the short flanking sequences can be used for PCR amplification and subsequent gel electrophoresis to discriminate by size. </w:t>
      </w:r>
    </w:p>
    <w:p w14:paraId="46F7879B" w14:textId="77777777" w:rsidR="003C6682" w:rsidRDefault="003C6682" w:rsidP="00A8328C"/>
    <w:p w14:paraId="211A1808" w14:textId="4DD9C998" w:rsidR="003C6682" w:rsidRDefault="003C6682" w:rsidP="00A8328C">
      <w:r>
        <w:t xml:space="preserve">1.5. Intermediate </w:t>
      </w:r>
      <w:proofErr w:type="spellStart"/>
      <w:r>
        <w:t>supermodule</w:t>
      </w:r>
      <w:proofErr w:type="spellEnd"/>
      <w:r>
        <w:t xml:space="preserve"> creation</w:t>
      </w:r>
    </w:p>
    <w:p w14:paraId="47EA01E3" w14:textId="77777777" w:rsidR="00A55219" w:rsidRDefault="00A55219" w:rsidP="00A8328C"/>
    <w:p w14:paraId="0389BBA8" w14:textId="77777777" w:rsidR="00991462" w:rsidRDefault="003C6682" w:rsidP="00A8328C">
      <w:r>
        <w:t>1.5.1.</w:t>
      </w:r>
      <w:r w:rsidR="002A7397">
        <w:t xml:space="preserve"> </w:t>
      </w:r>
      <w:r>
        <w:t xml:space="preserve">To combine two independent sets of entry modules, as required for generating the GR-LhG4 driver lines with integrated reporter-effector cassette, first build two intermediate </w:t>
      </w:r>
      <w:r w:rsidR="00C02A71">
        <w:t xml:space="preserve">plasmids, called </w:t>
      </w:r>
      <w:r>
        <w:t>supermodules</w:t>
      </w:r>
      <w:r w:rsidRPr="00193EAF">
        <w:rPr>
          <w:noProof/>
          <w:vertAlign w:val="superscript"/>
        </w:rPr>
        <w:t>2</w:t>
      </w:r>
      <w:r w:rsidR="00C02A71">
        <w:rPr>
          <w:noProof/>
        </w:rPr>
        <w:t>,</w:t>
      </w:r>
      <w:r>
        <w:t xml:space="preserve"> before assembling </w:t>
      </w:r>
      <w:r w:rsidR="002A7397">
        <w:t>the</w:t>
      </w:r>
      <w:r>
        <w:t xml:space="preserve"> </w:t>
      </w:r>
      <w:r w:rsidR="00C02A71">
        <w:t>final expression plasmid in pGGZ001 or pGGZ003</w:t>
      </w:r>
      <w:r>
        <w:t xml:space="preserve">. </w:t>
      </w:r>
    </w:p>
    <w:p w14:paraId="1522612E" w14:textId="77777777" w:rsidR="00991462" w:rsidRDefault="00991462" w:rsidP="00A8328C"/>
    <w:p w14:paraId="216EEF04" w14:textId="61E9E616" w:rsidR="002A7397" w:rsidRDefault="00991462" w:rsidP="00A8328C">
      <w:r>
        <w:t xml:space="preserve">1.5.2. </w:t>
      </w:r>
      <w:r w:rsidR="003C6682">
        <w:t xml:space="preserve">Be sure to add F-H adaptor at the end of the first </w:t>
      </w:r>
      <w:proofErr w:type="spellStart"/>
      <w:r w:rsidR="003C6682">
        <w:t>supermodule</w:t>
      </w:r>
      <w:proofErr w:type="spellEnd"/>
      <w:r w:rsidR="003C6682">
        <w:t xml:space="preserve"> and H-A adaptor at the b</w:t>
      </w:r>
      <w:r w:rsidR="002A7397">
        <w:t>e</w:t>
      </w:r>
      <w:r w:rsidR="003C6682">
        <w:t xml:space="preserve">ginning of the second </w:t>
      </w:r>
      <w:proofErr w:type="spellStart"/>
      <w:r w:rsidR="003C6682">
        <w:t>supermodule</w:t>
      </w:r>
      <w:proofErr w:type="spellEnd"/>
      <w:r w:rsidR="003C6682">
        <w:t xml:space="preserve"> (those serve as connections between two constructs)</w:t>
      </w:r>
      <w:r w:rsidR="00C02A71">
        <w:t xml:space="preserve"> as described</w:t>
      </w:r>
      <w:r w:rsidR="003C6682" w:rsidRPr="00A8328C">
        <w:rPr>
          <w:vertAlign w:val="superscript"/>
        </w:rPr>
        <w:t>2</w:t>
      </w:r>
      <w:r w:rsidR="003C6682">
        <w:t xml:space="preserve">. </w:t>
      </w:r>
    </w:p>
    <w:p w14:paraId="6917FF88" w14:textId="77777777" w:rsidR="002A7397" w:rsidRDefault="002A7397" w:rsidP="00A8328C"/>
    <w:p w14:paraId="3B40262B" w14:textId="710CA0B0" w:rsidR="003C6682" w:rsidRDefault="00991462" w:rsidP="00A8328C">
      <w:r>
        <w:t xml:space="preserve">NOTE: </w:t>
      </w:r>
      <w:r w:rsidR="002A7397">
        <w:t xml:space="preserve">Only </w:t>
      </w:r>
      <w:r w:rsidR="003C6682">
        <w:t xml:space="preserve">the pGGN000 intermediate module carries the resistance cassette. To generate the expression plasmid, perform the </w:t>
      </w:r>
      <w:proofErr w:type="spellStart"/>
      <w:r w:rsidR="003C6682">
        <w:t>GreenGate</w:t>
      </w:r>
      <w:proofErr w:type="spellEnd"/>
      <w:r w:rsidR="003C6682">
        <w:t xml:space="preserve"> reaction with the destination vector and the pGGN000 and pGGM000 intermediate </w:t>
      </w:r>
      <w:proofErr w:type="spellStart"/>
      <w:r w:rsidR="003C6682">
        <w:t>supermodules</w:t>
      </w:r>
      <w:proofErr w:type="spellEnd"/>
      <w:r w:rsidR="003C6682">
        <w:t xml:space="preserve">. Alternatively, mix destination vector, pGGN000 intermediate </w:t>
      </w:r>
      <w:proofErr w:type="spellStart"/>
      <w:r w:rsidR="002A7397">
        <w:t>supermodule</w:t>
      </w:r>
      <w:proofErr w:type="spellEnd"/>
      <w:r w:rsidR="002A7397">
        <w:t>, and</w:t>
      </w:r>
      <w:r w:rsidR="003C6682">
        <w:t xml:space="preserve"> the remaining single modules to perform the </w:t>
      </w:r>
      <w:proofErr w:type="spellStart"/>
      <w:r w:rsidR="003C6682">
        <w:t>GreenGate</w:t>
      </w:r>
      <w:proofErr w:type="spellEnd"/>
      <w:r w:rsidR="003C6682">
        <w:t xml:space="preserve"> reaction</w:t>
      </w:r>
      <w:r w:rsidR="003C6682" w:rsidRPr="00A8328C">
        <w:rPr>
          <w:vertAlign w:val="superscript"/>
        </w:rPr>
        <w:t>2</w:t>
      </w:r>
      <w:r w:rsidR="003C6682">
        <w:t xml:space="preserve">. </w:t>
      </w:r>
      <w:r w:rsidR="00E913A2">
        <w:t>The latter method</w:t>
      </w:r>
      <w:r w:rsidR="003C6682">
        <w:t xml:space="preserve"> </w:t>
      </w:r>
      <w:r w:rsidR="004C00FA">
        <w:t>is less</w:t>
      </w:r>
      <w:r w:rsidR="003C6682">
        <w:t xml:space="preserve"> efficient than the </w:t>
      </w:r>
      <w:r>
        <w:t>former but</w:t>
      </w:r>
      <w:r w:rsidR="003C6682">
        <w:t xml:space="preserve"> can be faster.</w:t>
      </w:r>
    </w:p>
    <w:p w14:paraId="27051B39" w14:textId="77777777" w:rsidR="003C6682" w:rsidRDefault="003C6682" w:rsidP="00A8328C"/>
    <w:p w14:paraId="22B16DDC" w14:textId="780D9E96" w:rsidR="003C6682" w:rsidRDefault="003C6682" w:rsidP="00A8328C">
      <w:r>
        <w:t xml:space="preserve">1.5.3. To create </w:t>
      </w:r>
      <w:r w:rsidR="00E913A2">
        <w:t xml:space="preserve">a </w:t>
      </w:r>
      <w:r>
        <w:t xml:space="preserve">pGGM000/pGGN000 </w:t>
      </w:r>
      <w:proofErr w:type="spellStart"/>
      <w:r w:rsidR="00386A1F">
        <w:t>supermodule</w:t>
      </w:r>
      <w:proofErr w:type="spellEnd"/>
      <w:r>
        <w:t xml:space="preserve">, mix 1.5 µL (100-300 ng/µL) of each of the entry </w:t>
      </w:r>
      <w:r w:rsidR="004C00FA">
        <w:t>modules with</w:t>
      </w:r>
      <w:r w:rsidR="00C02A71">
        <w:t xml:space="preserve"> </w:t>
      </w:r>
      <w:r>
        <w:t>1 µL (30 ng/µL) empty intermediate vector (pGGM000 or pGGN000)</w:t>
      </w:r>
      <w:r w:rsidR="00C02A71">
        <w:t xml:space="preserve">, </w:t>
      </w:r>
      <w:r w:rsidRPr="004C00FA">
        <w:rPr>
          <w:lang w:val="en-GB"/>
        </w:rPr>
        <w:t>2 µL 10 x digestion buffer</w:t>
      </w:r>
      <w:r w:rsidR="00C02A71">
        <w:rPr>
          <w:lang w:val="en-GB"/>
        </w:rPr>
        <w:t xml:space="preserve">, </w:t>
      </w:r>
      <w:r w:rsidRPr="004C00FA">
        <w:rPr>
          <w:lang w:val="en-GB"/>
        </w:rPr>
        <w:t>1.5 µL 10 mM ATP</w:t>
      </w:r>
      <w:r w:rsidR="00C02A71">
        <w:rPr>
          <w:lang w:val="en-GB"/>
        </w:rPr>
        <w:t xml:space="preserve">, </w:t>
      </w:r>
      <w:r w:rsidRPr="004C00FA">
        <w:rPr>
          <w:lang w:val="en-GB"/>
        </w:rPr>
        <w:t>1 µL T4 Ligase (30 U/µL)</w:t>
      </w:r>
      <w:r w:rsidR="00C02A71">
        <w:rPr>
          <w:lang w:val="en-GB"/>
        </w:rPr>
        <w:t xml:space="preserve">, and </w:t>
      </w:r>
      <w:r>
        <w:t xml:space="preserve">5-10 U </w:t>
      </w:r>
      <w:r>
        <w:rPr>
          <w:i/>
          <w:iCs/>
        </w:rPr>
        <w:t>Eco</w:t>
      </w:r>
      <w:r>
        <w:t xml:space="preserve">31I </w:t>
      </w:r>
      <w:r w:rsidR="00C02A71">
        <w:t>in a total volume of 20 µ</w:t>
      </w:r>
      <w:r w:rsidR="00991462">
        <w:t>L</w:t>
      </w:r>
      <w:r w:rsidR="00C02A71">
        <w:t>.</w:t>
      </w:r>
    </w:p>
    <w:p w14:paraId="66B3263D" w14:textId="77777777" w:rsidR="00162F90" w:rsidRDefault="00162F90" w:rsidP="00A8328C"/>
    <w:p w14:paraId="2B248A11" w14:textId="524960BE" w:rsidR="00162F90" w:rsidRDefault="00991462" w:rsidP="00A8328C">
      <w:r>
        <w:t xml:space="preserve">NOTE: </w:t>
      </w:r>
      <w:r w:rsidR="00162F90">
        <w:t xml:space="preserve">Calculate the desired molar ratio entry </w:t>
      </w:r>
      <w:proofErr w:type="spellStart"/>
      <w:r w:rsidR="00162F90">
        <w:t>module:destination</w:t>
      </w:r>
      <w:proofErr w:type="spellEnd"/>
      <w:r w:rsidR="00162F90">
        <w:t xml:space="preserve"> vector (e.g.</w:t>
      </w:r>
      <w:r>
        <w:t>,</w:t>
      </w:r>
      <w:r w:rsidR="00162F90">
        <w:t xml:space="preserve"> 3:1) for the ligation depending on the concentration and length of the entry module inserts</w:t>
      </w:r>
    </w:p>
    <w:p w14:paraId="0BD04659" w14:textId="77777777" w:rsidR="003C6682" w:rsidRDefault="003C6682" w:rsidP="00A8328C"/>
    <w:p w14:paraId="50278B5D" w14:textId="6130FF58" w:rsidR="003C6682" w:rsidRDefault="003C6682" w:rsidP="00A8328C">
      <w:r>
        <w:t xml:space="preserve">1.5.4. Mix and perform the </w:t>
      </w:r>
      <w:proofErr w:type="spellStart"/>
      <w:r>
        <w:t>GreenGate</w:t>
      </w:r>
      <w:proofErr w:type="spellEnd"/>
      <w:r>
        <w:t xml:space="preserve"> reaction as in step 1.4.2</w:t>
      </w:r>
    </w:p>
    <w:p w14:paraId="181A501F" w14:textId="77777777" w:rsidR="003C6682" w:rsidRDefault="003C6682" w:rsidP="00A8328C"/>
    <w:p w14:paraId="448066DD" w14:textId="370EF77E" w:rsidR="003C6682" w:rsidRDefault="003C6682" w:rsidP="00A8328C">
      <w:r>
        <w:t xml:space="preserve">1.5.5. </w:t>
      </w:r>
      <w:r w:rsidR="00386A1F">
        <w:t>To increase efficiency, a</w:t>
      </w:r>
      <w:r>
        <w:t>dd 1 µL T4 Ligase and 1.5 µL ATP (10 mM),</w:t>
      </w:r>
      <w:r w:rsidR="00386A1F">
        <w:t xml:space="preserve"> and</w:t>
      </w:r>
      <w:r>
        <w:t xml:space="preserve"> incubate for 1 h at room temperature</w:t>
      </w:r>
      <w:r w:rsidR="00386A1F">
        <w:t xml:space="preserve">, followed </w:t>
      </w:r>
      <w:r w:rsidR="004C00FA">
        <w:t>by heat</w:t>
      </w:r>
      <w:r>
        <w:t>-inactivat</w:t>
      </w:r>
      <w:r w:rsidR="00386A1F">
        <w:t>ion</w:t>
      </w:r>
      <w:r>
        <w:t xml:space="preserve"> at 65 °C for 20 min.</w:t>
      </w:r>
    </w:p>
    <w:p w14:paraId="0CF70F92" w14:textId="77777777" w:rsidR="003C6682" w:rsidRDefault="003C6682" w:rsidP="00A8328C"/>
    <w:p w14:paraId="7D1CFB00" w14:textId="1CC3DBCE" w:rsidR="003C6682" w:rsidRDefault="003C6682" w:rsidP="00A8328C">
      <w:r>
        <w:t xml:space="preserve">1.5.6. Use 10 µL of the ligation reaction to transform competent </w:t>
      </w:r>
      <w:r w:rsidR="004C00FA">
        <w:rPr>
          <w:i/>
          <w:iCs/>
        </w:rPr>
        <w:t>E. coli</w:t>
      </w:r>
      <w:r>
        <w:t xml:space="preserve"> and streak on plates containing kanamycin (50 µg/mL).</w:t>
      </w:r>
    </w:p>
    <w:p w14:paraId="5BD61A39" w14:textId="77777777" w:rsidR="003C6682" w:rsidRDefault="003C6682" w:rsidP="00A8328C"/>
    <w:p w14:paraId="3FB8D3D9" w14:textId="627A0FD0" w:rsidR="003C6682" w:rsidRDefault="003C6682" w:rsidP="00A8328C">
      <w:r>
        <w:t xml:space="preserve">1.5.7. </w:t>
      </w:r>
      <w:r w:rsidR="001D13B4">
        <w:t>Perform overnight i</w:t>
      </w:r>
      <w:r>
        <w:t>ncubat</w:t>
      </w:r>
      <w:r w:rsidR="001D13B4">
        <w:t>ion of</w:t>
      </w:r>
      <w:r>
        <w:t xml:space="preserve"> the transformed </w:t>
      </w:r>
      <w:r w:rsidRPr="00A8328C">
        <w:rPr>
          <w:i/>
        </w:rPr>
        <w:t>E. coli</w:t>
      </w:r>
      <w:r>
        <w:t xml:space="preserve"> on </w:t>
      </w:r>
      <w:r w:rsidR="001D13B4">
        <w:t xml:space="preserve">the </w:t>
      </w:r>
      <w:r>
        <w:t>plate at 37 °C.</w:t>
      </w:r>
    </w:p>
    <w:p w14:paraId="30A40F30" w14:textId="77777777" w:rsidR="003C6682" w:rsidRDefault="003C6682" w:rsidP="00A8328C"/>
    <w:p w14:paraId="20E778BC" w14:textId="6CE95CA9" w:rsidR="003C6682" w:rsidRDefault="003C6682" w:rsidP="00A8328C">
      <w:r>
        <w:t xml:space="preserve">1.5.8. </w:t>
      </w:r>
      <w:r w:rsidR="00E913A2">
        <w:t>R</w:t>
      </w:r>
      <w:r>
        <w:t xml:space="preserve">e-streak each of the selected single colonies on kanamycin (50 µg/mL) and ampicillin (100 µg/mL) containing plates, respectively. </w:t>
      </w:r>
    </w:p>
    <w:p w14:paraId="6B0F8508" w14:textId="77777777" w:rsidR="003C6682" w:rsidRDefault="003C6682" w:rsidP="00A8328C"/>
    <w:p w14:paraId="4D6F81B6" w14:textId="0ADA7E4E" w:rsidR="003C6682" w:rsidRDefault="003C6682" w:rsidP="00A8328C">
      <w:r>
        <w:t>1.5.9.</w:t>
      </w:r>
      <w:r w:rsidR="001D13B4">
        <w:t xml:space="preserve"> Perform overnight i</w:t>
      </w:r>
      <w:r>
        <w:t>ncubat</w:t>
      </w:r>
      <w:r w:rsidR="001D13B4">
        <w:t>ion of</w:t>
      </w:r>
      <w:r>
        <w:t xml:space="preserve"> the </w:t>
      </w:r>
      <w:r w:rsidRPr="00A8328C">
        <w:rPr>
          <w:i/>
        </w:rPr>
        <w:t>E. coli</w:t>
      </w:r>
      <w:r>
        <w:t xml:space="preserve"> colonies on</w:t>
      </w:r>
      <w:r w:rsidR="001D13B4">
        <w:t xml:space="preserve"> the</w:t>
      </w:r>
      <w:r>
        <w:t xml:space="preserve"> plate at 37 °C.</w:t>
      </w:r>
    </w:p>
    <w:p w14:paraId="49CFFC0F" w14:textId="77777777" w:rsidR="003C6682" w:rsidRDefault="003C6682" w:rsidP="00A8328C"/>
    <w:p w14:paraId="4B05963A" w14:textId="2790CC71" w:rsidR="003C6682" w:rsidRDefault="003C6682" w:rsidP="00A8328C">
      <w:r>
        <w:t xml:space="preserve">1.5.10. Select single </w:t>
      </w:r>
      <w:r w:rsidR="004C00FA">
        <w:t>colonies that</w:t>
      </w:r>
      <w:r w:rsidR="00386A1F">
        <w:t xml:space="preserve"> grow only on kanamycin but not on ampicillin </w:t>
      </w:r>
      <w:r>
        <w:t xml:space="preserve">for plasmid isolation. Use 2 mL LB liquid culture supplemented with kanamycin (50 µg/mL) and </w:t>
      </w:r>
      <w:r w:rsidR="004C00FA">
        <w:t>incubate overnight</w:t>
      </w:r>
      <w:r>
        <w:t xml:space="preserve"> </w:t>
      </w:r>
      <w:r w:rsidR="00386A1F">
        <w:t xml:space="preserve">in </w:t>
      </w:r>
      <w:r>
        <w:t>a 37 °C shaker.</w:t>
      </w:r>
    </w:p>
    <w:p w14:paraId="1737D1F4" w14:textId="77777777" w:rsidR="003C6682" w:rsidRDefault="003C6682" w:rsidP="00A8328C"/>
    <w:p w14:paraId="537E4D4A" w14:textId="4DA5354E" w:rsidR="003C6682" w:rsidRDefault="003C6682" w:rsidP="00A8328C">
      <w:r>
        <w:t xml:space="preserve">1.5.11. Isolate the corresponding plasmids </w:t>
      </w:r>
      <w:r w:rsidR="00CD3558">
        <w:t>using a mini</w:t>
      </w:r>
      <w:r w:rsidR="001D13B4">
        <w:t>-</w:t>
      </w:r>
      <w:r w:rsidR="00CD3558">
        <w:t xml:space="preserve">prep kit (see </w:t>
      </w:r>
      <w:r w:rsidR="00F52C83" w:rsidRPr="004C00FA">
        <w:rPr>
          <w:b/>
        </w:rPr>
        <w:t>T</w:t>
      </w:r>
      <w:r w:rsidR="00CD3558" w:rsidRPr="004C00FA">
        <w:rPr>
          <w:b/>
        </w:rPr>
        <w:t xml:space="preserve">able of </w:t>
      </w:r>
      <w:r w:rsidR="00F52C83" w:rsidRPr="004C00FA">
        <w:rPr>
          <w:b/>
        </w:rPr>
        <w:t>M</w:t>
      </w:r>
      <w:r w:rsidR="00CD3558" w:rsidRPr="004C00FA">
        <w:rPr>
          <w:b/>
        </w:rPr>
        <w:t>aterials</w:t>
      </w:r>
      <w:r w:rsidR="00CD3558">
        <w:t>)</w:t>
      </w:r>
      <w:r>
        <w:t>.</w:t>
      </w:r>
    </w:p>
    <w:p w14:paraId="2F67ECF2" w14:textId="77777777" w:rsidR="003C6682" w:rsidRDefault="003C6682" w:rsidP="00A8328C"/>
    <w:p w14:paraId="0925321B" w14:textId="0B88FF50" w:rsidR="002A7397" w:rsidRDefault="003C6682" w:rsidP="00A8328C">
      <w:pPr>
        <w:pStyle w:val="EndNoteBibliographyTitle"/>
        <w:jc w:val="both"/>
        <w:textAlignment w:val="baseline"/>
        <w:rPr>
          <w:rFonts w:asciiTheme="minorHAnsi" w:hAnsiTheme="minorHAnsi"/>
        </w:rPr>
      </w:pPr>
      <w:r w:rsidRPr="00A8328C">
        <w:rPr>
          <w:rFonts w:asciiTheme="minorHAnsi" w:hAnsiTheme="minorHAnsi"/>
        </w:rPr>
        <w:t xml:space="preserve">1.5.12. </w:t>
      </w:r>
      <w:r w:rsidRPr="00A8328C">
        <w:rPr>
          <w:rStyle w:val="normaltextrun"/>
          <w:rFonts w:asciiTheme="minorHAnsi" w:hAnsiTheme="minorHAnsi"/>
        </w:rPr>
        <w:t>Check the plasmids by restriction enzyme analysis</w:t>
      </w:r>
      <w:r w:rsidRPr="00ED3AD7">
        <w:rPr>
          <w:rStyle w:val="normaltextrun"/>
          <w:rFonts w:asciiTheme="minorHAnsi" w:hAnsiTheme="minorHAnsi"/>
        </w:rPr>
        <w:t xml:space="preserve"> (see 1.3.12.)</w:t>
      </w:r>
      <w:r w:rsidR="00386A1F">
        <w:rPr>
          <w:rFonts w:asciiTheme="minorHAnsi" w:hAnsiTheme="minorHAnsi"/>
        </w:rPr>
        <w:t>and</w:t>
      </w:r>
      <w:r w:rsidRPr="00A8328C">
        <w:rPr>
          <w:rFonts w:asciiTheme="minorHAnsi" w:hAnsiTheme="minorHAnsi"/>
        </w:rPr>
        <w:t xml:space="preserve"> </w:t>
      </w:r>
      <w:r w:rsidR="00386A1F">
        <w:rPr>
          <w:rFonts w:asciiTheme="minorHAnsi" w:hAnsiTheme="minorHAnsi"/>
        </w:rPr>
        <w:t xml:space="preserve">confirm by </w:t>
      </w:r>
      <w:r w:rsidRPr="00A8328C">
        <w:rPr>
          <w:rFonts w:asciiTheme="minorHAnsi" w:hAnsiTheme="minorHAnsi"/>
        </w:rPr>
        <w:t>sequenc</w:t>
      </w:r>
      <w:r w:rsidR="00386A1F">
        <w:rPr>
          <w:rFonts w:asciiTheme="minorHAnsi" w:hAnsiTheme="minorHAnsi"/>
        </w:rPr>
        <w:t>ing</w:t>
      </w:r>
      <w:r w:rsidRPr="00A8328C">
        <w:rPr>
          <w:rFonts w:asciiTheme="minorHAnsi" w:hAnsiTheme="minorHAnsi"/>
        </w:rPr>
        <w:t xml:space="preserve"> using primers </w:t>
      </w:r>
      <w:r w:rsidRPr="00A8328C">
        <w:rPr>
          <w:rFonts w:asciiTheme="minorHAnsi" w:hAnsiTheme="minorHAnsi"/>
          <w:i/>
          <w:iCs/>
        </w:rPr>
        <w:t>87E2</w:t>
      </w:r>
      <w:r w:rsidRPr="00A8328C">
        <w:rPr>
          <w:rFonts w:asciiTheme="minorHAnsi" w:hAnsiTheme="minorHAnsi"/>
        </w:rPr>
        <w:t xml:space="preserve"> (5´-</w:t>
      </w:r>
      <w:r w:rsidRPr="00A8328C">
        <w:rPr>
          <w:rFonts w:asciiTheme="minorHAnsi" w:eastAsia="Calibri" w:hAnsiTheme="minorHAnsi"/>
        </w:rPr>
        <w:t>AGGCATCAAACTAAGCAGAAG</w:t>
      </w:r>
      <w:r w:rsidRPr="00A8328C">
        <w:rPr>
          <w:rFonts w:asciiTheme="minorHAnsi" w:hAnsiTheme="minorHAnsi"/>
        </w:rPr>
        <w:t>-3´)</w:t>
      </w:r>
      <w:r w:rsidR="00386A1F">
        <w:rPr>
          <w:rFonts w:asciiTheme="minorHAnsi" w:hAnsiTheme="minorHAnsi"/>
        </w:rPr>
        <w:t xml:space="preserve"> and</w:t>
      </w:r>
      <w:r w:rsidRPr="00A8328C">
        <w:rPr>
          <w:rFonts w:asciiTheme="minorHAnsi" w:hAnsiTheme="minorHAnsi"/>
        </w:rPr>
        <w:t xml:space="preserve"> </w:t>
      </w:r>
      <w:r w:rsidRPr="00A8328C">
        <w:rPr>
          <w:rFonts w:asciiTheme="minorHAnsi" w:hAnsiTheme="minorHAnsi"/>
          <w:i/>
          <w:iCs/>
        </w:rPr>
        <w:t>87E3</w:t>
      </w:r>
      <w:r w:rsidRPr="00A8328C">
        <w:rPr>
          <w:rFonts w:asciiTheme="minorHAnsi" w:hAnsiTheme="minorHAnsi"/>
        </w:rPr>
        <w:t xml:space="preserve"> (5´-</w:t>
      </w:r>
      <w:r w:rsidRPr="00A8328C">
        <w:rPr>
          <w:rFonts w:asciiTheme="minorHAnsi" w:eastAsia="Calibri" w:hAnsiTheme="minorHAnsi"/>
        </w:rPr>
        <w:t>CGTTTCCCGTTGAATATGGC</w:t>
      </w:r>
      <w:r w:rsidRPr="00A8328C">
        <w:rPr>
          <w:rFonts w:asciiTheme="minorHAnsi" w:hAnsiTheme="minorHAnsi"/>
        </w:rPr>
        <w:t>-3´) anneal</w:t>
      </w:r>
      <w:r w:rsidR="00E913A2">
        <w:rPr>
          <w:rFonts w:asciiTheme="minorHAnsi" w:hAnsiTheme="minorHAnsi"/>
        </w:rPr>
        <w:t>ing</w:t>
      </w:r>
      <w:r w:rsidRPr="00A8328C">
        <w:rPr>
          <w:rFonts w:asciiTheme="minorHAnsi" w:hAnsiTheme="minorHAnsi"/>
        </w:rPr>
        <w:t xml:space="preserve"> </w:t>
      </w:r>
      <w:r>
        <w:rPr>
          <w:rFonts w:asciiTheme="minorHAnsi" w:hAnsiTheme="minorHAnsi"/>
        </w:rPr>
        <w:t>to</w:t>
      </w:r>
      <w:r w:rsidRPr="00A8328C">
        <w:rPr>
          <w:rFonts w:asciiTheme="minorHAnsi" w:hAnsiTheme="minorHAnsi"/>
        </w:rPr>
        <w:t xml:space="preserve"> the </w:t>
      </w:r>
      <w:r>
        <w:rPr>
          <w:rFonts w:asciiTheme="minorHAnsi" w:hAnsiTheme="minorHAnsi"/>
        </w:rPr>
        <w:t>pGGM000</w:t>
      </w:r>
      <w:r w:rsidRPr="00A8328C">
        <w:rPr>
          <w:rFonts w:asciiTheme="minorHAnsi" w:hAnsiTheme="minorHAnsi"/>
        </w:rPr>
        <w:t>/</w:t>
      </w:r>
      <w:r>
        <w:rPr>
          <w:rFonts w:asciiTheme="minorHAnsi" w:hAnsiTheme="minorHAnsi"/>
        </w:rPr>
        <w:t>pGGN000</w:t>
      </w:r>
      <w:r w:rsidRPr="00A8328C">
        <w:rPr>
          <w:rFonts w:asciiTheme="minorHAnsi" w:hAnsiTheme="minorHAnsi"/>
        </w:rPr>
        <w:t xml:space="preserve"> backbone. If the insert cannot be fully sequenced with these primers, design internal primers for sequencing.</w:t>
      </w:r>
    </w:p>
    <w:p w14:paraId="60641136" w14:textId="77777777" w:rsidR="002A7397" w:rsidRDefault="002A7397" w:rsidP="00A8328C">
      <w:pPr>
        <w:pStyle w:val="EndNoteBibliographyTitle"/>
        <w:jc w:val="both"/>
        <w:textAlignment w:val="baseline"/>
      </w:pPr>
    </w:p>
    <w:p w14:paraId="2BD7BA9A" w14:textId="0D69C6A0" w:rsidR="003C6682" w:rsidRDefault="00C27AB6" w:rsidP="00A8328C">
      <w:r w:rsidRPr="00C27AB6">
        <w:t>NOTE:</w:t>
      </w:r>
      <w:r>
        <w:t xml:space="preserve"> </w:t>
      </w:r>
      <w:r w:rsidR="003C6682">
        <w:t>If cloning into the pGGM000 or pGGN000 vectors</w:t>
      </w:r>
      <w:r w:rsidR="00E913A2">
        <w:t xml:space="preserve"> is unsuccessful</w:t>
      </w:r>
      <w:r w:rsidR="003C6682">
        <w:t>, one possible solution is to digest the pGGM000 or pGGN000 with</w:t>
      </w:r>
      <w:r w:rsidR="003C6682" w:rsidRPr="5044FF45">
        <w:rPr>
          <w:i/>
          <w:iCs/>
        </w:rPr>
        <w:t xml:space="preserve"> Eco</w:t>
      </w:r>
      <w:r w:rsidR="003C6682" w:rsidRPr="00975016">
        <w:t>31I</w:t>
      </w:r>
      <w:r w:rsidR="003C6682">
        <w:t>, run on a gel and purify from the gel the pGGM000 or pGGN000 backbone (approximately 2000</w:t>
      </w:r>
      <w:r w:rsidR="003C6682" w:rsidRPr="5044FF45">
        <w:t xml:space="preserve"> </w:t>
      </w:r>
      <w:r w:rsidR="003C6682">
        <w:t xml:space="preserve">bp) fragment without the </w:t>
      </w:r>
      <w:proofErr w:type="spellStart"/>
      <w:r w:rsidR="003C6682" w:rsidRPr="5044FF45">
        <w:rPr>
          <w:i/>
          <w:iCs/>
        </w:rPr>
        <w:t>ccdB</w:t>
      </w:r>
      <w:proofErr w:type="spellEnd"/>
      <w:r w:rsidR="003C6682">
        <w:t xml:space="preserve"> cassette (approximately 1400 bp). Then proceed normally with the ligation reaction.</w:t>
      </w:r>
    </w:p>
    <w:p w14:paraId="0E1E6E41" w14:textId="77777777" w:rsidR="003C6682" w:rsidRDefault="003C6682" w:rsidP="00A8328C"/>
    <w:p w14:paraId="407871F4" w14:textId="6A1049D4" w:rsidR="003C6682" w:rsidRDefault="003C6682" w:rsidP="00A8328C">
      <w:r>
        <w:t xml:space="preserve">1.6. Transform an </w:t>
      </w:r>
      <w:r w:rsidRPr="4AB73E2B">
        <w:rPr>
          <w:i/>
          <w:iCs/>
        </w:rPr>
        <w:t>A</w:t>
      </w:r>
      <w:r>
        <w:rPr>
          <w:i/>
          <w:iCs/>
        </w:rPr>
        <w:t>.</w:t>
      </w:r>
      <w:r w:rsidRPr="4AB73E2B">
        <w:rPr>
          <w:i/>
          <w:iCs/>
        </w:rPr>
        <w:t xml:space="preserve"> tumefaciens</w:t>
      </w:r>
      <w:r>
        <w:rPr>
          <w:color w:val="333333"/>
        </w:rPr>
        <w:t xml:space="preserve"> </w:t>
      </w:r>
      <w:proofErr w:type="spellStart"/>
      <w:r>
        <w:rPr>
          <w:color w:val="333333"/>
        </w:rPr>
        <w:t>pSOUP</w:t>
      </w:r>
      <w:proofErr w:type="spellEnd"/>
      <w:r>
        <w:rPr>
          <w:color w:val="333333"/>
          <w:vertAlign w:val="superscript"/>
        </w:rPr>
        <w:t xml:space="preserve">+ </w:t>
      </w:r>
      <w:r>
        <w:rPr>
          <w:color w:val="333333"/>
        </w:rPr>
        <w:t xml:space="preserve">strain (e.g. ASE), as the </w:t>
      </w:r>
      <w:proofErr w:type="spellStart"/>
      <w:r>
        <w:rPr>
          <w:color w:val="333333"/>
        </w:rPr>
        <w:t>pSa</w:t>
      </w:r>
      <w:proofErr w:type="spellEnd"/>
      <w:r>
        <w:rPr>
          <w:color w:val="333333"/>
        </w:rPr>
        <w:t xml:space="preserve"> origin of replication (</w:t>
      </w:r>
      <w:proofErr w:type="spellStart"/>
      <w:r w:rsidRPr="4AB73E2B">
        <w:rPr>
          <w:i/>
          <w:iCs/>
          <w:color w:val="333333"/>
        </w:rPr>
        <w:t>ori</w:t>
      </w:r>
      <w:proofErr w:type="spellEnd"/>
      <w:r w:rsidRPr="4AB73E2B">
        <w:rPr>
          <w:i/>
          <w:iCs/>
          <w:color w:val="333333"/>
        </w:rPr>
        <w:t xml:space="preserve"> A. tum.</w:t>
      </w:r>
      <w:r>
        <w:rPr>
          <w:color w:val="333333"/>
        </w:rPr>
        <w:t>) in the destination vectors require the presence of the helper plasmid pSOUP</w:t>
      </w:r>
      <w:r w:rsidRPr="00344862">
        <w:rPr>
          <w:noProof/>
          <w:color w:val="333333"/>
          <w:vertAlign w:val="superscript"/>
        </w:rPr>
        <w:t>12</w:t>
      </w:r>
      <w:r>
        <w:t xml:space="preserve">. Streak out bacteria on LB plates containing chloramphenicol (34 µg/mL), kanamycin (50 µg/mL), spectinomycin (50 µg/mL) and tetracycline (12.5 µg/mL). Incubate the transformed </w:t>
      </w:r>
      <w:r w:rsidRPr="00A8328C">
        <w:rPr>
          <w:i/>
        </w:rPr>
        <w:t>A. tumefaciens</w:t>
      </w:r>
      <w:r>
        <w:t xml:space="preserve"> on </w:t>
      </w:r>
      <w:r w:rsidR="001D13B4">
        <w:t xml:space="preserve">the </w:t>
      </w:r>
      <w:r>
        <w:t xml:space="preserve">plate in a 28 °C incubator for two to three days.  </w:t>
      </w:r>
    </w:p>
    <w:p w14:paraId="133FA474" w14:textId="77777777" w:rsidR="003C6682" w:rsidRDefault="003C6682" w:rsidP="00A8328C"/>
    <w:p w14:paraId="0B94B5FC" w14:textId="77777777" w:rsidR="003C6682" w:rsidRPr="00A8328C" w:rsidRDefault="003C6682" w:rsidP="00A8328C">
      <w:pPr>
        <w:rPr>
          <w:b/>
        </w:rPr>
      </w:pPr>
      <w:r w:rsidRPr="00A8328C">
        <w:rPr>
          <w:b/>
        </w:rPr>
        <w:t>2. Generation of Arabidopsis transgenic plants</w:t>
      </w:r>
    </w:p>
    <w:p w14:paraId="63162EBB" w14:textId="77777777" w:rsidR="003C6682" w:rsidRDefault="003C6682" w:rsidP="00A8328C"/>
    <w:p w14:paraId="650B9FE3" w14:textId="72135FD4" w:rsidR="003C6682" w:rsidRDefault="003C6682" w:rsidP="00A8328C">
      <w:r>
        <w:t xml:space="preserve">2.1. Transformation of </w:t>
      </w:r>
      <w:r w:rsidRPr="4AB73E2B">
        <w:rPr>
          <w:i/>
          <w:iCs/>
        </w:rPr>
        <w:t>Arabidopsis thaliana</w:t>
      </w:r>
      <w:r>
        <w:t>.</w:t>
      </w:r>
    </w:p>
    <w:p w14:paraId="0C2D443E" w14:textId="77777777" w:rsidR="00C27AB6" w:rsidRDefault="00C27AB6" w:rsidP="00A8328C"/>
    <w:p w14:paraId="0A01AD25" w14:textId="100987BA" w:rsidR="003C6682" w:rsidRDefault="0027699E" w:rsidP="00A8328C">
      <w:r>
        <w:t xml:space="preserve">NOTE: </w:t>
      </w:r>
      <w:r w:rsidR="003C6682">
        <w:t xml:space="preserve">Transform </w:t>
      </w:r>
      <w:r w:rsidR="003C6682">
        <w:rPr>
          <w:i/>
          <w:iCs/>
        </w:rPr>
        <w:t>A. thaliana</w:t>
      </w:r>
      <w:r w:rsidR="003C6682">
        <w:t xml:space="preserve"> plants according to Zhang et al., 2006</w:t>
      </w:r>
      <w:r w:rsidR="003C6682" w:rsidRPr="00344862">
        <w:rPr>
          <w:noProof/>
          <w:vertAlign w:val="superscript"/>
        </w:rPr>
        <w:t>13</w:t>
      </w:r>
      <w:r w:rsidR="003C6682">
        <w:t>.</w:t>
      </w:r>
    </w:p>
    <w:p w14:paraId="7D5C2A92" w14:textId="77777777" w:rsidR="003C6682" w:rsidRDefault="003C6682" w:rsidP="00A8328C"/>
    <w:p w14:paraId="53DA23D7" w14:textId="69A21BB7" w:rsidR="003C6682" w:rsidRDefault="003C6682" w:rsidP="00A8328C">
      <w:r>
        <w:t>2.2. Selection of transgenic lines.</w:t>
      </w:r>
    </w:p>
    <w:p w14:paraId="0B0E219C" w14:textId="77777777" w:rsidR="00C27AB6" w:rsidRDefault="00C27AB6" w:rsidP="00A8328C"/>
    <w:p w14:paraId="729DD23C" w14:textId="2D02C646" w:rsidR="003C6682" w:rsidRDefault="003C6682" w:rsidP="00A8328C">
      <w:r>
        <w:t>2.2.1. To select the transformed plants, use the selection scheme used at GABI-Kat</w:t>
      </w:r>
      <w:r w:rsidRPr="00344862">
        <w:rPr>
          <w:noProof/>
          <w:vertAlign w:val="superscript"/>
        </w:rPr>
        <w:t>14</w:t>
      </w:r>
      <w:r>
        <w:t xml:space="preserve"> for resistance to sulfadiazine</w:t>
      </w:r>
      <w:r w:rsidR="00263B19" w:rsidRPr="004C00FA">
        <w:rPr>
          <w:vertAlign w:val="superscript"/>
        </w:rPr>
        <w:t>15</w:t>
      </w:r>
      <w:r>
        <w:t xml:space="preserve">. </w:t>
      </w:r>
    </w:p>
    <w:p w14:paraId="2B972D8D" w14:textId="77777777" w:rsidR="003C6682" w:rsidRDefault="003C6682" w:rsidP="00A8328C"/>
    <w:p w14:paraId="61BB4779" w14:textId="048CD420" w:rsidR="003C6682" w:rsidRDefault="003C6682" w:rsidP="00A8328C">
      <w:pPr>
        <w:rPr>
          <w:rFonts w:eastAsia="Calibri"/>
          <w:color w:val="00000A"/>
        </w:rPr>
      </w:pPr>
      <w:r>
        <w:t>2.2.2</w:t>
      </w:r>
      <w:r>
        <w:rPr>
          <w:rFonts w:eastAsia="Calibri"/>
        </w:rPr>
        <w:t xml:space="preserve">. To select stable lines with a possible single integration event, choose those in generation T2, that show the 3:1 segregation </w:t>
      </w:r>
      <w:r w:rsidR="00C27AB6">
        <w:rPr>
          <w:rFonts w:eastAsia="Calibri"/>
        </w:rPr>
        <w:t>ratio</w:t>
      </w:r>
      <w:r>
        <w:rPr>
          <w:rFonts w:eastAsia="Calibri"/>
        </w:rPr>
        <w:t xml:space="preserve"> in the resistance marker. Propagate these lines to T3 </w:t>
      </w:r>
      <w:r w:rsidR="00C27AB6">
        <w:rPr>
          <w:rFonts w:eastAsia="Calibri"/>
        </w:rPr>
        <w:t>generation and</w:t>
      </w:r>
      <w:r>
        <w:rPr>
          <w:rFonts w:eastAsia="Calibri"/>
        </w:rPr>
        <w:t xml:space="preserve"> select the plants homozygous for the resistance gene. Alternatively, perform a Southern Blot analysis or a standard quantitative real-time PCR (SA-qPCR)</w:t>
      </w:r>
      <w:r w:rsidR="00263B19" w:rsidRPr="00344862">
        <w:rPr>
          <w:rFonts w:eastAsia="Calibri"/>
          <w:noProof/>
          <w:vertAlign w:val="superscript"/>
        </w:rPr>
        <w:t>1</w:t>
      </w:r>
      <w:r w:rsidR="00263B19">
        <w:rPr>
          <w:rFonts w:eastAsia="Calibri"/>
          <w:noProof/>
          <w:vertAlign w:val="superscript"/>
        </w:rPr>
        <w:t>6</w:t>
      </w:r>
      <w:r w:rsidR="00263B19">
        <w:rPr>
          <w:rFonts w:eastAsia="Calibri"/>
          <w:color w:val="00000A"/>
        </w:rPr>
        <w:t xml:space="preserve"> </w:t>
      </w:r>
      <w:r>
        <w:rPr>
          <w:rFonts w:eastAsia="Calibri"/>
          <w:color w:val="00000A"/>
        </w:rPr>
        <w:t>to select single insertion lines.</w:t>
      </w:r>
    </w:p>
    <w:p w14:paraId="08B3DFCF" w14:textId="77777777" w:rsidR="003C6682" w:rsidRDefault="003C6682" w:rsidP="00A8328C"/>
    <w:p w14:paraId="779DBDD8" w14:textId="4AD663F9" w:rsidR="003C6682" w:rsidRDefault="003C6682" w:rsidP="00A8328C">
      <w:pPr>
        <w:rPr>
          <w:b/>
          <w:bCs/>
          <w:color w:val="auto"/>
          <w:highlight w:val="yellow"/>
        </w:rPr>
      </w:pPr>
      <w:r>
        <w:rPr>
          <w:b/>
          <w:bCs/>
          <w:highlight w:val="yellow"/>
        </w:rPr>
        <w:t>3.</w:t>
      </w:r>
      <w:r w:rsidRPr="005E75F5">
        <w:rPr>
          <w:b/>
          <w:bCs/>
          <w:highlight w:val="yellow"/>
        </w:rPr>
        <w:t xml:space="preserve"> Induction</w:t>
      </w:r>
      <w:r>
        <w:rPr>
          <w:b/>
          <w:bCs/>
        </w:rPr>
        <w:t xml:space="preserve"> </w:t>
      </w:r>
      <w:r w:rsidRPr="000A1725">
        <w:rPr>
          <w:b/>
          <w:bCs/>
          <w:color w:val="auto"/>
          <w:highlight w:val="yellow"/>
        </w:rPr>
        <w:t>of trans-activation in Arabidopsis driver lines</w:t>
      </w:r>
    </w:p>
    <w:p w14:paraId="1DC62C8A" w14:textId="77777777" w:rsidR="00C27AB6" w:rsidRPr="005E75F5" w:rsidRDefault="00C27AB6" w:rsidP="00A8328C">
      <w:pPr>
        <w:rPr>
          <w:b/>
          <w:bCs/>
        </w:rPr>
      </w:pPr>
    </w:p>
    <w:p w14:paraId="798909C4" w14:textId="26BF3630" w:rsidR="003C6682" w:rsidRDefault="003C6682" w:rsidP="00A8328C">
      <w:r>
        <w:t>3</w:t>
      </w:r>
      <w:r w:rsidRPr="00EE29DC">
        <w:t>.1.</w:t>
      </w:r>
      <w:r>
        <w:t xml:space="preserve"> </w:t>
      </w:r>
      <w:r w:rsidRPr="00EE29DC">
        <w:t>Root</w:t>
      </w:r>
    </w:p>
    <w:p w14:paraId="108E8F0E" w14:textId="77777777" w:rsidR="00C27AB6" w:rsidRPr="00EE29DC" w:rsidRDefault="00C27AB6" w:rsidP="00A8328C"/>
    <w:p w14:paraId="27F607C9" w14:textId="3E9C70F8" w:rsidR="00C27AB6" w:rsidRDefault="003C6682" w:rsidP="00C27AB6">
      <w:r>
        <w:t>3</w:t>
      </w:r>
      <w:r w:rsidRPr="005E75F5">
        <w:t xml:space="preserve">.1.1. </w:t>
      </w:r>
      <w:r w:rsidR="00050515">
        <w:t xml:space="preserve">To test reporter expression in </w:t>
      </w:r>
      <w:r w:rsidRPr="005E75F5">
        <w:rPr>
          <w:i/>
          <w:iCs/>
        </w:rPr>
        <w:t xml:space="preserve">A. thaliana </w:t>
      </w:r>
      <w:r w:rsidRPr="005E75F5">
        <w:t>driver line</w:t>
      </w:r>
      <w:r w:rsidR="00050515">
        <w:t>s</w:t>
      </w:r>
      <w:r w:rsidRPr="005E75F5">
        <w:t xml:space="preserve"> </w:t>
      </w:r>
      <w:r w:rsidR="00050515">
        <w:t>generated through steps 1 and 2</w:t>
      </w:r>
      <w:r w:rsidR="009B0CE1">
        <w:t xml:space="preserve">, </w:t>
      </w:r>
      <w:r w:rsidR="00050515">
        <w:t xml:space="preserve">sterilize seeds </w:t>
      </w:r>
      <w:r w:rsidR="00C27AB6">
        <w:t xml:space="preserve">as described below. </w:t>
      </w:r>
      <w:r w:rsidRPr="005E75F5">
        <w:t xml:space="preserve"> </w:t>
      </w:r>
    </w:p>
    <w:p w14:paraId="21BF90A1" w14:textId="77777777" w:rsidR="00C27AB6" w:rsidRDefault="00C27AB6" w:rsidP="004C00FA">
      <w:pPr>
        <w:rPr>
          <w:lang w:val="en-GB"/>
        </w:rPr>
      </w:pPr>
    </w:p>
    <w:p w14:paraId="713ED165" w14:textId="2928EAB0" w:rsidR="003C6682" w:rsidRDefault="00C27AB6" w:rsidP="00C27AB6">
      <w:pPr>
        <w:pStyle w:val="ListParagraph"/>
        <w:widowControl/>
        <w:ind w:left="0"/>
        <w:jc w:val="left"/>
        <w:rPr>
          <w:lang w:val="en-GB"/>
        </w:rPr>
      </w:pPr>
      <w:r>
        <w:rPr>
          <w:lang w:val="en-GB"/>
        </w:rPr>
        <w:t>3.1.1.</w:t>
      </w:r>
      <w:r w:rsidR="00C02A71">
        <w:rPr>
          <w:lang w:val="en-GB"/>
        </w:rPr>
        <w:t>1</w:t>
      </w:r>
      <w:r>
        <w:rPr>
          <w:lang w:val="en-GB"/>
        </w:rPr>
        <w:t xml:space="preserve">. </w:t>
      </w:r>
      <w:r w:rsidR="003C6682" w:rsidRPr="005E75F5">
        <w:rPr>
          <w:lang w:val="en-GB"/>
        </w:rPr>
        <w:t>Add 0.5-1.0 m</w:t>
      </w:r>
      <w:r w:rsidR="003C6682">
        <w:rPr>
          <w:lang w:val="en-GB"/>
        </w:rPr>
        <w:t>L</w:t>
      </w:r>
      <w:r w:rsidR="003C6682" w:rsidRPr="005E75F5">
        <w:rPr>
          <w:lang w:val="en-GB"/>
        </w:rPr>
        <w:t xml:space="preserve"> of 70</w:t>
      </w:r>
      <w:r w:rsidR="003C6682">
        <w:rPr>
          <w:lang w:val="en-GB"/>
        </w:rPr>
        <w:t xml:space="preserve"> </w:t>
      </w:r>
      <w:r w:rsidR="003C6682" w:rsidRPr="005E75F5">
        <w:rPr>
          <w:lang w:val="en-GB"/>
        </w:rPr>
        <w:t>% Ethanol + 0.01</w:t>
      </w:r>
      <w:r w:rsidR="003C6682">
        <w:rPr>
          <w:lang w:val="en-GB"/>
        </w:rPr>
        <w:t xml:space="preserve"> </w:t>
      </w:r>
      <w:r w:rsidR="003C6682" w:rsidRPr="005E75F5">
        <w:rPr>
          <w:lang w:val="en-GB"/>
        </w:rPr>
        <w:t xml:space="preserve">% </w:t>
      </w:r>
      <w:r>
        <w:rPr>
          <w:lang w:val="en-GB"/>
        </w:rPr>
        <w:t>non-ionic detergent</w:t>
      </w:r>
      <w:r w:rsidR="00050515">
        <w:rPr>
          <w:lang w:val="en-GB"/>
        </w:rPr>
        <w:t xml:space="preserve"> to approximately 100 seeds (20 mg) in a 1.5 ml reaction tube and i</w:t>
      </w:r>
      <w:r w:rsidR="003C6682" w:rsidRPr="005E75F5">
        <w:rPr>
          <w:lang w:val="en-GB"/>
        </w:rPr>
        <w:t>nvert</w:t>
      </w:r>
      <w:r w:rsidR="00050515">
        <w:rPr>
          <w:lang w:val="en-GB"/>
        </w:rPr>
        <w:t xml:space="preserve"> the tube</w:t>
      </w:r>
      <w:r w:rsidR="003C6682" w:rsidRPr="005E75F5">
        <w:rPr>
          <w:lang w:val="en-GB"/>
        </w:rPr>
        <w:t xml:space="preserve"> a few times</w:t>
      </w:r>
      <w:r>
        <w:rPr>
          <w:lang w:val="en-GB"/>
        </w:rPr>
        <w:t>. S</w:t>
      </w:r>
      <w:r w:rsidR="003C6682" w:rsidRPr="005E75F5">
        <w:rPr>
          <w:lang w:val="en-GB"/>
        </w:rPr>
        <w:t>pin down</w:t>
      </w:r>
      <w:r w:rsidR="003C6682">
        <w:rPr>
          <w:lang w:val="en-GB"/>
        </w:rPr>
        <w:t xml:space="preserve"> </w:t>
      </w:r>
      <w:r>
        <w:rPr>
          <w:lang w:val="en-GB"/>
        </w:rPr>
        <w:t xml:space="preserve">at </w:t>
      </w:r>
      <w:r w:rsidR="003C6682">
        <w:rPr>
          <w:lang w:val="en-GB"/>
        </w:rPr>
        <w:t xml:space="preserve">1000 </w:t>
      </w:r>
      <w:r>
        <w:rPr>
          <w:lang w:val="en-GB"/>
        </w:rPr>
        <w:t xml:space="preserve">x </w:t>
      </w:r>
      <w:r w:rsidR="003C6682">
        <w:rPr>
          <w:lang w:val="en-GB"/>
        </w:rPr>
        <w:t>g for 15 s</w:t>
      </w:r>
      <w:r w:rsidR="003C6682" w:rsidRPr="005E75F5">
        <w:rPr>
          <w:lang w:val="en-GB"/>
        </w:rPr>
        <w:t xml:space="preserve"> and </w:t>
      </w:r>
      <w:r>
        <w:rPr>
          <w:lang w:val="en-GB"/>
        </w:rPr>
        <w:t>aspirate the</w:t>
      </w:r>
      <w:r w:rsidR="003C6682">
        <w:rPr>
          <w:lang w:val="en-GB"/>
        </w:rPr>
        <w:t xml:space="preserve"> supernatant</w:t>
      </w:r>
      <w:r w:rsidR="003C6682" w:rsidRPr="005E75F5">
        <w:rPr>
          <w:lang w:val="en-GB"/>
        </w:rPr>
        <w:t>.</w:t>
      </w:r>
    </w:p>
    <w:p w14:paraId="374F8B44" w14:textId="77777777" w:rsidR="00C27AB6" w:rsidRPr="005E75F5" w:rsidRDefault="00C27AB6" w:rsidP="00C27AB6">
      <w:pPr>
        <w:pStyle w:val="ListParagraph"/>
        <w:widowControl/>
        <w:ind w:left="0"/>
        <w:jc w:val="left"/>
        <w:rPr>
          <w:lang w:val="en-GB"/>
        </w:rPr>
      </w:pPr>
    </w:p>
    <w:p w14:paraId="11F40E8C" w14:textId="6397776F" w:rsidR="003C6682" w:rsidRDefault="00C27AB6" w:rsidP="00C27AB6">
      <w:pPr>
        <w:pStyle w:val="ListParagraph"/>
        <w:widowControl/>
        <w:ind w:left="0"/>
        <w:jc w:val="left"/>
        <w:rPr>
          <w:lang w:val="en-GB"/>
        </w:rPr>
      </w:pPr>
      <w:r>
        <w:rPr>
          <w:lang w:val="en-GB"/>
        </w:rPr>
        <w:t>3.1.1.</w:t>
      </w:r>
      <w:r w:rsidR="00C02A71">
        <w:rPr>
          <w:lang w:val="en-GB"/>
        </w:rPr>
        <w:t>2</w:t>
      </w:r>
      <w:r>
        <w:rPr>
          <w:lang w:val="en-GB"/>
        </w:rPr>
        <w:t xml:space="preserve">. </w:t>
      </w:r>
      <w:r w:rsidR="003C6682" w:rsidRPr="005E75F5">
        <w:rPr>
          <w:lang w:val="en-GB"/>
        </w:rPr>
        <w:t>Add 0.5-1.0 m</w:t>
      </w:r>
      <w:r w:rsidR="003C6682">
        <w:rPr>
          <w:lang w:val="en-GB"/>
        </w:rPr>
        <w:t>L</w:t>
      </w:r>
      <w:r w:rsidR="003C6682" w:rsidRPr="005E75F5">
        <w:rPr>
          <w:lang w:val="en-GB"/>
        </w:rPr>
        <w:t xml:space="preserve"> of </w:t>
      </w:r>
      <w:r>
        <w:rPr>
          <w:lang w:val="en-GB"/>
        </w:rPr>
        <w:t>a</w:t>
      </w:r>
      <w:r w:rsidR="003C6682" w:rsidRPr="005E75F5">
        <w:rPr>
          <w:lang w:val="en-GB"/>
        </w:rPr>
        <w:t>bs</w:t>
      </w:r>
      <w:r>
        <w:rPr>
          <w:lang w:val="en-GB"/>
        </w:rPr>
        <w:t>olute e</w:t>
      </w:r>
      <w:r w:rsidR="003C6682" w:rsidRPr="005E75F5">
        <w:rPr>
          <w:lang w:val="en-GB"/>
        </w:rPr>
        <w:t xml:space="preserve">thanol. Invert </w:t>
      </w:r>
      <w:r w:rsidR="00C02A71">
        <w:rPr>
          <w:lang w:val="en-GB"/>
        </w:rPr>
        <w:t xml:space="preserve">the tube several </w:t>
      </w:r>
      <w:r w:rsidR="003C6682" w:rsidRPr="005E75F5">
        <w:rPr>
          <w:lang w:val="en-GB"/>
        </w:rPr>
        <w:t>times</w:t>
      </w:r>
      <w:r w:rsidR="003C6682">
        <w:rPr>
          <w:lang w:val="en-GB"/>
        </w:rPr>
        <w:t>,</w:t>
      </w:r>
      <w:r w:rsidR="003C6682" w:rsidRPr="005E75F5">
        <w:rPr>
          <w:lang w:val="en-GB"/>
        </w:rPr>
        <w:t xml:space="preserve"> spin down </w:t>
      </w:r>
      <w:r>
        <w:rPr>
          <w:lang w:val="en-GB"/>
        </w:rPr>
        <w:t xml:space="preserve">for </w:t>
      </w:r>
      <w:r w:rsidR="003C6682">
        <w:rPr>
          <w:lang w:val="en-GB"/>
        </w:rPr>
        <w:t xml:space="preserve">1000 </w:t>
      </w:r>
      <w:r>
        <w:rPr>
          <w:lang w:val="en-GB"/>
        </w:rPr>
        <w:t xml:space="preserve">x </w:t>
      </w:r>
      <w:r w:rsidR="003C6682">
        <w:rPr>
          <w:lang w:val="en-GB"/>
        </w:rPr>
        <w:t xml:space="preserve">g for 15 s </w:t>
      </w:r>
      <w:r w:rsidR="003C6682" w:rsidRPr="005E75F5">
        <w:rPr>
          <w:lang w:val="en-GB"/>
        </w:rPr>
        <w:t xml:space="preserve">and </w:t>
      </w:r>
      <w:r>
        <w:rPr>
          <w:lang w:val="en-GB"/>
        </w:rPr>
        <w:t>discard the</w:t>
      </w:r>
      <w:r w:rsidR="003C6682">
        <w:rPr>
          <w:lang w:val="en-GB"/>
        </w:rPr>
        <w:t xml:space="preserve"> supernatant</w:t>
      </w:r>
      <w:r w:rsidR="003C6682" w:rsidRPr="005E75F5">
        <w:rPr>
          <w:lang w:val="en-GB"/>
        </w:rPr>
        <w:t>.</w:t>
      </w:r>
    </w:p>
    <w:p w14:paraId="3749E49F" w14:textId="77777777" w:rsidR="00C27AB6" w:rsidRPr="005E75F5" w:rsidRDefault="00C27AB6" w:rsidP="00C27AB6">
      <w:pPr>
        <w:pStyle w:val="ListParagraph"/>
        <w:widowControl/>
        <w:ind w:left="0"/>
        <w:jc w:val="left"/>
        <w:rPr>
          <w:lang w:val="en-GB"/>
        </w:rPr>
      </w:pPr>
    </w:p>
    <w:p w14:paraId="5ADED844" w14:textId="2496854F" w:rsidR="003C6682" w:rsidRDefault="00C27AB6" w:rsidP="00C27AB6">
      <w:pPr>
        <w:pStyle w:val="ListParagraph"/>
        <w:widowControl/>
        <w:ind w:left="0"/>
        <w:jc w:val="left"/>
        <w:rPr>
          <w:lang w:val="en-GB"/>
        </w:rPr>
      </w:pPr>
      <w:r>
        <w:rPr>
          <w:lang w:val="en-GB"/>
        </w:rPr>
        <w:t>3.1.1.</w:t>
      </w:r>
      <w:r w:rsidR="00C02A71">
        <w:rPr>
          <w:lang w:val="en-GB"/>
        </w:rPr>
        <w:t>3</w:t>
      </w:r>
      <w:r>
        <w:rPr>
          <w:lang w:val="en-GB"/>
        </w:rPr>
        <w:t xml:space="preserve">. </w:t>
      </w:r>
      <w:r w:rsidR="003C6682" w:rsidRPr="005E75F5">
        <w:rPr>
          <w:lang w:val="en-GB"/>
        </w:rPr>
        <w:t>Add 0.5-1.0 m</w:t>
      </w:r>
      <w:r w:rsidR="003C6682">
        <w:rPr>
          <w:lang w:val="en-GB"/>
        </w:rPr>
        <w:t>L</w:t>
      </w:r>
      <w:r w:rsidR="003C6682" w:rsidRPr="005E75F5">
        <w:rPr>
          <w:lang w:val="en-GB"/>
        </w:rPr>
        <w:t xml:space="preserve"> of </w:t>
      </w:r>
      <w:r>
        <w:rPr>
          <w:lang w:val="en-GB"/>
        </w:rPr>
        <w:t>a</w:t>
      </w:r>
      <w:r w:rsidR="003C6682" w:rsidRPr="005E75F5">
        <w:rPr>
          <w:lang w:val="en-GB"/>
        </w:rPr>
        <w:t>bs</w:t>
      </w:r>
      <w:r>
        <w:rPr>
          <w:lang w:val="en-GB"/>
        </w:rPr>
        <w:t>olute</w:t>
      </w:r>
      <w:r w:rsidR="003C6682" w:rsidRPr="005E75F5">
        <w:rPr>
          <w:lang w:val="en-GB"/>
        </w:rPr>
        <w:t xml:space="preserve"> </w:t>
      </w:r>
      <w:r>
        <w:rPr>
          <w:lang w:val="en-GB"/>
        </w:rPr>
        <w:t>e</w:t>
      </w:r>
      <w:r w:rsidR="003C6682" w:rsidRPr="005E75F5">
        <w:rPr>
          <w:lang w:val="en-GB"/>
        </w:rPr>
        <w:t>thanol</w:t>
      </w:r>
      <w:r w:rsidR="00C02A71">
        <w:rPr>
          <w:lang w:val="en-GB"/>
        </w:rPr>
        <w:t xml:space="preserve"> and invert the tube </w:t>
      </w:r>
      <w:r w:rsidR="003C6682" w:rsidRPr="005E75F5">
        <w:rPr>
          <w:lang w:val="en-GB"/>
        </w:rPr>
        <w:t>t a few times</w:t>
      </w:r>
      <w:r w:rsidR="003C6682">
        <w:rPr>
          <w:lang w:val="en-GB"/>
        </w:rPr>
        <w:t>,</w:t>
      </w:r>
      <w:r w:rsidR="003C6682" w:rsidRPr="005E75F5">
        <w:rPr>
          <w:lang w:val="en-GB"/>
        </w:rPr>
        <w:t xml:space="preserve"> </w:t>
      </w:r>
      <w:r w:rsidR="00C02A71">
        <w:rPr>
          <w:lang w:val="en-GB"/>
        </w:rPr>
        <w:t xml:space="preserve">then </w:t>
      </w:r>
      <w:r w:rsidR="003C6682" w:rsidRPr="005E75F5">
        <w:rPr>
          <w:lang w:val="en-GB"/>
        </w:rPr>
        <w:t>spin down</w:t>
      </w:r>
      <w:r w:rsidR="003C6682">
        <w:rPr>
          <w:lang w:val="en-GB"/>
        </w:rPr>
        <w:t xml:space="preserve"> </w:t>
      </w:r>
      <w:r w:rsidR="00C02A71">
        <w:rPr>
          <w:lang w:val="en-GB"/>
        </w:rPr>
        <w:t xml:space="preserve">at </w:t>
      </w:r>
      <w:r w:rsidR="003C6682">
        <w:rPr>
          <w:lang w:val="en-GB"/>
        </w:rPr>
        <w:t xml:space="preserve">1000 </w:t>
      </w:r>
      <w:r>
        <w:rPr>
          <w:lang w:val="en-GB"/>
        </w:rPr>
        <w:t xml:space="preserve">x </w:t>
      </w:r>
      <w:r w:rsidR="003C6682">
        <w:rPr>
          <w:lang w:val="en-GB"/>
        </w:rPr>
        <w:t>g for 15 s</w:t>
      </w:r>
      <w:r w:rsidR="003C6682" w:rsidRPr="005E75F5">
        <w:rPr>
          <w:lang w:val="en-GB"/>
        </w:rPr>
        <w:t xml:space="preserve"> and </w:t>
      </w:r>
      <w:r>
        <w:rPr>
          <w:lang w:val="en-GB"/>
        </w:rPr>
        <w:t xml:space="preserve">discard the </w:t>
      </w:r>
      <w:r w:rsidR="003C6682">
        <w:rPr>
          <w:lang w:val="en-GB"/>
        </w:rPr>
        <w:t>supernatant</w:t>
      </w:r>
      <w:r w:rsidR="003C6682" w:rsidRPr="005E75F5">
        <w:rPr>
          <w:lang w:val="en-GB"/>
        </w:rPr>
        <w:t>.</w:t>
      </w:r>
    </w:p>
    <w:p w14:paraId="00D5E5FD" w14:textId="77777777" w:rsidR="00C27AB6" w:rsidRPr="005E75F5" w:rsidRDefault="00C27AB6" w:rsidP="00C27AB6">
      <w:pPr>
        <w:pStyle w:val="ListParagraph"/>
        <w:widowControl/>
        <w:ind w:left="0"/>
        <w:jc w:val="left"/>
        <w:rPr>
          <w:lang w:val="en-GB"/>
        </w:rPr>
      </w:pPr>
    </w:p>
    <w:p w14:paraId="321B8684" w14:textId="199692E9" w:rsidR="003C6682" w:rsidRDefault="00C27AB6" w:rsidP="00C27AB6">
      <w:pPr>
        <w:pStyle w:val="ListParagraph"/>
        <w:widowControl/>
        <w:ind w:left="0"/>
        <w:jc w:val="left"/>
        <w:rPr>
          <w:lang w:val="en-GB"/>
        </w:rPr>
      </w:pPr>
      <w:r>
        <w:rPr>
          <w:lang w:val="en-GB"/>
        </w:rPr>
        <w:t>3.1.1.</w:t>
      </w:r>
      <w:r w:rsidR="00C02A71">
        <w:rPr>
          <w:lang w:val="en-GB"/>
        </w:rPr>
        <w:t>4</w:t>
      </w:r>
      <w:r>
        <w:rPr>
          <w:lang w:val="en-GB"/>
        </w:rPr>
        <w:t xml:space="preserve">. </w:t>
      </w:r>
      <w:r w:rsidR="003C6682" w:rsidRPr="005E75F5">
        <w:rPr>
          <w:lang w:val="en-GB"/>
        </w:rPr>
        <w:t>Allow seeds to dry inside the hood. If seed</w:t>
      </w:r>
      <w:r w:rsidR="001D13B4">
        <w:rPr>
          <w:lang w:val="en-GB"/>
        </w:rPr>
        <w:t>s</w:t>
      </w:r>
      <w:r w:rsidR="003C6682" w:rsidRPr="005E75F5">
        <w:rPr>
          <w:lang w:val="en-GB"/>
        </w:rPr>
        <w:t xml:space="preserve"> are going to be stratified in tubes</w:t>
      </w:r>
      <w:r w:rsidR="001D13B4">
        <w:rPr>
          <w:lang w:val="en-GB"/>
        </w:rPr>
        <w:t xml:space="preserve"> </w:t>
      </w:r>
      <w:r w:rsidR="003C6682">
        <w:rPr>
          <w:lang w:val="en-GB"/>
        </w:rPr>
        <w:t>continue with</w:t>
      </w:r>
      <w:r w:rsidR="003C6682" w:rsidRPr="005E75F5">
        <w:rPr>
          <w:lang w:val="en-GB"/>
        </w:rPr>
        <w:t xml:space="preserve"> step </w:t>
      </w:r>
      <w:r>
        <w:rPr>
          <w:lang w:val="en-GB"/>
        </w:rPr>
        <w:t>3.1.1.</w:t>
      </w:r>
      <w:r w:rsidR="003C6682" w:rsidRPr="005E75F5">
        <w:rPr>
          <w:lang w:val="en-GB"/>
        </w:rPr>
        <w:t>6.</w:t>
      </w:r>
    </w:p>
    <w:p w14:paraId="7E5D4A4C" w14:textId="77777777" w:rsidR="00C27AB6" w:rsidRPr="005E75F5" w:rsidRDefault="00C27AB6" w:rsidP="00C27AB6">
      <w:pPr>
        <w:pStyle w:val="ListParagraph"/>
        <w:widowControl/>
        <w:ind w:left="0"/>
        <w:jc w:val="left"/>
        <w:rPr>
          <w:lang w:val="en-GB"/>
        </w:rPr>
      </w:pPr>
    </w:p>
    <w:p w14:paraId="65043950" w14:textId="35B1E320" w:rsidR="003C6682" w:rsidRDefault="00C27AB6" w:rsidP="00C27AB6">
      <w:pPr>
        <w:pStyle w:val="ListParagraph"/>
        <w:widowControl/>
        <w:ind w:left="0"/>
        <w:jc w:val="left"/>
        <w:rPr>
          <w:lang w:val="en-GB"/>
        </w:rPr>
      </w:pPr>
      <w:r>
        <w:rPr>
          <w:lang w:val="en-GB"/>
        </w:rPr>
        <w:t>3.1.1.</w:t>
      </w:r>
      <w:r w:rsidR="00C02A71">
        <w:rPr>
          <w:lang w:val="en-GB"/>
        </w:rPr>
        <w:t>5</w:t>
      </w:r>
      <w:r>
        <w:rPr>
          <w:lang w:val="en-GB"/>
        </w:rPr>
        <w:t xml:space="preserve">. </w:t>
      </w:r>
      <w:r w:rsidR="003C6682" w:rsidRPr="005E75F5">
        <w:rPr>
          <w:lang w:val="en-GB"/>
        </w:rPr>
        <w:t>Add 0.5-1.0 m</w:t>
      </w:r>
      <w:r w:rsidR="003C6682">
        <w:rPr>
          <w:lang w:val="en-GB"/>
        </w:rPr>
        <w:t xml:space="preserve">L </w:t>
      </w:r>
      <w:r w:rsidR="003C6682" w:rsidRPr="005E75F5">
        <w:rPr>
          <w:lang w:val="en-GB"/>
        </w:rPr>
        <w:t>of sterile water</w:t>
      </w:r>
      <w:r w:rsidR="00C02A71">
        <w:rPr>
          <w:lang w:val="en-GB"/>
        </w:rPr>
        <w:t xml:space="preserve"> and invert the tube</w:t>
      </w:r>
      <w:r w:rsidR="003C6682" w:rsidRPr="005E75F5">
        <w:rPr>
          <w:lang w:val="en-GB"/>
        </w:rPr>
        <w:t xml:space="preserve"> a few times. Spin down </w:t>
      </w:r>
      <w:r>
        <w:rPr>
          <w:lang w:val="en-GB"/>
        </w:rPr>
        <w:t xml:space="preserve">at </w:t>
      </w:r>
      <w:r w:rsidR="003C6682">
        <w:rPr>
          <w:lang w:val="en-GB"/>
        </w:rPr>
        <w:t>1000</w:t>
      </w:r>
      <w:r>
        <w:rPr>
          <w:lang w:val="en-GB"/>
        </w:rPr>
        <w:t xml:space="preserve"> x </w:t>
      </w:r>
      <w:r w:rsidR="003C6682">
        <w:rPr>
          <w:lang w:val="en-GB"/>
        </w:rPr>
        <w:t xml:space="preserve">g for 15 s </w:t>
      </w:r>
      <w:r w:rsidR="003C6682" w:rsidRPr="005E75F5">
        <w:rPr>
          <w:lang w:val="en-GB"/>
        </w:rPr>
        <w:t xml:space="preserve">and </w:t>
      </w:r>
      <w:r>
        <w:rPr>
          <w:lang w:val="en-GB"/>
        </w:rPr>
        <w:t>discard the supernatant</w:t>
      </w:r>
      <w:r w:rsidR="003C6682">
        <w:rPr>
          <w:lang w:val="en-GB"/>
        </w:rPr>
        <w:t>.</w:t>
      </w:r>
    </w:p>
    <w:p w14:paraId="7E21632F" w14:textId="77777777" w:rsidR="00C27AB6" w:rsidRPr="005E75F5" w:rsidRDefault="00C27AB6" w:rsidP="00C27AB6">
      <w:pPr>
        <w:pStyle w:val="ListParagraph"/>
        <w:widowControl/>
        <w:ind w:left="0"/>
        <w:jc w:val="left"/>
        <w:rPr>
          <w:lang w:val="en-GB"/>
        </w:rPr>
      </w:pPr>
    </w:p>
    <w:p w14:paraId="6E179737" w14:textId="3264121C" w:rsidR="003C6682" w:rsidRDefault="00C27AB6" w:rsidP="00C27AB6">
      <w:pPr>
        <w:pStyle w:val="ListParagraph"/>
        <w:widowControl/>
        <w:ind w:left="0"/>
        <w:jc w:val="left"/>
        <w:rPr>
          <w:lang w:val="en-GB"/>
        </w:rPr>
      </w:pPr>
      <w:r>
        <w:rPr>
          <w:lang w:val="en-GB"/>
        </w:rPr>
        <w:t>3.1.1.</w:t>
      </w:r>
      <w:r w:rsidR="00C02A71">
        <w:rPr>
          <w:lang w:val="en-GB"/>
        </w:rPr>
        <w:t>6</w:t>
      </w:r>
      <w:r>
        <w:rPr>
          <w:lang w:val="en-GB"/>
        </w:rPr>
        <w:t xml:space="preserve">. </w:t>
      </w:r>
      <w:r w:rsidR="003C6682" w:rsidRPr="005E75F5">
        <w:rPr>
          <w:lang w:val="en-GB"/>
        </w:rPr>
        <w:t>Add 0.5-1.0 m</w:t>
      </w:r>
      <w:r w:rsidR="003C6682">
        <w:rPr>
          <w:lang w:val="en-GB"/>
        </w:rPr>
        <w:t>L</w:t>
      </w:r>
      <w:r w:rsidR="003C6682" w:rsidRPr="005E75F5">
        <w:rPr>
          <w:lang w:val="en-GB"/>
        </w:rPr>
        <w:t xml:space="preserve"> of sterile water</w:t>
      </w:r>
      <w:r w:rsidR="00C02A71">
        <w:rPr>
          <w:lang w:val="en-GB"/>
        </w:rPr>
        <w:t xml:space="preserve"> and invert the tube sever</w:t>
      </w:r>
      <w:r w:rsidR="001D13B4">
        <w:rPr>
          <w:lang w:val="en-GB"/>
        </w:rPr>
        <w:t>al</w:t>
      </w:r>
      <w:r w:rsidR="003C6682" w:rsidRPr="005E75F5">
        <w:rPr>
          <w:lang w:val="en-GB"/>
        </w:rPr>
        <w:t xml:space="preserve"> times. Spin down</w:t>
      </w:r>
      <w:r w:rsidR="003C6682">
        <w:rPr>
          <w:lang w:val="en-GB"/>
        </w:rPr>
        <w:t xml:space="preserve"> </w:t>
      </w:r>
      <w:r>
        <w:rPr>
          <w:lang w:val="en-GB"/>
        </w:rPr>
        <w:t xml:space="preserve">at </w:t>
      </w:r>
      <w:r w:rsidR="003C6682">
        <w:rPr>
          <w:lang w:val="en-GB"/>
        </w:rPr>
        <w:t>1000</w:t>
      </w:r>
      <w:r>
        <w:rPr>
          <w:lang w:val="en-GB"/>
        </w:rPr>
        <w:t xml:space="preserve"> x</w:t>
      </w:r>
      <w:r w:rsidR="003C6682">
        <w:rPr>
          <w:lang w:val="en-GB"/>
        </w:rPr>
        <w:t xml:space="preserve"> g for 15 s</w:t>
      </w:r>
      <w:r>
        <w:rPr>
          <w:lang w:val="en-GB"/>
        </w:rPr>
        <w:t xml:space="preserve"> </w:t>
      </w:r>
      <w:r w:rsidR="003C6682" w:rsidRPr="005E75F5">
        <w:rPr>
          <w:lang w:val="en-GB"/>
        </w:rPr>
        <w:t xml:space="preserve">and </w:t>
      </w:r>
      <w:r>
        <w:rPr>
          <w:lang w:val="en-GB"/>
        </w:rPr>
        <w:t>discard the supernatant</w:t>
      </w:r>
      <w:r w:rsidR="003C6682" w:rsidRPr="005E75F5">
        <w:rPr>
          <w:lang w:val="en-GB"/>
        </w:rPr>
        <w:t>.</w:t>
      </w:r>
    </w:p>
    <w:p w14:paraId="5BA6B2A7" w14:textId="77777777" w:rsidR="00C27AB6" w:rsidRPr="005E75F5" w:rsidRDefault="00C27AB6" w:rsidP="00C27AB6">
      <w:pPr>
        <w:pStyle w:val="ListParagraph"/>
        <w:widowControl/>
        <w:ind w:left="0"/>
        <w:jc w:val="left"/>
        <w:rPr>
          <w:lang w:val="en-GB"/>
        </w:rPr>
      </w:pPr>
    </w:p>
    <w:p w14:paraId="1A10FB10" w14:textId="02276EC8" w:rsidR="003C6682" w:rsidRPr="005E75F5" w:rsidRDefault="00C27AB6" w:rsidP="00C27AB6">
      <w:pPr>
        <w:pStyle w:val="ListParagraph"/>
        <w:widowControl/>
        <w:ind w:left="0"/>
        <w:jc w:val="left"/>
        <w:rPr>
          <w:lang w:val="en-GB"/>
        </w:rPr>
      </w:pPr>
      <w:r>
        <w:rPr>
          <w:lang w:val="en-GB"/>
        </w:rPr>
        <w:t>3.1.1.</w:t>
      </w:r>
      <w:r w:rsidR="00C02A71">
        <w:rPr>
          <w:lang w:val="en-GB"/>
        </w:rPr>
        <w:t>7</w:t>
      </w:r>
      <w:r>
        <w:rPr>
          <w:lang w:val="en-GB"/>
        </w:rPr>
        <w:t xml:space="preserve">. </w:t>
      </w:r>
      <w:r w:rsidR="003C6682" w:rsidRPr="005E75F5">
        <w:rPr>
          <w:lang w:val="en-GB"/>
        </w:rPr>
        <w:t>Add 0.5-1.0 m</w:t>
      </w:r>
      <w:r w:rsidR="003C6682">
        <w:rPr>
          <w:lang w:val="en-GB"/>
        </w:rPr>
        <w:t>L</w:t>
      </w:r>
      <w:r w:rsidR="003C6682" w:rsidRPr="005E75F5">
        <w:rPr>
          <w:lang w:val="en-GB"/>
        </w:rPr>
        <w:t xml:space="preserve"> of sterile water. </w:t>
      </w:r>
    </w:p>
    <w:p w14:paraId="187C65D0" w14:textId="77777777" w:rsidR="003C6682" w:rsidRPr="005E75F5" w:rsidRDefault="003C6682" w:rsidP="00A8328C">
      <w:pPr>
        <w:jc w:val="left"/>
        <w:rPr>
          <w:sz w:val="22"/>
          <w:szCs w:val="22"/>
          <w:lang w:val="en-GB"/>
        </w:rPr>
      </w:pPr>
    </w:p>
    <w:p w14:paraId="775A9D99" w14:textId="67C5BB60" w:rsidR="003C6682" w:rsidRPr="005E75F5" w:rsidRDefault="003C6682" w:rsidP="00A8328C">
      <w:pPr>
        <w:rPr>
          <w:highlight w:val="yellow"/>
        </w:rPr>
      </w:pPr>
      <w:r>
        <w:rPr>
          <w:highlight w:val="yellow"/>
        </w:rPr>
        <w:t>3</w:t>
      </w:r>
      <w:r w:rsidRPr="005E75F5">
        <w:rPr>
          <w:highlight w:val="yellow"/>
        </w:rPr>
        <w:t xml:space="preserve">.1.2. </w:t>
      </w:r>
      <w:r w:rsidR="004C00FA" w:rsidRPr="005E75F5">
        <w:rPr>
          <w:highlight w:val="yellow"/>
        </w:rPr>
        <w:t>Prepare half</w:t>
      </w:r>
      <w:r w:rsidR="00050515">
        <w:rPr>
          <w:highlight w:val="yellow"/>
        </w:rPr>
        <w:t>-</w:t>
      </w:r>
      <w:r w:rsidR="00991462">
        <w:rPr>
          <w:highlight w:val="yellow"/>
        </w:rPr>
        <w:t xml:space="preserve">strength </w:t>
      </w:r>
      <w:proofErr w:type="spellStart"/>
      <w:r w:rsidR="00991462" w:rsidRPr="005E75F5">
        <w:rPr>
          <w:highlight w:val="yellow"/>
        </w:rPr>
        <w:t>Murashige</w:t>
      </w:r>
      <w:proofErr w:type="spellEnd"/>
      <w:r w:rsidR="00050515">
        <w:rPr>
          <w:highlight w:val="yellow"/>
        </w:rPr>
        <w:t xml:space="preserve"> and Skoog medium</w:t>
      </w:r>
      <w:r w:rsidRPr="005E75F5">
        <w:rPr>
          <w:highlight w:val="yellow"/>
        </w:rPr>
        <w:t>,</w:t>
      </w:r>
      <w:r w:rsidR="00050515">
        <w:rPr>
          <w:highlight w:val="yellow"/>
        </w:rPr>
        <w:t xml:space="preserve"> pH</w:t>
      </w:r>
      <w:r w:rsidR="00E913A2">
        <w:rPr>
          <w:highlight w:val="yellow"/>
        </w:rPr>
        <w:t xml:space="preserve"> </w:t>
      </w:r>
      <w:r w:rsidR="00050515">
        <w:rPr>
          <w:highlight w:val="yellow"/>
        </w:rPr>
        <w:t>5.8 and add</w:t>
      </w:r>
      <w:r w:rsidRPr="005E75F5">
        <w:rPr>
          <w:highlight w:val="yellow"/>
        </w:rPr>
        <w:t xml:space="preserve"> 0.9% plant agar and 1% sucrose. After autoclaving add Dexamethasone (</w:t>
      </w:r>
      <w:proofErr w:type="spellStart"/>
      <w:r w:rsidRPr="005E75F5">
        <w:rPr>
          <w:highlight w:val="yellow"/>
        </w:rPr>
        <w:t>Dex</w:t>
      </w:r>
      <w:proofErr w:type="spellEnd"/>
      <w:r w:rsidRPr="005E75F5">
        <w:rPr>
          <w:highlight w:val="yellow"/>
        </w:rPr>
        <w:t xml:space="preserve">), dissolved in DMSO, </w:t>
      </w:r>
      <w:r w:rsidR="00E913A2">
        <w:rPr>
          <w:highlight w:val="yellow"/>
        </w:rPr>
        <w:t xml:space="preserve">to a final concentration of 10 - </w:t>
      </w:r>
      <w:r w:rsidR="00E913A2" w:rsidRPr="005E75F5">
        <w:rPr>
          <w:highlight w:val="yellow"/>
        </w:rPr>
        <w:t xml:space="preserve">30 µM </w:t>
      </w:r>
      <w:r w:rsidRPr="005E75F5">
        <w:rPr>
          <w:highlight w:val="yellow"/>
        </w:rPr>
        <w:t xml:space="preserve">to </w:t>
      </w:r>
      <w:r w:rsidR="0002421F">
        <w:rPr>
          <w:highlight w:val="yellow"/>
        </w:rPr>
        <w:t xml:space="preserve">induction plates and </w:t>
      </w:r>
      <w:r w:rsidR="00050515">
        <w:rPr>
          <w:highlight w:val="yellow"/>
        </w:rPr>
        <w:t xml:space="preserve">an </w:t>
      </w:r>
      <w:r w:rsidR="0002421F">
        <w:rPr>
          <w:highlight w:val="yellow"/>
        </w:rPr>
        <w:t>equal amount of DMSO to control plates, respectively</w:t>
      </w:r>
      <w:r w:rsidRPr="005E75F5">
        <w:rPr>
          <w:highlight w:val="yellow"/>
        </w:rPr>
        <w:t xml:space="preserve">. </w:t>
      </w:r>
    </w:p>
    <w:p w14:paraId="6A5CE9E5" w14:textId="77777777" w:rsidR="003C6682" w:rsidRPr="005E75F5" w:rsidRDefault="003C6682" w:rsidP="00A8328C">
      <w:pPr>
        <w:rPr>
          <w:highlight w:val="yellow"/>
        </w:rPr>
      </w:pPr>
    </w:p>
    <w:p w14:paraId="0985E504" w14:textId="78F834D9" w:rsidR="003C6682" w:rsidRPr="005E75F5" w:rsidRDefault="003C6682" w:rsidP="00A8328C">
      <w:pPr>
        <w:rPr>
          <w:highlight w:val="yellow"/>
        </w:rPr>
      </w:pPr>
      <w:r>
        <w:rPr>
          <w:highlight w:val="yellow"/>
        </w:rPr>
        <w:t>3</w:t>
      </w:r>
      <w:r w:rsidRPr="005E75F5">
        <w:rPr>
          <w:highlight w:val="yellow"/>
        </w:rPr>
        <w:t>.1.3. Put seeds for root imaging on plates and s</w:t>
      </w:r>
      <w:r>
        <w:rPr>
          <w:highlight w:val="yellow"/>
        </w:rPr>
        <w:t>tratify</w:t>
      </w:r>
      <w:r w:rsidRPr="005E75F5">
        <w:rPr>
          <w:highlight w:val="yellow"/>
        </w:rPr>
        <w:t xml:space="preserve"> them for </w:t>
      </w:r>
      <w:r>
        <w:rPr>
          <w:highlight w:val="yellow"/>
        </w:rPr>
        <w:t>48 h</w:t>
      </w:r>
      <w:r w:rsidRPr="005E75F5">
        <w:rPr>
          <w:highlight w:val="yellow"/>
        </w:rPr>
        <w:t xml:space="preserve"> in darkness and</w:t>
      </w:r>
      <w:r>
        <w:rPr>
          <w:highlight w:val="yellow"/>
        </w:rPr>
        <w:t xml:space="preserve"> cold (4 °C)</w:t>
      </w:r>
      <w:r w:rsidRPr="005E75F5">
        <w:rPr>
          <w:highlight w:val="yellow"/>
        </w:rPr>
        <w:t>.</w:t>
      </w:r>
    </w:p>
    <w:p w14:paraId="70AF705D" w14:textId="77777777" w:rsidR="003C6682" w:rsidRPr="005E75F5" w:rsidRDefault="003C6682" w:rsidP="00A8328C">
      <w:pPr>
        <w:rPr>
          <w:highlight w:val="yellow"/>
        </w:rPr>
      </w:pPr>
    </w:p>
    <w:p w14:paraId="15769C8B" w14:textId="65107146" w:rsidR="003C6682" w:rsidRPr="005E75F5" w:rsidRDefault="003C6682" w:rsidP="00A8328C">
      <w:r>
        <w:rPr>
          <w:highlight w:val="yellow"/>
        </w:rPr>
        <w:t>3</w:t>
      </w:r>
      <w:r w:rsidRPr="005E75F5">
        <w:rPr>
          <w:highlight w:val="yellow"/>
        </w:rPr>
        <w:t>.1.4. Put plates in a vertical position in a plant incubator (long day (16/8 h), 22</w:t>
      </w:r>
      <w:r>
        <w:rPr>
          <w:highlight w:val="yellow"/>
        </w:rPr>
        <w:t xml:space="preserve"> </w:t>
      </w:r>
      <w:r w:rsidRPr="005E75F5">
        <w:rPr>
          <w:highlight w:val="yellow"/>
        </w:rPr>
        <w:t>°C, humidity, 65</w:t>
      </w:r>
      <w:r>
        <w:rPr>
          <w:highlight w:val="yellow"/>
        </w:rPr>
        <w:t xml:space="preserve"> </w:t>
      </w:r>
      <w:r w:rsidRPr="005E75F5">
        <w:rPr>
          <w:highlight w:val="yellow"/>
        </w:rPr>
        <w:t>%) and grow them for five days.</w:t>
      </w:r>
    </w:p>
    <w:p w14:paraId="0260449C" w14:textId="77777777" w:rsidR="003C6682" w:rsidRDefault="003C6682" w:rsidP="00A8328C">
      <w:pPr>
        <w:rPr>
          <w:highlight w:val="yellow"/>
        </w:rPr>
      </w:pPr>
    </w:p>
    <w:p w14:paraId="69116B7A" w14:textId="124F68DD" w:rsidR="003C6682" w:rsidRPr="008618D1" w:rsidRDefault="003C6682" w:rsidP="00A8328C">
      <w:pPr>
        <w:rPr>
          <w:highlight w:val="yellow"/>
        </w:rPr>
      </w:pPr>
      <w:r>
        <w:rPr>
          <w:highlight w:val="yellow"/>
        </w:rPr>
        <w:t>3</w:t>
      </w:r>
      <w:r w:rsidRPr="008618D1">
        <w:rPr>
          <w:highlight w:val="yellow"/>
        </w:rPr>
        <w:t>.1.</w:t>
      </w:r>
      <w:r>
        <w:rPr>
          <w:highlight w:val="yellow"/>
        </w:rPr>
        <w:t>5</w:t>
      </w:r>
      <w:r w:rsidRPr="008618D1">
        <w:rPr>
          <w:highlight w:val="yellow"/>
        </w:rPr>
        <w:t>. Five days after germination (</w:t>
      </w:r>
      <w:proofErr w:type="spellStart"/>
      <w:r w:rsidRPr="008618D1">
        <w:rPr>
          <w:highlight w:val="yellow"/>
        </w:rPr>
        <w:t>dag</w:t>
      </w:r>
      <w:proofErr w:type="spellEnd"/>
      <w:r w:rsidRPr="008618D1">
        <w:rPr>
          <w:highlight w:val="yellow"/>
        </w:rPr>
        <w:t>)</w:t>
      </w:r>
      <w:r>
        <w:rPr>
          <w:highlight w:val="yellow"/>
        </w:rPr>
        <w:t>,</w:t>
      </w:r>
      <w:r w:rsidRPr="008618D1">
        <w:rPr>
          <w:highlight w:val="yellow"/>
        </w:rPr>
        <w:t xml:space="preserve"> image the seedlings using </w:t>
      </w:r>
      <w:r w:rsidR="0002421F">
        <w:rPr>
          <w:highlight w:val="yellow"/>
        </w:rPr>
        <w:t>confocal laser scanning microscopy</w:t>
      </w:r>
      <w:r w:rsidR="004C00FA">
        <w:rPr>
          <w:highlight w:val="yellow"/>
        </w:rPr>
        <w:t>.</w:t>
      </w:r>
    </w:p>
    <w:p w14:paraId="5C552845" w14:textId="77777777" w:rsidR="003C6682" w:rsidRPr="008618D1" w:rsidRDefault="003C6682" w:rsidP="00A8328C">
      <w:pPr>
        <w:rPr>
          <w:highlight w:val="yellow"/>
        </w:rPr>
      </w:pPr>
    </w:p>
    <w:p w14:paraId="49F6D00F" w14:textId="3659A217" w:rsidR="003C6682" w:rsidRDefault="003C6682" w:rsidP="00A8328C">
      <w:pPr>
        <w:rPr>
          <w:highlight w:val="yellow"/>
        </w:rPr>
      </w:pPr>
      <w:r>
        <w:rPr>
          <w:highlight w:val="yellow"/>
        </w:rPr>
        <w:t>3</w:t>
      </w:r>
      <w:r w:rsidRPr="00EE29DC">
        <w:rPr>
          <w:highlight w:val="yellow"/>
        </w:rPr>
        <w:t>.2. Stem</w:t>
      </w:r>
    </w:p>
    <w:p w14:paraId="27AC2BE4" w14:textId="77777777" w:rsidR="00C27AB6" w:rsidRPr="00EE29DC" w:rsidRDefault="00C27AB6" w:rsidP="00A8328C"/>
    <w:p w14:paraId="1C98A5FE" w14:textId="79CC1571" w:rsidR="003C6682" w:rsidRPr="005E75F5" w:rsidRDefault="003C6682" w:rsidP="00A8328C">
      <w:r>
        <w:t>3</w:t>
      </w:r>
      <w:r w:rsidRPr="005E75F5">
        <w:t>.2.1. Sterilize seeds</w:t>
      </w:r>
      <w:r>
        <w:t xml:space="preserve"> as described in 2.1.1. and put seeds on ½ MS, 0.9% plant agar and 1 % sucrose plates. Stratify</w:t>
      </w:r>
      <w:r w:rsidRPr="005E75F5">
        <w:t xml:space="preserve"> for 48 h</w:t>
      </w:r>
      <w:r>
        <w:t xml:space="preserve"> in darkness and cold (</w:t>
      </w:r>
      <w:r w:rsidRPr="005E75F5">
        <w:t>4 °C</w:t>
      </w:r>
      <w:r>
        <w:t>)</w:t>
      </w:r>
      <w:r w:rsidRPr="005E75F5">
        <w:t>.</w:t>
      </w:r>
    </w:p>
    <w:p w14:paraId="2724D33F" w14:textId="77777777" w:rsidR="003C6682" w:rsidRPr="005E75F5" w:rsidRDefault="003C6682" w:rsidP="00A8328C"/>
    <w:p w14:paraId="4AC8E6C9" w14:textId="6D3C3E8F" w:rsidR="003C6682" w:rsidRPr="005E75F5" w:rsidRDefault="003C6682" w:rsidP="00A8328C">
      <w:r>
        <w:t>3</w:t>
      </w:r>
      <w:r w:rsidRPr="005E75F5">
        <w:t xml:space="preserve">.2.2. Six to seven days after germination, </w:t>
      </w:r>
      <w:r w:rsidR="00C27AB6">
        <w:t xml:space="preserve">transfer </w:t>
      </w:r>
      <w:r w:rsidRPr="005E75F5">
        <w:t>the seedlings to</w:t>
      </w:r>
      <w:r w:rsidR="00C27AB6">
        <w:t xml:space="preserve"> </w:t>
      </w:r>
      <w:r w:rsidRPr="005E75F5">
        <w:t>soil, each plant in a single pot (long day (16/8 h), 22</w:t>
      </w:r>
      <w:r>
        <w:t xml:space="preserve"> </w:t>
      </w:r>
      <w:r w:rsidRPr="005E75F5">
        <w:t xml:space="preserve">°C, humidity, 65%). </w:t>
      </w:r>
    </w:p>
    <w:p w14:paraId="184A9120" w14:textId="77777777" w:rsidR="003C6682" w:rsidRPr="008618D1" w:rsidRDefault="003C6682" w:rsidP="00A8328C">
      <w:pPr>
        <w:rPr>
          <w:highlight w:val="yellow"/>
        </w:rPr>
      </w:pPr>
    </w:p>
    <w:p w14:paraId="7FAE45DF" w14:textId="38C869C0" w:rsidR="003C6682" w:rsidRDefault="003C6682" w:rsidP="00A8328C">
      <w:pPr>
        <w:rPr>
          <w:highlight w:val="yellow"/>
        </w:rPr>
      </w:pPr>
      <w:r>
        <w:rPr>
          <w:highlight w:val="yellow"/>
        </w:rPr>
        <w:t>3</w:t>
      </w:r>
      <w:r w:rsidRPr="008618D1">
        <w:rPr>
          <w:highlight w:val="yellow"/>
        </w:rPr>
        <w:t xml:space="preserve">.2.3. </w:t>
      </w:r>
      <w:r>
        <w:rPr>
          <w:highlight w:val="yellow"/>
        </w:rPr>
        <w:t>Induce trans-activation in s</w:t>
      </w:r>
      <w:r w:rsidRPr="008618D1">
        <w:rPr>
          <w:highlight w:val="yellow"/>
        </w:rPr>
        <w:t>tem</w:t>
      </w:r>
      <w:r>
        <w:rPr>
          <w:highlight w:val="yellow"/>
        </w:rPr>
        <w:t>s</w:t>
      </w:r>
      <w:r w:rsidRPr="008618D1">
        <w:rPr>
          <w:highlight w:val="yellow"/>
        </w:rPr>
        <w:t xml:space="preserve"> </w:t>
      </w:r>
      <w:r>
        <w:rPr>
          <w:highlight w:val="yellow"/>
        </w:rPr>
        <w:t>by w</w:t>
      </w:r>
      <w:r w:rsidRPr="008618D1">
        <w:rPr>
          <w:highlight w:val="yellow"/>
        </w:rPr>
        <w:t>ater</w:t>
      </w:r>
      <w:r>
        <w:rPr>
          <w:highlight w:val="yellow"/>
        </w:rPr>
        <w:t>ing</w:t>
      </w:r>
      <w:r w:rsidRPr="008618D1">
        <w:rPr>
          <w:highlight w:val="yellow"/>
        </w:rPr>
        <w:t xml:space="preserve"> </w:t>
      </w:r>
      <w:r>
        <w:rPr>
          <w:highlight w:val="yellow"/>
        </w:rPr>
        <w:t xml:space="preserve">with </w:t>
      </w:r>
      <w:proofErr w:type="spellStart"/>
      <w:r>
        <w:rPr>
          <w:highlight w:val="yellow"/>
        </w:rPr>
        <w:t>Dex</w:t>
      </w:r>
      <w:proofErr w:type="spellEnd"/>
      <w:r>
        <w:rPr>
          <w:highlight w:val="yellow"/>
        </w:rPr>
        <w:t xml:space="preserve"> or mock </w:t>
      </w:r>
      <w:r w:rsidR="00C27AB6">
        <w:rPr>
          <w:highlight w:val="yellow"/>
        </w:rPr>
        <w:t xml:space="preserve">solution, </w:t>
      </w:r>
      <w:r w:rsidR="00C27AB6" w:rsidRPr="008618D1">
        <w:rPr>
          <w:highlight w:val="yellow"/>
        </w:rPr>
        <w:t>or</w:t>
      </w:r>
      <w:r w:rsidRPr="008618D1">
        <w:rPr>
          <w:highlight w:val="yellow"/>
        </w:rPr>
        <w:t xml:space="preserve"> by dipping the plants in </w:t>
      </w:r>
      <w:proofErr w:type="spellStart"/>
      <w:r w:rsidRPr="008618D1">
        <w:rPr>
          <w:highlight w:val="yellow"/>
        </w:rPr>
        <w:t>Dex</w:t>
      </w:r>
      <w:proofErr w:type="spellEnd"/>
      <w:r w:rsidRPr="008618D1">
        <w:rPr>
          <w:highlight w:val="yellow"/>
        </w:rPr>
        <w:t xml:space="preserve"> or mock solutions, respectively. </w:t>
      </w:r>
    </w:p>
    <w:p w14:paraId="5BBB86A1" w14:textId="77777777" w:rsidR="003C6682" w:rsidRPr="008618D1" w:rsidRDefault="003C6682" w:rsidP="00A8328C">
      <w:pPr>
        <w:rPr>
          <w:highlight w:val="yellow"/>
        </w:rPr>
      </w:pPr>
    </w:p>
    <w:p w14:paraId="4428A9D3" w14:textId="2A43C890" w:rsidR="003C6682" w:rsidRDefault="003C6682" w:rsidP="00A8328C">
      <w:pPr>
        <w:rPr>
          <w:highlight w:val="yellow"/>
        </w:rPr>
      </w:pPr>
      <w:r>
        <w:rPr>
          <w:highlight w:val="yellow"/>
        </w:rPr>
        <w:t>3</w:t>
      </w:r>
      <w:r w:rsidRPr="008618D1">
        <w:rPr>
          <w:highlight w:val="yellow"/>
        </w:rPr>
        <w:t xml:space="preserve">.2.4. For watering, </w:t>
      </w:r>
      <w:r>
        <w:rPr>
          <w:highlight w:val="yellow"/>
        </w:rPr>
        <w:t>use</w:t>
      </w:r>
      <w:r w:rsidRPr="008618D1">
        <w:rPr>
          <w:highlight w:val="yellow"/>
        </w:rPr>
        <w:t xml:space="preserve"> a 25 µM </w:t>
      </w:r>
      <w:proofErr w:type="spellStart"/>
      <w:r w:rsidRPr="008618D1">
        <w:rPr>
          <w:highlight w:val="yellow"/>
        </w:rPr>
        <w:t>Dex</w:t>
      </w:r>
      <w:proofErr w:type="spellEnd"/>
      <w:r w:rsidRPr="008618D1">
        <w:rPr>
          <w:highlight w:val="yellow"/>
        </w:rPr>
        <w:t xml:space="preserve"> solution</w:t>
      </w:r>
      <w:r>
        <w:rPr>
          <w:highlight w:val="yellow"/>
        </w:rPr>
        <w:t xml:space="preserve"> in water prepared from a stock of 25 mM</w:t>
      </w:r>
      <w:r w:rsidRPr="008618D1">
        <w:rPr>
          <w:highlight w:val="yellow"/>
        </w:rPr>
        <w:t xml:space="preserve"> </w:t>
      </w:r>
      <w:proofErr w:type="spellStart"/>
      <w:r>
        <w:rPr>
          <w:highlight w:val="yellow"/>
        </w:rPr>
        <w:t>Dex</w:t>
      </w:r>
      <w:proofErr w:type="spellEnd"/>
      <w:r>
        <w:rPr>
          <w:highlight w:val="yellow"/>
        </w:rPr>
        <w:t xml:space="preserve"> dissolved in ethanol.</w:t>
      </w:r>
      <w:r w:rsidRPr="008618D1">
        <w:rPr>
          <w:highlight w:val="yellow"/>
        </w:rPr>
        <w:t xml:space="preserve"> </w:t>
      </w:r>
      <w:r>
        <w:rPr>
          <w:highlight w:val="yellow"/>
        </w:rPr>
        <w:t>W</w:t>
      </w:r>
      <w:r w:rsidRPr="008618D1">
        <w:rPr>
          <w:highlight w:val="yellow"/>
        </w:rPr>
        <w:t>ater every 2-3 days until the desired time of induction.</w:t>
      </w:r>
      <w:r>
        <w:rPr>
          <w:highlight w:val="yellow"/>
        </w:rPr>
        <w:t xml:space="preserve"> </w:t>
      </w:r>
    </w:p>
    <w:p w14:paraId="5DAC694B" w14:textId="77777777" w:rsidR="003C6682" w:rsidRPr="008618D1" w:rsidRDefault="003C6682" w:rsidP="00A8328C">
      <w:pPr>
        <w:rPr>
          <w:highlight w:val="yellow"/>
        </w:rPr>
      </w:pPr>
    </w:p>
    <w:p w14:paraId="05907E6F" w14:textId="77777777" w:rsidR="00991462" w:rsidRDefault="003C6682" w:rsidP="00A8328C">
      <w:r>
        <w:rPr>
          <w:highlight w:val="yellow"/>
        </w:rPr>
        <w:t>3</w:t>
      </w:r>
      <w:r w:rsidRPr="008618D1">
        <w:rPr>
          <w:highlight w:val="yellow"/>
        </w:rPr>
        <w:t xml:space="preserve">.2.5. For dipping, prepare a 1 </w:t>
      </w:r>
      <w:r>
        <w:rPr>
          <w:highlight w:val="yellow"/>
        </w:rPr>
        <w:t xml:space="preserve">L </w:t>
      </w:r>
      <w:r w:rsidRPr="008618D1">
        <w:rPr>
          <w:highlight w:val="yellow"/>
        </w:rPr>
        <w:t>beaker, 750 m</w:t>
      </w:r>
      <w:r>
        <w:rPr>
          <w:highlight w:val="yellow"/>
        </w:rPr>
        <w:t>L</w:t>
      </w:r>
      <w:r w:rsidRPr="008618D1">
        <w:rPr>
          <w:highlight w:val="yellow"/>
        </w:rPr>
        <w:t xml:space="preserve"> of water containing 0.02% </w:t>
      </w:r>
      <w:proofErr w:type="spellStart"/>
      <w:r w:rsidRPr="008618D1">
        <w:rPr>
          <w:highlight w:val="yellow"/>
        </w:rPr>
        <w:t>silwet</w:t>
      </w:r>
      <w:proofErr w:type="spellEnd"/>
      <w:r w:rsidRPr="008618D1">
        <w:rPr>
          <w:highlight w:val="yellow"/>
        </w:rPr>
        <w:t xml:space="preserve"> L-77 with 25 µM of </w:t>
      </w:r>
      <w:proofErr w:type="spellStart"/>
      <w:r w:rsidRPr="004732C8">
        <w:rPr>
          <w:highlight w:val="yellow"/>
        </w:rPr>
        <w:t>Dex</w:t>
      </w:r>
      <w:proofErr w:type="spellEnd"/>
      <w:r w:rsidRPr="004732C8">
        <w:rPr>
          <w:highlight w:val="yellow"/>
        </w:rPr>
        <w:t xml:space="preserve"> or </w:t>
      </w:r>
      <w:r w:rsidRPr="00A8328C">
        <w:rPr>
          <w:highlight w:val="yellow"/>
        </w:rPr>
        <w:t xml:space="preserve">equivalent amount of </w:t>
      </w:r>
      <w:r w:rsidRPr="004732C8">
        <w:rPr>
          <w:highlight w:val="yellow"/>
        </w:rPr>
        <w:t xml:space="preserve">DMSO for the </w:t>
      </w:r>
      <w:proofErr w:type="spellStart"/>
      <w:r w:rsidRPr="004732C8">
        <w:rPr>
          <w:highlight w:val="yellow"/>
        </w:rPr>
        <w:t>Dex</w:t>
      </w:r>
      <w:proofErr w:type="spellEnd"/>
      <w:r w:rsidRPr="004732C8">
        <w:rPr>
          <w:highlight w:val="yellow"/>
        </w:rPr>
        <w:t xml:space="preserve"> and mock treatment</w:t>
      </w:r>
      <w:r w:rsidRPr="008618D1">
        <w:rPr>
          <w:highlight w:val="yellow"/>
        </w:rPr>
        <w:t xml:space="preserve">, respectively. Dip single plants for 30 s in the induction or in the mock solution. Repeat every 2-3 days until the desired time of </w:t>
      </w:r>
      <w:r w:rsidR="00CA5F47">
        <w:rPr>
          <w:highlight w:val="yellow"/>
        </w:rPr>
        <w:t>imaging</w:t>
      </w:r>
      <w:r w:rsidRPr="00991462">
        <w:t xml:space="preserve">. </w:t>
      </w:r>
    </w:p>
    <w:p w14:paraId="14C856BD" w14:textId="77777777" w:rsidR="00991462" w:rsidRDefault="00991462" w:rsidP="00A8328C"/>
    <w:p w14:paraId="3A505AA8" w14:textId="508F2A67" w:rsidR="003C6682" w:rsidRPr="00991462" w:rsidRDefault="00991462" w:rsidP="00A8328C">
      <w:r>
        <w:t xml:space="preserve">NOTE: </w:t>
      </w:r>
      <w:r w:rsidR="00CA5F47" w:rsidRPr="00991462">
        <w:t>F</w:t>
      </w:r>
      <w:r w:rsidR="003C6682" w:rsidRPr="00991462">
        <w:t xml:space="preserve">ollowing </w:t>
      </w:r>
      <w:r w:rsidR="00CA5F47" w:rsidRPr="00991462">
        <w:t xml:space="preserve">the </w:t>
      </w:r>
      <w:r w:rsidR="003C6682" w:rsidRPr="00991462">
        <w:t>dipping</w:t>
      </w:r>
      <w:r w:rsidR="00CA5F47" w:rsidRPr="00991462">
        <w:t>,</w:t>
      </w:r>
      <w:r w:rsidR="003C6682" w:rsidRPr="00991462">
        <w:t xml:space="preserve"> the plants should be maintained in high humidity</w:t>
      </w:r>
      <w:r w:rsidR="00CA5F47" w:rsidRPr="00991462">
        <w:t xml:space="preserve"> for one hour.</w:t>
      </w:r>
    </w:p>
    <w:p w14:paraId="37B2B4E6" w14:textId="77777777" w:rsidR="003C6682" w:rsidRPr="008618D1" w:rsidRDefault="003C6682" w:rsidP="00A8328C">
      <w:pPr>
        <w:rPr>
          <w:highlight w:val="yellow"/>
          <w:u w:val="single"/>
        </w:rPr>
      </w:pPr>
    </w:p>
    <w:p w14:paraId="5DD2BB89" w14:textId="7CFA99D0" w:rsidR="003C6682" w:rsidRPr="00081894" w:rsidRDefault="003C6682" w:rsidP="00A8328C">
      <w:pPr>
        <w:rPr>
          <w:highlight w:val="yellow"/>
        </w:rPr>
      </w:pPr>
      <w:r>
        <w:rPr>
          <w:highlight w:val="yellow"/>
        </w:rPr>
        <w:t>3</w:t>
      </w:r>
      <w:r w:rsidRPr="00081894">
        <w:rPr>
          <w:highlight w:val="yellow"/>
        </w:rPr>
        <w:t>.3. Shoot Apical Meristem (SAM)</w:t>
      </w:r>
    </w:p>
    <w:p w14:paraId="78716AC1" w14:textId="77777777" w:rsidR="003C6682" w:rsidRPr="008618D1" w:rsidRDefault="003C6682" w:rsidP="00A8328C">
      <w:pPr>
        <w:rPr>
          <w:highlight w:val="yellow"/>
        </w:rPr>
      </w:pPr>
    </w:p>
    <w:p w14:paraId="32197536" w14:textId="2C24F5FB" w:rsidR="003C6682" w:rsidRPr="005E75F5" w:rsidRDefault="003C6682" w:rsidP="00A8328C">
      <w:r>
        <w:t>3</w:t>
      </w:r>
      <w:r w:rsidRPr="005E75F5">
        <w:t xml:space="preserve">.3.1. </w:t>
      </w:r>
      <w:r>
        <w:t xml:space="preserve">Sterilize seeds as described in 2.1.1. </w:t>
      </w:r>
      <w:r w:rsidRPr="005E75F5">
        <w:t>Prepare plates with ½ MS, 0.9 % plant agar and 1 % sucrose medium and put seeds on plates. Store the plates for two days i</w:t>
      </w:r>
      <w:r>
        <w:t>n darkness and cold for stratification</w:t>
      </w:r>
      <w:r w:rsidRPr="005E75F5">
        <w:t>.</w:t>
      </w:r>
    </w:p>
    <w:p w14:paraId="15B25F47" w14:textId="77777777" w:rsidR="003C6682" w:rsidRPr="008618D1" w:rsidRDefault="003C6682" w:rsidP="00A8328C">
      <w:pPr>
        <w:rPr>
          <w:highlight w:val="yellow"/>
        </w:rPr>
      </w:pPr>
    </w:p>
    <w:p w14:paraId="76FDE548" w14:textId="721D4AAB" w:rsidR="003C6682" w:rsidRPr="005E75F5" w:rsidRDefault="003C6682" w:rsidP="00A8328C">
      <w:r>
        <w:t>3</w:t>
      </w:r>
      <w:r w:rsidRPr="005E75F5">
        <w:t xml:space="preserve">.3.2. Put plates in a vertical position in a plant incubator. Six to seven days after germination, </w:t>
      </w:r>
      <w:r w:rsidR="009B0CE1">
        <w:t xml:space="preserve">transfer </w:t>
      </w:r>
      <w:r w:rsidRPr="005E75F5">
        <w:t xml:space="preserve">the seedlings to </w:t>
      </w:r>
      <w:r w:rsidR="001D13B4">
        <w:t xml:space="preserve">the </w:t>
      </w:r>
      <w:r w:rsidRPr="005E75F5">
        <w:t>soil, each plant in a single pot (long day (16/8 h), 22</w:t>
      </w:r>
      <w:r>
        <w:t xml:space="preserve"> </w:t>
      </w:r>
      <w:r w:rsidRPr="005E75F5">
        <w:t xml:space="preserve">°C, humidity, 65 %). </w:t>
      </w:r>
    </w:p>
    <w:p w14:paraId="0551E7BB" w14:textId="77777777" w:rsidR="003C6682" w:rsidRPr="008618D1" w:rsidRDefault="003C6682" w:rsidP="00A8328C">
      <w:pPr>
        <w:rPr>
          <w:highlight w:val="yellow"/>
        </w:rPr>
      </w:pPr>
    </w:p>
    <w:p w14:paraId="3233AC0E" w14:textId="1698785F" w:rsidR="003C6682" w:rsidRDefault="003C6682" w:rsidP="00A8328C">
      <w:pPr>
        <w:rPr>
          <w:highlight w:val="yellow"/>
        </w:rPr>
      </w:pPr>
      <w:r>
        <w:rPr>
          <w:highlight w:val="yellow"/>
        </w:rPr>
        <w:t>3</w:t>
      </w:r>
      <w:r w:rsidRPr="008618D1">
        <w:rPr>
          <w:highlight w:val="yellow"/>
        </w:rPr>
        <w:t xml:space="preserve">.3.3. </w:t>
      </w:r>
      <w:r>
        <w:rPr>
          <w:highlight w:val="yellow"/>
        </w:rPr>
        <w:t>W</w:t>
      </w:r>
      <w:r w:rsidRPr="008618D1">
        <w:rPr>
          <w:highlight w:val="yellow"/>
        </w:rPr>
        <w:t xml:space="preserve">hen the stem is around 1 cm long (25-30 </w:t>
      </w:r>
      <w:proofErr w:type="spellStart"/>
      <w:r w:rsidRPr="008618D1">
        <w:rPr>
          <w:highlight w:val="yellow"/>
        </w:rPr>
        <w:t>dag</w:t>
      </w:r>
      <w:proofErr w:type="spellEnd"/>
      <w:r w:rsidRPr="008618D1">
        <w:rPr>
          <w:highlight w:val="yellow"/>
        </w:rPr>
        <w:t>)</w:t>
      </w:r>
      <w:r>
        <w:rPr>
          <w:highlight w:val="yellow"/>
        </w:rPr>
        <w:t xml:space="preserve">, spray the </w:t>
      </w:r>
      <w:r w:rsidRPr="008618D1">
        <w:rPr>
          <w:highlight w:val="yellow"/>
        </w:rPr>
        <w:t>inflorescence SAM with 10</w:t>
      </w:r>
      <w:r>
        <w:rPr>
          <w:highlight w:val="yellow"/>
        </w:rPr>
        <w:t>-50</w:t>
      </w:r>
      <w:r w:rsidRPr="008618D1">
        <w:rPr>
          <w:highlight w:val="yellow"/>
        </w:rPr>
        <w:t xml:space="preserve"> µM </w:t>
      </w:r>
      <w:proofErr w:type="spellStart"/>
      <w:r w:rsidRPr="008618D1">
        <w:rPr>
          <w:highlight w:val="yellow"/>
        </w:rPr>
        <w:t>Dex</w:t>
      </w:r>
      <w:proofErr w:type="spellEnd"/>
      <w:r w:rsidRPr="008618D1">
        <w:rPr>
          <w:highlight w:val="yellow"/>
        </w:rPr>
        <w:t xml:space="preserve"> in H</w:t>
      </w:r>
      <w:r w:rsidRPr="008618D1">
        <w:rPr>
          <w:highlight w:val="yellow"/>
          <w:vertAlign w:val="subscript"/>
        </w:rPr>
        <w:t>2</w:t>
      </w:r>
      <w:r w:rsidRPr="008618D1">
        <w:rPr>
          <w:highlight w:val="yellow"/>
        </w:rPr>
        <w:t>0</w:t>
      </w:r>
      <w:r w:rsidR="00CA5F47">
        <w:rPr>
          <w:highlight w:val="yellow"/>
        </w:rPr>
        <w:t xml:space="preserve"> wearing a face mask</w:t>
      </w:r>
      <w:r w:rsidRPr="008618D1">
        <w:rPr>
          <w:highlight w:val="yellow"/>
        </w:rPr>
        <w:t>. For induction and imaging</w:t>
      </w:r>
      <w:r>
        <w:rPr>
          <w:highlight w:val="yellow"/>
        </w:rPr>
        <w:t xml:space="preserve"> at</w:t>
      </w:r>
      <w:r w:rsidRPr="008618D1">
        <w:rPr>
          <w:highlight w:val="yellow"/>
        </w:rPr>
        <w:t xml:space="preserve"> later</w:t>
      </w:r>
      <w:r>
        <w:rPr>
          <w:highlight w:val="yellow"/>
        </w:rPr>
        <w:t xml:space="preserve"> stages of development</w:t>
      </w:r>
      <w:r w:rsidRPr="008618D1">
        <w:rPr>
          <w:highlight w:val="yellow"/>
        </w:rPr>
        <w:t xml:space="preserve">, </w:t>
      </w:r>
      <w:r w:rsidR="009B0CE1">
        <w:rPr>
          <w:highlight w:val="yellow"/>
        </w:rPr>
        <w:t xml:space="preserve">induce </w:t>
      </w:r>
      <w:r w:rsidRPr="008618D1">
        <w:rPr>
          <w:highlight w:val="yellow"/>
        </w:rPr>
        <w:t xml:space="preserve">SAMs of longer stems or side shoots. </w:t>
      </w:r>
    </w:p>
    <w:p w14:paraId="035C54A1" w14:textId="77777777" w:rsidR="003C6682" w:rsidRDefault="003C6682" w:rsidP="00A8328C">
      <w:pPr>
        <w:rPr>
          <w:highlight w:val="yellow"/>
        </w:rPr>
      </w:pPr>
    </w:p>
    <w:p w14:paraId="0827592B" w14:textId="766C5710" w:rsidR="003C6682" w:rsidRPr="008618D1" w:rsidRDefault="00C27AB6" w:rsidP="00A8328C">
      <w:pPr>
        <w:rPr>
          <w:highlight w:val="yellow"/>
        </w:rPr>
      </w:pPr>
      <w:r w:rsidRPr="00C27AB6">
        <w:rPr>
          <w:highlight w:val="yellow"/>
        </w:rPr>
        <w:t>NOTE:</w:t>
      </w:r>
      <w:r>
        <w:rPr>
          <w:highlight w:val="yellow"/>
        </w:rPr>
        <w:t xml:space="preserve"> </w:t>
      </w:r>
      <w:r w:rsidR="003C6682">
        <w:rPr>
          <w:highlight w:val="yellow"/>
        </w:rPr>
        <w:t xml:space="preserve">SAMs can also be induced by </w:t>
      </w:r>
      <w:proofErr w:type="spellStart"/>
      <w:r w:rsidR="003C6682">
        <w:rPr>
          <w:highlight w:val="yellow"/>
        </w:rPr>
        <w:t>paintbrushing</w:t>
      </w:r>
      <w:proofErr w:type="spellEnd"/>
      <w:r w:rsidR="003C6682">
        <w:rPr>
          <w:highlight w:val="yellow"/>
        </w:rPr>
        <w:t xml:space="preserve"> the </w:t>
      </w:r>
      <w:proofErr w:type="spellStart"/>
      <w:r w:rsidR="003C6682">
        <w:rPr>
          <w:highlight w:val="yellow"/>
        </w:rPr>
        <w:t>Dex</w:t>
      </w:r>
      <w:proofErr w:type="spellEnd"/>
      <w:r w:rsidR="003C6682">
        <w:rPr>
          <w:highlight w:val="yellow"/>
        </w:rPr>
        <w:t xml:space="preserve"> solution to prevent spray droplets. Do use a mask when </w:t>
      </w:r>
      <w:proofErr w:type="spellStart"/>
      <w:r w:rsidR="003C6682">
        <w:rPr>
          <w:highlight w:val="yellow"/>
        </w:rPr>
        <w:t>Dex</w:t>
      </w:r>
      <w:proofErr w:type="spellEnd"/>
      <w:r w:rsidR="003C6682">
        <w:rPr>
          <w:highlight w:val="yellow"/>
        </w:rPr>
        <w:t xml:space="preserve"> is applied by spraying. </w:t>
      </w:r>
    </w:p>
    <w:p w14:paraId="68946E55" w14:textId="77777777" w:rsidR="003C6682" w:rsidRPr="008618D1" w:rsidRDefault="003C6682" w:rsidP="00A8328C">
      <w:pPr>
        <w:rPr>
          <w:highlight w:val="yellow"/>
        </w:rPr>
      </w:pPr>
    </w:p>
    <w:p w14:paraId="2159970F" w14:textId="27C1070B" w:rsidR="003C6682" w:rsidRPr="008618D1" w:rsidRDefault="003C6682" w:rsidP="00A8328C">
      <w:pPr>
        <w:rPr>
          <w:highlight w:val="yellow"/>
        </w:rPr>
      </w:pPr>
      <w:r>
        <w:rPr>
          <w:highlight w:val="yellow"/>
        </w:rPr>
        <w:t>3</w:t>
      </w:r>
      <w:r w:rsidRPr="008618D1">
        <w:rPr>
          <w:highlight w:val="yellow"/>
        </w:rPr>
        <w:t>.3.4. 24-48 h after induction, dissect</w:t>
      </w:r>
      <w:r>
        <w:rPr>
          <w:highlight w:val="yellow"/>
        </w:rPr>
        <w:t xml:space="preserve"> </w:t>
      </w:r>
      <w:r w:rsidRPr="008618D1">
        <w:rPr>
          <w:highlight w:val="yellow"/>
        </w:rPr>
        <w:t>the SAM</w:t>
      </w:r>
      <w:r>
        <w:rPr>
          <w:highlight w:val="yellow"/>
        </w:rPr>
        <w:t>s</w:t>
      </w:r>
      <w:r w:rsidRPr="008618D1">
        <w:rPr>
          <w:highlight w:val="yellow"/>
        </w:rPr>
        <w:t xml:space="preserve"> </w:t>
      </w:r>
      <w:r w:rsidR="00C27AB6" w:rsidRPr="008618D1">
        <w:rPr>
          <w:highlight w:val="yellow"/>
        </w:rPr>
        <w:t xml:space="preserve">and </w:t>
      </w:r>
      <w:r w:rsidR="00C27AB6">
        <w:rPr>
          <w:highlight w:val="yellow"/>
        </w:rPr>
        <w:t>proceed</w:t>
      </w:r>
      <w:r>
        <w:rPr>
          <w:highlight w:val="yellow"/>
        </w:rPr>
        <w:t xml:space="preserve"> to </w:t>
      </w:r>
      <w:r w:rsidRPr="008618D1">
        <w:rPr>
          <w:highlight w:val="yellow"/>
        </w:rPr>
        <w:t>imag</w:t>
      </w:r>
      <w:r>
        <w:rPr>
          <w:highlight w:val="yellow"/>
        </w:rPr>
        <w:t>ing (see 4.3)</w:t>
      </w:r>
      <w:r w:rsidRPr="008618D1">
        <w:rPr>
          <w:highlight w:val="yellow"/>
        </w:rPr>
        <w:t xml:space="preserve">. </w:t>
      </w:r>
    </w:p>
    <w:p w14:paraId="2944F641" w14:textId="77777777" w:rsidR="003C6682" w:rsidRDefault="003C6682" w:rsidP="00A8328C">
      <w:pPr>
        <w:rPr>
          <w:highlight w:val="yellow"/>
        </w:rPr>
      </w:pPr>
    </w:p>
    <w:p w14:paraId="55A7F72D" w14:textId="4B93CAEA" w:rsidR="003C6682" w:rsidRPr="005E75F5" w:rsidRDefault="00C27AB6" w:rsidP="00A8328C">
      <w:r w:rsidRPr="00991462">
        <w:t xml:space="preserve">NOTE: </w:t>
      </w:r>
      <w:r w:rsidR="003C6682" w:rsidRPr="00991462">
        <w:t>Only un-induced plants were used for propagation to reduce the probability of gene silencing. Plants in T2/T3 were used for imaging.</w:t>
      </w:r>
      <w:r w:rsidR="003C6682" w:rsidRPr="005E75F5">
        <w:t xml:space="preserve"> </w:t>
      </w:r>
    </w:p>
    <w:p w14:paraId="4C23643E" w14:textId="77777777" w:rsidR="003C6682" w:rsidRPr="008618D1" w:rsidRDefault="003C6682" w:rsidP="00A8328C">
      <w:pPr>
        <w:tabs>
          <w:tab w:val="left" w:pos="1968"/>
        </w:tabs>
        <w:rPr>
          <w:b/>
          <w:bCs/>
          <w:highlight w:val="yellow"/>
        </w:rPr>
      </w:pPr>
    </w:p>
    <w:p w14:paraId="04C98422" w14:textId="04FA9546" w:rsidR="003C6682" w:rsidRDefault="003C6682" w:rsidP="00A8328C">
      <w:pPr>
        <w:tabs>
          <w:tab w:val="left" w:pos="1968"/>
        </w:tabs>
        <w:rPr>
          <w:b/>
          <w:bCs/>
          <w:highlight w:val="yellow"/>
        </w:rPr>
      </w:pPr>
      <w:r>
        <w:rPr>
          <w:b/>
          <w:bCs/>
          <w:highlight w:val="yellow"/>
        </w:rPr>
        <w:t>4.</w:t>
      </w:r>
      <w:r w:rsidRPr="008618D1">
        <w:rPr>
          <w:b/>
          <w:bCs/>
          <w:highlight w:val="yellow"/>
        </w:rPr>
        <w:t xml:space="preserve"> Imaging</w:t>
      </w:r>
      <w:r>
        <w:rPr>
          <w:b/>
          <w:bCs/>
          <w:highlight w:val="yellow"/>
        </w:rPr>
        <w:t xml:space="preserve"> of reporter expression in Arabidopsis driver lines.</w:t>
      </w:r>
    </w:p>
    <w:p w14:paraId="1C3D416C" w14:textId="77777777" w:rsidR="00C27AB6" w:rsidRPr="008618D1" w:rsidRDefault="00C27AB6" w:rsidP="00A8328C">
      <w:pPr>
        <w:tabs>
          <w:tab w:val="left" w:pos="1968"/>
        </w:tabs>
        <w:rPr>
          <w:b/>
          <w:bCs/>
          <w:highlight w:val="yellow"/>
        </w:rPr>
      </w:pPr>
    </w:p>
    <w:p w14:paraId="41DEBC28" w14:textId="7C13DE5C" w:rsidR="003C6682" w:rsidRDefault="003C6682" w:rsidP="00A8328C">
      <w:pPr>
        <w:tabs>
          <w:tab w:val="left" w:pos="1968"/>
        </w:tabs>
        <w:rPr>
          <w:highlight w:val="yellow"/>
        </w:rPr>
      </w:pPr>
      <w:r>
        <w:rPr>
          <w:highlight w:val="yellow"/>
        </w:rPr>
        <w:t>4</w:t>
      </w:r>
      <w:r w:rsidRPr="00EE29DC">
        <w:rPr>
          <w:highlight w:val="yellow"/>
        </w:rPr>
        <w:t>.1. Root</w:t>
      </w:r>
    </w:p>
    <w:p w14:paraId="21466ECD" w14:textId="77777777" w:rsidR="00C27AB6" w:rsidRPr="00EE29DC" w:rsidRDefault="00C27AB6" w:rsidP="00A8328C">
      <w:pPr>
        <w:tabs>
          <w:tab w:val="left" w:pos="1968"/>
        </w:tabs>
        <w:rPr>
          <w:highlight w:val="yellow"/>
        </w:rPr>
      </w:pPr>
    </w:p>
    <w:p w14:paraId="18E52007" w14:textId="3F9F8748" w:rsidR="003C6682" w:rsidRPr="008618D1" w:rsidRDefault="003C6682" w:rsidP="00A8328C">
      <w:pPr>
        <w:tabs>
          <w:tab w:val="left" w:pos="1968"/>
        </w:tabs>
        <w:rPr>
          <w:highlight w:val="yellow"/>
        </w:rPr>
      </w:pPr>
      <w:r>
        <w:rPr>
          <w:highlight w:val="yellow"/>
        </w:rPr>
        <w:t>4</w:t>
      </w:r>
      <w:r w:rsidRPr="008618D1">
        <w:rPr>
          <w:highlight w:val="yellow"/>
        </w:rPr>
        <w:t xml:space="preserve">.1.1. Transfer seedlings from plate to a </w:t>
      </w:r>
      <w:r>
        <w:rPr>
          <w:highlight w:val="yellow"/>
        </w:rPr>
        <w:t>10</w:t>
      </w:r>
      <w:r w:rsidRPr="008618D1">
        <w:rPr>
          <w:highlight w:val="yellow"/>
        </w:rPr>
        <w:t xml:space="preserve"> </w:t>
      </w:r>
      <w:r>
        <w:rPr>
          <w:highlight w:val="yellow"/>
        </w:rPr>
        <w:t>µ</w:t>
      </w:r>
      <w:r w:rsidRPr="008618D1">
        <w:rPr>
          <w:highlight w:val="yellow"/>
        </w:rPr>
        <w:t>g/m</w:t>
      </w:r>
      <w:r>
        <w:rPr>
          <w:highlight w:val="yellow"/>
        </w:rPr>
        <w:t>L</w:t>
      </w:r>
      <w:r w:rsidRPr="008618D1">
        <w:rPr>
          <w:highlight w:val="yellow"/>
        </w:rPr>
        <w:t xml:space="preserve"> propidium iodide (PI) solution and counter-stain them for 5 min.</w:t>
      </w:r>
    </w:p>
    <w:p w14:paraId="290A69B0" w14:textId="77777777" w:rsidR="003C6682" w:rsidRPr="008618D1" w:rsidRDefault="003C6682" w:rsidP="00A8328C">
      <w:pPr>
        <w:tabs>
          <w:tab w:val="left" w:pos="1968"/>
        </w:tabs>
        <w:rPr>
          <w:highlight w:val="yellow"/>
        </w:rPr>
      </w:pPr>
    </w:p>
    <w:p w14:paraId="4164FB8D" w14:textId="77777777" w:rsidR="00991462" w:rsidRDefault="003C6682" w:rsidP="00A8328C">
      <w:pPr>
        <w:tabs>
          <w:tab w:val="left" w:pos="1968"/>
        </w:tabs>
        <w:rPr>
          <w:highlight w:val="yellow"/>
        </w:rPr>
      </w:pPr>
      <w:r>
        <w:rPr>
          <w:highlight w:val="yellow"/>
        </w:rPr>
        <w:t>4</w:t>
      </w:r>
      <w:r w:rsidRPr="008618D1">
        <w:rPr>
          <w:highlight w:val="yellow"/>
        </w:rPr>
        <w:t>.1.2. Place the roots into a microscope imaging chamber (1-well tissue culture chamber on cover glass II</w:t>
      </w:r>
      <w:r>
        <w:rPr>
          <w:highlight w:val="yellow"/>
        </w:rPr>
        <w:t xml:space="preserve">, see </w:t>
      </w:r>
      <w:r w:rsidR="00F52C83" w:rsidRPr="004C00FA">
        <w:rPr>
          <w:b/>
          <w:highlight w:val="yellow"/>
        </w:rPr>
        <w:t xml:space="preserve">Table </w:t>
      </w:r>
      <w:r w:rsidRPr="004C00FA">
        <w:rPr>
          <w:b/>
          <w:highlight w:val="yellow"/>
        </w:rPr>
        <w:t xml:space="preserve">of </w:t>
      </w:r>
      <w:r w:rsidR="00F52C83" w:rsidRPr="004C00FA">
        <w:rPr>
          <w:b/>
          <w:highlight w:val="yellow"/>
        </w:rPr>
        <w:t>Materials</w:t>
      </w:r>
      <w:r w:rsidRPr="008618D1">
        <w:rPr>
          <w:highlight w:val="yellow"/>
        </w:rPr>
        <w:t xml:space="preserve">) and image them using a </w:t>
      </w:r>
      <w:r>
        <w:rPr>
          <w:highlight w:val="yellow"/>
        </w:rPr>
        <w:t>confocal laser scanning microscope</w:t>
      </w:r>
      <w:r w:rsidRPr="008618D1">
        <w:rPr>
          <w:highlight w:val="yellow"/>
        </w:rPr>
        <w:t xml:space="preserve"> with a 63x water immersion objective</w:t>
      </w:r>
      <w:r>
        <w:rPr>
          <w:highlight w:val="yellow"/>
        </w:rPr>
        <w:t xml:space="preserve"> (see </w:t>
      </w:r>
      <w:r w:rsidR="00C27AB6" w:rsidRPr="00C27AB6">
        <w:rPr>
          <w:b/>
          <w:highlight w:val="yellow"/>
        </w:rPr>
        <w:t>T</w:t>
      </w:r>
      <w:r w:rsidRPr="00C27AB6">
        <w:rPr>
          <w:b/>
          <w:highlight w:val="yellow"/>
        </w:rPr>
        <w:t xml:space="preserve">able of </w:t>
      </w:r>
      <w:r w:rsidR="00C27AB6" w:rsidRPr="00C27AB6">
        <w:rPr>
          <w:b/>
          <w:highlight w:val="yellow"/>
        </w:rPr>
        <w:t>M</w:t>
      </w:r>
      <w:r w:rsidRPr="00C27AB6">
        <w:rPr>
          <w:b/>
          <w:highlight w:val="yellow"/>
        </w:rPr>
        <w:t>aterials</w:t>
      </w:r>
      <w:r>
        <w:rPr>
          <w:highlight w:val="yellow"/>
        </w:rPr>
        <w:t>)</w:t>
      </w:r>
      <w:r w:rsidRPr="008618D1">
        <w:rPr>
          <w:highlight w:val="yellow"/>
        </w:rPr>
        <w:t xml:space="preserve">. </w:t>
      </w:r>
    </w:p>
    <w:p w14:paraId="1EF4F650" w14:textId="77777777" w:rsidR="00991462" w:rsidRDefault="00991462" w:rsidP="00A8328C">
      <w:pPr>
        <w:tabs>
          <w:tab w:val="left" w:pos="1968"/>
        </w:tabs>
        <w:rPr>
          <w:highlight w:val="yellow"/>
        </w:rPr>
      </w:pPr>
    </w:p>
    <w:p w14:paraId="0F8540CF" w14:textId="78755D73" w:rsidR="003C6682" w:rsidRPr="008618D1" w:rsidRDefault="00991462" w:rsidP="00A8328C">
      <w:pPr>
        <w:tabs>
          <w:tab w:val="left" w:pos="1968"/>
        </w:tabs>
        <w:rPr>
          <w:highlight w:val="yellow"/>
        </w:rPr>
      </w:pPr>
      <w:r>
        <w:rPr>
          <w:highlight w:val="yellow"/>
        </w:rPr>
        <w:t xml:space="preserve">4.1.3 </w:t>
      </w:r>
      <w:r w:rsidR="00CD3558">
        <w:rPr>
          <w:highlight w:val="yellow"/>
        </w:rPr>
        <w:t>To visualize</w:t>
      </w:r>
      <w:r w:rsidR="00CD3558" w:rsidRPr="008618D1">
        <w:rPr>
          <w:highlight w:val="yellow"/>
        </w:rPr>
        <w:t xml:space="preserve"> </w:t>
      </w:r>
      <w:r w:rsidR="003C6682" w:rsidRPr="008618D1">
        <w:rPr>
          <w:highlight w:val="yellow"/>
        </w:rPr>
        <w:t xml:space="preserve">PI </w:t>
      </w:r>
      <w:r w:rsidR="004C00FA">
        <w:rPr>
          <w:highlight w:val="yellow"/>
        </w:rPr>
        <w:t>fluorescence,</w:t>
      </w:r>
      <w:r w:rsidR="003C6682" w:rsidRPr="008618D1">
        <w:rPr>
          <w:highlight w:val="yellow"/>
        </w:rPr>
        <w:t xml:space="preserve"> </w:t>
      </w:r>
      <w:r w:rsidR="00CD3558">
        <w:rPr>
          <w:highlight w:val="yellow"/>
        </w:rPr>
        <w:t>use an excitation wavelength of</w:t>
      </w:r>
      <w:r w:rsidR="003C6682" w:rsidRPr="008618D1">
        <w:rPr>
          <w:highlight w:val="yellow"/>
        </w:rPr>
        <w:t xml:space="preserve"> 488 nm and collect</w:t>
      </w:r>
      <w:r w:rsidR="00CD3558">
        <w:rPr>
          <w:highlight w:val="yellow"/>
        </w:rPr>
        <w:t xml:space="preserve"> emission</w:t>
      </w:r>
      <w:r w:rsidR="003C6682" w:rsidRPr="008618D1">
        <w:rPr>
          <w:highlight w:val="yellow"/>
        </w:rPr>
        <w:t xml:space="preserve"> between 590 and 660 nm. </w:t>
      </w:r>
      <w:r w:rsidR="00CD3558">
        <w:rPr>
          <w:highlight w:val="yellow"/>
        </w:rPr>
        <w:t>For</w:t>
      </w:r>
      <w:r w:rsidR="00CD3558" w:rsidRPr="008618D1">
        <w:rPr>
          <w:highlight w:val="yellow"/>
        </w:rPr>
        <w:t xml:space="preserve"> </w:t>
      </w:r>
      <w:r w:rsidR="003C6682" w:rsidRPr="008618D1">
        <w:rPr>
          <w:highlight w:val="yellow"/>
        </w:rPr>
        <w:t xml:space="preserve">mTurquoise2 fluorescence </w:t>
      </w:r>
      <w:r w:rsidR="00CD3558">
        <w:rPr>
          <w:highlight w:val="yellow"/>
        </w:rPr>
        <w:t xml:space="preserve">use </w:t>
      </w:r>
      <w:r w:rsidR="003C6682" w:rsidRPr="008618D1">
        <w:rPr>
          <w:highlight w:val="yellow"/>
        </w:rPr>
        <w:t xml:space="preserve">458 nm </w:t>
      </w:r>
      <w:r w:rsidR="00CD3558">
        <w:rPr>
          <w:highlight w:val="yellow"/>
        </w:rPr>
        <w:t xml:space="preserve">excitation and </w:t>
      </w:r>
      <w:r w:rsidR="003C6682" w:rsidRPr="008618D1">
        <w:rPr>
          <w:highlight w:val="yellow"/>
        </w:rPr>
        <w:t>collect</w:t>
      </w:r>
      <w:r w:rsidR="00CD3558">
        <w:rPr>
          <w:highlight w:val="yellow"/>
        </w:rPr>
        <w:t xml:space="preserve"> emission</w:t>
      </w:r>
      <w:r w:rsidR="003C6682" w:rsidRPr="008618D1">
        <w:rPr>
          <w:highlight w:val="yellow"/>
        </w:rPr>
        <w:t xml:space="preserve"> between 460 and 615 nm. </w:t>
      </w:r>
    </w:p>
    <w:p w14:paraId="0613FDB3" w14:textId="77777777" w:rsidR="003C6682" w:rsidRPr="008618D1" w:rsidRDefault="003C6682" w:rsidP="00A8328C">
      <w:pPr>
        <w:tabs>
          <w:tab w:val="left" w:pos="1968"/>
        </w:tabs>
        <w:rPr>
          <w:highlight w:val="yellow"/>
        </w:rPr>
      </w:pPr>
    </w:p>
    <w:p w14:paraId="47F86DDB" w14:textId="2DD1C45C" w:rsidR="003C6682" w:rsidRDefault="003C6682" w:rsidP="00A8328C">
      <w:pPr>
        <w:tabs>
          <w:tab w:val="left" w:pos="1968"/>
        </w:tabs>
        <w:rPr>
          <w:highlight w:val="yellow"/>
        </w:rPr>
      </w:pPr>
      <w:r>
        <w:rPr>
          <w:highlight w:val="yellow"/>
        </w:rPr>
        <w:t>4</w:t>
      </w:r>
      <w:r w:rsidRPr="00081894">
        <w:rPr>
          <w:highlight w:val="yellow"/>
        </w:rPr>
        <w:t>.2. Stem</w:t>
      </w:r>
    </w:p>
    <w:p w14:paraId="6366C3B4" w14:textId="77777777" w:rsidR="00C27AB6" w:rsidRPr="00081894" w:rsidRDefault="00C27AB6" w:rsidP="00A8328C">
      <w:pPr>
        <w:tabs>
          <w:tab w:val="left" w:pos="1968"/>
        </w:tabs>
        <w:rPr>
          <w:highlight w:val="yellow"/>
        </w:rPr>
      </w:pPr>
    </w:p>
    <w:p w14:paraId="209B3C62" w14:textId="14FE1E0D" w:rsidR="003C6682" w:rsidRPr="008618D1" w:rsidRDefault="003C6682" w:rsidP="00A8328C">
      <w:pPr>
        <w:rPr>
          <w:highlight w:val="yellow"/>
        </w:rPr>
      </w:pPr>
      <w:r>
        <w:rPr>
          <w:highlight w:val="yellow"/>
        </w:rPr>
        <w:t>4</w:t>
      </w:r>
      <w:r w:rsidRPr="008618D1">
        <w:rPr>
          <w:highlight w:val="yellow"/>
        </w:rPr>
        <w:t>.2.1. Perform horizontal hand cut sections of plant stems with a razor blade</w:t>
      </w:r>
      <w:r w:rsidR="00CD3558">
        <w:rPr>
          <w:highlight w:val="yellow"/>
        </w:rPr>
        <w:t>, excising a</w:t>
      </w:r>
      <w:r w:rsidRPr="008618D1">
        <w:rPr>
          <w:highlight w:val="yellow"/>
        </w:rPr>
        <w:t xml:space="preserve"> se</w:t>
      </w:r>
      <w:r w:rsidR="00CD3558">
        <w:rPr>
          <w:highlight w:val="yellow"/>
        </w:rPr>
        <w:t>gment</w:t>
      </w:r>
      <w:r w:rsidRPr="008618D1">
        <w:rPr>
          <w:highlight w:val="yellow"/>
        </w:rPr>
        <w:t xml:space="preserve"> of approximately 3 cm. </w:t>
      </w:r>
      <w:r w:rsidR="00CD3558">
        <w:rPr>
          <w:highlight w:val="yellow"/>
        </w:rPr>
        <w:t>F</w:t>
      </w:r>
      <w:r w:rsidRPr="008618D1">
        <w:rPr>
          <w:highlight w:val="yellow"/>
        </w:rPr>
        <w:t>ix</w:t>
      </w:r>
      <w:r w:rsidR="00CD3558">
        <w:rPr>
          <w:highlight w:val="yellow"/>
        </w:rPr>
        <w:t xml:space="preserve"> the stem with</w:t>
      </w:r>
      <w:r w:rsidRPr="008618D1">
        <w:rPr>
          <w:highlight w:val="yellow"/>
        </w:rPr>
        <w:t xml:space="preserve"> the finger on the opposite side of the desired section to cut. </w:t>
      </w:r>
      <w:r>
        <w:rPr>
          <w:highlight w:val="yellow"/>
        </w:rPr>
        <w:t>Perform</w:t>
      </w:r>
      <w:r w:rsidRPr="008618D1">
        <w:rPr>
          <w:highlight w:val="yellow"/>
        </w:rPr>
        <w:t xml:space="preserve"> </w:t>
      </w:r>
      <w:r>
        <w:rPr>
          <w:highlight w:val="yellow"/>
        </w:rPr>
        <w:t>several f</w:t>
      </w:r>
      <w:r w:rsidRPr="008618D1">
        <w:rPr>
          <w:highlight w:val="yellow"/>
        </w:rPr>
        <w:t xml:space="preserve">ine cuts </w:t>
      </w:r>
      <w:r w:rsidR="00991462" w:rsidRPr="008618D1">
        <w:rPr>
          <w:highlight w:val="yellow"/>
        </w:rPr>
        <w:t>sequentially</w:t>
      </w:r>
      <w:r w:rsidR="00991462">
        <w:rPr>
          <w:highlight w:val="yellow"/>
        </w:rPr>
        <w:t xml:space="preserve"> but</w:t>
      </w:r>
      <w:r w:rsidR="00CD3558">
        <w:rPr>
          <w:highlight w:val="yellow"/>
        </w:rPr>
        <w:t xml:space="preserve"> note that only sections from a similar position in the stem should be compared.</w:t>
      </w:r>
    </w:p>
    <w:p w14:paraId="7E683C90" w14:textId="77777777" w:rsidR="003C6682" w:rsidRPr="008618D1" w:rsidRDefault="003C6682" w:rsidP="00A8328C">
      <w:pPr>
        <w:rPr>
          <w:highlight w:val="yellow"/>
        </w:rPr>
      </w:pPr>
    </w:p>
    <w:p w14:paraId="7FE84CA8" w14:textId="6FCA1141" w:rsidR="003C6682" w:rsidRPr="008618D1" w:rsidRDefault="003C6682" w:rsidP="00A8328C">
      <w:pPr>
        <w:rPr>
          <w:highlight w:val="yellow"/>
        </w:rPr>
      </w:pPr>
      <w:r>
        <w:rPr>
          <w:highlight w:val="yellow"/>
        </w:rPr>
        <w:t>4</w:t>
      </w:r>
      <w:r w:rsidRPr="008618D1">
        <w:rPr>
          <w:highlight w:val="yellow"/>
        </w:rPr>
        <w:t>.2.2. After each cut</w:t>
      </w:r>
      <w:r>
        <w:rPr>
          <w:highlight w:val="yellow"/>
        </w:rPr>
        <w:t xml:space="preserve">, </w:t>
      </w:r>
      <w:r w:rsidRPr="008618D1">
        <w:rPr>
          <w:highlight w:val="yellow"/>
        </w:rPr>
        <w:t xml:space="preserve">immerse the </w:t>
      </w:r>
      <w:r w:rsidR="008334D5" w:rsidRPr="008618D1">
        <w:rPr>
          <w:highlight w:val="yellow"/>
        </w:rPr>
        <w:t>razorblade in</w:t>
      </w:r>
      <w:r w:rsidRPr="008618D1">
        <w:rPr>
          <w:highlight w:val="yellow"/>
        </w:rPr>
        <w:t xml:space="preserve"> a petri dish containing tap water </w:t>
      </w:r>
      <w:r>
        <w:rPr>
          <w:highlight w:val="yellow"/>
        </w:rPr>
        <w:t xml:space="preserve">and </w:t>
      </w:r>
      <w:r w:rsidRPr="008618D1">
        <w:rPr>
          <w:highlight w:val="yellow"/>
        </w:rPr>
        <w:t>collect</w:t>
      </w:r>
      <w:r w:rsidRPr="00BC29A1">
        <w:rPr>
          <w:highlight w:val="yellow"/>
        </w:rPr>
        <w:t xml:space="preserve"> </w:t>
      </w:r>
      <w:r w:rsidRPr="008618D1">
        <w:rPr>
          <w:highlight w:val="yellow"/>
        </w:rPr>
        <w:t xml:space="preserve">the stem sections. </w:t>
      </w:r>
      <w:r>
        <w:rPr>
          <w:highlight w:val="yellow"/>
        </w:rPr>
        <w:t>S</w:t>
      </w:r>
      <w:r w:rsidRPr="008618D1">
        <w:rPr>
          <w:highlight w:val="yellow"/>
        </w:rPr>
        <w:t>tain</w:t>
      </w:r>
      <w:r>
        <w:rPr>
          <w:highlight w:val="yellow"/>
        </w:rPr>
        <w:t xml:space="preserve"> s</w:t>
      </w:r>
      <w:r w:rsidRPr="008618D1">
        <w:rPr>
          <w:highlight w:val="yellow"/>
        </w:rPr>
        <w:t xml:space="preserve">ections at this </w:t>
      </w:r>
      <w:r w:rsidR="008334D5" w:rsidRPr="008618D1">
        <w:rPr>
          <w:highlight w:val="yellow"/>
        </w:rPr>
        <w:t>point or</w:t>
      </w:r>
      <w:r w:rsidRPr="008618D1">
        <w:rPr>
          <w:highlight w:val="yellow"/>
        </w:rPr>
        <w:t xml:space="preserve"> directly mount on microscope slides.</w:t>
      </w:r>
    </w:p>
    <w:p w14:paraId="0DD1BC0D" w14:textId="77777777" w:rsidR="003C6682" w:rsidRPr="008618D1" w:rsidRDefault="003C6682" w:rsidP="00A8328C">
      <w:pPr>
        <w:rPr>
          <w:highlight w:val="yellow"/>
        </w:rPr>
      </w:pPr>
    </w:p>
    <w:p w14:paraId="4227EB4E" w14:textId="789A8EA6" w:rsidR="003C6682" w:rsidRPr="008618D1" w:rsidRDefault="003C6682" w:rsidP="00A8328C">
      <w:pPr>
        <w:rPr>
          <w:highlight w:val="yellow"/>
        </w:rPr>
      </w:pPr>
      <w:r>
        <w:rPr>
          <w:highlight w:val="yellow"/>
        </w:rPr>
        <w:t>4</w:t>
      </w:r>
      <w:r w:rsidRPr="008618D1">
        <w:rPr>
          <w:highlight w:val="yellow"/>
        </w:rPr>
        <w:t>.2.3. For staining, prepare a 1 m</w:t>
      </w:r>
      <w:r>
        <w:rPr>
          <w:highlight w:val="yellow"/>
        </w:rPr>
        <w:t>L</w:t>
      </w:r>
      <w:r w:rsidRPr="008618D1">
        <w:rPr>
          <w:highlight w:val="yellow"/>
        </w:rPr>
        <w:t xml:space="preserve"> of </w:t>
      </w:r>
      <w:r>
        <w:rPr>
          <w:highlight w:val="yellow"/>
        </w:rPr>
        <w:t>250 µg</w:t>
      </w:r>
      <w:r w:rsidRPr="008618D1">
        <w:rPr>
          <w:highlight w:val="yellow"/>
        </w:rPr>
        <w:t>/m</w:t>
      </w:r>
      <w:r>
        <w:rPr>
          <w:highlight w:val="yellow"/>
        </w:rPr>
        <w:t>L</w:t>
      </w:r>
      <w:r w:rsidRPr="008618D1">
        <w:rPr>
          <w:highlight w:val="yellow"/>
        </w:rPr>
        <w:t xml:space="preserve"> of PI solution of water in a small petri dish (</w:t>
      </w:r>
      <w:r>
        <w:rPr>
          <w:highlight w:val="yellow"/>
        </w:rPr>
        <w:t xml:space="preserve">see </w:t>
      </w:r>
      <w:r w:rsidR="0002421F" w:rsidRPr="004C00FA">
        <w:rPr>
          <w:b/>
          <w:highlight w:val="yellow"/>
        </w:rPr>
        <w:t>T</w:t>
      </w:r>
      <w:r w:rsidRPr="004C00FA">
        <w:rPr>
          <w:b/>
          <w:highlight w:val="yellow"/>
        </w:rPr>
        <w:t xml:space="preserve">able of </w:t>
      </w:r>
      <w:r w:rsidR="0002421F" w:rsidRPr="004C00FA">
        <w:rPr>
          <w:b/>
          <w:highlight w:val="yellow"/>
        </w:rPr>
        <w:t>M</w:t>
      </w:r>
      <w:r w:rsidRPr="004C00FA">
        <w:rPr>
          <w:b/>
          <w:highlight w:val="yellow"/>
        </w:rPr>
        <w:t>aterials</w:t>
      </w:r>
      <w:r w:rsidRPr="008618D1">
        <w:rPr>
          <w:highlight w:val="yellow"/>
        </w:rPr>
        <w:t xml:space="preserve">). Immerse the sections for 5 min and rinse them in water. </w:t>
      </w:r>
      <w:r>
        <w:rPr>
          <w:highlight w:val="yellow"/>
        </w:rPr>
        <w:t>T</w:t>
      </w:r>
      <w:r w:rsidRPr="008618D1">
        <w:rPr>
          <w:highlight w:val="yellow"/>
        </w:rPr>
        <w:t xml:space="preserve">ransfer them to microscope slides with fine forceps or a fine paint brush. </w:t>
      </w:r>
      <w:r>
        <w:rPr>
          <w:highlight w:val="yellow"/>
        </w:rPr>
        <w:t>Take care</w:t>
      </w:r>
      <w:r w:rsidRPr="008618D1">
        <w:rPr>
          <w:highlight w:val="yellow"/>
        </w:rPr>
        <w:t xml:space="preserve"> to not squeeze the samples with the coverslip.</w:t>
      </w:r>
    </w:p>
    <w:p w14:paraId="107AEC1A" w14:textId="77777777" w:rsidR="003C6682" w:rsidRPr="008618D1" w:rsidRDefault="003C6682" w:rsidP="00A8328C">
      <w:pPr>
        <w:rPr>
          <w:highlight w:val="yellow"/>
        </w:rPr>
      </w:pPr>
    </w:p>
    <w:p w14:paraId="56C04FFA" w14:textId="52193004" w:rsidR="003C6682" w:rsidRPr="008618D1" w:rsidRDefault="003C6682" w:rsidP="00A8328C">
      <w:pPr>
        <w:tabs>
          <w:tab w:val="left" w:pos="1968"/>
        </w:tabs>
        <w:rPr>
          <w:highlight w:val="yellow"/>
        </w:rPr>
      </w:pPr>
      <w:r>
        <w:rPr>
          <w:highlight w:val="yellow"/>
        </w:rPr>
        <w:t>4</w:t>
      </w:r>
      <w:r w:rsidRPr="008618D1">
        <w:rPr>
          <w:highlight w:val="yellow"/>
        </w:rPr>
        <w:t xml:space="preserve">.2.4. </w:t>
      </w:r>
      <w:r>
        <w:rPr>
          <w:highlight w:val="yellow"/>
        </w:rPr>
        <w:t xml:space="preserve">Image samples using a confocal laser scanning microscope with a 25x dipping water immersion lens (see </w:t>
      </w:r>
      <w:r w:rsidR="00F52C83" w:rsidRPr="004C00FA">
        <w:rPr>
          <w:b/>
          <w:highlight w:val="yellow"/>
        </w:rPr>
        <w:t xml:space="preserve">Table </w:t>
      </w:r>
      <w:r w:rsidRPr="004C00FA">
        <w:rPr>
          <w:b/>
          <w:highlight w:val="yellow"/>
        </w:rPr>
        <w:t xml:space="preserve">of </w:t>
      </w:r>
      <w:r w:rsidR="00F52C83" w:rsidRPr="004C00FA">
        <w:rPr>
          <w:b/>
          <w:highlight w:val="yellow"/>
        </w:rPr>
        <w:t>Materials</w:t>
      </w:r>
      <w:r>
        <w:rPr>
          <w:highlight w:val="yellow"/>
        </w:rPr>
        <w:t xml:space="preserve">). Use </w:t>
      </w:r>
      <w:r w:rsidRPr="008618D1">
        <w:rPr>
          <w:highlight w:val="yellow"/>
        </w:rPr>
        <w:t xml:space="preserve">561 nm </w:t>
      </w:r>
      <w:r>
        <w:rPr>
          <w:highlight w:val="yellow"/>
        </w:rPr>
        <w:t xml:space="preserve">laser light to excite PI fluorescence and </w:t>
      </w:r>
      <w:r w:rsidRPr="008618D1">
        <w:rPr>
          <w:highlight w:val="yellow"/>
        </w:rPr>
        <w:t>collect</w:t>
      </w:r>
      <w:r>
        <w:rPr>
          <w:highlight w:val="yellow"/>
        </w:rPr>
        <w:t xml:space="preserve"> </w:t>
      </w:r>
      <w:r w:rsidRPr="008618D1">
        <w:rPr>
          <w:highlight w:val="yellow"/>
        </w:rPr>
        <w:t>from 570 to 620 nm</w:t>
      </w:r>
      <w:r>
        <w:rPr>
          <w:highlight w:val="yellow"/>
        </w:rPr>
        <w:t>.</w:t>
      </w:r>
      <w:r w:rsidRPr="008618D1">
        <w:rPr>
          <w:highlight w:val="yellow"/>
        </w:rPr>
        <w:t xml:space="preserve"> </w:t>
      </w:r>
      <w:r>
        <w:rPr>
          <w:highlight w:val="yellow"/>
        </w:rPr>
        <w:t>Use</w:t>
      </w:r>
      <w:r w:rsidRPr="008618D1">
        <w:rPr>
          <w:highlight w:val="yellow"/>
        </w:rPr>
        <w:t xml:space="preserve"> 405 nm </w:t>
      </w:r>
      <w:r>
        <w:rPr>
          <w:highlight w:val="yellow"/>
        </w:rPr>
        <w:t>to excite t</w:t>
      </w:r>
      <w:r w:rsidRPr="008618D1">
        <w:rPr>
          <w:highlight w:val="yellow"/>
        </w:rPr>
        <w:t>he mTurquoise2 fluorophore</w:t>
      </w:r>
      <w:r>
        <w:rPr>
          <w:highlight w:val="yellow"/>
        </w:rPr>
        <w:t xml:space="preserve"> </w:t>
      </w:r>
      <w:r w:rsidR="004C72EE">
        <w:rPr>
          <w:highlight w:val="yellow"/>
        </w:rPr>
        <w:t xml:space="preserve">effector encoded by the driver line constructs </w:t>
      </w:r>
      <w:r>
        <w:rPr>
          <w:highlight w:val="yellow"/>
        </w:rPr>
        <w:t xml:space="preserve">and </w:t>
      </w:r>
      <w:r w:rsidRPr="008618D1">
        <w:rPr>
          <w:highlight w:val="yellow"/>
        </w:rPr>
        <w:t xml:space="preserve">collect emission from 425 to 475 nm. </w:t>
      </w:r>
    </w:p>
    <w:p w14:paraId="2AC8FBF1" w14:textId="77777777" w:rsidR="003C6682" w:rsidRPr="008618D1" w:rsidRDefault="003C6682" w:rsidP="00A8328C">
      <w:pPr>
        <w:tabs>
          <w:tab w:val="left" w:pos="1968"/>
        </w:tabs>
        <w:rPr>
          <w:highlight w:val="yellow"/>
        </w:rPr>
      </w:pPr>
    </w:p>
    <w:p w14:paraId="7B762962" w14:textId="0E56DDEA" w:rsidR="003C6682" w:rsidRPr="00EE29DC" w:rsidRDefault="003C6682" w:rsidP="00A8328C">
      <w:pPr>
        <w:tabs>
          <w:tab w:val="left" w:pos="1968"/>
        </w:tabs>
        <w:rPr>
          <w:highlight w:val="yellow"/>
        </w:rPr>
      </w:pPr>
      <w:r>
        <w:rPr>
          <w:highlight w:val="yellow"/>
        </w:rPr>
        <w:t>4</w:t>
      </w:r>
      <w:r w:rsidRPr="00EE29DC">
        <w:rPr>
          <w:highlight w:val="yellow"/>
        </w:rPr>
        <w:t>.3. Shoot Apical Meristem</w:t>
      </w:r>
    </w:p>
    <w:p w14:paraId="7F1E96D3" w14:textId="77777777" w:rsidR="003C6682" w:rsidRPr="008618D1" w:rsidRDefault="003C6682" w:rsidP="00A8328C">
      <w:pPr>
        <w:tabs>
          <w:tab w:val="left" w:pos="1968"/>
        </w:tabs>
        <w:rPr>
          <w:highlight w:val="yellow"/>
          <w:u w:val="single"/>
        </w:rPr>
      </w:pPr>
    </w:p>
    <w:p w14:paraId="538D112A" w14:textId="607B2135" w:rsidR="003C6682" w:rsidRPr="008618D1" w:rsidRDefault="003C6682" w:rsidP="00A8328C">
      <w:pPr>
        <w:tabs>
          <w:tab w:val="left" w:pos="1968"/>
        </w:tabs>
        <w:rPr>
          <w:highlight w:val="yellow"/>
        </w:rPr>
      </w:pPr>
      <w:r>
        <w:rPr>
          <w:highlight w:val="yellow"/>
        </w:rPr>
        <w:t>4</w:t>
      </w:r>
      <w:r w:rsidRPr="008618D1">
        <w:rPr>
          <w:highlight w:val="yellow"/>
        </w:rPr>
        <w:t xml:space="preserve">.3.1 Cut the stem 2 cm below the </w:t>
      </w:r>
      <w:r w:rsidR="00CD3558">
        <w:rPr>
          <w:highlight w:val="yellow"/>
        </w:rPr>
        <w:t xml:space="preserve">shoot tip </w:t>
      </w:r>
      <w:r w:rsidRPr="008618D1">
        <w:rPr>
          <w:highlight w:val="yellow"/>
        </w:rPr>
        <w:t xml:space="preserve">with forceps. Hold the stem in one hand and use fine forceps to remove the flower buds and </w:t>
      </w:r>
      <w:r>
        <w:rPr>
          <w:highlight w:val="yellow"/>
        </w:rPr>
        <w:t>large</w:t>
      </w:r>
      <w:r w:rsidRPr="008618D1">
        <w:rPr>
          <w:highlight w:val="yellow"/>
        </w:rPr>
        <w:t xml:space="preserve"> primordia. To remove young primordia, </w:t>
      </w:r>
      <w:r>
        <w:rPr>
          <w:highlight w:val="yellow"/>
        </w:rPr>
        <w:t>fix</w:t>
      </w:r>
      <w:r w:rsidRPr="008618D1">
        <w:rPr>
          <w:highlight w:val="yellow"/>
        </w:rPr>
        <w:t xml:space="preserve"> the SAM in an upright position into a petri dish containing 3 % agarose. Use a binocular and forceps to remove young primordia close to the SAM. Alternatively</w:t>
      </w:r>
      <w:r>
        <w:rPr>
          <w:highlight w:val="yellow"/>
        </w:rPr>
        <w:t>,</w:t>
      </w:r>
      <w:r w:rsidRPr="008618D1">
        <w:rPr>
          <w:highlight w:val="yellow"/>
        </w:rPr>
        <w:t xml:space="preserve"> </w:t>
      </w:r>
      <w:r>
        <w:rPr>
          <w:highlight w:val="yellow"/>
        </w:rPr>
        <w:t xml:space="preserve">use </w:t>
      </w:r>
      <w:r w:rsidRPr="008618D1">
        <w:rPr>
          <w:highlight w:val="yellow"/>
        </w:rPr>
        <w:t xml:space="preserve">an injection cannula </w:t>
      </w:r>
      <w:r>
        <w:rPr>
          <w:highlight w:val="yellow"/>
        </w:rPr>
        <w:t xml:space="preserve">(see </w:t>
      </w:r>
      <w:r w:rsidR="00F52C83" w:rsidRPr="004C00FA">
        <w:rPr>
          <w:b/>
          <w:highlight w:val="yellow"/>
        </w:rPr>
        <w:t xml:space="preserve">Table </w:t>
      </w:r>
      <w:r w:rsidRPr="004C00FA">
        <w:rPr>
          <w:b/>
          <w:highlight w:val="yellow"/>
        </w:rPr>
        <w:t xml:space="preserve">of </w:t>
      </w:r>
      <w:r w:rsidR="00F52C83" w:rsidRPr="004C00FA">
        <w:rPr>
          <w:b/>
          <w:highlight w:val="yellow"/>
        </w:rPr>
        <w:t>Materials</w:t>
      </w:r>
      <w:r>
        <w:rPr>
          <w:highlight w:val="yellow"/>
        </w:rPr>
        <w:t xml:space="preserve">) </w:t>
      </w:r>
      <w:r w:rsidRPr="008618D1">
        <w:rPr>
          <w:highlight w:val="yellow"/>
        </w:rPr>
        <w:t xml:space="preserve">to cut off these primordia. </w:t>
      </w:r>
    </w:p>
    <w:p w14:paraId="65D8637A" w14:textId="77777777" w:rsidR="003C6682" w:rsidRPr="008618D1" w:rsidRDefault="003C6682" w:rsidP="00A8328C">
      <w:pPr>
        <w:tabs>
          <w:tab w:val="left" w:pos="1968"/>
        </w:tabs>
        <w:rPr>
          <w:highlight w:val="yellow"/>
        </w:rPr>
      </w:pPr>
    </w:p>
    <w:p w14:paraId="396D3CC0" w14:textId="7D1C95FE" w:rsidR="003C6682" w:rsidRPr="008618D1" w:rsidRDefault="003C6682" w:rsidP="00A8328C">
      <w:pPr>
        <w:tabs>
          <w:tab w:val="left" w:pos="1968"/>
        </w:tabs>
        <w:rPr>
          <w:highlight w:val="yellow"/>
        </w:rPr>
      </w:pPr>
      <w:r>
        <w:rPr>
          <w:highlight w:val="yellow"/>
        </w:rPr>
        <w:t>4</w:t>
      </w:r>
      <w:r w:rsidRPr="008618D1">
        <w:rPr>
          <w:highlight w:val="yellow"/>
        </w:rPr>
        <w:t>.3.2 Stain the dissected SAM in a 250 µg/m</w:t>
      </w:r>
      <w:r>
        <w:rPr>
          <w:highlight w:val="yellow"/>
        </w:rPr>
        <w:t>L</w:t>
      </w:r>
      <w:r w:rsidRPr="008618D1">
        <w:rPr>
          <w:highlight w:val="yellow"/>
        </w:rPr>
        <w:t xml:space="preserve"> PI solution for 5-10 min. </w:t>
      </w:r>
      <w:r>
        <w:rPr>
          <w:highlight w:val="yellow"/>
        </w:rPr>
        <w:t>Perform</w:t>
      </w:r>
      <w:r w:rsidRPr="008618D1">
        <w:rPr>
          <w:highlight w:val="yellow"/>
        </w:rPr>
        <w:t xml:space="preserve"> </w:t>
      </w:r>
      <w:r w:rsidR="008334D5">
        <w:rPr>
          <w:highlight w:val="yellow"/>
        </w:rPr>
        <w:t>s</w:t>
      </w:r>
      <w:r w:rsidR="008334D5" w:rsidRPr="008618D1">
        <w:rPr>
          <w:highlight w:val="yellow"/>
        </w:rPr>
        <w:t>taining either</w:t>
      </w:r>
      <w:r w:rsidRPr="008618D1">
        <w:rPr>
          <w:highlight w:val="yellow"/>
        </w:rPr>
        <w:t xml:space="preserve"> directly by pipetting a few drops of staining solution on top of the prepared SAM or transfer the sample to a tube filled with staining solution. </w:t>
      </w:r>
      <w:r>
        <w:rPr>
          <w:highlight w:val="yellow"/>
        </w:rPr>
        <w:t>Keep the</w:t>
      </w:r>
      <w:r w:rsidRPr="008618D1">
        <w:rPr>
          <w:highlight w:val="yellow"/>
        </w:rPr>
        <w:t xml:space="preserve"> </w:t>
      </w:r>
      <w:r w:rsidR="008334D5" w:rsidRPr="008618D1">
        <w:rPr>
          <w:highlight w:val="yellow"/>
        </w:rPr>
        <w:t>SAM</w:t>
      </w:r>
      <w:r w:rsidR="008334D5">
        <w:rPr>
          <w:highlight w:val="yellow"/>
        </w:rPr>
        <w:t xml:space="preserve"> </w:t>
      </w:r>
      <w:r w:rsidR="008334D5" w:rsidRPr="008618D1">
        <w:rPr>
          <w:highlight w:val="yellow"/>
        </w:rPr>
        <w:t>fully</w:t>
      </w:r>
      <w:r w:rsidRPr="008618D1">
        <w:rPr>
          <w:highlight w:val="yellow"/>
        </w:rPr>
        <w:t xml:space="preserve"> submerged during the staining procedure.</w:t>
      </w:r>
    </w:p>
    <w:p w14:paraId="2EC06E23" w14:textId="77777777" w:rsidR="003C6682" w:rsidRPr="008618D1" w:rsidRDefault="003C6682" w:rsidP="00A8328C">
      <w:pPr>
        <w:tabs>
          <w:tab w:val="left" w:pos="1968"/>
        </w:tabs>
        <w:rPr>
          <w:highlight w:val="yellow"/>
        </w:rPr>
      </w:pPr>
    </w:p>
    <w:p w14:paraId="274E0D22" w14:textId="4FC42723" w:rsidR="003C6682" w:rsidRPr="008618D1" w:rsidRDefault="003C6682" w:rsidP="00A8328C">
      <w:pPr>
        <w:tabs>
          <w:tab w:val="left" w:pos="1968"/>
        </w:tabs>
        <w:rPr>
          <w:highlight w:val="yellow"/>
        </w:rPr>
      </w:pPr>
      <w:r>
        <w:rPr>
          <w:highlight w:val="yellow"/>
        </w:rPr>
        <w:t>4</w:t>
      </w:r>
      <w:r w:rsidRPr="008618D1">
        <w:rPr>
          <w:highlight w:val="yellow"/>
        </w:rPr>
        <w:t>.3.3. Place the stained SAM into a small petri dish (</w:t>
      </w:r>
      <w:r>
        <w:rPr>
          <w:highlight w:val="yellow"/>
        </w:rPr>
        <w:t xml:space="preserve">see </w:t>
      </w:r>
      <w:r w:rsidR="00F52C83" w:rsidRPr="004C00FA">
        <w:rPr>
          <w:b/>
          <w:highlight w:val="yellow"/>
        </w:rPr>
        <w:t xml:space="preserve">Table </w:t>
      </w:r>
      <w:r w:rsidRPr="004C00FA">
        <w:rPr>
          <w:b/>
          <w:highlight w:val="yellow"/>
        </w:rPr>
        <w:t xml:space="preserve">of </w:t>
      </w:r>
      <w:r w:rsidR="00F52C83" w:rsidRPr="004C00FA">
        <w:rPr>
          <w:b/>
          <w:highlight w:val="yellow"/>
        </w:rPr>
        <w:t>Materials</w:t>
      </w:r>
      <w:r>
        <w:rPr>
          <w:highlight w:val="yellow"/>
        </w:rPr>
        <w:t xml:space="preserve">) </w:t>
      </w:r>
      <w:r w:rsidRPr="008618D1">
        <w:rPr>
          <w:highlight w:val="yellow"/>
        </w:rPr>
        <w:t>with 3 % agarose medium and cover the SAM with ddH</w:t>
      </w:r>
      <w:r w:rsidRPr="008618D1">
        <w:rPr>
          <w:highlight w:val="yellow"/>
          <w:vertAlign w:val="subscript"/>
        </w:rPr>
        <w:t>2</w:t>
      </w:r>
      <w:r w:rsidRPr="008618D1">
        <w:rPr>
          <w:highlight w:val="yellow"/>
        </w:rPr>
        <w:t xml:space="preserve">O. </w:t>
      </w:r>
    </w:p>
    <w:p w14:paraId="785A91B6" w14:textId="77777777" w:rsidR="003C6682" w:rsidRPr="008618D1" w:rsidRDefault="003C6682" w:rsidP="00A8328C">
      <w:pPr>
        <w:tabs>
          <w:tab w:val="left" w:pos="1968"/>
        </w:tabs>
        <w:rPr>
          <w:highlight w:val="yellow"/>
        </w:rPr>
      </w:pPr>
    </w:p>
    <w:p w14:paraId="4594F472" w14:textId="2EC70595" w:rsidR="003C6682" w:rsidRDefault="003C6682" w:rsidP="00A8328C">
      <w:pPr>
        <w:tabs>
          <w:tab w:val="left" w:pos="1968"/>
        </w:tabs>
      </w:pPr>
      <w:r>
        <w:rPr>
          <w:highlight w:val="yellow"/>
        </w:rPr>
        <w:t>4</w:t>
      </w:r>
      <w:r w:rsidRPr="008618D1">
        <w:rPr>
          <w:highlight w:val="yellow"/>
        </w:rPr>
        <w:t>.3.4. Imag</w:t>
      </w:r>
      <w:r>
        <w:rPr>
          <w:highlight w:val="yellow"/>
        </w:rPr>
        <w:t>e dissected SAMs using a</w:t>
      </w:r>
      <w:r w:rsidRPr="008618D1">
        <w:rPr>
          <w:highlight w:val="yellow"/>
        </w:rPr>
        <w:t xml:space="preserve"> </w:t>
      </w:r>
      <w:r>
        <w:rPr>
          <w:highlight w:val="yellow"/>
        </w:rPr>
        <w:t>confocal laser scanning microscope</w:t>
      </w:r>
      <w:r w:rsidRPr="008618D1">
        <w:rPr>
          <w:highlight w:val="yellow"/>
        </w:rPr>
        <w:t xml:space="preserve"> equipped with </w:t>
      </w:r>
      <w:r>
        <w:rPr>
          <w:highlight w:val="yellow"/>
        </w:rPr>
        <w:t xml:space="preserve">a </w:t>
      </w:r>
      <w:proofErr w:type="gramStart"/>
      <w:r w:rsidRPr="008618D1">
        <w:rPr>
          <w:highlight w:val="yellow"/>
        </w:rPr>
        <w:t>25</w:t>
      </w:r>
      <w:r>
        <w:rPr>
          <w:highlight w:val="yellow"/>
        </w:rPr>
        <w:t xml:space="preserve"> </w:t>
      </w:r>
      <w:r w:rsidRPr="008618D1">
        <w:rPr>
          <w:highlight w:val="yellow"/>
        </w:rPr>
        <w:t>x</w:t>
      </w:r>
      <w:proofErr w:type="gramEnd"/>
      <w:r w:rsidRPr="008618D1">
        <w:rPr>
          <w:highlight w:val="yellow"/>
        </w:rPr>
        <w:t xml:space="preserve"> </w:t>
      </w:r>
      <w:r>
        <w:rPr>
          <w:highlight w:val="yellow"/>
        </w:rPr>
        <w:t xml:space="preserve">dipping </w:t>
      </w:r>
      <w:r w:rsidRPr="008618D1">
        <w:rPr>
          <w:highlight w:val="yellow"/>
        </w:rPr>
        <w:t>water immersion lens</w:t>
      </w:r>
      <w:r>
        <w:rPr>
          <w:highlight w:val="yellow"/>
        </w:rPr>
        <w:t xml:space="preserve"> (see </w:t>
      </w:r>
      <w:r w:rsidR="00F52C83" w:rsidRPr="004C00FA">
        <w:rPr>
          <w:b/>
          <w:highlight w:val="yellow"/>
        </w:rPr>
        <w:t xml:space="preserve">Table </w:t>
      </w:r>
      <w:r w:rsidRPr="004C00FA">
        <w:rPr>
          <w:b/>
          <w:highlight w:val="yellow"/>
        </w:rPr>
        <w:t xml:space="preserve">of </w:t>
      </w:r>
      <w:r w:rsidR="00F52C83" w:rsidRPr="004C00FA">
        <w:rPr>
          <w:b/>
          <w:highlight w:val="yellow"/>
        </w:rPr>
        <w:t>Materials</w:t>
      </w:r>
      <w:r>
        <w:rPr>
          <w:highlight w:val="yellow"/>
        </w:rPr>
        <w:t>)</w:t>
      </w:r>
      <w:r w:rsidRPr="008618D1">
        <w:rPr>
          <w:highlight w:val="yellow"/>
        </w:rPr>
        <w:t xml:space="preserve">. </w:t>
      </w:r>
    </w:p>
    <w:p w14:paraId="78E04390" w14:textId="77777777" w:rsidR="008334D5" w:rsidRDefault="008334D5" w:rsidP="00A8328C">
      <w:pPr>
        <w:tabs>
          <w:tab w:val="left" w:pos="1968"/>
        </w:tabs>
        <w:rPr>
          <w:highlight w:val="yellow"/>
        </w:rPr>
      </w:pPr>
    </w:p>
    <w:p w14:paraId="7E7280AB" w14:textId="7D79C9FF" w:rsidR="003C6682" w:rsidRPr="008618D1" w:rsidRDefault="008334D5" w:rsidP="00A8328C">
      <w:pPr>
        <w:tabs>
          <w:tab w:val="left" w:pos="1968"/>
        </w:tabs>
        <w:rPr>
          <w:highlight w:val="yellow"/>
        </w:rPr>
      </w:pPr>
      <w:r>
        <w:rPr>
          <w:highlight w:val="yellow"/>
        </w:rPr>
        <w:t xml:space="preserve">4.3.5. </w:t>
      </w:r>
      <w:r w:rsidR="003C6682">
        <w:rPr>
          <w:highlight w:val="yellow"/>
        </w:rPr>
        <w:t xml:space="preserve">Use </w:t>
      </w:r>
      <w:r w:rsidR="003C6682" w:rsidRPr="008618D1">
        <w:rPr>
          <w:highlight w:val="yellow"/>
        </w:rPr>
        <w:t xml:space="preserve">561 nm </w:t>
      </w:r>
      <w:r w:rsidR="003C6682">
        <w:rPr>
          <w:highlight w:val="yellow"/>
        </w:rPr>
        <w:t xml:space="preserve">laser light to excite PI fluorescence and </w:t>
      </w:r>
      <w:r w:rsidR="003C6682" w:rsidRPr="008618D1">
        <w:rPr>
          <w:highlight w:val="yellow"/>
        </w:rPr>
        <w:t>collect</w:t>
      </w:r>
      <w:r w:rsidR="003C6682">
        <w:rPr>
          <w:highlight w:val="yellow"/>
        </w:rPr>
        <w:t xml:space="preserve"> </w:t>
      </w:r>
      <w:r w:rsidR="003C6682" w:rsidRPr="008618D1">
        <w:rPr>
          <w:highlight w:val="yellow"/>
        </w:rPr>
        <w:t>from 570 to 620 nm</w:t>
      </w:r>
      <w:r w:rsidR="003C6682">
        <w:rPr>
          <w:highlight w:val="yellow"/>
        </w:rPr>
        <w:t>.</w:t>
      </w:r>
      <w:r w:rsidR="003C6682" w:rsidRPr="008618D1">
        <w:rPr>
          <w:highlight w:val="yellow"/>
        </w:rPr>
        <w:t xml:space="preserve"> </w:t>
      </w:r>
      <w:r w:rsidR="003C6682">
        <w:rPr>
          <w:highlight w:val="yellow"/>
        </w:rPr>
        <w:t>Use</w:t>
      </w:r>
      <w:r w:rsidR="003C6682" w:rsidRPr="008618D1">
        <w:rPr>
          <w:highlight w:val="yellow"/>
        </w:rPr>
        <w:t xml:space="preserve"> 405 nm </w:t>
      </w:r>
      <w:r w:rsidR="003C6682">
        <w:rPr>
          <w:highlight w:val="yellow"/>
        </w:rPr>
        <w:t>to excite t</w:t>
      </w:r>
      <w:r w:rsidR="003C6682" w:rsidRPr="008618D1">
        <w:rPr>
          <w:highlight w:val="yellow"/>
        </w:rPr>
        <w:t>he mTurquoise2 fluorophore</w:t>
      </w:r>
      <w:r w:rsidR="003C6682">
        <w:rPr>
          <w:highlight w:val="yellow"/>
        </w:rPr>
        <w:t xml:space="preserve"> and </w:t>
      </w:r>
      <w:r w:rsidR="003C6682" w:rsidRPr="008618D1">
        <w:rPr>
          <w:highlight w:val="yellow"/>
        </w:rPr>
        <w:t xml:space="preserve">collect emission from 425 to 475 nm. </w:t>
      </w:r>
    </w:p>
    <w:p w14:paraId="09BF165D" w14:textId="3F5A7EA8" w:rsidR="003C6682" w:rsidRPr="008618D1" w:rsidRDefault="003C6682" w:rsidP="00A8328C">
      <w:pPr>
        <w:tabs>
          <w:tab w:val="left" w:pos="1968"/>
        </w:tabs>
        <w:rPr>
          <w:highlight w:val="yellow"/>
        </w:rPr>
      </w:pPr>
      <w:r w:rsidRPr="008618D1">
        <w:rPr>
          <w:highlight w:val="yellow"/>
        </w:rPr>
        <w:t>Record image stacks span</w:t>
      </w:r>
      <w:r>
        <w:rPr>
          <w:highlight w:val="yellow"/>
        </w:rPr>
        <w:t>ning</w:t>
      </w:r>
      <w:r w:rsidRPr="008618D1">
        <w:rPr>
          <w:highlight w:val="yellow"/>
        </w:rPr>
        <w:t xml:space="preserve"> 50 µm in z-direction with a step size of 0.5 µm. </w:t>
      </w:r>
    </w:p>
    <w:bookmarkEnd w:id="1"/>
    <w:p w14:paraId="02C9932E" w14:textId="77777777" w:rsidR="003C6682" w:rsidRPr="008618D1" w:rsidRDefault="003C6682" w:rsidP="00A8328C">
      <w:pPr>
        <w:tabs>
          <w:tab w:val="left" w:pos="1968"/>
        </w:tabs>
        <w:rPr>
          <w:highlight w:val="yellow"/>
          <w:shd w:val="clear" w:color="auto" w:fill="FF0000"/>
        </w:rPr>
      </w:pPr>
    </w:p>
    <w:p w14:paraId="0A1FF154" w14:textId="6879F460" w:rsidR="003C6682" w:rsidRDefault="008334D5" w:rsidP="00A8328C">
      <w:r w:rsidRPr="00991462">
        <w:t xml:space="preserve">NOTE: </w:t>
      </w:r>
      <w:r w:rsidR="003C6682" w:rsidRPr="00991462">
        <w:t>SAM imaging as described here requires an upright confocal laser scanning microscope and a lens (here, a water dipping lens) with long working distance.</w:t>
      </w:r>
    </w:p>
    <w:p w14:paraId="3A900821" w14:textId="77777777" w:rsidR="00C27AB6" w:rsidRDefault="00C27AB6" w:rsidP="00A8328C"/>
    <w:p w14:paraId="3136BEF3" w14:textId="63D414EA" w:rsidR="003C6682" w:rsidRDefault="003C6682" w:rsidP="00A8328C">
      <w:pPr>
        <w:pStyle w:val="NormalWeb"/>
        <w:spacing w:after="0"/>
        <w:rPr>
          <w:color w:val="808080"/>
        </w:rPr>
      </w:pPr>
      <w:r>
        <w:rPr>
          <w:b/>
          <w:bCs/>
        </w:rPr>
        <w:t xml:space="preserve">REPRESENTATIVE RESULTS: </w:t>
      </w:r>
    </w:p>
    <w:p w14:paraId="5A3331C5" w14:textId="77777777" w:rsidR="008334D5" w:rsidRDefault="008334D5" w:rsidP="00A8328C">
      <w:pPr>
        <w:pStyle w:val="NormalWeb"/>
        <w:spacing w:after="0"/>
        <w:rPr>
          <w:rStyle w:val="InternetLink"/>
          <w:b/>
          <w:bCs/>
        </w:rPr>
      </w:pPr>
    </w:p>
    <w:p w14:paraId="1C482EC5" w14:textId="77777777" w:rsidR="003C6682" w:rsidRDefault="003C6682" w:rsidP="00A8328C">
      <w:pPr>
        <w:rPr>
          <w:b/>
          <w:bCs/>
        </w:rPr>
      </w:pPr>
      <w:r>
        <w:rPr>
          <w:b/>
          <w:bCs/>
        </w:rPr>
        <w:t xml:space="preserve">Generation of driver and effector lines through </w:t>
      </w:r>
      <w:proofErr w:type="spellStart"/>
      <w:r>
        <w:rPr>
          <w:b/>
          <w:bCs/>
        </w:rPr>
        <w:t>GreenGate</w:t>
      </w:r>
      <w:proofErr w:type="spellEnd"/>
      <w:r>
        <w:rPr>
          <w:b/>
          <w:bCs/>
        </w:rPr>
        <w:t xml:space="preserve"> cloning</w:t>
      </w:r>
    </w:p>
    <w:p w14:paraId="183701C7" w14:textId="15E5E11D" w:rsidR="003C6682" w:rsidRDefault="003C6682" w:rsidP="00A8328C">
      <w:r>
        <w:t xml:space="preserve">The </w:t>
      </w:r>
      <w:proofErr w:type="spellStart"/>
      <w:r>
        <w:t>GreenGate</w:t>
      </w:r>
      <w:proofErr w:type="spellEnd"/>
      <w:r>
        <w:t xml:space="preserve"> cloning system is based on </w:t>
      </w:r>
      <w:proofErr w:type="spellStart"/>
      <w:r>
        <w:t>GoldenGate</w:t>
      </w:r>
      <w:proofErr w:type="spellEnd"/>
      <w:r>
        <w:t xml:space="preserve"> cloning and use the type IIS restriction endonuclease </w:t>
      </w:r>
      <w:proofErr w:type="spellStart"/>
      <w:r w:rsidRPr="50267A13">
        <w:rPr>
          <w:i/>
          <w:iCs/>
        </w:rPr>
        <w:t>Bsa</w:t>
      </w:r>
      <w:r>
        <w:t>I</w:t>
      </w:r>
      <w:proofErr w:type="spellEnd"/>
      <w:r>
        <w:t xml:space="preserve"> or its </w:t>
      </w:r>
      <w:proofErr w:type="spellStart"/>
      <w:r>
        <w:t>isoschizomer</w:t>
      </w:r>
      <w:proofErr w:type="spellEnd"/>
      <w:r>
        <w:t xml:space="preserve"> </w:t>
      </w:r>
      <w:r w:rsidRPr="50267A13">
        <w:rPr>
          <w:i/>
          <w:iCs/>
        </w:rPr>
        <w:t>Eco</w:t>
      </w:r>
      <w:r>
        <w:t>31I. As the enzyme produces overhangs distant f</w:t>
      </w:r>
      <w:r w:rsidR="001D13B4">
        <w:t>ro</w:t>
      </w:r>
      <w:r>
        <w:t xml:space="preserve">m its asymmetric recognition site, the base composition of the overhangs can be freely chosen, which is the basis </w:t>
      </w:r>
      <w:proofErr w:type="spellStart"/>
      <w:r>
        <w:t>form</w:t>
      </w:r>
      <w:proofErr w:type="spellEnd"/>
      <w:r>
        <w:t xml:space="preserve"> the modularity of the system. Each PCR-generated element, for example</w:t>
      </w:r>
      <w:r w:rsidR="001D13B4">
        <w:t>,</w:t>
      </w:r>
      <w:r>
        <w:t xml:space="preserve"> a promoter sequence, CDS, or terminator, is first inserted into a designated entry vector with matching overhangs produced by restriction digest to generate a module. After subcloning, </w:t>
      </w:r>
      <w:proofErr w:type="gramStart"/>
      <w:r>
        <w:t>a number of</w:t>
      </w:r>
      <w:proofErr w:type="gramEnd"/>
      <w:r>
        <w:t xml:space="preserve"> matching modules, usually six, are used for the </w:t>
      </w:r>
      <w:proofErr w:type="spellStart"/>
      <w:r>
        <w:t>GreenGate</w:t>
      </w:r>
      <w:proofErr w:type="spellEnd"/>
      <w:r>
        <w:t xml:space="preserve"> ligation reaction resulting in the assembly of the construct in a binary plant destination vector.  </w:t>
      </w:r>
    </w:p>
    <w:p w14:paraId="3F5D21C3" w14:textId="77777777" w:rsidR="008334D5" w:rsidRDefault="008334D5" w:rsidP="00A8328C"/>
    <w:p w14:paraId="114BEA57" w14:textId="1D12A5B2" w:rsidR="003C6682" w:rsidRDefault="003C6682" w:rsidP="00A8328C">
      <w:r>
        <w:t>For driver lines, modules containing the DNA sequences of tissue-specific promoter (</w:t>
      </w:r>
      <w:proofErr w:type="spellStart"/>
      <w:r>
        <w:t>pTS</w:t>
      </w:r>
      <w:proofErr w:type="spellEnd"/>
      <w:r>
        <w:t xml:space="preserve">), the GR-LHG4 transcription factor, the </w:t>
      </w:r>
      <w:r w:rsidRPr="000007FD">
        <w:rPr>
          <w:i/>
        </w:rPr>
        <w:t>pOp6</w:t>
      </w:r>
      <w:r>
        <w:t xml:space="preserve"> promoter, and the mTurquoise2 reporter fused to an N-terminal signal peptide and a C-terminal ER retention signal were fused including terminators and various adapter modules and a module for transgenic selection as described previously </w:t>
      </w:r>
      <w:r w:rsidRPr="00344862">
        <w:rPr>
          <w:noProof/>
          <w:vertAlign w:val="superscript"/>
        </w:rPr>
        <w:t>2,8</w:t>
      </w:r>
      <w:r>
        <w:t xml:space="preserve"> (</w:t>
      </w:r>
      <w:r w:rsidRPr="004C00FA">
        <w:rPr>
          <w:b/>
        </w:rPr>
        <w:t>Fig</w:t>
      </w:r>
      <w:r w:rsidR="00F52C83" w:rsidRPr="004C00FA">
        <w:rPr>
          <w:b/>
        </w:rPr>
        <w:t>ure</w:t>
      </w:r>
      <w:r w:rsidRPr="004C00FA">
        <w:rPr>
          <w:b/>
        </w:rPr>
        <w:t xml:space="preserve"> 2</w:t>
      </w:r>
      <w:r>
        <w:t xml:space="preserve">). Effector lines were constructed with </w:t>
      </w:r>
      <w:r w:rsidRPr="000007FD">
        <w:rPr>
          <w:i/>
        </w:rPr>
        <w:t>pOp6</w:t>
      </w:r>
      <w:r>
        <w:t xml:space="preserve"> promoter, and an effector cassette, for example consisting of a gene of interest and terminator as well as a module encoding a resistance gene for transgenic plant selection (</w:t>
      </w:r>
      <w:r w:rsidRPr="004C00FA">
        <w:rPr>
          <w:b/>
        </w:rPr>
        <w:t>Fig</w:t>
      </w:r>
      <w:r w:rsidR="00F52C83" w:rsidRPr="004C00FA">
        <w:rPr>
          <w:b/>
        </w:rPr>
        <w:t>ure</w:t>
      </w:r>
      <w:r w:rsidRPr="004C00FA">
        <w:rPr>
          <w:b/>
        </w:rPr>
        <w:t xml:space="preserve"> 2</w:t>
      </w:r>
      <w:r>
        <w:t>).</w:t>
      </w:r>
    </w:p>
    <w:p w14:paraId="564E87A2" w14:textId="77777777" w:rsidR="008334D5" w:rsidRDefault="008334D5" w:rsidP="00A8328C">
      <w:pPr>
        <w:rPr>
          <w:b/>
          <w:bCs/>
        </w:rPr>
      </w:pPr>
    </w:p>
    <w:p w14:paraId="2869C42E" w14:textId="1697BD86" w:rsidR="003C6682" w:rsidRDefault="003C6682" w:rsidP="00A8328C">
      <w:pPr>
        <w:rPr>
          <w:b/>
          <w:bCs/>
        </w:rPr>
      </w:pPr>
      <w:r>
        <w:rPr>
          <w:b/>
          <w:bCs/>
        </w:rPr>
        <w:t>Induction of driver lines and visualization of reporter fluorescence</w:t>
      </w:r>
    </w:p>
    <w:p w14:paraId="7C97D181" w14:textId="10F4E04A" w:rsidR="003C6682" w:rsidRDefault="003C6682" w:rsidP="00A8328C">
      <w:r>
        <w:t xml:space="preserve">Induction with </w:t>
      </w:r>
      <w:proofErr w:type="spellStart"/>
      <w:r>
        <w:t>Dex</w:t>
      </w:r>
      <w:proofErr w:type="spellEnd"/>
      <w:r>
        <w:t xml:space="preserve"> leads to cell type specific mTurquoise2 expression in the root endodermis (</w:t>
      </w:r>
      <w:proofErr w:type="spellStart"/>
      <w:r w:rsidRPr="000007FD">
        <w:rPr>
          <w:i/>
        </w:rPr>
        <w:t>pSCR</w:t>
      </w:r>
      <w:proofErr w:type="spellEnd"/>
      <w:r>
        <w:t xml:space="preserve">&gt;&gt;SP-mTurquoise2-HDEL, </w:t>
      </w:r>
      <w:r w:rsidRPr="004C00FA">
        <w:rPr>
          <w:b/>
        </w:rPr>
        <w:t>Fig</w:t>
      </w:r>
      <w:r w:rsidR="00F52C83" w:rsidRPr="004C00FA">
        <w:rPr>
          <w:b/>
        </w:rPr>
        <w:t>ure</w:t>
      </w:r>
      <w:r w:rsidRPr="004C00FA">
        <w:rPr>
          <w:b/>
        </w:rPr>
        <w:t xml:space="preserve"> 3A</w:t>
      </w:r>
      <w:r>
        <w:t>), phloem precursors and cambium (</w:t>
      </w:r>
      <w:r w:rsidRPr="000007FD">
        <w:rPr>
          <w:i/>
        </w:rPr>
        <w:t>pSMXL5</w:t>
      </w:r>
      <w:r>
        <w:t xml:space="preserve">&gt;&gt;SP-mTurquoise2-HDEL </w:t>
      </w:r>
      <w:r w:rsidR="00263B19" w:rsidRPr="000A2C22">
        <w:rPr>
          <w:noProof/>
          <w:vertAlign w:val="superscript"/>
        </w:rPr>
        <w:t>1</w:t>
      </w:r>
      <w:r w:rsidR="00263B19">
        <w:rPr>
          <w:noProof/>
          <w:vertAlign w:val="superscript"/>
        </w:rPr>
        <w:t>7</w:t>
      </w:r>
      <w:r>
        <w:t xml:space="preserve">, </w:t>
      </w:r>
      <w:r w:rsidRPr="004C00FA">
        <w:rPr>
          <w:b/>
        </w:rPr>
        <w:t>Fig</w:t>
      </w:r>
      <w:r w:rsidR="00F52C83" w:rsidRPr="004C00FA">
        <w:rPr>
          <w:b/>
        </w:rPr>
        <w:t>ure</w:t>
      </w:r>
      <w:r w:rsidRPr="004C00FA">
        <w:rPr>
          <w:b/>
        </w:rPr>
        <w:t xml:space="preserve"> 3B</w:t>
      </w:r>
      <w:r>
        <w:t>), and the stem cells in the shoot apical meristem (</w:t>
      </w:r>
      <w:r w:rsidRPr="000007FD">
        <w:rPr>
          <w:i/>
        </w:rPr>
        <w:t>pCLV3</w:t>
      </w:r>
      <w:r>
        <w:t xml:space="preserve">&gt;&gt;SP-mTurquoise2-HDEL </w:t>
      </w:r>
      <w:r w:rsidR="00263B19" w:rsidRPr="000A2C22">
        <w:rPr>
          <w:noProof/>
          <w:vertAlign w:val="superscript"/>
        </w:rPr>
        <w:t>1</w:t>
      </w:r>
      <w:r w:rsidR="00263B19">
        <w:rPr>
          <w:noProof/>
          <w:vertAlign w:val="superscript"/>
        </w:rPr>
        <w:t>8</w:t>
      </w:r>
      <w:r>
        <w:t xml:space="preserve">, </w:t>
      </w:r>
      <w:r w:rsidRPr="004C00FA">
        <w:rPr>
          <w:b/>
        </w:rPr>
        <w:t>Fig</w:t>
      </w:r>
      <w:r w:rsidR="00F52C83" w:rsidRPr="004C00FA">
        <w:rPr>
          <w:b/>
        </w:rPr>
        <w:t>ure</w:t>
      </w:r>
      <w:r w:rsidRPr="004C00FA">
        <w:rPr>
          <w:b/>
        </w:rPr>
        <w:t xml:space="preserve"> 3C</w:t>
      </w:r>
      <w:r>
        <w:t>).</w:t>
      </w:r>
    </w:p>
    <w:p w14:paraId="752E27CC" w14:textId="77777777" w:rsidR="008334D5" w:rsidRDefault="008334D5" w:rsidP="00A8328C">
      <w:pPr>
        <w:rPr>
          <w:b/>
          <w:bCs/>
        </w:rPr>
      </w:pPr>
    </w:p>
    <w:p w14:paraId="674D35ED" w14:textId="43C845E4" w:rsidR="003C6682" w:rsidRDefault="003C6682" w:rsidP="00A8328C">
      <w:pPr>
        <w:rPr>
          <w:b/>
          <w:bCs/>
        </w:rPr>
      </w:pPr>
      <w:r>
        <w:rPr>
          <w:b/>
          <w:bCs/>
        </w:rPr>
        <w:t>Trans-activation of VND7 in starch sheath cells of the cambium</w:t>
      </w:r>
    </w:p>
    <w:p w14:paraId="181AACE0" w14:textId="36530698" w:rsidR="003C6682" w:rsidRDefault="003C6682" w:rsidP="00A8328C">
      <w:r>
        <w:t xml:space="preserve">As a test case for trans-activation, we generated an effector line encoding the secondary cell wall master transcription factor VND7 fused to the VP16 activation domain, which has been shown to induce secondary cell wall formation cell autonomously when </w:t>
      </w:r>
      <w:proofErr w:type="spellStart"/>
      <w:r>
        <w:t>misexpressed</w:t>
      </w:r>
      <w:proofErr w:type="spellEnd"/>
      <w:r>
        <w:t xml:space="preserve"> </w:t>
      </w:r>
      <w:r w:rsidRPr="00344862">
        <w:rPr>
          <w:noProof/>
          <w:vertAlign w:val="superscript"/>
        </w:rPr>
        <w:t>8,9,</w:t>
      </w:r>
      <w:r w:rsidR="00263B19" w:rsidRPr="00344862">
        <w:rPr>
          <w:noProof/>
          <w:vertAlign w:val="superscript"/>
        </w:rPr>
        <w:t>1</w:t>
      </w:r>
      <w:r w:rsidR="00263B19">
        <w:rPr>
          <w:noProof/>
          <w:vertAlign w:val="superscript"/>
        </w:rPr>
        <w:t>9</w:t>
      </w:r>
      <w:r w:rsidRPr="00344862">
        <w:rPr>
          <w:noProof/>
          <w:vertAlign w:val="superscript"/>
        </w:rPr>
        <w:t>,</w:t>
      </w:r>
      <w:r w:rsidR="00263B19">
        <w:rPr>
          <w:noProof/>
          <w:vertAlign w:val="superscript"/>
        </w:rPr>
        <w:t>20</w:t>
      </w:r>
      <w:r>
        <w:t>.</w:t>
      </w:r>
    </w:p>
    <w:p w14:paraId="3144BFF7" w14:textId="77777777" w:rsidR="008334D5" w:rsidRDefault="008334D5" w:rsidP="00A8328C"/>
    <w:p w14:paraId="5266D6CE" w14:textId="0CC64A34" w:rsidR="003C6682" w:rsidRDefault="003C6682" w:rsidP="00A8328C">
      <w:r>
        <w:t xml:space="preserve">After 5 days of a single treatment with either 15 µM of </w:t>
      </w:r>
      <w:proofErr w:type="spellStart"/>
      <w:r>
        <w:t>Dex</w:t>
      </w:r>
      <w:proofErr w:type="spellEnd"/>
      <w:r>
        <w:t xml:space="preserve"> or DMSO for the induced or the mock plants respectively, stem sections were prepared for the visualization of ectopic lignification in the starch sheath. Propidium Iodide shows in the stem strong affinity to lignified tissue. The starch sheath cells in induced samples by </w:t>
      </w:r>
      <w:proofErr w:type="spellStart"/>
      <w:r>
        <w:t>Dex</w:t>
      </w:r>
      <w:proofErr w:type="spellEnd"/>
      <w:r>
        <w:t>, but not in the mock showed a strong signal for the PI channel and some cells show the typical reticulate thickening of the cell wall in xylem cells (</w:t>
      </w:r>
      <w:r w:rsidRPr="008334D5">
        <w:rPr>
          <w:b/>
        </w:rPr>
        <w:t>Fig</w:t>
      </w:r>
      <w:r w:rsidR="008334D5" w:rsidRPr="008334D5">
        <w:rPr>
          <w:b/>
        </w:rPr>
        <w:t>ure</w:t>
      </w:r>
      <w:r w:rsidRPr="008334D5">
        <w:rPr>
          <w:b/>
        </w:rPr>
        <w:t xml:space="preserve"> 4</w:t>
      </w:r>
      <w:r>
        <w:t>).</w:t>
      </w:r>
    </w:p>
    <w:p w14:paraId="44718392" w14:textId="77777777" w:rsidR="003C6682" w:rsidRDefault="003C6682" w:rsidP="00A8328C">
      <w:pPr>
        <w:rPr>
          <w:color w:val="808080"/>
        </w:rPr>
      </w:pPr>
    </w:p>
    <w:p w14:paraId="51D16057" w14:textId="77777777" w:rsidR="003C6682" w:rsidRDefault="003C6682" w:rsidP="00A8328C">
      <w:pPr>
        <w:rPr>
          <w:rStyle w:val="InternetLink"/>
          <w:color w:val="808080"/>
        </w:rPr>
      </w:pPr>
      <w:r>
        <w:rPr>
          <w:b/>
          <w:bCs/>
        </w:rPr>
        <w:t>FIGURE AND TABLE LEGENDS:</w:t>
      </w:r>
      <w:r>
        <w:rPr>
          <w:color w:val="808080"/>
        </w:rPr>
        <w:t xml:space="preserve"> </w:t>
      </w:r>
    </w:p>
    <w:p w14:paraId="680C0C9A" w14:textId="2D92CB38" w:rsidR="003C6682" w:rsidRPr="008334D5" w:rsidRDefault="003C6682" w:rsidP="00A8328C">
      <w:pPr>
        <w:rPr>
          <w:b/>
          <w:color w:val="00000A"/>
        </w:rPr>
      </w:pPr>
      <w:r w:rsidRPr="008334D5">
        <w:rPr>
          <w:b/>
          <w:color w:val="00000A"/>
        </w:rPr>
        <w:t xml:space="preserve">Figure 1. The </w:t>
      </w:r>
      <w:proofErr w:type="spellStart"/>
      <w:r w:rsidRPr="008334D5">
        <w:rPr>
          <w:b/>
          <w:color w:val="00000A"/>
        </w:rPr>
        <w:t>GreenGate</w:t>
      </w:r>
      <w:proofErr w:type="spellEnd"/>
      <w:r w:rsidRPr="008334D5">
        <w:rPr>
          <w:b/>
          <w:color w:val="00000A"/>
        </w:rPr>
        <w:t xml:space="preserve"> cloning principle. </w:t>
      </w:r>
      <w:r>
        <w:rPr>
          <w:color w:val="00000A"/>
        </w:rPr>
        <w:t xml:space="preserve">A) Type IIS restriction endonucleases, like </w:t>
      </w:r>
      <w:proofErr w:type="spellStart"/>
      <w:r w:rsidRPr="008D4176">
        <w:rPr>
          <w:i/>
          <w:iCs/>
          <w:color w:val="00000A"/>
        </w:rPr>
        <w:t>Bsa</w:t>
      </w:r>
      <w:r>
        <w:rPr>
          <w:color w:val="00000A"/>
        </w:rPr>
        <w:t>I</w:t>
      </w:r>
      <w:proofErr w:type="spellEnd"/>
      <w:r>
        <w:rPr>
          <w:color w:val="00000A"/>
        </w:rPr>
        <w:t>/</w:t>
      </w:r>
      <w:r w:rsidRPr="008D4176">
        <w:rPr>
          <w:i/>
          <w:iCs/>
          <w:color w:val="00000A"/>
        </w:rPr>
        <w:t>Eco</w:t>
      </w:r>
      <w:r>
        <w:rPr>
          <w:color w:val="00000A"/>
        </w:rPr>
        <w:t xml:space="preserve">31I, recognize non-palindromic sequences (red) and cut asymmetrically in a defined distance independently of the sequence (blue). </w:t>
      </w:r>
      <w:r w:rsidRPr="008D4176">
        <w:rPr>
          <w:i/>
          <w:iCs/>
          <w:color w:val="00000A"/>
        </w:rPr>
        <w:t>Eco</w:t>
      </w:r>
      <w:r>
        <w:rPr>
          <w:color w:val="00000A"/>
        </w:rPr>
        <w:t>31I recognizes ‘GGTCTC’, cuts from the second nucleotide downstream of the recognition site and creates a four base 5’ overhang.</w:t>
      </w:r>
      <w:r w:rsidR="008334D5">
        <w:rPr>
          <w:b/>
          <w:color w:val="00000A"/>
        </w:rPr>
        <w:t xml:space="preserve"> </w:t>
      </w:r>
      <w:r>
        <w:rPr>
          <w:color w:val="00000A"/>
        </w:rPr>
        <w:t xml:space="preserve">B) The </w:t>
      </w:r>
      <w:proofErr w:type="spellStart"/>
      <w:r>
        <w:rPr>
          <w:color w:val="00000A"/>
        </w:rPr>
        <w:t>GreenGate</w:t>
      </w:r>
      <w:proofErr w:type="spellEnd"/>
      <w:r>
        <w:rPr>
          <w:color w:val="00000A"/>
        </w:rPr>
        <w:t xml:space="preserve"> cloning system is based on a modular system with six different entry vectors pGGA000-pGGF000. These vectors contain an Ampicillin resistance cassette (</w:t>
      </w:r>
      <w:proofErr w:type="spellStart"/>
      <w:r>
        <w:rPr>
          <w:color w:val="00000A"/>
        </w:rPr>
        <w:t>AmpR</w:t>
      </w:r>
      <w:proofErr w:type="spellEnd"/>
      <w:r>
        <w:rPr>
          <w:color w:val="00000A"/>
        </w:rPr>
        <w:t xml:space="preserve">) and a </w:t>
      </w:r>
      <w:proofErr w:type="spellStart"/>
      <w:r w:rsidRPr="00A8328C">
        <w:rPr>
          <w:i/>
          <w:color w:val="00000A"/>
        </w:rPr>
        <w:t>ccdB</w:t>
      </w:r>
      <w:proofErr w:type="spellEnd"/>
      <w:r>
        <w:rPr>
          <w:color w:val="00000A"/>
        </w:rPr>
        <w:t xml:space="preserve"> cassette flanked by the specific adaptors for each entry vector (</w:t>
      </w:r>
      <w:proofErr w:type="spellStart"/>
      <w:r>
        <w:rPr>
          <w:color w:val="00000A"/>
        </w:rPr>
        <w:t>e.g</w:t>
      </w:r>
      <w:proofErr w:type="spellEnd"/>
      <w:r>
        <w:rPr>
          <w:color w:val="00000A"/>
        </w:rPr>
        <w:t xml:space="preserve"> pGGA000 entry vector) and the ‘GGTCTC’ </w:t>
      </w:r>
      <w:r>
        <w:rPr>
          <w:i/>
          <w:iCs/>
          <w:color w:val="00000A"/>
        </w:rPr>
        <w:t>Eco</w:t>
      </w:r>
      <w:r>
        <w:rPr>
          <w:color w:val="00000A"/>
        </w:rPr>
        <w:t xml:space="preserve">31I recognition sites. </w:t>
      </w:r>
      <w:r>
        <w:rPr>
          <w:i/>
          <w:iCs/>
          <w:color w:val="00000A"/>
        </w:rPr>
        <w:t>Eco</w:t>
      </w:r>
      <w:r>
        <w:rPr>
          <w:color w:val="00000A"/>
        </w:rPr>
        <w:t xml:space="preserve">31I digestion of pGGA000 releases </w:t>
      </w:r>
      <w:proofErr w:type="spellStart"/>
      <w:r w:rsidRPr="000007FD">
        <w:rPr>
          <w:i/>
          <w:color w:val="00000A"/>
        </w:rPr>
        <w:t>ccdB</w:t>
      </w:r>
      <w:proofErr w:type="spellEnd"/>
      <w:r>
        <w:rPr>
          <w:color w:val="00000A"/>
        </w:rPr>
        <w:t xml:space="preserve"> and creates the pGGA000-specific four nucleotide overhangs (dark blue). Insert1 is amplified by primers harboring ‘GGTCTC’ and pGGA000 specific adaptors and after digestion ligated into pGGA000. The same procedure is followed with the other modules.</w:t>
      </w:r>
      <w:r w:rsidR="008334D5">
        <w:rPr>
          <w:b/>
          <w:color w:val="00000A"/>
        </w:rPr>
        <w:t xml:space="preserve"> </w:t>
      </w:r>
      <w:r>
        <w:rPr>
          <w:color w:val="00000A"/>
        </w:rPr>
        <w:t xml:space="preserve">C) The final </w:t>
      </w:r>
      <w:proofErr w:type="spellStart"/>
      <w:r>
        <w:rPr>
          <w:color w:val="00000A"/>
        </w:rPr>
        <w:t>GreenGate</w:t>
      </w:r>
      <w:proofErr w:type="spellEnd"/>
      <w:r>
        <w:rPr>
          <w:color w:val="00000A"/>
        </w:rPr>
        <w:t xml:space="preserve"> reaction combines the </w:t>
      </w:r>
      <w:r>
        <w:rPr>
          <w:i/>
          <w:iCs/>
          <w:color w:val="00000A"/>
        </w:rPr>
        <w:t>Eco</w:t>
      </w:r>
      <w:r>
        <w:rPr>
          <w:color w:val="00000A"/>
        </w:rPr>
        <w:t xml:space="preserve">31I digestion of the destination vector pGGZ001 and the six entry vectors pGGA000-pGGF000 and the simultaneous ligation of all modules into the destination vector. </w:t>
      </w:r>
    </w:p>
    <w:p w14:paraId="314C6F40" w14:textId="77777777" w:rsidR="003C6682" w:rsidRDefault="003C6682" w:rsidP="00A8328C">
      <w:pPr>
        <w:rPr>
          <w:color w:val="808080"/>
        </w:rPr>
      </w:pPr>
    </w:p>
    <w:p w14:paraId="38B1B206" w14:textId="57744F7C" w:rsidR="003C6682" w:rsidRPr="008334D5" w:rsidRDefault="003C6682" w:rsidP="00A8328C">
      <w:pPr>
        <w:rPr>
          <w:b/>
          <w:color w:val="00000A"/>
        </w:rPr>
      </w:pPr>
      <w:r w:rsidRPr="008334D5">
        <w:rPr>
          <w:b/>
          <w:color w:val="00000A"/>
        </w:rPr>
        <w:t xml:space="preserve">Figure 2. Overview of the </w:t>
      </w:r>
      <w:proofErr w:type="spellStart"/>
      <w:r w:rsidRPr="008334D5">
        <w:rPr>
          <w:b/>
          <w:color w:val="00000A"/>
        </w:rPr>
        <w:t>Dex</w:t>
      </w:r>
      <w:proofErr w:type="spellEnd"/>
      <w:r w:rsidRPr="008334D5">
        <w:rPr>
          <w:b/>
          <w:color w:val="00000A"/>
        </w:rPr>
        <w:t xml:space="preserve">-inducible </w:t>
      </w:r>
      <w:proofErr w:type="spellStart"/>
      <w:r w:rsidRPr="008334D5">
        <w:rPr>
          <w:b/>
          <w:color w:val="00000A"/>
        </w:rPr>
        <w:t>LhGR</w:t>
      </w:r>
      <w:proofErr w:type="spellEnd"/>
      <w:r w:rsidRPr="008334D5">
        <w:rPr>
          <w:b/>
          <w:color w:val="00000A"/>
        </w:rPr>
        <w:t>/</w:t>
      </w:r>
      <w:proofErr w:type="spellStart"/>
      <w:r w:rsidRPr="008334D5">
        <w:rPr>
          <w:b/>
          <w:color w:val="00000A"/>
        </w:rPr>
        <w:t>pOp</w:t>
      </w:r>
      <w:proofErr w:type="spellEnd"/>
      <w:r w:rsidRPr="008334D5">
        <w:rPr>
          <w:b/>
          <w:color w:val="00000A"/>
        </w:rPr>
        <w:t xml:space="preserve"> system with driver and effector lines. </w:t>
      </w:r>
      <w:r>
        <w:rPr>
          <w:color w:val="00000A"/>
        </w:rPr>
        <w:t>In driver lines, tissue-specific promoters (</w:t>
      </w:r>
      <w:proofErr w:type="spellStart"/>
      <w:r>
        <w:rPr>
          <w:color w:val="00000A"/>
        </w:rPr>
        <w:t>pTS</w:t>
      </w:r>
      <w:proofErr w:type="spellEnd"/>
      <w:r>
        <w:rPr>
          <w:color w:val="00000A"/>
        </w:rPr>
        <w:t xml:space="preserve">) control the expression of the synthetic transcription factor LhG4, which is translationally fused to the ligand binding domain of rat glucocorticoid receptor (GR) and thereby prevents, in the absence of </w:t>
      </w:r>
      <w:proofErr w:type="spellStart"/>
      <w:r>
        <w:rPr>
          <w:color w:val="00000A"/>
        </w:rPr>
        <w:t>Dex</w:t>
      </w:r>
      <w:proofErr w:type="spellEnd"/>
      <w:r>
        <w:rPr>
          <w:color w:val="00000A"/>
        </w:rPr>
        <w:t xml:space="preserve">, the nuclear translocation. The effector line harbors a transcriptional cassette driven by a </w:t>
      </w:r>
      <w:proofErr w:type="spellStart"/>
      <w:r w:rsidRPr="000007FD">
        <w:rPr>
          <w:i/>
          <w:color w:val="00000A"/>
        </w:rPr>
        <w:t>pOp</w:t>
      </w:r>
      <w:proofErr w:type="spellEnd"/>
      <w:r>
        <w:rPr>
          <w:color w:val="00000A"/>
        </w:rPr>
        <w:t xml:space="preserve"> element and a TATA box with a minimal </w:t>
      </w:r>
      <w:r w:rsidRPr="000007FD">
        <w:rPr>
          <w:i/>
          <w:color w:val="00000A"/>
        </w:rPr>
        <w:t>35S</w:t>
      </w:r>
      <w:r>
        <w:rPr>
          <w:color w:val="00000A"/>
        </w:rPr>
        <w:t xml:space="preserve"> promoter. Crossed with a driver line and upon </w:t>
      </w:r>
      <w:proofErr w:type="spellStart"/>
      <w:r>
        <w:rPr>
          <w:color w:val="00000A"/>
        </w:rPr>
        <w:t>Dex</w:t>
      </w:r>
      <w:proofErr w:type="spellEnd"/>
      <w:r>
        <w:rPr>
          <w:color w:val="00000A"/>
        </w:rPr>
        <w:t xml:space="preserve"> induction, GR-LhG4 binds to the </w:t>
      </w:r>
      <w:proofErr w:type="spellStart"/>
      <w:r w:rsidRPr="000007FD">
        <w:rPr>
          <w:i/>
          <w:color w:val="00000A"/>
        </w:rPr>
        <w:t>pOp</w:t>
      </w:r>
      <w:proofErr w:type="spellEnd"/>
      <w:r>
        <w:rPr>
          <w:i/>
          <w:color w:val="00000A"/>
        </w:rPr>
        <w:t>-type</w:t>
      </w:r>
      <w:r>
        <w:rPr>
          <w:color w:val="00000A"/>
        </w:rPr>
        <w:t xml:space="preserve"> elements in the reporter cassette and to those in the effector module, inducing the transcription of mTurquoise2 and the effector. </w:t>
      </w:r>
    </w:p>
    <w:p w14:paraId="140759EA" w14:textId="77777777" w:rsidR="003C6682" w:rsidRDefault="003C6682" w:rsidP="00A8328C">
      <w:pPr>
        <w:rPr>
          <w:color w:val="00000A"/>
        </w:rPr>
      </w:pPr>
    </w:p>
    <w:p w14:paraId="201ABF30" w14:textId="2CE39276" w:rsidR="003C6682" w:rsidRPr="008334D5" w:rsidRDefault="003C6682" w:rsidP="00A8328C">
      <w:pPr>
        <w:rPr>
          <w:b/>
          <w:color w:val="00000A"/>
        </w:rPr>
      </w:pPr>
      <w:r w:rsidRPr="008334D5">
        <w:rPr>
          <w:b/>
          <w:color w:val="00000A"/>
        </w:rPr>
        <w:t>Figure 3. Induced driver lines in root, stem</w:t>
      </w:r>
      <w:r w:rsidR="001D13B4">
        <w:rPr>
          <w:b/>
          <w:color w:val="00000A"/>
        </w:rPr>
        <w:t>,</w:t>
      </w:r>
      <w:r w:rsidRPr="008334D5">
        <w:rPr>
          <w:b/>
          <w:color w:val="00000A"/>
        </w:rPr>
        <w:t xml:space="preserve"> and SAM.</w:t>
      </w:r>
      <w:r w:rsidR="008334D5">
        <w:rPr>
          <w:b/>
          <w:color w:val="00000A"/>
        </w:rPr>
        <w:t xml:space="preserve"> </w:t>
      </w:r>
      <w:r>
        <w:rPr>
          <w:color w:val="00000A"/>
        </w:rPr>
        <w:t xml:space="preserve">A) </w:t>
      </w:r>
      <w:proofErr w:type="spellStart"/>
      <w:r>
        <w:rPr>
          <w:color w:val="00000A"/>
        </w:rPr>
        <w:t>Dex</w:t>
      </w:r>
      <w:proofErr w:type="spellEnd"/>
      <w:r>
        <w:rPr>
          <w:color w:val="00000A"/>
        </w:rPr>
        <w:t xml:space="preserve">-induced driver line </w:t>
      </w:r>
      <w:proofErr w:type="spellStart"/>
      <w:r>
        <w:rPr>
          <w:i/>
          <w:iCs/>
          <w:color w:val="00000A"/>
        </w:rPr>
        <w:t>pSCR</w:t>
      </w:r>
      <w:proofErr w:type="spellEnd"/>
      <w:r>
        <w:rPr>
          <w:i/>
          <w:iCs/>
          <w:color w:val="00000A"/>
        </w:rPr>
        <w:t>&gt;&gt;</w:t>
      </w:r>
      <w:r>
        <w:t>SP-mTurquoise2-HDEL</w:t>
      </w:r>
      <w:r>
        <w:rPr>
          <w:color w:val="00000A"/>
        </w:rPr>
        <w:t xml:space="preserve"> (germinated in 50 µM </w:t>
      </w:r>
      <w:proofErr w:type="spellStart"/>
      <w:r>
        <w:rPr>
          <w:color w:val="00000A"/>
        </w:rPr>
        <w:t>Dex</w:t>
      </w:r>
      <w:proofErr w:type="spellEnd"/>
      <w:r>
        <w:rPr>
          <w:color w:val="00000A"/>
        </w:rPr>
        <w:t xml:space="preserve">) in the root and mock treatment. The </w:t>
      </w:r>
      <w:r w:rsidRPr="009F6958">
        <w:rPr>
          <w:i/>
          <w:color w:val="00000A"/>
        </w:rPr>
        <w:t>SCARECROW</w:t>
      </w:r>
      <w:r>
        <w:rPr>
          <w:color w:val="00000A"/>
        </w:rPr>
        <w:t xml:space="preserve"> promoter (</w:t>
      </w:r>
      <w:proofErr w:type="spellStart"/>
      <w:r w:rsidRPr="009F6958">
        <w:rPr>
          <w:i/>
          <w:color w:val="00000A"/>
        </w:rPr>
        <w:t>pSCR</w:t>
      </w:r>
      <w:proofErr w:type="spellEnd"/>
      <w:r>
        <w:rPr>
          <w:color w:val="00000A"/>
        </w:rPr>
        <w:t>) mediates expression in the endodermis, cortex/endodermis initial (CEI) and quiescent center (QC). Cells are counter-stained with propidium iodide (PI). Scale bars = 20 µm.</w:t>
      </w:r>
      <w:r w:rsidR="008334D5">
        <w:rPr>
          <w:b/>
          <w:color w:val="00000A"/>
        </w:rPr>
        <w:t xml:space="preserve"> </w:t>
      </w:r>
      <w:r>
        <w:t xml:space="preserve">B) </w:t>
      </w:r>
      <w:proofErr w:type="spellStart"/>
      <w:r>
        <w:t>Dex</w:t>
      </w:r>
      <w:proofErr w:type="spellEnd"/>
      <w:r>
        <w:t xml:space="preserve">-induced driver line </w:t>
      </w:r>
      <w:r>
        <w:rPr>
          <w:i/>
          <w:iCs/>
        </w:rPr>
        <w:t>pSMXL5&gt;&gt;</w:t>
      </w:r>
      <w:r>
        <w:t xml:space="preserve">SP-mTurquoise2-HDEL (dipped in a 50 µM </w:t>
      </w:r>
      <w:proofErr w:type="spellStart"/>
      <w:r>
        <w:t>Dex</w:t>
      </w:r>
      <w:proofErr w:type="spellEnd"/>
      <w:r>
        <w:t xml:space="preserve"> solution and visualized after 3 days) in in the stem and mock treatment. </w:t>
      </w:r>
      <w:r w:rsidRPr="009F6958">
        <w:rPr>
          <w:i/>
        </w:rPr>
        <w:t>SMXL5</w:t>
      </w:r>
      <w:r>
        <w:t xml:space="preserve"> promoter (</w:t>
      </w:r>
      <w:r w:rsidRPr="009F6958">
        <w:rPr>
          <w:i/>
        </w:rPr>
        <w:t>pSMXL5</w:t>
      </w:r>
      <w:r>
        <w:t>) mediates expression in the cambium stem cell domain and phloem precursors. Cells are counter-stained with propidium iodide (PI). Scale bars = 100 µm.</w:t>
      </w:r>
      <w:r w:rsidR="008334D5">
        <w:rPr>
          <w:b/>
          <w:color w:val="00000A"/>
        </w:rPr>
        <w:t xml:space="preserve"> </w:t>
      </w:r>
      <w:r>
        <w:t xml:space="preserve">C) </w:t>
      </w:r>
      <w:proofErr w:type="spellStart"/>
      <w:r>
        <w:t>Dex</w:t>
      </w:r>
      <w:proofErr w:type="spellEnd"/>
      <w:r>
        <w:t xml:space="preserve">-induced driver line </w:t>
      </w:r>
      <w:r>
        <w:rPr>
          <w:i/>
          <w:iCs/>
        </w:rPr>
        <w:t>pCLV3&gt;&gt;</w:t>
      </w:r>
      <w:r>
        <w:t xml:space="preserve">SP-mTurquoise2-HDEL (10 µM, 48 h) in the SAM. The </w:t>
      </w:r>
      <w:r w:rsidRPr="009F6958">
        <w:rPr>
          <w:i/>
        </w:rPr>
        <w:t>CLAVATA3</w:t>
      </w:r>
      <w:r>
        <w:t xml:space="preserve"> promoter (p</w:t>
      </w:r>
      <w:r w:rsidRPr="00A8328C">
        <w:rPr>
          <w:i/>
        </w:rPr>
        <w:t>CLV3</w:t>
      </w:r>
      <w:r>
        <w:t xml:space="preserve">) mediates expression in the stem cell domain. Pictures in the bottom show XZ and YZ cross sections, </w:t>
      </w:r>
      <w:proofErr w:type="spellStart"/>
      <w:r>
        <w:t>Dex</w:t>
      </w:r>
      <w:proofErr w:type="spellEnd"/>
      <w:r>
        <w:t>-induced and mock treated, respectively. Cells are counter-stained with propidium iodide (PI). Scale bars = 20 µm.</w:t>
      </w:r>
    </w:p>
    <w:p w14:paraId="3D256A88" w14:textId="77777777" w:rsidR="003C6682" w:rsidRDefault="003C6682" w:rsidP="00A8328C"/>
    <w:p w14:paraId="6437D736" w14:textId="284DE74F" w:rsidR="003C6682" w:rsidRDefault="003C6682" w:rsidP="00A8328C">
      <w:pPr>
        <w:rPr>
          <w:lang w:val="en-GB" w:eastAsia="en-GB"/>
        </w:rPr>
      </w:pPr>
      <w:r w:rsidRPr="008334D5">
        <w:rPr>
          <w:b/>
          <w:lang w:val="en-GB" w:eastAsia="en-GB"/>
        </w:rPr>
        <w:t xml:space="preserve">Figure 4. Ectopic lignification in the starch sheath of the stem. </w:t>
      </w:r>
      <w:r>
        <w:rPr>
          <w:lang w:val="en-GB" w:eastAsia="en-GB"/>
        </w:rPr>
        <w:t xml:space="preserve">A) Ectopic lignification is seen five days after </w:t>
      </w:r>
      <w:proofErr w:type="spellStart"/>
      <w:r>
        <w:rPr>
          <w:lang w:val="en-GB" w:eastAsia="en-GB"/>
        </w:rPr>
        <w:t>Dex</w:t>
      </w:r>
      <w:proofErr w:type="spellEnd"/>
      <w:r>
        <w:rPr>
          <w:lang w:val="en-GB" w:eastAsia="en-GB"/>
        </w:rPr>
        <w:t xml:space="preserve"> induction of the driver line </w:t>
      </w:r>
      <w:proofErr w:type="spellStart"/>
      <w:r w:rsidRPr="000007FD">
        <w:rPr>
          <w:i/>
          <w:lang w:val="en-GB" w:eastAsia="en-GB"/>
        </w:rPr>
        <w:t>pSCR</w:t>
      </w:r>
      <w:proofErr w:type="spellEnd"/>
      <w:r w:rsidRPr="000007FD">
        <w:rPr>
          <w:i/>
          <w:lang w:val="en-GB" w:eastAsia="en-GB"/>
        </w:rPr>
        <w:t>&gt;&gt;VND7-VP16</w:t>
      </w:r>
      <w:r>
        <w:rPr>
          <w:lang w:val="en-GB" w:eastAsia="en-GB"/>
        </w:rPr>
        <w:t xml:space="preserve"> in the stem. The </w:t>
      </w:r>
      <w:r w:rsidRPr="000007FD">
        <w:rPr>
          <w:i/>
          <w:lang w:val="en-GB" w:eastAsia="en-GB"/>
        </w:rPr>
        <w:t>SCARECROW</w:t>
      </w:r>
      <w:r>
        <w:rPr>
          <w:lang w:val="en-GB" w:eastAsia="en-GB"/>
        </w:rPr>
        <w:t xml:space="preserve"> promoter (</w:t>
      </w:r>
      <w:proofErr w:type="spellStart"/>
      <w:r w:rsidRPr="000007FD">
        <w:rPr>
          <w:i/>
          <w:lang w:val="en-GB" w:eastAsia="en-GB"/>
        </w:rPr>
        <w:t>pSCR</w:t>
      </w:r>
      <w:proofErr w:type="spellEnd"/>
      <w:r>
        <w:rPr>
          <w:lang w:val="en-GB" w:eastAsia="en-GB"/>
        </w:rPr>
        <w:t xml:space="preserve">) mediates expression in the starch sheath cells in the stem. Left image shows merge of PI </w:t>
      </w:r>
      <w:r w:rsidR="001D13B4">
        <w:rPr>
          <w:lang w:val="en-GB" w:eastAsia="en-GB"/>
        </w:rPr>
        <w:t>channel</w:t>
      </w:r>
      <w:r>
        <w:rPr>
          <w:lang w:val="en-GB" w:eastAsia="en-GB"/>
        </w:rPr>
        <w:t xml:space="preserve"> and bright field, right image only shows PI </w:t>
      </w:r>
      <w:r w:rsidR="001D13B4">
        <w:rPr>
          <w:lang w:val="en-GB" w:eastAsia="en-GB"/>
        </w:rPr>
        <w:t>channel</w:t>
      </w:r>
      <w:r>
        <w:rPr>
          <w:lang w:val="en-GB" w:eastAsia="en-GB"/>
        </w:rPr>
        <w:t>. B) The mock control shows no signal in the starch sheath cells. Cells are counter-stained with propidium iodide (PI). Scale bars = 100 µm. PI fluorescence is false-</w:t>
      </w:r>
      <w:proofErr w:type="spellStart"/>
      <w:r>
        <w:rPr>
          <w:lang w:val="en-GB" w:eastAsia="en-GB"/>
        </w:rPr>
        <w:t>colored</w:t>
      </w:r>
      <w:proofErr w:type="spellEnd"/>
      <w:r>
        <w:rPr>
          <w:lang w:val="en-GB" w:eastAsia="en-GB"/>
        </w:rPr>
        <w:t xml:space="preserve"> in green while chloroplast auto fluorescence is red in all images. White arrowheads point to starch sheath cells.</w:t>
      </w:r>
      <w:r w:rsidR="008334D5">
        <w:rPr>
          <w:lang w:val="en-GB" w:eastAsia="en-GB"/>
        </w:rPr>
        <w:t xml:space="preserve"> </w:t>
      </w:r>
      <w:r>
        <w:rPr>
          <w:lang w:val="en-GB" w:eastAsia="en-GB"/>
        </w:rPr>
        <w:t xml:space="preserve">Left image shows merge of PI </w:t>
      </w:r>
      <w:r w:rsidR="001D13B4">
        <w:rPr>
          <w:lang w:val="en-GB" w:eastAsia="en-GB"/>
        </w:rPr>
        <w:t>channel</w:t>
      </w:r>
      <w:r>
        <w:rPr>
          <w:lang w:val="en-GB" w:eastAsia="en-GB"/>
        </w:rPr>
        <w:t xml:space="preserve"> and bright field, right image only shows PI </w:t>
      </w:r>
      <w:r w:rsidR="001D13B4">
        <w:rPr>
          <w:lang w:val="en-GB" w:eastAsia="en-GB"/>
        </w:rPr>
        <w:t>channel</w:t>
      </w:r>
      <w:r>
        <w:rPr>
          <w:lang w:val="en-GB" w:eastAsia="en-GB"/>
        </w:rPr>
        <w:t xml:space="preserve">.  </w:t>
      </w:r>
    </w:p>
    <w:p w14:paraId="41357B44" w14:textId="28CD70E5" w:rsidR="00401728" w:rsidRDefault="00401728" w:rsidP="00A8328C">
      <w:pPr>
        <w:rPr>
          <w:b/>
          <w:lang w:val="en-GB" w:eastAsia="en-GB"/>
        </w:rPr>
      </w:pPr>
    </w:p>
    <w:p w14:paraId="6C70DB41" w14:textId="1E3D4CB2" w:rsidR="00401728" w:rsidRPr="008334D5" w:rsidRDefault="00401728" w:rsidP="00A8328C">
      <w:pPr>
        <w:rPr>
          <w:b/>
          <w:lang w:val="en-GB" w:eastAsia="en-GB"/>
        </w:rPr>
      </w:pPr>
      <w:r>
        <w:rPr>
          <w:b/>
          <w:lang w:val="en-GB" w:eastAsia="en-GB"/>
        </w:rPr>
        <w:t xml:space="preserve">Table 1: Overhangs used for primer design </w:t>
      </w:r>
    </w:p>
    <w:p w14:paraId="447A5C13" w14:textId="77777777" w:rsidR="003C6682" w:rsidRDefault="003C6682" w:rsidP="00A8328C">
      <w:pPr>
        <w:rPr>
          <w:lang w:val="en-GB" w:eastAsia="en-GB"/>
        </w:rPr>
      </w:pPr>
    </w:p>
    <w:p w14:paraId="252B2530" w14:textId="77777777" w:rsidR="003C6682" w:rsidRDefault="003C6682" w:rsidP="00A8328C">
      <w:pPr>
        <w:rPr>
          <w:rStyle w:val="InternetLink"/>
          <w:color w:val="808080"/>
        </w:rPr>
      </w:pPr>
      <w:r>
        <w:rPr>
          <w:b/>
          <w:bCs/>
        </w:rPr>
        <w:t xml:space="preserve">DISCUSSION: </w:t>
      </w:r>
    </w:p>
    <w:p w14:paraId="033E6594" w14:textId="250975A0" w:rsidR="003C6682" w:rsidRDefault="003C6682" w:rsidP="00A8328C">
      <w:pPr>
        <w:rPr>
          <w:lang w:val="en-GB" w:eastAsia="en-GB"/>
        </w:rPr>
      </w:pPr>
      <w:r>
        <w:rPr>
          <w:lang w:val="en-GB" w:eastAsia="en-GB"/>
        </w:rPr>
        <w:t xml:space="preserve">Here, we describe the steps necessary to generate and apply a versatile and comprehensive toolkit for inducible, cell type specific </w:t>
      </w:r>
      <w:r w:rsidRPr="00203C82">
        <w:rPr>
          <w:i/>
          <w:iCs/>
          <w:lang w:val="en-GB" w:eastAsia="en-GB"/>
        </w:rPr>
        <w:t>trans</w:t>
      </w:r>
      <w:r>
        <w:rPr>
          <w:lang w:val="en-GB" w:eastAsia="en-GB"/>
        </w:rPr>
        <w:t xml:space="preserve">-activation. Crossing lines carrying effector cassettes under control of the </w:t>
      </w:r>
      <w:proofErr w:type="spellStart"/>
      <w:r w:rsidRPr="000007FD">
        <w:rPr>
          <w:i/>
          <w:lang w:val="en-GB" w:eastAsia="en-GB"/>
        </w:rPr>
        <w:t>pOp</w:t>
      </w:r>
      <w:proofErr w:type="spellEnd"/>
      <w:r>
        <w:rPr>
          <w:lang w:val="en-GB" w:eastAsia="en-GB"/>
        </w:rPr>
        <w:t xml:space="preserve"> promoter with driver lines allows </w:t>
      </w:r>
      <w:r w:rsidR="001D13B4">
        <w:rPr>
          <w:lang w:val="en-GB" w:eastAsia="en-GB"/>
        </w:rPr>
        <w:t>studying the</w:t>
      </w:r>
      <w:r>
        <w:rPr>
          <w:lang w:val="en-GB" w:eastAsia="en-GB"/>
        </w:rPr>
        <w:t xml:space="preserve"> mis-expression effects in the F1 generation, enabling the rapid assessment of genetic perturbation in a wide range of cell types. Alternatively, effector constructs can be used to transform driver lines or, by adapting the cloning strategy, driver and effector construct can also be combined on one T-DNA. Applications for this system range from spatially and temporally controlled mis-expression studies to domain-specific knock-down or gene editing and cell-type specific complementation. </w:t>
      </w:r>
    </w:p>
    <w:p w14:paraId="75A9D569" w14:textId="77777777" w:rsidR="00991462" w:rsidRDefault="00991462" w:rsidP="00A8328C">
      <w:pPr>
        <w:rPr>
          <w:lang w:val="en-GB" w:eastAsia="en-GB"/>
        </w:rPr>
      </w:pPr>
    </w:p>
    <w:p w14:paraId="6B4C62F8" w14:textId="66FE61B4" w:rsidR="004C72EE" w:rsidRDefault="003C6682" w:rsidP="004C72EE">
      <w:pPr>
        <w:rPr>
          <w:rFonts w:eastAsia="Calibri"/>
          <w:lang w:val="en-GB"/>
        </w:rPr>
      </w:pPr>
      <w:r>
        <w:rPr>
          <w:lang w:val="en-GB" w:eastAsia="en-GB"/>
        </w:rPr>
        <w:t>None of the procedures described here should pose a challenge to labs equipped for general molecular biology techniques. The LhG4 expression system has been thoroughly tested and ensures non-leaky and tuneable expression that can be driven to high levels</w:t>
      </w:r>
      <w:r w:rsidRPr="00344862">
        <w:rPr>
          <w:noProof/>
          <w:vertAlign w:val="superscript"/>
          <w:lang w:val="en-GB" w:eastAsia="en-GB"/>
        </w:rPr>
        <w:t>8</w:t>
      </w:r>
      <w:r>
        <w:rPr>
          <w:lang w:val="en-GB" w:eastAsia="en-GB"/>
        </w:rPr>
        <w:t xml:space="preserve">, although we caution that the dynamic range of inducer concentration should be empirically determined for each driver and effector line combination Combining this proven system with modular </w:t>
      </w:r>
      <w:proofErr w:type="spellStart"/>
      <w:r>
        <w:rPr>
          <w:lang w:val="en-GB" w:eastAsia="en-GB"/>
        </w:rPr>
        <w:t>GreenGate</w:t>
      </w:r>
      <w:proofErr w:type="spellEnd"/>
      <w:r>
        <w:rPr>
          <w:lang w:val="en-GB" w:eastAsia="en-GB"/>
        </w:rPr>
        <w:t xml:space="preserve"> cloning offers a rapid and straightforward way to inducible expression in any cell type for which a specific promoter is available. </w:t>
      </w:r>
      <w:r w:rsidR="004C72EE">
        <w:rPr>
          <w:rFonts w:eastAsia="Calibri"/>
          <w:lang w:val="en-GB"/>
        </w:rPr>
        <w:t>We noticed that</w:t>
      </w:r>
      <w:r w:rsidR="00CD3558">
        <w:rPr>
          <w:rFonts w:eastAsia="Calibri"/>
          <w:lang w:val="en-GB"/>
        </w:rPr>
        <w:t xml:space="preserve"> recombination events </w:t>
      </w:r>
      <w:r w:rsidR="004C72EE">
        <w:rPr>
          <w:rFonts w:eastAsia="Calibri"/>
          <w:lang w:val="en-GB"/>
        </w:rPr>
        <w:t xml:space="preserve">can </w:t>
      </w:r>
      <w:r w:rsidR="00CD3558">
        <w:rPr>
          <w:rFonts w:eastAsia="Calibri"/>
          <w:lang w:val="en-GB"/>
        </w:rPr>
        <w:t xml:space="preserve">occur </w:t>
      </w:r>
      <w:r w:rsidR="004C72EE">
        <w:rPr>
          <w:rFonts w:eastAsia="Calibri"/>
          <w:lang w:val="en-GB"/>
        </w:rPr>
        <w:t>during amplification of</w:t>
      </w:r>
      <w:r w:rsidR="00CD3558">
        <w:rPr>
          <w:rFonts w:eastAsia="Calibri"/>
          <w:lang w:val="en-GB"/>
        </w:rPr>
        <w:t xml:space="preserve"> the plasmids that contain the repetitive sequences of the </w:t>
      </w:r>
      <w:proofErr w:type="spellStart"/>
      <w:r w:rsidR="00CD3558" w:rsidRPr="73466799">
        <w:rPr>
          <w:rFonts w:eastAsia="Calibri"/>
          <w:i/>
          <w:iCs/>
          <w:lang w:val="en-GB"/>
        </w:rPr>
        <w:t>pOp</w:t>
      </w:r>
      <w:proofErr w:type="spellEnd"/>
      <w:r w:rsidR="00CD3558">
        <w:rPr>
          <w:rFonts w:eastAsia="Calibri"/>
          <w:i/>
          <w:iCs/>
          <w:lang w:val="en-GB"/>
        </w:rPr>
        <w:t>-type</w:t>
      </w:r>
      <w:r w:rsidR="00CD3558">
        <w:rPr>
          <w:rFonts w:eastAsia="Calibri"/>
          <w:lang w:val="en-GB"/>
        </w:rPr>
        <w:t xml:space="preserve"> promoter. These often result in having f</w:t>
      </w:r>
      <w:r w:rsidR="004C72EE">
        <w:rPr>
          <w:rFonts w:eastAsia="Calibri"/>
          <w:lang w:val="en-GB"/>
        </w:rPr>
        <w:t xml:space="preserve">ewer repeats of the OP sequence, which can be assessed by PCR. Final constructs </w:t>
      </w:r>
      <w:r w:rsidR="004C00FA">
        <w:rPr>
          <w:rFonts w:eastAsia="Calibri"/>
          <w:lang w:val="en-GB"/>
        </w:rPr>
        <w:t>should always</w:t>
      </w:r>
      <w:r w:rsidR="004C72EE">
        <w:rPr>
          <w:rFonts w:eastAsia="Calibri"/>
          <w:lang w:val="en-GB"/>
        </w:rPr>
        <w:t xml:space="preserve"> be confirmed by sequencing in </w:t>
      </w:r>
      <w:r w:rsidR="004C72EE" w:rsidRPr="73466799">
        <w:rPr>
          <w:rFonts w:eastAsia="Calibri"/>
          <w:i/>
          <w:iCs/>
          <w:lang w:val="en-GB"/>
        </w:rPr>
        <w:t>Escherichia coli</w:t>
      </w:r>
      <w:r w:rsidR="004C72EE">
        <w:rPr>
          <w:rFonts w:eastAsia="Calibri"/>
          <w:lang w:val="en-GB"/>
        </w:rPr>
        <w:t xml:space="preserve"> and </w:t>
      </w:r>
      <w:r w:rsidR="004C72EE" w:rsidRPr="73466799">
        <w:rPr>
          <w:rFonts w:eastAsia="Calibri"/>
          <w:i/>
          <w:iCs/>
          <w:lang w:val="en-GB"/>
        </w:rPr>
        <w:t>Agrobacterium tumefaciens</w:t>
      </w:r>
      <w:r w:rsidR="004C72EE">
        <w:rPr>
          <w:rFonts w:eastAsia="Calibri"/>
          <w:lang w:val="en-GB"/>
        </w:rPr>
        <w:t>. However, the occasional recombinati</w:t>
      </w:r>
      <w:bookmarkStart w:id="2" w:name="_GoBack"/>
      <w:bookmarkEnd w:id="2"/>
      <w:r w:rsidR="004C72EE">
        <w:rPr>
          <w:rFonts w:eastAsia="Calibri"/>
          <w:lang w:val="en-GB"/>
        </w:rPr>
        <w:t xml:space="preserve">on events were only detected in </w:t>
      </w:r>
      <w:r w:rsidR="004C72EE" w:rsidRPr="73466799">
        <w:rPr>
          <w:rFonts w:eastAsia="Calibri"/>
          <w:i/>
          <w:iCs/>
          <w:lang w:val="en-GB"/>
        </w:rPr>
        <w:t>E. coli</w:t>
      </w:r>
      <w:r w:rsidR="004C72EE">
        <w:rPr>
          <w:rFonts w:eastAsia="Calibri"/>
          <w:lang w:val="en-GB"/>
        </w:rPr>
        <w:t>.</w:t>
      </w:r>
    </w:p>
    <w:p w14:paraId="18BD6B9F" w14:textId="77777777" w:rsidR="008334D5" w:rsidRDefault="008334D5" w:rsidP="00A8328C">
      <w:pPr>
        <w:rPr>
          <w:lang w:val="en-GB" w:eastAsia="en-GB"/>
        </w:rPr>
      </w:pPr>
    </w:p>
    <w:p w14:paraId="1A4636C1" w14:textId="5AFABAD4" w:rsidR="003C6682" w:rsidRDefault="003C6682" w:rsidP="00A8328C">
      <w:pPr>
        <w:rPr>
          <w:lang w:val="en-GB" w:eastAsia="en-GB"/>
        </w:rPr>
      </w:pPr>
      <w:r>
        <w:rPr>
          <w:lang w:val="en-GB" w:eastAsia="en-GB"/>
        </w:rPr>
        <w:t>Limiting the application of this technique is thus the time to generate transgenic plants.  It is of critical importance to test for gene silencing, starting in the T2 generation, and to only maintain stable lines. To minimize the chance of silencing, we advise collect</w:t>
      </w:r>
      <w:r w:rsidR="001D13B4">
        <w:rPr>
          <w:lang w:val="en-GB" w:eastAsia="en-GB"/>
        </w:rPr>
        <w:t>ing</w:t>
      </w:r>
      <w:r>
        <w:rPr>
          <w:lang w:val="en-GB" w:eastAsia="en-GB"/>
        </w:rPr>
        <w:t xml:space="preserve"> seeds only form non-induced plants. </w:t>
      </w:r>
    </w:p>
    <w:p w14:paraId="54A6FE91" w14:textId="77777777" w:rsidR="008334D5" w:rsidRDefault="008334D5" w:rsidP="00A8328C">
      <w:pPr>
        <w:rPr>
          <w:lang w:val="en-GB" w:eastAsia="en-GB"/>
        </w:rPr>
      </w:pPr>
    </w:p>
    <w:p w14:paraId="12AF4A8C" w14:textId="33BDEF18" w:rsidR="003C6682" w:rsidRDefault="003C6682" w:rsidP="00A8328C">
      <w:pPr>
        <w:rPr>
          <w:lang w:val="en-GB" w:eastAsia="en-GB"/>
        </w:rPr>
      </w:pPr>
      <w:r>
        <w:rPr>
          <w:lang w:val="en-GB" w:eastAsia="en-GB"/>
        </w:rPr>
        <w:t>The technique described here is compl</w:t>
      </w:r>
      <w:r w:rsidR="001D13B4">
        <w:rPr>
          <w:lang w:val="en-GB" w:eastAsia="en-GB"/>
        </w:rPr>
        <w:t>i</w:t>
      </w:r>
      <w:r>
        <w:rPr>
          <w:lang w:val="en-GB" w:eastAsia="en-GB"/>
        </w:rPr>
        <w:t xml:space="preserve">mentary to other trans-activation </w:t>
      </w:r>
      <w:r w:rsidR="00263B19">
        <w:rPr>
          <w:lang w:val="en-GB" w:eastAsia="en-GB"/>
        </w:rPr>
        <w:t>systems</w:t>
      </w:r>
      <w:r w:rsidR="00263B19" w:rsidRPr="00797FB7">
        <w:rPr>
          <w:noProof/>
          <w:vertAlign w:val="superscript"/>
          <w:lang w:val="en-GB" w:eastAsia="en-GB"/>
        </w:rPr>
        <w:t>2</w:t>
      </w:r>
      <w:r w:rsidR="00263B19">
        <w:rPr>
          <w:noProof/>
          <w:vertAlign w:val="superscript"/>
          <w:lang w:val="en-GB" w:eastAsia="en-GB"/>
        </w:rPr>
        <w:t>1</w:t>
      </w:r>
      <w:r w:rsidRPr="00797FB7">
        <w:rPr>
          <w:noProof/>
          <w:vertAlign w:val="superscript"/>
          <w:lang w:val="en-GB" w:eastAsia="en-GB"/>
        </w:rPr>
        <w:t>,</w:t>
      </w:r>
      <w:r w:rsidR="00263B19" w:rsidRPr="00797FB7">
        <w:rPr>
          <w:noProof/>
          <w:vertAlign w:val="superscript"/>
          <w:lang w:val="en-GB" w:eastAsia="en-GB"/>
        </w:rPr>
        <w:t>2</w:t>
      </w:r>
      <w:r w:rsidR="00263B19">
        <w:rPr>
          <w:noProof/>
          <w:vertAlign w:val="superscript"/>
          <w:lang w:val="en-GB" w:eastAsia="en-GB"/>
        </w:rPr>
        <w:t>2</w:t>
      </w:r>
      <w:r>
        <w:rPr>
          <w:lang w:val="en-GB" w:eastAsia="en-GB"/>
        </w:rPr>
        <w:t>, as it provides a comprehensive resource and combines tissue specificity with inducible expression. A possible future development of this method is the incorporation of more cell type-specific promoters to drive GR-LhG4, for example in tissues outside of the main meristems. Regarding effectors, an exciting possible expansion is the adaption of highly efficient gene editing tools to allow for cell type-specific knock outs</w:t>
      </w:r>
      <w:r w:rsidRPr="00797FB7">
        <w:rPr>
          <w:noProof/>
          <w:vertAlign w:val="superscript"/>
          <w:lang w:val="en-GB" w:eastAsia="en-GB"/>
        </w:rPr>
        <w:t>2</w:t>
      </w:r>
      <w:r w:rsidR="00263B19">
        <w:rPr>
          <w:noProof/>
          <w:vertAlign w:val="superscript"/>
          <w:lang w:val="en-GB" w:eastAsia="en-GB"/>
        </w:rPr>
        <w:t>3</w:t>
      </w:r>
      <w:r>
        <w:rPr>
          <w:lang w:val="en-GB" w:eastAsia="en-GB"/>
        </w:rPr>
        <w:t xml:space="preserve">. </w:t>
      </w:r>
    </w:p>
    <w:p w14:paraId="6DFC8B40" w14:textId="77777777" w:rsidR="008334D5" w:rsidRDefault="008334D5" w:rsidP="00A8328C">
      <w:pPr>
        <w:rPr>
          <w:lang w:val="en-GB" w:eastAsia="en-GB"/>
        </w:rPr>
      </w:pPr>
    </w:p>
    <w:p w14:paraId="69CB892D" w14:textId="6021591A" w:rsidR="003C6682" w:rsidRPr="001643EA" w:rsidRDefault="003C6682" w:rsidP="00A8328C">
      <w:pPr>
        <w:rPr>
          <w:lang w:val="en-GB" w:eastAsia="en-GB"/>
        </w:rPr>
      </w:pPr>
      <w:r>
        <w:rPr>
          <w:lang w:val="en-GB" w:eastAsia="en-GB"/>
        </w:rPr>
        <w:t xml:space="preserve">The driver lines described in </w:t>
      </w:r>
      <w:proofErr w:type="spellStart"/>
      <w:r>
        <w:rPr>
          <w:lang w:val="en-GB" w:eastAsia="en-GB"/>
        </w:rPr>
        <w:t>Schürholz</w:t>
      </w:r>
      <w:proofErr w:type="spellEnd"/>
      <w:r>
        <w:rPr>
          <w:lang w:val="en-GB" w:eastAsia="en-GB"/>
        </w:rPr>
        <w:t xml:space="preserve"> et al. 2018</w:t>
      </w:r>
      <w:r w:rsidR="004C72EE" w:rsidRPr="004C00FA">
        <w:rPr>
          <w:vertAlign w:val="superscript"/>
          <w:lang w:val="en-GB" w:eastAsia="en-GB"/>
        </w:rPr>
        <w:t>8</w:t>
      </w:r>
      <w:r>
        <w:rPr>
          <w:lang w:val="en-GB" w:eastAsia="en-GB"/>
        </w:rPr>
        <w:t xml:space="preserve"> are available from NASC (http://arabidopsis.info/), DNA constructs described in </w:t>
      </w:r>
      <w:proofErr w:type="spellStart"/>
      <w:r>
        <w:rPr>
          <w:lang w:val="en-GB" w:eastAsia="en-GB"/>
        </w:rPr>
        <w:t>Lampropoulos</w:t>
      </w:r>
      <w:proofErr w:type="spellEnd"/>
      <w:r>
        <w:rPr>
          <w:lang w:val="en-GB" w:eastAsia="en-GB"/>
        </w:rPr>
        <w:t xml:space="preserve"> et al., 2013</w:t>
      </w:r>
      <w:r w:rsidRPr="001643EA">
        <w:rPr>
          <w:noProof/>
          <w:vertAlign w:val="superscript"/>
          <w:lang w:val="en-GB" w:eastAsia="en-GB"/>
        </w:rPr>
        <w:t>2</w:t>
      </w:r>
      <w:r w:rsidRPr="001643EA">
        <w:rPr>
          <w:lang w:val="en-GB" w:eastAsia="en-GB"/>
        </w:rPr>
        <w:t xml:space="preserve"> and </w:t>
      </w:r>
      <w:proofErr w:type="spellStart"/>
      <w:r w:rsidRPr="001643EA">
        <w:rPr>
          <w:lang w:val="en-GB" w:eastAsia="en-GB"/>
        </w:rPr>
        <w:t>Schürholz</w:t>
      </w:r>
      <w:proofErr w:type="spellEnd"/>
      <w:r w:rsidRPr="001643EA">
        <w:rPr>
          <w:lang w:val="en-GB" w:eastAsia="en-GB"/>
        </w:rPr>
        <w:t xml:space="preserve"> et al., 2018</w:t>
      </w:r>
      <w:r w:rsidRPr="001643EA">
        <w:rPr>
          <w:noProof/>
          <w:vertAlign w:val="superscript"/>
          <w:lang w:val="en-GB" w:eastAsia="en-GB"/>
        </w:rPr>
        <w:t>8</w:t>
      </w:r>
      <w:r w:rsidRPr="001643EA">
        <w:rPr>
          <w:lang w:val="en-GB" w:eastAsia="en-GB"/>
        </w:rPr>
        <w:t xml:space="preserve"> are available from </w:t>
      </w:r>
      <w:proofErr w:type="spellStart"/>
      <w:r w:rsidRPr="001643EA">
        <w:rPr>
          <w:lang w:val="en-GB" w:eastAsia="en-GB"/>
        </w:rPr>
        <w:t>Addgene</w:t>
      </w:r>
      <w:proofErr w:type="spellEnd"/>
      <w:r w:rsidRPr="001643EA">
        <w:rPr>
          <w:lang w:val="en-GB" w:eastAsia="en-GB"/>
        </w:rPr>
        <w:t xml:space="preserve"> (https://www.addgene.org/)</w:t>
      </w:r>
      <w:r w:rsidR="004C00FA">
        <w:rPr>
          <w:lang w:val="en-GB" w:eastAsia="en-GB"/>
        </w:rPr>
        <w:t>.</w:t>
      </w:r>
    </w:p>
    <w:p w14:paraId="405A8144" w14:textId="77777777" w:rsidR="003C6682" w:rsidRPr="001643EA" w:rsidRDefault="003C6682" w:rsidP="00A8328C">
      <w:pPr>
        <w:rPr>
          <w:color w:val="00000A"/>
          <w:lang w:val="en-GB"/>
        </w:rPr>
      </w:pPr>
    </w:p>
    <w:p w14:paraId="6B1DDDE0" w14:textId="77777777" w:rsidR="003C6682" w:rsidRPr="004C00FA" w:rsidRDefault="003C6682" w:rsidP="00A8328C">
      <w:pPr>
        <w:pStyle w:val="NormalWeb"/>
        <w:spacing w:after="0"/>
        <w:rPr>
          <w:rStyle w:val="InternetLink"/>
          <w:lang w:val="en-GB"/>
        </w:rPr>
      </w:pPr>
      <w:r w:rsidRPr="004C00FA">
        <w:rPr>
          <w:b/>
          <w:bCs/>
          <w:lang w:val="en-GB"/>
        </w:rPr>
        <w:t xml:space="preserve">ACKNOWLEDGMENTS: </w:t>
      </w:r>
    </w:p>
    <w:p w14:paraId="73D5C1D9" w14:textId="77777777" w:rsidR="003C6682" w:rsidRPr="004C00FA" w:rsidRDefault="003C6682" w:rsidP="00A8328C">
      <w:pPr>
        <w:rPr>
          <w:color w:val="00000A"/>
          <w:lang w:val="en-GB"/>
        </w:rPr>
      </w:pPr>
      <w:r w:rsidRPr="004C00FA">
        <w:rPr>
          <w:color w:val="00000A"/>
          <w:lang w:val="en-GB"/>
        </w:rPr>
        <w:t xml:space="preserve">Work in our laboratories is supported by German Research Foundation (DFG) Grants WO 1660/6-1 (to S.W.) and GR 2104/4-1 (to T.G.) and SFB1101 (to T.G. and J.U.L) and by a European Research Council consolidator grant (PLANTSTEMS 647148) to T.G.  S.W. is supported through the Emmy </w:t>
      </w:r>
      <w:proofErr w:type="spellStart"/>
      <w:r w:rsidRPr="004C00FA">
        <w:rPr>
          <w:color w:val="00000A"/>
          <w:lang w:val="en-GB"/>
        </w:rPr>
        <w:t>Noether</w:t>
      </w:r>
      <w:proofErr w:type="spellEnd"/>
      <w:r w:rsidRPr="004C00FA">
        <w:rPr>
          <w:color w:val="00000A"/>
          <w:lang w:val="en-GB"/>
        </w:rPr>
        <w:t xml:space="preserve"> Fellowship of the DFG through Grant WO 1660/2. </w:t>
      </w:r>
    </w:p>
    <w:p w14:paraId="6A7A9C30" w14:textId="77777777" w:rsidR="003C6682" w:rsidRPr="004C00FA" w:rsidRDefault="003C6682" w:rsidP="00A8328C">
      <w:pPr>
        <w:rPr>
          <w:b/>
          <w:bCs/>
          <w:lang w:val="en-GB"/>
        </w:rPr>
      </w:pPr>
    </w:p>
    <w:p w14:paraId="7CC6CF1A" w14:textId="77777777" w:rsidR="003C6682" w:rsidRPr="004C00FA" w:rsidRDefault="003C6682" w:rsidP="00A8328C">
      <w:pPr>
        <w:pStyle w:val="NormalWeb"/>
        <w:spacing w:after="0"/>
        <w:rPr>
          <w:rStyle w:val="InternetLink"/>
          <w:lang w:val="en-GB"/>
        </w:rPr>
      </w:pPr>
      <w:r w:rsidRPr="004C00FA">
        <w:rPr>
          <w:b/>
          <w:bCs/>
          <w:lang w:val="en-GB"/>
        </w:rPr>
        <w:t xml:space="preserve">DISCLOSURES: </w:t>
      </w:r>
    </w:p>
    <w:p w14:paraId="72040756" w14:textId="77777777" w:rsidR="003C6682" w:rsidRPr="004C00FA" w:rsidRDefault="003C6682" w:rsidP="00A8328C">
      <w:pPr>
        <w:rPr>
          <w:color w:val="auto"/>
          <w:lang w:val="en-GB"/>
        </w:rPr>
      </w:pPr>
      <w:r w:rsidRPr="004C00FA">
        <w:rPr>
          <w:color w:val="auto"/>
          <w:lang w:val="en-GB"/>
        </w:rPr>
        <w:t>The authors have nothing to disclose.</w:t>
      </w:r>
    </w:p>
    <w:p w14:paraId="1F9A67DA" w14:textId="77777777" w:rsidR="003C6682" w:rsidRPr="004C00FA" w:rsidRDefault="003C6682" w:rsidP="00A8328C">
      <w:pPr>
        <w:rPr>
          <w:b/>
          <w:bCs/>
          <w:lang w:val="en-GB"/>
        </w:rPr>
      </w:pPr>
    </w:p>
    <w:p w14:paraId="018EE88C" w14:textId="77777777" w:rsidR="003C6682" w:rsidRPr="004C00FA" w:rsidRDefault="003C6682" w:rsidP="00A8328C">
      <w:pPr>
        <w:rPr>
          <w:rStyle w:val="InternetLink"/>
          <w:color w:val="808080"/>
          <w:lang w:val="en-GB"/>
        </w:rPr>
      </w:pPr>
      <w:r w:rsidRPr="004C00FA">
        <w:rPr>
          <w:b/>
          <w:bCs/>
          <w:lang w:val="en-GB"/>
        </w:rPr>
        <w:t>REFERENCES:</w:t>
      </w:r>
      <w:r w:rsidRPr="004C00FA">
        <w:rPr>
          <w:lang w:val="en-GB"/>
        </w:rPr>
        <w:t xml:space="preserve"> </w:t>
      </w:r>
    </w:p>
    <w:p w14:paraId="627BE7DF" w14:textId="77777777" w:rsidR="003C6682" w:rsidRPr="004C00FA" w:rsidRDefault="003C6682" w:rsidP="00A8328C">
      <w:pPr>
        <w:rPr>
          <w:color w:val="7F7F7F"/>
          <w:lang w:val="en-GB"/>
        </w:rPr>
      </w:pPr>
    </w:p>
    <w:p w14:paraId="467B4BE0" w14:textId="5FDE42DC" w:rsidR="003C6682" w:rsidRPr="00047EC2" w:rsidRDefault="003C6682" w:rsidP="00A8328C">
      <w:pPr>
        <w:pStyle w:val="EndNoteBibliography"/>
      </w:pPr>
      <w:r w:rsidRPr="00047EC2">
        <w:t>1</w:t>
      </w:r>
      <w:r w:rsidRPr="00047EC2">
        <w:tab/>
        <w:t xml:space="preserve">Moore, I., Samalova, M. &amp; Kurup, S. Transactivated and chemically inducible gene expression in plants. </w:t>
      </w:r>
      <w:r w:rsidR="001643EA" w:rsidRPr="001643EA">
        <w:rPr>
          <w:i/>
        </w:rPr>
        <w:t xml:space="preserve">The </w:t>
      </w:r>
      <w:r w:rsidRPr="00047EC2">
        <w:rPr>
          <w:i/>
        </w:rPr>
        <w:t>Plant J</w:t>
      </w:r>
      <w:r w:rsidR="001643EA">
        <w:rPr>
          <w:i/>
        </w:rPr>
        <w:t>ournal.</w:t>
      </w:r>
      <w:r w:rsidRPr="00047EC2">
        <w:t xml:space="preserve"> </w:t>
      </w:r>
      <w:r w:rsidRPr="00047EC2">
        <w:rPr>
          <w:b/>
        </w:rPr>
        <w:t>45</w:t>
      </w:r>
      <w:r w:rsidRPr="00047EC2">
        <w:t xml:space="preserve"> (4), 651-683, (2006).</w:t>
      </w:r>
    </w:p>
    <w:p w14:paraId="031AAAF8" w14:textId="77777777" w:rsidR="003C6682" w:rsidRPr="00047EC2" w:rsidRDefault="003C6682" w:rsidP="00A8328C">
      <w:pPr>
        <w:pStyle w:val="EndNoteBibliography"/>
      </w:pPr>
      <w:r w:rsidRPr="00047EC2">
        <w:t>2</w:t>
      </w:r>
      <w:r w:rsidRPr="00047EC2">
        <w:tab/>
        <w:t>Lampropoulos, A.</w:t>
      </w:r>
      <w:r w:rsidRPr="00047EC2">
        <w:rPr>
          <w:i/>
        </w:rPr>
        <w:t xml:space="preserve"> et al.</w:t>
      </w:r>
      <w:r w:rsidRPr="00047EC2">
        <w:t xml:space="preserve"> GreenGate---a novel, versatile, and efficient cloning system for plant transgenesis. </w:t>
      </w:r>
      <w:r w:rsidRPr="00047EC2">
        <w:rPr>
          <w:i/>
        </w:rPr>
        <w:t>PLoS One.</w:t>
      </w:r>
      <w:r w:rsidRPr="00047EC2">
        <w:t xml:space="preserve"> </w:t>
      </w:r>
      <w:r w:rsidRPr="00047EC2">
        <w:rPr>
          <w:b/>
        </w:rPr>
        <w:t>8</w:t>
      </w:r>
      <w:r w:rsidRPr="00047EC2">
        <w:t xml:space="preserve"> (12), e83043, (2013).</w:t>
      </w:r>
    </w:p>
    <w:p w14:paraId="311D905C" w14:textId="65AC9C64" w:rsidR="003C6682" w:rsidRPr="00047EC2" w:rsidRDefault="003C6682" w:rsidP="00A8328C">
      <w:pPr>
        <w:pStyle w:val="EndNoteBibliography"/>
      </w:pPr>
      <w:r w:rsidRPr="00047EC2">
        <w:t>3</w:t>
      </w:r>
      <w:r w:rsidRPr="00047EC2">
        <w:tab/>
        <w:t>Baroux, C.</w:t>
      </w:r>
      <w:r w:rsidRPr="00047EC2">
        <w:rPr>
          <w:i/>
        </w:rPr>
        <w:t xml:space="preserve"> et al.</w:t>
      </w:r>
      <w:r w:rsidRPr="00047EC2">
        <w:t xml:space="preserve"> Predictable activation of tissue-specific expression from a single gene locus using the pOp/LhG4 transactivation system in Arabidopsis. </w:t>
      </w:r>
      <w:r w:rsidRPr="00047EC2">
        <w:rPr>
          <w:i/>
        </w:rPr>
        <w:t>Plant Biotechnol</w:t>
      </w:r>
      <w:r w:rsidR="001643EA">
        <w:rPr>
          <w:i/>
        </w:rPr>
        <w:t>ogy</w:t>
      </w:r>
      <w:r w:rsidRPr="00047EC2">
        <w:rPr>
          <w:i/>
        </w:rPr>
        <w:t xml:space="preserve"> J</w:t>
      </w:r>
      <w:r w:rsidR="001643EA">
        <w:rPr>
          <w:i/>
        </w:rPr>
        <w:t>ournal</w:t>
      </w:r>
      <w:r w:rsidRPr="00047EC2">
        <w:rPr>
          <w:i/>
        </w:rPr>
        <w:t>.</w:t>
      </w:r>
      <w:r w:rsidRPr="00047EC2">
        <w:t xml:space="preserve"> </w:t>
      </w:r>
      <w:r w:rsidRPr="00047EC2">
        <w:rPr>
          <w:b/>
        </w:rPr>
        <w:t>3</w:t>
      </w:r>
      <w:r w:rsidRPr="00047EC2">
        <w:t xml:space="preserve"> (1), 91-101, (2005).</w:t>
      </w:r>
    </w:p>
    <w:p w14:paraId="5637EFF7" w14:textId="1639A30B" w:rsidR="003C6682" w:rsidRPr="00047EC2" w:rsidRDefault="003C6682" w:rsidP="00A8328C">
      <w:pPr>
        <w:pStyle w:val="EndNoteBibliography"/>
      </w:pPr>
      <w:r w:rsidRPr="00047EC2">
        <w:t>4</w:t>
      </w:r>
      <w:r w:rsidRPr="00047EC2">
        <w:tab/>
        <w:t>Craft, J.</w:t>
      </w:r>
      <w:r w:rsidRPr="00047EC2">
        <w:rPr>
          <w:i/>
        </w:rPr>
        <w:t xml:space="preserve"> et al.</w:t>
      </w:r>
      <w:r w:rsidRPr="00047EC2">
        <w:t xml:space="preserve"> New pOp/LhG4 vectors for stringent glucocorticoid-dependent transgene expression in Arabidopsis. </w:t>
      </w:r>
      <w:r w:rsidR="001643EA" w:rsidRPr="001643EA">
        <w:rPr>
          <w:i/>
        </w:rPr>
        <w:t xml:space="preserve">The </w:t>
      </w:r>
      <w:r w:rsidRPr="00047EC2">
        <w:rPr>
          <w:i/>
        </w:rPr>
        <w:t>Plant J</w:t>
      </w:r>
      <w:r w:rsidR="001643EA">
        <w:rPr>
          <w:i/>
        </w:rPr>
        <w:t>ournal</w:t>
      </w:r>
      <w:r w:rsidRPr="00047EC2">
        <w:rPr>
          <w:i/>
        </w:rPr>
        <w:t>.</w:t>
      </w:r>
      <w:r w:rsidRPr="00047EC2">
        <w:t xml:space="preserve"> </w:t>
      </w:r>
      <w:r w:rsidRPr="00047EC2">
        <w:rPr>
          <w:b/>
        </w:rPr>
        <w:t>41</w:t>
      </w:r>
      <w:r w:rsidRPr="00047EC2">
        <w:t xml:space="preserve"> (6), 899-918, (2005).</w:t>
      </w:r>
    </w:p>
    <w:p w14:paraId="3AFDBFB5" w14:textId="2C00C95A" w:rsidR="003C6682" w:rsidRPr="00047EC2" w:rsidRDefault="003C6682" w:rsidP="00A8328C">
      <w:pPr>
        <w:pStyle w:val="EndNoteBibliography"/>
      </w:pPr>
      <w:r w:rsidRPr="00047EC2">
        <w:t>5</w:t>
      </w:r>
      <w:r w:rsidRPr="00047EC2">
        <w:tab/>
        <w:t xml:space="preserve">Moore, I., Galweiler, L., Grosskopf, D., Schell, J. &amp; Palme, K. A transcription activation system for regulated gene expression in transgenic plants. </w:t>
      </w:r>
      <w:r w:rsidRPr="00047EC2">
        <w:rPr>
          <w:i/>
        </w:rPr>
        <w:t>Proc</w:t>
      </w:r>
      <w:r w:rsidR="001643EA">
        <w:rPr>
          <w:i/>
        </w:rPr>
        <w:t>eedings of the</w:t>
      </w:r>
      <w:r w:rsidRPr="00047EC2">
        <w:rPr>
          <w:i/>
        </w:rPr>
        <w:t xml:space="preserve"> Nat</w:t>
      </w:r>
      <w:r w:rsidR="001643EA">
        <w:rPr>
          <w:i/>
        </w:rPr>
        <w:t>iona</w:t>
      </w:r>
      <w:r w:rsidRPr="00047EC2">
        <w:rPr>
          <w:i/>
        </w:rPr>
        <w:t>l Acad</w:t>
      </w:r>
      <w:r w:rsidR="001643EA">
        <w:rPr>
          <w:i/>
        </w:rPr>
        <w:t>emy of</w:t>
      </w:r>
      <w:r w:rsidRPr="00047EC2">
        <w:rPr>
          <w:i/>
        </w:rPr>
        <w:t xml:space="preserve"> Sci</w:t>
      </w:r>
      <w:r w:rsidR="001643EA">
        <w:rPr>
          <w:i/>
        </w:rPr>
        <w:t>ences of the</w:t>
      </w:r>
      <w:r w:rsidRPr="00047EC2">
        <w:rPr>
          <w:i/>
        </w:rPr>
        <w:t xml:space="preserve"> U</w:t>
      </w:r>
      <w:r w:rsidR="001643EA">
        <w:rPr>
          <w:i/>
        </w:rPr>
        <w:t xml:space="preserve">nited </w:t>
      </w:r>
      <w:r w:rsidRPr="00047EC2">
        <w:rPr>
          <w:i/>
        </w:rPr>
        <w:t>S</w:t>
      </w:r>
      <w:r w:rsidR="001643EA">
        <w:rPr>
          <w:i/>
        </w:rPr>
        <w:t xml:space="preserve">tates of </w:t>
      </w:r>
      <w:r w:rsidRPr="00047EC2">
        <w:rPr>
          <w:i/>
        </w:rPr>
        <w:t>A</w:t>
      </w:r>
      <w:r w:rsidR="001643EA">
        <w:rPr>
          <w:i/>
        </w:rPr>
        <w:t>merica</w:t>
      </w:r>
      <w:r w:rsidRPr="00047EC2">
        <w:rPr>
          <w:i/>
        </w:rPr>
        <w:t>.</w:t>
      </w:r>
      <w:r w:rsidRPr="00047EC2">
        <w:t xml:space="preserve"> </w:t>
      </w:r>
      <w:r w:rsidRPr="00047EC2">
        <w:rPr>
          <w:b/>
        </w:rPr>
        <w:t>95</w:t>
      </w:r>
      <w:r w:rsidRPr="00047EC2">
        <w:t xml:space="preserve"> (1), 376-381, (1998).</w:t>
      </w:r>
    </w:p>
    <w:p w14:paraId="33B04897" w14:textId="37E23225" w:rsidR="003C6682" w:rsidRPr="00047EC2" w:rsidRDefault="003C6682" w:rsidP="00A8328C">
      <w:pPr>
        <w:pStyle w:val="EndNoteBibliography"/>
      </w:pPr>
      <w:r w:rsidRPr="00047EC2">
        <w:t>6</w:t>
      </w:r>
      <w:r w:rsidRPr="00047EC2">
        <w:tab/>
        <w:t xml:space="preserve">Samalova, M., Brzobohaty, B. &amp; Moore, I. pOp6/LhGR: a stringently regulated and highly responsive dexamethasone-inducible gene expression system for tobacco. </w:t>
      </w:r>
      <w:r w:rsidR="001643EA" w:rsidRPr="001643EA">
        <w:rPr>
          <w:i/>
        </w:rPr>
        <w:t>The</w:t>
      </w:r>
      <w:r w:rsidR="001643EA">
        <w:t xml:space="preserve"> </w:t>
      </w:r>
      <w:r w:rsidRPr="00047EC2">
        <w:rPr>
          <w:i/>
        </w:rPr>
        <w:t>Plant J</w:t>
      </w:r>
      <w:r w:rsidR="001643EA">
        <w:rPr>
          <w:i/>
        </w:rPr>
        <w:t>ournal</w:t>
      </w:r>
      <w:r w:rsidRPr="00047EC2">
        <w:rPr>
          <w:i/>
        </w:rPr>
        <w:t>.</w:t>
      </w:r>
      <w:r w:rsidRPr="00047EC2">
        <w:t xml:space="preserve"> </w:t>
      </w:r>
      <w:r w:rsidRPr="00047EC2">
        <w:rPr>
          <w:b/>
        </w:rPr>
        <w:t>41</w:t>
      </w:r>
      <w:r w:rsidRPr="00047EC2">
        <w:t xml:space="preserve"> (6), 919-935, (2005).</w:t>
      </w:r>
    </w:p>
    <w:p w14:paraId="0CDD876D" w14:textId="519C5DC5" w:rsidR="003C6682" w:rsidRPr="00047EC2" w:rsidRDefault="003C6682" w:rsidP="00A8328C">
      <w:pPr>
        <w:pStyle w:val="EndNoteBibliography"/>
      </w:pPr>
      <w:r w:rsidRPr="00047EC2">
        <w:t>7</w:t>
      </w:r>
      <w:r w:rsidRPr="00047EC2">
        <w:tab/>
        <w:t xml:space="preserve">Picard, D. Steroid-binding domains for regulating the functions of heterologous proteins in cis. </w:t>
      </w:r>
      <w:r w:rsidRPr="00047EC2">
        <w:rPr>
          <w:i/>
        </w:rPr>
        <w:t xml:space="preserve">Trends </w:t>
      </w:r>
      <w:r w:rsidR="001643EA">
        <w:rPr>
          <w:i/>
        </w:rPr>
        <w:t xml:space="preserve">in </w:t>
      </w:r>
      <w:r w:rsidRPr="00047EC2">
        <w:rPr>
          <w:i/>
        </w:rPr>
        <w:t>Cell Biol</w:t>
      </w:r>
      <w:r w:rsidR="001643EA">
        <w:rPr>
          <w:i/>
        </w:rPr>
        <w:t>ogy</w:t>
      </w:r>
      <w:r w:rsidRPr="00047EC2">
        <w:rPr>
          <w:i/>
        </w:rPr>
        <w:t>.</w:t>
      </w:r>
      <w:r w:rsidRPr="00047EC2">
        <w:t xml:space="preserve"> </w:t>
      </w:r>
      <w:r w:rsidRPr="00047EC2">
        <w:rPr>
          <w:b/>
        </w:rPr>
        <w:t>3</w:t>
      </w:r>
      <w:r w:rsidRPr="00047EC2">
        <w:t xml:space="preserve"> (8), 278-280, (1993).</w:t>
      </w:r>
    </w:p>
    <w:p w14:paraId="29A1076A" w14:textId="5F380F23" w:rsidR="003C6682" w:rsidRPr="00047EC2" w:rsidRDefault="003C6682" w:rsidP="00A8328C">
      <w:pPr>
        <w:pStyle w:val="EndNoteBibliography"/>
      </w:pPr>
      <w:r w:rsidRPr="00047EC2">
        <w:t>8</w:t>
      </w:r>
      <w:r w:rsidRPr="00047EC2">
        <w:tab/>
        <w:t>Schurholz, A. K.</w:t>
      </w:r>
      <w:r w:rsidRPr="00047EC2">
        <w:rPr>
          <w:i/>
        </w:rPr>
        <w:t xml:space="preserve"> et al.</w:t>
      </w:r>
      <w:r w:rsidRPr="00047EC2">
        <w:t xml:space="preserve"> A Comprehensive Toolkit for Inducible, Cell Type-Specific Gene Expression in Arabidopsis. </w:t>
      </w:r>
      <w:r w:rsidRPr="00047EC2">
        <w:rPr>
          <w:i/>
        </w:rPr>
        <w:t>Plant Physiol</w:t>
      </w:r>
      <w:r w:rsidR="001643EA">
        <w:rPr>
          <w:i/>
        </w:rPr>
        <w:t>ogy</w:t>
      </w:r>
      <w:r w:rsidRPr="00047EC2">
        <w:rPr>
          <w:i/>
        </w:rPr>
        <w:t>.</w:t>
      </w:r>
      <w:r w:rsidRPr="00047EC2">
        <w:t xml:space="preserve"> </w:t>
      </w:r>
      <w:r w:rsidRPr="00047EC2">
        <w:rPr>
          <w:b/>
        </w:rPr>
        <w:t>178</w:t>
      </w:r>
      <w:r w:rsidRPr="00047EC2">
        <w:t xml:space="preserve"> (1), 40-53, (2018).</w:t>
      </w:r>
    </w:p>
    <w:p w14:paraId="21A6246F" w14:textId="6671E9D9" w:rsidR="003C6682" w:rsidRPr="00047EC2" w:rsidRDefault="003C6682" w:rsidP="00A8328C">
      <w:pPr>
        <w:pStyle w:val="EndNoteBibliography"/>
      </w:pPr>
      <w:r w:rsidRPr="00047EC2">
        <w:t>9</w:t>
      </w:r>
      <w:r w:rsidRPr="00047EC2">
        <w:tab/>
        <w:t>Kubo, M.</w:t>
      </w:r>
      <w:r w:rsidRPr="00047EC2">
        <w:rPr>
          <w:i/>
        </w:rPr>
        <w:t xml:space="preserve"> et al.</w:t>
      </w:r>
      <w:r w:rsidRPr="00047EC2">
        <w:t xml:space="preserve"> Transcription switches for protoxylem and metaxylem vessel formation. </w:t>
      </w:r>
      <w:r w:rsidRPr="00047EC2">
        <w:rPr>
          <w:i/>
        </w:rPr>
        <w:t>Genes</w:t>
      </w:r>
      <w:r w:rsidR="001643EA">
        <w:rPr>
          <w:i/>
        </w:rPr>
        <w:t xml:space="preserve"> and </w:t>
      </w:r>
      <w:r w:rsidRPr="00047EC2">
        <w:rPr>
          <w:i/>
        </w:rPr>
        <w:t>Dev</w:t>
      </w:r>
      <w:r w:rsidR="001643EA">
        <w:rPr>
          <w:i/>
        </w:rPr>
        <w:t>elopment</w:t>
      </w:r>
      <w:r w:rsidRPr="00047EC2">
        <w:rPr>
          <w:i/>
        </w:rPr>
        <w:t>.</w:t>
      </w:r>
      <w:r w:rsidRPr="00047EC2">
        <w:t xml:space="preserve"> </w:t>
      </w:r>
      <w:r w:rsidRPr="00047EC2">
        <w:rPr>
          <w:b/>
        </w:rPr>
        <w:t>19</w:t>
      </w:r>
      <w:r w:rsidRPr="00047EC2">
        <w:t xml:space="preserve"> (16), 1855-1860, (2005).</w:t>
      </w:r>
    </w:p>
    <w:p w14:paraId="7DD06F44" w14:textId="77777777" w:rsidR="003C6682" w:rsidRPr="00047EC2" w:rsidRDefault="003C6682" w:rsidP="00A8328C">
      <w:pPr>
        <w:pStyle w:val="EndNoteBibliography"/>
      </w:pPr>
      <w:r w:rsidRPr="00047EC2">
        <w:t>10</w:t>
      </w:r>
      <w:r w:rsidRPr="00047EC2">
        <w:tab/>
        <w:t>Di Laurenzio, L.</w:t>
      </w:r>
      <w:r w:rsidRPr="00047EC2">
        <w:rPr>
          <w:i/>
        </w:rPr>
        <w:t xml:space="preserve"> et al.</w:t>
      </w:r>
      <w:r w:rsidRPr="00047EC2">
        <w:t xml:space="preserve"> The SCARECROW gene regulates an asymmetric cell division that is essential for generating the radial organization of the Arabidopsis root. </w:t>
      </w:r>
      <w:r w:rsidRPr="00047EC2">
        <w:rPr>
          <w:i/>
        </w:rPr>
        <w:t>Cell.</w:t>
      </w:r>
      <w:r w:rsidRPr="00047EC2">
        <w:t xml:space="preserve"> </w:t>
      </w:r>
      <w:r w:rsidRPr="00047EC2">
        <w:rPr>
          <w:b/>
        </w:rPr>
        <w:t>86</w:t>
      </w:r>
      <w:r w:rsidRPr="00047EC2">
        <w:t xml:space="preserve"> (3), 423-433, (1996).</w:t>
      </w:r>
    </w:p>
    <w:p w14:paraId="404985B4" w14:textId="77777777" w:rsidR="003C6682" w:rsidRPr="00047EC2" w:rsidRDefault="003C6682" w:rsidP="00A8328C">
      <w:pPr>
        <w:pStyle w:val="EndNoteBibliography"/>
      </w:pPr>
      <w:r w:rsidRPr="00047EC2">
        <w:t>11</w:t>
      </w:r>
      <w:r w:rsidRPr="00047EC2">
        <w:tab/>
        <w:t xml:space="preserve">Wysocka-Diller, J. W., Helariutta, Y., Fukaki, H., Malamy, J. E. &amp; Benfey, P. N. Molecular analysis of SCARECROW function reveals a radial patterning mechanism common to root and shoot. </w:t>
      </w:r>
      <w:r w:rsidRPr="00047EC2">
        <w:rPr>
          <w:i/>
        </w:rPr>
        <w:t>Development.</w:t>
      </w:r>
      <w:r w:rsidRPr="00047EC2">
        <w:t xml:space="preserve"> </w:t>
      </w:r>
      <w:r w:rsidRPr="00047EC2">
        <w:rPr>
          <w:b/>
        </w:rPr>
        <w:t>127</w:t>
      </w:r>
      <w:r w:rsidRPr="00047EC2">
        <w:t xml:space="preserve"> (3), 595-603, (2000).</w:t>
      </w:r>
    </w:p>
    <w:p w14:paraId="5F9B29EC" w14:textId="1E45351A" w:rsidR="003C6682" w:rsidRPr="00047EC2" w:rsidRDefault="003C6682" w:rsidP="00A8328C">
      <w:pPr>
        <w:pStyle w:val="EndNoteBibliography"/>
      </w:pPr>
      <w:r w:rsidRPr="00047EC2">
        <w:t>12</w:t>
      </w:r>
      <w:r w:rsidRPr="00047EC2">
        <w:tab/>
        <w:t xml:space="preserve">Hellens, R. P., Edwards, E. A., Leyland, N. R., Bean, S. &amp; Mullineaux, P. M. pGreen: a versatile and flexible binary Ti vector for Agrobacterium-mediated plant transformation. </w:t>
      </w:r>
      <w:r w:rsidRPr="00047EC2">
        <w:rPr>
          <w:i/>
        </w:rPr>
        <w:t>Plant Mol</w:t>
      </w:r>
      <w:r w:rsidR="001643EA">
        <w:rPr>
          <w:i/>
        </w:rPr>
        <w:t>ecular</w:t>
      </w:r>
      <w:r w:rsidRPr="00047EC2">
        <w:rPr>
          <w:i/>
        </w:rPr>
        <w:t xml:space="preserve"> Biol</w:t>
      </w:r>
      <w:r w:rsidR="001643EA">
        <w:rPr>
          <w:i/>
        </w:rPr>
        <w:t>ogy</w:t>
      </w:r>
      <w:r w:rsidRPr="00047EC2">
        <w:rPr>
          <w:i/>
        </w:rPr>
        <w:t>.</w:t>
      </w:r>
      <w:r w:rsidRPr="00047EC2">
        <w:t xml:space="preserve"> </w:t>
      </w:r>
      <w:r w:rsidRPr="00047EC2">
        <w:rPr>
          <w:b/>
        </w:rPr>
        <w:t>42</w:t>
      </w:r>
      <w:r w:rsidRPr="00047EC2">
        <w:t xml:space="preserve"> (6), 819-832, (2000).</w:t>
      </w:r>
    </w:p>
    <w:p w14:paraId="5EA43346" w14:textId="0190611E" w:rsidR="003C6682" w:rsidRPr="00047EC2" w:rsidRDefault="003C6682" w:rsidP="00A8328C">
      <w:pPr>
        <w:pStyle w:val="EndNoteBibliography"/>
      </w:pPr>
      <w:r w:rsidRPr="00047EC2">
        <w:t>13</w:t>
      </w:r>
      <w:r w:rsidRPr="00047EC2">
        <w:tab/>
        <w:t xml:space="preserve">Zhang, X., Henriques, R., Lin, S. S., Niu, Q. W. &amp; Chua, N. H. Agrobacterium-mediated transformation of Arabidopsis thaliana using the floral dip method. </w:t>
      </w:r>
      <w:r w:rsidRPr="00047EC2">
        <w:rPr>
          <w:i/>
        </w:rPr>
        <w:t>Nat</w:t>
      </w:r>
      <w:r w:rsidR="001643EA">
        <w:rPr>
          <w:i/>
        </w:rPr>
        <w:t>ure</w:t>
      </w:r>
      <w:r w:rsidRPr="00047EC2">
        <w:rPr>
          <w:i/>
        </w:rPr>
        <w:t xml:space="preserve"> Protoc</w:t>
      </w:r>
      <w:r w:rsidR="001643EA">
        <w:rPr>
          <w:i/>
        </w:rPr>
        <w:t>ols</w:t>
      </w:r>
      <w:r w:rsidRPr="00047EC2">
        <w:rPr>
          <w:i/>
        </w:rPr>
        <w:t>.</w:t>
      </w:r>
      <w:r w:rsidRPr="00047EC2">
        <w:t xml:space="preserve"> </w:t>
      </w:r>
      <w:r w:rsidRPr="00047EC2">
        <w:rPr>
          <w:b/>
        </w:rPr>
        <w:t>1</w:t>
      </w:r>
      <w:r w:rsidRPr="00047EC2">
        <w:t xml:space="preserve"> (2), 641-646, (2006).</w:t>
      </w:r>
    </w:p>
    <w:p w14:paraId="5C4FFDE3" w14:textId="7D71BA1B" w:rsidR="003C6682" w:rsidRDefault="003C6682" w:rsidP="00A8328C">
      <w:pPr>
        <w:pStyle w:val="EndNoteBibliography"/>
      </w:pPr>
      <w:r w:rsidRPr="00047EC2">
        <w:t>14</w:t>
      </w:r>
      <w:r w:rsidRPr="00047EC2">
        <w:tab/>
        <w:t xml:space="preserve">Kleinboelting, N., Huep, G., Kloetgen, A., Viehoever, P. &amp; Weisshaar, B. GABI-Kat SimpleSearch: new features of the Arabidopsis thaliana T-DNA mutant database. </w:t>
      </w:r>
      <w:r w:rsidRPr="00047EC2">
        <w:rPr>
          <w:i/>
        </w:rPr>
        <w:t>Nucleic Acids Res</w:t>
      </w:r>
      <w:r w:rsidR="001643EA">
        <w:rPr>
          <w:i/>
        </w:rPr>
        <w:t>earch</w:t>
      </w:r>
      <w:r w:rsidRPr="00047EC2">
        <w:rPr>
          <w:i/>
        </w:rPr>
        <w:t>.</w:t>
      </w:r>
      <w:r w:rsidRPr="00047EC2">
        <w:t xml:space="preserve"> </w:t>
      </w:r>
      <w:r w:rsidRPr="00047EC2">
        <w:rPr>
          <w:b/>
        </w:rPr>
        <w:t>40</w:t>
      </w:r>
      <w:r w:rsidRPr="00047EC2">
        <w:t xml:space="preserve"> (Database issue), D1211-1215, (2012).</w:t>
      </w:r>
    </w:p>
    <w:p w14:paraId="0EFD860A" w14:textId="697F9980" w:rsidR="00263B19" w:rsidRPr="00047EC2" w:rsidRDefault="00263B19" w:rsidP="00A8328C">
      <w:pPr>
        <w:pStyle w:val="EndNoteBibliography"/>
      </w:pPr>
      <w:r>
        <w:t xml:space="preserve">15 </w:t>
      </w:r>
      <w:r>
        <w:tab/>
      </w:r>
      <w:hyperlink r:id="rId9" w:history="1">
        <w:r w:rsidR="00991462" w:rsidRPr="00080CD1">
          <w:rPr>
            <w:rStyle w:val="Hyperlink"/>
          </w:rPr>
          <w:t>https://www.gabi-kat.de/methods/sul-selection-scheme.html</w:t>
        </w:r>
      </w:hyperlink>
      <w:r>
        <w:t>.</w:t>
      </w:r>
    </w:p>
    <w:p w14:paraId="03CBD82B" w14:textId="2408AD3B" w:rsidR="003C6682" w:rsidRPr="00047EC2" w:rsidRDefault="00263B19" w:rsidP="00A8328C">
      <w:pPr>
        <w:pStyle w:val="EndNoteBibliography"/>
      </w:pPr>
      <w:r w:rsidRPr="00047EC2">
        <w:t>1</w:t>
      </w:r>
      <w:r>
        <w:t>6</w:t>
      </w:r>
      <w:r w:rsidR="003C6682" w:rsidRPr="00047EC2">
        <w:tab/>
        <w:t>Huang, Y.</w:t>
      </w:r>
      <w:r w:rsidR="003C6682" w:rsidRPr="00047EC2">
        <w:rPr>
          <w:i/>
        </w:rPr>
        <w:t xml:space="preserve"> et al.</w:t>
      </w:r>
      <w:r w:rsidR="003C6682" w:rsidRPr="00047EC2">
        <w:t xml:space="preserve"> Standard addition quantitative real-time PCR (SAQPCR): a novel approach for determination of transgene copy number avoiding PCR efficiency estimation. </w:t>
      </w:r>
      <w:r w:rsidR="003C6682" w:rsidRPr="00047EC2">
        <w:rPr>
          <w:i/>
        </w:rPr>
        <w:t>PLoS One.</w:t>
      </w:r>
      <w:r w:rsidR="003C6682" w:rsidRPr="00047EC2">
        <w:t xml:space="preserve"> </w:t>
      </w:r>
      <w:r w:rsidR="003C6682" w:rsidRPr="00047EC2">
        <w:rPr>
          <w:b/>
        </w:rPr>
        <w:t>8</w:t>
      </w:r>
      <w:r w:rsidR="003C6682" w:rsidRPr="00047EC2">
        <w:t xml:space="preserve"> (1), e53489, (2013).</w:t>
      </w:r>
    </w:p>
    <w:p w14:paraId="3E308FE9" w14:textId="7BEA8134" w:rsidR="003C6682" w:rsidRPr="00047EC2" w:rsidRDefault="00263B19" w:rsidP="00A8328C">
      <w:pPr>
        <w:pStyle w:val="EndNoteBibliography"/>
      </w:pPr>
      <w:r w:rsidRPr="004C00FA">
        <w:rPr>
          <w:lang w:val="en-GB"/>
        </w:rPr>
        <w:t>17</w:t>
      </w:r>
      <w:r w:rsidR="003C6682" w:rsidRPr="004C00FA">
        <w:rPr>
          <w:lang w:val="en-GB"/>
        </w:rPr>
        <w:tab/>
        <w:t>Wallner, E. S.</w:t>
      </w:r>
      <w:r w:rsidR="003C6682" w:rsidRPr="004C00FA">
        <w:rPr>
          <w:i/>
          <w:lang w:val="en-GB"/>
        </w:rPr>
        <w:t xml:space="preserve"> et al.</w:t>
      </w:r>
      <w:r w:rsidR="003C6682" w:rsidRPr="004C00FA">
        <w:rPr>
          <w:lang w:val="en-GB"/>
        </w:rPr>
        <w:t xml:space="preserve"> </w:t>
      </w:r>
      <w:r w:rsidR="003C6682" w:rsidRPr="00047EC2">
        <w:t xml:space="preserve">Strigolactone- and Karrikin-Independent SMXL Proteins Are Central Regulators of Phloem Formation. </w:t>
      </w:r>
      <w:r w:rsidR="003C6682" w:rsidRPr="00047EC2">
        <w:rPr>
          <w:i/>
        </w:rPr>
        <w:t>Curr</w:t>
      </w:r>
      <w:r w:rsidR="001643EA">
        <w:rPr>
          <w:i/>
        </w:rPr>
        <w:t>ent</w:t>
      </w:r>
      <w:r w:rsidR="003C6682" w:rsidRPr="00047EC2">
        <w:rPr>
          <w:i/>
        </w:rPr>
        <w:t xml:space="preserve"> Biol</w:t>
      </w:r>
      <w:r w:rsidR="001643EA">
        <w:rPr>
          <w:i/>
        </w:rPr>
        <w:t>ogy</w:t>
      </w:r>
      <w:r w:rsidR="003C6682" w:rsidRPr="00047EC2">
        <w:rPr>
          <w:i/>
        </w:rPr>
        <w:t>.</w:t>
      </w:r>
      <w:r w:rsidR="003C6682" w:rsidRPr="00047EC2">
        <w:t xml:space="preserve"> </w:t>
      </w:r>
      <w:r w:rsidR="003C6682" w:rsidRPr="00047EC2">
        <w:rPr>
          <w:b/>
        </w:rPr>
        <w:t>27</w:t>
      </w:r>
      <w:r w:rsidR="003C6682" w:rsidRPr="00047EC2">
        <w:t xml:space="preserve"> (8), 1241-1247, (2017).</w:t>
      </w:r>
    </w:p>
    <w:p w14:paraId="680DB083" w14:textId="6E6BA0BF" w:rsidR="003C6682" w:rsidRPr="00047EC2" w:rsidRDefault="00263B19" w:rsidP="00A8328C">
      <w:pPr>
        <w:pStyle w:val="EndNoteBibliography"/>
      </w:pPr>
      <w:r w:rsidRPr="00047EC2">
        <w:t>1</w:t>
      </w:r>
      <w:r>
        <w:t>8</w:t>
      </w:r>
      <w:r w:rsidR="003C6682" w:rsidRPr="00047EC2">
        <w:tab/>
        <w:t xml:space="preserve">Fletcher, J. C., Brand, U., Running, M. P., Simon, R. &amp; Meyerowitz, E. M. Signaling of cell fate decisions by CLAVATA3 in Arabidopsis shoot meristems. </w:t>
      </w:r>
      <w:r w:rsidR="003C6682" w:rsidRPr="00047EC2">
        <w:rPr>
          <w:i/>
        </w:rPr>
        <w:t>Science.</w:t>
      </w:r>
      <w:r w:rsidR="003C6682" w:rsidRPr="00047EC2">
        <w:t xml:space="preserve"> </w:t>
      </w:r>
      <w:r w:rsidR="003C6682" w:rsidRPr="00047EC2">
        <w:rPr>
          <w:b/>
        </w:rPr>
        <w:t>283</w:t>
      </w:r>
      <w:r w:rsidR="003C6682" w:rsidRPr="00047EC2">
        <w:t xml:space="preserve"> (5409), 1911-1914, (1999).</w:t>
      </w:r>
    </w:p>
    <w:p w14:paraId="70398DBE" w14:textId="3202BF24" w:rsidR="003C6682" w:rsidRPr="00047EC2" w:rsidRDefault="00263B19" w:rsidP="00A8328C">
      <w:pPr>
        <w:pStyle w:val="EndNoteBibliography"/>
      </w:pPr>
      <w:r w:rsidRPr="00047EC2">
        <w:t>1</w:t>
      </w:r>
      <w:r>
        <w:t>9</w:t>
      </w:r>
      <w:r w:rsidR="003C6682" w:rsidRPr="00047EC2">
        <w:tab/>
        <w:t>Watanabe, Y.</w:t>
      </w:r>
      <w:r w:rsidR="003C6682" w:rsidRPr="00047EC2">
        <w:rPr>
          <w:i/>
        </w:rPr>
        <w:t xml:space="preserve"> et al.</w:t>
      </w:r>
      <w:r w:rsidR="003C6682" w:rsidRPr="00047EC2">
        <w:t xml:space="preserve"> Visualization of cellulose synthases in Arabidopsis secondary cell walls. </w:t>
      </w:r>
      <w:r w:rsidR="003C6682" w:rsidRPr="00047EC2">
        <w:rPr>
          <w:i/>
        </w:rPr>
        <w:t>Science.</w:t>
      </w:r>
      <w:r w:rsidR="003C6682" w:rsidRPr="00047EC2">
        <w:t xml:space="preserve"> </w:t>
      </w:r>
      <w:r w:rsidR="003C6682" w:rsidRPr="00047EC2">
        <w:rPr>
          <w:b/>
        </w:rPr>
        <w:t>350</w:t>
      </w:r>
      <w:r w:rsidR="003C6682" w:rsidRPr="00047EC2">
        <w:t xml:space="preserve"> (6257), 198-203, (2015).</w:t>
      </w:r>
    </w:p>
    <w:p w14:paraId="6AFFB166" w14:textId="2E6B9661" w:rsidR="003C6682" w:rsidRPr="00047EC2" w:rsidRDefault="00263B19" w:rsidP="00A8328C">
      <w:pPr>
        <w:pStyle w:val="EndNoteBibliography"/>
      </w:pPr>
      <w:r>
        <w:t>20</w:t>
      </w:r>
      <w:r w:rsidR="003C6682" w:rsidRPr="00047EC2">
        <w:tab/>
        <w:t>Yamaguchi, M.</w:t>
      </w:r>
      <w:r w:rsidR="003C6682" w:rsidRPr="00047EC2">
        <w:rPr>
          <w:i/>
        </w:rPr>
        <w:t xml:space="preserve"> et al.</w:t>
      </w:r>
      <w:r w:rsidR="003C6682" w:rsidRPr="00047EC2">
        <w:t xml:space="preserve"> VASCULAR-RELATED NAC-DOMAIN6 and VASCULAR-RELATED NAC-DOMAIN7 effectively induce transdifferentiation into xylem vessel elements under control of an induction system. </w:t>
      </w:r>
      <w:r w:rsidR="003C6682" w:rsidRPr="00047EC2">
        <w:rPr>
          <w:i/>
        </w:rPr>
        <w:t>Plant Physiol</w:t>
      </w:r>
      <w:r w:rsidR="001643EA">
        <w:rPr>
          <w:i/>
        </w:rPr>
        <w:t>ogy</w:t>
      </w:r>
      <w:r w:rsidR="003C6682" w:rsidRPr="00047EC2">
        <w:rPr>
          <w:i/>
        </w:rPr>
        <w:t>.</w:t>
      </w:r>
      <w:r w:rsidR="003C6682" w:rsidRPr="00047EC2">
        <w:t xml:space="preserve"> </w:t>
      </w:r>
      <w:r w:rsidR="003C6682" w:rsidRPr="00047EC2">
        <w:rPr>
          <w:b/>
        </w:rPr>
        <w:t>153</w:t>
      </w:r>
      <w:r w:rsidR="003C6682" w:rsidRPr="00047EC2">
        <w:t xml:space="preserve"> (3), 906-914, (2010).</w:t>
      </w:r>
    </w:p>
    <w:p w14:paraId="6E458E2A" w14:textId="7074D9F5" w:rsidR="003C6682" w:rsidRPr="00047EC2" w:rsidRDefault="00263B19" w:rsidP="00A8328C">
      <w:pPr>
        <w:pStyle w:val="EndNoteBibliography"/>
      </w:pPr>
      <w:r w:rsidRPr="00047EC2">
        <w:t>2</w:t>
      </w:r>
      <w:r>
        <w:t>1</w:t>
      </w:r>
      <w:r w:rsidR="003C6682" w:rsidRPr="00047EC2">
        <w:tab/>
        <w:t xml:space="preserve">Engineer, C. B., Fitzsimmons, K. C., Schmuke, J. J., Dotson, S. B. &amp; Kranz, R. G. Development and evaluation of a Gal4-mediated LUC/GFP/GUS enhancer trap system in Arabidopsis. </w:t>
      </w:r>
      <w:r w:rsidR="003C6682" w:rsidRPr="00047EC2">
        <w:rPr>
          <w:i/>
        </w:rPr>
        <w:t>BMC Plant Biol</w:t>
      </w:r>
      <w:r w:rsidR="001643EA">
        <w:rPr>
          <w:i/>
        </w:rPr>
        <w:t>ogy</w:t>
      </w:r>
      <w:r w:rsidR="003C6682" w:rsidRPr="00047EC2">
        <w:rPr>
          <w:i/>
        </w:rPr>
        <w:t>.</w:t>
      </w:r>
      <w:r w:rsidR="003C6682" w:rsidRPr="00047EC2">
        <w:t xml:space="preserve"> </w:t>
      </w:r>
      <w:r w:rsidR="003C6682" w:rsidRPr="00047EC2">
        <w:rPr>
          <w:b/>
        </w:rPr>
        <w:t>5</w:t>
      </w:r>
      <w:r w:rsidR="003C6682" w:rsidRPr="00047EC2">
        <w:t xml:space="preserve"> 9, (2005).</w:t>
      </w:r>
    </w:p>
    <w:p w14:paraId="7D6BC1B0" w14:textId="53825D2D" w:rsidR="003C6682" w:rsidRPr="00047EC2" w:rsidRDefault="003C6682" w:rsidP="00A8328C">
      <w:pPr>
        <w:pStyle w:val="EndNoteBibliography"/>
      </w:pPr>
      <w:r w:rsidRPr="00047EC2">
        <w:t>2</w:t>
      </w:r>
      <w:r w:rsidR="00263B19">
        <w:t>2</w:t>
      </w:r>
      <w:r w:rsidRPr="00047EC2">
        <w:t>1</w:t>
      </w:r>
      <w:r w:rsidRPr="00047EC2">
        <w:tab/>
        <w:t xml:space="preserve">Aoyama, T. &amp; Chua, N. H. A glucocorticoid-mediated transcriptional induction system in transgenic plants. </w:t>
      </w:r>
      <w:r w:rsidR="001643EA">
        <w:rPr>
          <w:i/>
        </w:rPr>
        <w:t xml:space="preserve">The </w:t>
      </w:r>
      <w:r w:rsidRPr="00047EC2">
        <w:rPr>
          <w:i/>
        </w:rPr>
        <w:t>Plant J</w:t>
      </w:r>
      <w:r w:rsidR="001643EA">
        <w:rPr>
          <w:i/>
        </w:rPr>
        <w:t>ournal</w:t>
      </w:r>
      <w:r w:rsidRPr="00047EC2">
        <w:rPr>
          <w:i/>
        </w:rPr>
        <w:t>.</w:t>
      </w:r>
      <w:r w:rsidRPr="00047EC2">
        <w:t xml:space="preserve"> </w:t>
      </w:r>
      <w:r w:rsidRPr="00047EC2">
        <w:rPr>
          <w:b/>
        </w:rPr>
        <w:t>11</w:t>
      </w:r>
      <w:r w:rsidRPr="00047EC2">
        <w:t xml:space="preserve"> (3), 605-612, (1997).</w:t>
      </w:r>
    </w:p>
    <w:p w14:paraId="29F27473" w14:textId="4DDA7A39" w:rsidR="003C6682" w:rsidRPr="00047EC2" w:rsidRDefault="00263B19" w:rsidP="00A8328C">
      <w:pPr>
        <w:pStyle w:val="EndNoteBibliography"/>
      </w:pPr>
      <w:r w:rsidRPr="00047EC2">
        <w:t>2</w:t>
      </w:r>
      <w:r>
        <w:t>3</w:t>
      </w:r>
      <w:r w:rsidR="003C6682" w:rsidRPr="00047EC2">
        <w:tab/>
        <w:t>Decaestecker, W.</w:t>
      </w:r>
      <w:r w:rsidR="003C6682" w:rsidRPr="00047EC2">
        <w:rPr>
          <w:i/>
        </w:rPr>
        <w:t xml:space="preserve"> et al.</w:t>
      </w:r>
      <w:r w:rsidR="003C6682" w:rsidRPr="00047EC2">
        <w:t xml:space="preserve"> CRISPR-TSKO facilitates efficient cell type-, tissue-, or organ-specific mutagenesis in Arabidopsis. </w:t>
      </w:r>
      <w:r w:rsidR="003C6682" w:rsidRPr="00047EC2">
        <w:rPr>
          <w:i/>
        </w:rPr>
        <w:t>bioRxiv.</w:t>
      </w:r>
      <w:r w:rsidR="003C6682" w:rsidRPr="00047EC2">
        <w:t xml:space="preserve"> 10.1101/474981 474981, (2018).</w:t>
      </w:r>
    </w:p>
    <w:p w14:paraId="556A2ED3" w14:textId="77777777" w:rsidR="003C6682" w:rsidRDefault="003C6682" w:rsidP="00A8328C">
      <w:pPr>
        <w:rPr>
          <w:color w:val="7F7F7F"/>
        </w:rPr>
      </w:pPr>
    </w:p>
    <w:p w14:paraId="659346B1" w14:textId="77777777" w:rsidR="00A30692" w:rsidRDefault="00A30692" w:rsidP="00A8328C"/>
    <w:sectPr w:rsidR="00A30692" w:rsidSect="00A8328C">
      <w:headerReference w:type="default" r:id="rId10"/>
      <w:footerReference w:type="first" r:id="rId11"/>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70318" w14:textId="77777777" w:rsidR="005F1C36" w:rsidRDefault="005F1C36">
      <w:r>
        <w:separator/>
      </w:r>
    </w:p>
  </w:endnote>
  <w:endnote w:type="continuationSeparator" w:id="0">
    <w:p w14:paraId="0205EFE0" w14:textId="77777777" w:rsidR="005F1C36" w:rsidRDefault="005F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3777A" w14:textId="77777777" w:rsidR="004C00FA" w:rsidRDefault="004C00F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91EDE" w14:textId="77777777" w:rsidR="005F1C36" w:rsidRDefault="005F1C36">
      <w:r>
        <w:separator/>
      </w:r>
    </w:p>
  </w:footnote>
  <w:footnote w:type="continuationSeparator" w:id="0">
    <w:p w14:paraId="593713E0" w14:textId="77777777" w:rsidR="005F1C36" w:rsidRDefault="005F1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4D871" w14:textId="77777777" w:rsidR="004C00FA" w:rsidRDefault="004C00FA">
    <w:pPr>
      <w:pStyle w:val="Header"/>
      <w:tabs>
        <w:tab w:val="left" w:pos="5724"/>
      </w:tabs>
      <w:rPr>
        <w:sz w:val="22"/>
      </w:rPr>
    </w:pP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830F5"/>
    <w:multiLevelType w:val="multilevel"/>
    <w:tmpl w:val="CB1CAE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BE8001D"/>
    <w:multiLevelType w:val="multilevel"/>
    <w:tmpl w:val="2F52AC6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2D23891"/>
    <w:multiLevelType w:val="multilevel"/>
    <w:tmpl w:val="BF7EF1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4003DF8"/>
    <w:multiLevelType w:val="multilevel"/>
    <w:tmpl w:val="3CF028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3494458"/>
    <w:multiLevelType w:val="multilevel"/>
    <w:tmpl w:val="2E5627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E440AB2"/>
    <w:multiLevelType w:val="multilevel"/>
    <w:tmpl w:val="1D6E6A32"/>
    <w:lvl w:ilvl="0">
      <w:start w:val="1"/>
      <w:numFmt w:val="decimal"/>
      <w:suff w:val="space"/>
      <w:lvlText w:val="%1."/>
      <w:lvlJc w:val="left"/>
      <w:pPr>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3670C7B"/>
    <w:multiLevelType w:val="multilevel"/>
    <w:tmpl w:val="DFF2DA6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451745A9"/>
    <w:multiLevelType w:val="multilevel"/>
    <w:tmpl w:val="523E6D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B2E58A2"/>
    <w:multiLevelType w:val="multilevel"/>
    <w:tmpl w:val="11DCA6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C47095F"/>
    <w:multiLevelType w:val="multilevel"/>
    <w:tmpl w:val="6D6C23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F594D4E"/>
    <w:multiLevelType w:val="multilevel"/>
    <w:tmpl w:val="EBEC47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28035F2"/>
    <w:multiLevelType w:val="multilevel"/>
    <w:tmpl w:val="A9F48FC4"/>
    <w:lvl w:ilvl="0">
      <w:start w:val="1"/>
      <w:numFmt w:val="bullet"/>
      <w:lvlText w:val=""/>
      <w:lvlJc w:val="left"/>
      <w:pPr>
        <w:ind w:left="900" w:hanging="360"/>
      </w:pPr>
      <w:rPr>
        <w:rFonts w:ascii="Symbol" w:hAnsi="Symbol" w:cs="Symbol" w:hint="default"/>
        <w:w w:val="100"/>
        <w:sz w:val="24"/>
        <w:szCs w:val="24"/>
      </w:rPr>
    </w:lvl>
    <w:lvl w:ilvl="1">
      <w:start w:val="1"/>
      <w:numFmt w:val="bullet"/>
      <w:lvlText w:val="o"/>
      <w:lvlJc w:val="left"/>
      <w:pPr>
        <w:ind w:left="1620" w:hanging="360"/>
      </w:pPr>
      <w:rPr>
        <w:rFonts w:ascii="Courier New" w:hAnsi="Courier New" w:cs="Courier New" w:hint="default"/>
        <w:w w:val="99"/>
      </w:rPr>
    </w:lvl>
    <w:lvl w:ilvl="2">
      <w:start w:val="1"/>
      <w:numFmt w:val="bullet"/>
      <w:lvlText w:val=""/>
      <w:lvlJc w:val="left"/>
      <w:pPr>
        <w:ind w:left="2520" w:hanging="360"/>
      </w:pPr>
      <w:rPr>
        <w:rFonts w:ascii="Symbol" w:hAnsi="Symbol" w:cs="Symbol" w:hint="default"/>
      </w:rPr>
    </w:lvl>
    <w:lvl w:ilvl="3">
      <w:start w:val="1"/>
      <w:numFmt w:val="bullet"/>
      <w:lvlText w:val=""/>
      <w:lvlJc w:val="left"/>
      <w:pPr>
        <w:ind w:left="3420" w:hanging="360"/>
      </w:pPr>
      <w:rPr>
        <w:rFonts w:ascii="Symbol" w:hAnsi="Symbol" w:cs="Symbol" w:hint="default"/>
      </w:rPr>
    </w:lvl>
    <w:lvl w:ilvl="4">
      <w:start w:val="1"/>
      <w:numFmt w:val="bullet"/>
      <w:lvlText w:val=""/>
      <w:lvlJc w:val="left"/>
      <w:pPr>
        <w:ind w:left="4320" w:hanging="360"/>
      </w:pPr>
      <w:rPr>
        <w:rFonts w:ascii="Symbol" w:hAnsi="Symbol" w:cs="Symbol" w:hint="default"/>
      </w:rPr>
    </w:lvl>
    <w:lvl w:ilvl="5">
      <w:start w:val="1"/>
      <w:numFmt w:val="bullet"/>
      <w:lvlText w:val=""/>
      <w:lvlJc w:val="left"/>
      <w:pPr>
        <w:ind w:left="5220" w:hanging="360"/>
      </w:pPr>
      <w:rPr>
        <w:rFonts w:ascii="Symbol" w:hAnsi="Symbol" w:cs="Symbol" w:hint="default"/>
      </w:rPr>
    </w:lvl>
    <w:lvl w:ilvl="6">
      <w:start w:val="1"/>
      <w:numFmt w:val="bullet"/>
      <w:lvlText w:val=""/>
      <w:lvlJc w:val="left"/>
      <w:pPr>
        <w:ind w:left="6120" w:hanging="360"/>
      </w:pPr>
      <w:rPr>
        <w:rFonts w:ascii="Symbol" w:hAnsi="Symbol" w:cs="Symbol" w:hint="default"/>
      </w:rPr>
    </w:lvl>
    <w:lvl w:ilvl="7">
      <w:start w:val="1"/>
      <w:numFmt w:val="bullet"/>
      <w:lvlText w:val=""/>
      <w:lvlJc w:val="left"/>
      <w:pPr>
        <w:ind w:left="7020" w:hanging="360"/>
      </w:pPr>
      <w:rPr>
        <w:rFonts w:ascii="Symbol" w:hAnsi="Symbol" w:cs="Symbol" w:hint="default"/>
      </w:rPr>
    </w:lvl>
    <w:lvl w:ilvl="8">
      <w:start w:val="1"/>
      <w:numFmt w:val="bullet"/>
      <w:lvlText w:val=""/>
      <w:lvlJc w:val="left"/>
      <w:pPr>
        <w:ind w:left="7920" w:hanging="360"/>
      </w:pPr>
      <w:rPr>
        <w:rFonts w:ascii="Symbol" w:hAnsi="Symbol" w:cs="Symbol" w:hint="default"/>
      </w:rPr>
    </w:lvl>
  </w:abstractNum>
  <w:abstractNum w:abstractNumId="12" w15:restartNumberingAfterBreak="0">
    <w:nsid w:val="54313433"/>
    <w:multiLevelType w:val="multilevel"/>
    <w:tmpl w:val="8578E8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9612274"/>
    <w:multiLevelType w:val="multilevel"/>
    <w:tmpl w:val="DE4CC5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CC70526"/>
    <w:multiLevelType w:val="multilevel"/>
    <w:tmpl w:val="7436D3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B61194"/>
    <w:multiLevelType w:val="multilevel"/>
    <w:tmpl w:val="400468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FAE315C"/>
    <w:multiLevelType w:val="multilevel"/>
    <w:tmpl w:val="BBE614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E376AE5"/>
    <w:multiLevelType w:val="multilevel"/>
    <w:tmpl w:val="64E4E41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9" w15:restartNumberingAfterBreak="0">
    <w:nsid w:val="7E6F46A1"/>
    <w:multiLevelType w:val="multilevel"/>
    <w:tmpl w:val="BDC004E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7"/>
  </w:num>
  <w:num w:numId="4">
    <w:abstractNumId w:val="8"/>
  </w:num>
  <w:num w:numId="5">
    <w:abstractNumId w:val="10"/>
  </w:num>
  <w:num w:numId="6">
    <w:abstractNumId w:val="17"/>
  </w:num>
  <w:num w:numId="7">
    <w:abstractNumId w:val="9"/>
  </w:num>
  <w:num w:numId="8">
    <w:abstractNumId w:val="12"/>
  </w:num>
  <w:num w:numId="9">
    <w:abstractNumId w:val="4"/>
  </w:num>
  <w:num w:numId="10">
    <w:abstractNumId w:val="13"/>
  </w:num>
  <w:num w:numId="11">
    <w:abstractNumId w:val="18"/>
  </w:num>
  <w:num w:numId="12">
    <w:abstractNumId w:val="19"/>
  </w:num>
  <w:num w:numId="13">
    <w:abstractNumId w:val="11"/>
  </w:num>
  <w:num w:numId="14">
    <w:abstractNumId w:val="16"/>
  </w:num>
  <w:num w:numId="15">
    <w:abstractNumId w:val="5"/>
  </w:num>
  <w:num w:numId="16">
    <w:abstractNumId w:val="6"/>
  </w:num>
  <w:num w:numId="17">
    <w:abstractNumId w:val="3"/>
  </w:num>
  <w:num w:numId="18">
    <w:abstractNumId w:val="14"/>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3C6682"/>
    <w:rsid w:val="0002421F"/>
    <w:rsid w:val="00050515"/>
    <w:rsid w:val="00090074"/>
    <w:rsid w:val="00120C6A"/>
    <w:rsid w:val="00162F90"/>
    <w:rsid w:val="001643EA"/>
    <w:rsid w:val="001D13B4"/>
    <w:rsid w:val="00201C0C"/>
    <w:rsid w:val="00263B19"/>
    <w:rsid w:val="0027699E"/>
    <w:rsid w:val="00280EC9"/>
    <w:rsid w:val="002A7397"/>
    <w:rsid w:val="00386A1F"/>
    <w:rsid w:val="003C6682"/>
    <w:rsid w:val="003D2E5F"/>
    <w:rsid w:val="00401728"/>
    <w:rsid w:val="004C00FA"/>
    <w:rsid w:val="004C72EE"/>
    <w:rsid w:val="005562C0"/>
    <w:rsid w:val="005F1C36"/>
    <w:rsid w:val="006A4016"/>
    <w:rsid w:val="00715435"/>
    <w:rsid w:val="007353C6"/>
    <w:rsid w:val="0079396A"/>
    <w:rsid w:val="008334D5"/>
    <w:rsid w:val="008E7606"/>
    <w:rsid w:val="00991462"/>
    <w:rsid w:val="009B0CE1"/>
    <w:rsid w:val="00A30692"/>
    <w:rsid w:val="00A55219"/>
    <w:rsid w:val="00A77F4D"/>
    <w:rsid w:val="00A8328C"/>
    <w:rsid w:val="00AC20D3"/>
    <w:rsid w:val="00C02A71"/>
    <w:rsid w:val="00C27AB6"/>
    <w:rsid w:val="00C6282B"/>
    <w:rsid w:val="00C92BFB"/>
    <w:rsid w:val="00CA5F47"/>
    <w:rsid w:val="00CD3558"/>
    <w:rsid w:val="00E25574"/>
    <w:rsid w:val="00E71274"/>
    <w:rsid w:val="00E913A2"/>
    <w:rsid w:val="00EF14D9"/>
    <w:rsid w:val="00F52C83"/>
    <w:rsid w:val="00F872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DB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6682"/>
    <w:pPr>
      <w:widowControl w:val="0"/>
      <w:suppressAutoHyphens/>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3C6682"/>
    <w:pPr>
      <w:keepNext/>
      <w:spacing w:before="240" w:after="60"/>
      <w:outlineLvl w:val="0"/>
    </w:pPr>
    <w:rPr>
      <w:rFonts w:cs="Times New Roman"/>
      <w:b/>
      <w:bCs/>
      <w:sz w:val="28"/>
      <w:szCs w:val="32"/>
    </w:rPr>
  </w:style>
  <w:style w:type="paragraph" w:styleId="Heading2">
    <w:name w:val="heading 2"/>
    <w:basedOn w:val="Normal"/>
    <w:next w:val="Normal"/>
    <w:link w:val="Heading2Char"/>
    <w:qFormat/>
    <w:rsid w:val="003C6682"/>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C6682"/>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682"/>
    <w:rPr>
      <w:rFonts w:ascii="Calibri" w:eastAsia="Times New Roman" w:hAnsi="Calibri" w:cs="Times New Roman"/>
      <w:b/>
      <w:bCs/>
      <w:color w:val="000000"/>
      <w:sz w:val="28"/>
      <w:szCs w:val="32"/>
      <w:lang w:val="en-US"/>
    </w:rPr>
  </w:style>
  <w:style w:type="character" w:customStyle="1" w:styleId="Heading2Char">
    <w:name w:val="Heading 2 Char"/>
    <w:link w:val="Heading2"/>
    <w:rsid w:val="003C6682"/>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3C6682"/>
    <w:rPr>
      <w:rFonts w:ascii="Cambria" w:eastAsia="Times New Roman" w:hAnsi="Cambria" w:cs="Calibri"/>
      <w:b/>
      <w:bCs/>
      <w:color w:val="4F81BD"/>
      <w:sz w:val="24"/>
      <w:szCs w:val="24"/>
      <w:lang w:val="en-US"/>
    </w:rPr>
  </w:style>
  <w:style w:type="character" w:customStyle="1" w:styleId="InternetLink">
    <w:name w:val="Internet Link"/>
    <w:uiPriority w:val="99"/>
    <w:rsid w:val="003C6682"/>
    <w:rPr>
      <w:color w:val="0000FF"/>
      <w:u w:val="single"/>
    </w:rPr>
  </w:style>
  <w:style w:type="character" w:customStyle="1" w:styleId="HeaderChar">
    <w:name w:val="Header Char"/>
    <w:link w:val="Header"/>
    <w:rsid w:val="003C6682"/>
    <w:rPr>
      <w:sz w:val="24"/>
      <w:szCs w:val="24"/>
    </w:rPr>
  </w:style>
  <w:style w:type="character" w:customStyle="1" w:styleId="FooterChar">
    <w:name w:val="Footer Char"/>
    <w:link w:val="Footer"/>
    <w:uiPriority w:val="99"/>
    <w:rsid w:val="003C6682"/>
    <w:rPr>
      <w:sz w:val="24"/>
      <w:szCs w:val="24"/>
    </w:rPr>
  </w:style>
  <w:style w:type="character" w:styleId="CommentReference">
    <w:name w:val="annotation reference"/>
    <w:uiPriority w:val="99"/>
    <w:rsid w:val="003C6682"/>
    <w:rPr>
      <w:sz w:val="18"/>
      <w:szCs w:val="18"/>
    </w:rPr>
  </w:style>
  <w:style w:type="character" w:customStyle="1" w:styleId="CommentTextChar">
    <w:name w:val="Comment Text Char"/>
    <w:link w:val="CommentText"/>
    <w:uiPriority w:val="99"/>
    <w:rsid w:val="003C6682"/>
    <w:rPr>
      <w:sz w:val="24"/>
      <w:szCs w:val="24"/>
      <w:lang w:val="en-US"/>
    </w:rPr>
  </w:style>
  <w:style w:type="character" w:customStyle="1" w:styleId="CommentSubjectChar">
    <w:name w:val="Comment Subject Char"/>
    <w:link w:val="CommentSubject"/>
    <w:rsid w:val="003C6682"/>
    <w:rPr>
      <w:b/>
      <w:bCs/>
      <w:sz w:val="24"/>
      <w:szCs w:val="24"/>
      <w:lang w:val="en-US"/>
    </w:rPr>
  </w:style>
  <w:style w:type="character" w:customStyle="1" w:styleId="BalloonTextChar">
    <w:name w:val="Balloon Text Char"/>
    <w:link w:val="BalloonText"/>
    <w:rsid w:val="003C6682"/>
    <w:rPr>
      <w:rFonts w:ascii="Lucida Grande" w:hAnsi="Lucida Grande"/>
      <w:sz w:val="18"/>
      <w:szCs w:val="18"/>
      <w:lang w:val="en-US"/>
    </w:rPr>
  </w:style>
  <w:style w:type="character" w:styleId="PageNumber">
    <w:name w:val="page number"/>
    <w:basedOn w:val="DefaultParagraphFont"/>
    <w:rsid w:val="003C6682"/>
  </w:style>
  <w:style w:type="character" w:styleId="FollowedHyperlink">
    <w:name w:val="FollowedHyperlink"/>
    <w:rsid w:val="003C6682"/>
    <w:rPr>
      <w:color w:val="800080"/>
      <w:u w:val="single"/>
    </w:rPr>
  </w:style>
  <w:style w:type="character" w:customStyle="1" w:styleId="apple-converted-space">
    <w:name w:val="apple-converted-space"/>
    <w:basedOn w:val="DefaultParagraphFont"/>
    <w:rsid w:val="003C6682"/>
  </w:style>
  <w:style w:type="character" w:styleId="IntenseEmphasis">
    <w:name w:val="Intense Emphasis"/>
    <w:qFormat/>
    <w:rsid w:val="003C6682"/>
    <w:rPr>
      <w:b/>
      <w:bCs/>
      <w:i/>
      <w:iCs/>
      <w:color w:val="4F81BD"/>
    </w:rPr>
  </w:style>
  <w:style w:type="character" w:customStyle="1" w:styleId="ExampletextChar">
    <w:name w:val="Example text Char"/>
    <w:link w:val="Exampletext"/>
    <w:rsid w:val="003C6682"/>
    <w:rPr>
      <w:rFonts w:ascii="Calibri" w:hAnsi="Calibri" w:cs="Calibri"/>
      <w:color w:val="7F7F7F"/>
      <w:sz w:val="24"/>
      <w:szCs w:val="24"/>
    </w:rPr>
  </w:style>
  <w:style w:type="character" w:customStyle="1" w:styleId="BodyTextChar">
    <w:name w:val="Body Text Char"/>
    <w:basedOn w:val="DefaultParagraphFont"/>
    <w:link w:val="TextBody"/>
    <w:uiPriority w:val="1"/>
    <w:rsid w:val="003C6682"/>
    <w:rPr>
      <w:rFonts w:ascii="Calibri" w:eastAsia="Calibri" w:hAnsi="Calibri" w:cs="Calibri"/>
      <w:sz w:val="24"/>
      <w:szCs w:val="24"/>
    </w:rPr>
  </w:style>
  <w:style w:type="character" w:styleId="Strong">
    <w:name w:val="Strong"/>
    <w:basedOn w:val="DefaultParagraphFont"/>
    <w:uiPriority w:val="22"/>
    <w:qFormat/>
    <w:rsid w:val="003C6682"/>
    <w:rPr>
      <w:b/>
      <w:bCs/>
    </w:rPr>
  </w:style>
  <w:style w:type="character" w:styleId="Emphasis">
    <w:name w:val="Emphasis"/>
    <w:basedOn w:val="DefaultParagraphFont"/>
    <w:uiPriority w:val="20"/>
    <w:qFormat/>
    <w:rsid w:val="003C6682"/>
    <w:rPr>
      <w:i/>
      <w:iCs/>
    </w:rPr>
  </w:style>
  <w:style w:type="character" w:styleId="LineNumber">
    <w:name w:val="line number"/>
    <w:basedOn w:val="DefaultParagraphFont"/>
    <w:uiPriority w:val="99"/>
    <w:semiHidden/>
    <w:unhideWhenUsed/>
    <w:rsid w:val="003C6682"/>
  </w:style>
  <w:style w:type="character" w:customStyle="1" w:styleId="UnresolvedMention1">
    <w:name w:val="Unresolved Mention1"/>
    <w:basedOn w:val="DefaultParagraphFont"/>
    <w:uiPriority w:val="99"/>
    <w:semiHidden/>
    <w:unhideWhenUsed/>
    <w:rsid w:val="003C6682"/>
    <w:rPr>
      <w:color w:val="808080"/>
      <w:shd w:val="clear" w:color="auto" w:fill="E6E6E6"/>
    </w:rPr>
  </w:style>
  <w:style w:type="character" w:customStyle="1" w:styleId="ListLabel1">
    <w:name w:val="ListLabel 1"/>
    <w:rsid w:val="003C6682"/>
    <w:rPr>
      <w:rFonts w:cs="Courier New"/>
    </w:rPr>
  </w:style>
  <w:style w:type="character" w:customStyle="1" w:styleId="ListLabel2">
    <w:name w:val="ListLabel 2"/>
    <w:rsid w:val="003C6682"/>
    <w:rPr>
      <w:rFonts w:eastAsia="Symbol" w:cs="Symbol"/>
      <w:w w:val="100"/>
      <w:sz w:val="24"/>
      <w:szCs w:val="24"/>
    </w:rPr>
  </w:style>
  <w:style w:type="character" w:customStyle="1" w:styleId="ListLabel3">
    <w:name w:val="ListLabel 3"/>
    <w:rsid w:val="003C6682"/>
    <w:rPr>
      <w:rFonts w:eastAsia="Courier New" w:cs="Courier New"/>
      <w:w w:val="99"/>
    </w:rPr>
  </w:style>
  <w:style w:type="character" w:customStyle="1" w:styleId="ListLabel4">
    <w:name w:val="ListLabel 4"/>
    <w:rsid w:val="003C6682"/>
    <w:rPr>
      <w:b/>
      <w:i w:val="0"/>
    </w:rPr>
  </w:style>
  <w:style w:type="character" w:customStyle="1" w:styleId="ListLabel5">
    <w:name w:val="ListLabel 5"/>
    <w:rsid w:val="003C6682"/>
    <w:rPr>
      <w:rFonts w:cs="Symbol"/>
    </w:rPr>
  </w:style>
  <w:style w:type="character" w:customStyle="1" w:styleId="ListLabel6">
    <w:name w:val="ListLabel 6"/>
    <w:rsid w:val="003C6682"/>
    <w:rPr>
      <w:rFonts w:cs="Courier New"/>
    </w:rPr>
  </w:style>
  <w:style w:type="character" w:customStyle="1" w:styleId="ListLabel7">
    <w:name w:val="ListLabel 7"/>
    <w:rsid w:val="003C6682"/>
    <w:rPr>
      <w:rFonts w:cs="Wingdings"/>
    </w:rPr>
  </w:style>
  <w:style w:type="character" w:customStyle="1" w:styleId="ListLabel8">
    <w:name w:val="ListLabel 8"/>
    <w:rsid w:val="003C6682"/>
    <w:rPr>
      <w:rFonts w:cs="Symbol"/>
      <w:w w:val="100"/>
      <w:sz w:val="24"/>
      <w:szCs w:val="24"/>
    </w:rPr>
  </w:style>
  <w:style w:type="character" w:customStyle="1" w:styleId="ListLabel9">
    <w:name w:val="ListLabel 9"/>
    <w:rsid w:val="003C6682"/>
    <w:rPr>
      <w:rFonts w:cs="Courier New"/>
      <w:w w:val="99"/>
    </w:rPr>
  </w:style>
  <w:style w:type="character" w:customStyle="1" w:styleId="LineNumbering">
    <w:name w:val="Line Numbering"/>
    <w:rsid w:val="003C6682"/>
  </w:style>
  <w:style w:type="paragraph" w:customStyle="1" w:styleId="Heading">
    <w:name w:val="Heading"/>
    <w:basedOn w:val="Normal"/>
    <w:next w:val="TextBody"/>
    <w:rsid w:val="003C6682"/>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BodyTextChar"/>
    <w:uiPriority w:val="1"/>
    <w:qFormat/>
    <w:rsid w:val="003C6682"/>
    <w:pPr>
      <w:spacing w:after="140" w:line="288" w:lineRule="auto"/>
      <w:jc w:val="left"/>
    </w:pPr>
    <w:rPr>
      <w:rFonts w:eastAsia="Calibri"/>
      <w:color w:val="auto"/>
      <w:lang w:val="en-GB"/>
    </w:rPr>
  </w:style>
  <w:style w:type="paragraph" w:styleId="List">
    <w:name w:val="List"/>
    <w:basedOn w:val="TextBody"/>
    <w:rsid w:val="003C6682"/>
    <w:rPr>
      <w:rFonts w:cs="FreeSans"/>
    </w:rPr>
  </w:style>
  <w:style w:type="paragraph" w:styleId="Caption">
    <w:name w:val="caption"/>
    <w:basedOn w:val="Normal"/>
    <w:rsid w:val="003C6682"/>
    <w:pPr>
      <w:suppressLineNumbers/>
      <w:spacing w:before="120" w:after="120"/>
    </w:pPr>
    <w:rPr>
      <w:rFonts w:cs="FreeSans"/>
      <w:i/>
      <w:iCs/>
    </w:rPr>
  </w:style>
  <w:style w:type="paragraph" w:customStyle="1" w:styleId="Index">
    <w:name w:val="Index"/>
    <w:basedOn w:val="Normal"/>
    <w:rsid w:val="003C6682"/>
    <w:pPr>
      <w:suppressLineNumbers/>
    </w:pPr>
    <w:rPr>
      <w:rFonts w:cs="FreeSans"/>
    </w:rPr>
  </w:style>
  <w:style w:type="paragraph" w:styleId="NormalWeb">
    <w:name w:val="Normal (Web)"/>
    <w:basedOn w:val="Normal"/>
    <w:rsid w:val="003C6682"/>
    <w:pPr>
      <w:spacing w:after="280"/>
    </w:pPr>
  </w:style>
  <w:style w:type="paragraph" w:styleId="Header">
    <w:name w:val="header"/>
    <w:basedOn w:val="Normal"/>
    <w:link w:val="HeaderChar"/>
    <w:rsid w:val="003C6682"/>
    <w:pPr>
      <w:tabs>
        <w:tab w:val="center" w:pos="4680"/>
        <w:tab w:val="right" w:pos="9360"/>
      </w:tabs>
    </w:pPr>
    <w:rPr>
      <w:rFonts w:asciiTheme="minorHAnsi" w:eastAsiaTheme="minorHAnsi" w:hAnsiTheme="minorHAnsi" w:cstheme="minorBidi"/>
      <w:color w:val="auto"/>
      <w:lang w:val="en-GB"/>
    </w:rPr>
  </w:style>
  <w:style w:type="character" w:customStyle="1" w:styleId="HeaderChar1">
    <w:name w:val="Header Char1"/>
    <w:basedOn w:val="DefaultParagraphFont"/>
    <w:uiPriority w:val="99"/>
    <w:semiHidden/>
    <w:rsid w:val="003C6682"/>
    <w:rPr>
      <w:rFonts w:ascii="Calibri" w:eastAsia="Times New Roman" w:hAnsi="Calibri" w:cs="Calibri"/>
      <w:color w:val="000000"/>
      <w:sz w:val="24"/>
      <w:szCs w:val="24"/>
      <w:lang w:val="en-US"/>
    </w:rPr>
  </w:style>
  <w:style w:type="paragraph" w:styleId="Footer">
    <w:name w:val="footer"/>
    <w:basedOn w:val="Normal"/>
    <w:link w:val="FooterChar"/>
    <w:uiPriority w:val="99"/>
    <w:rsid w:val="003C6682"/>
    <w:pPr>
      <w:tabs>
        <w:tab w:val="center" w:pos="4680"/>
        <w:tab w:val="right" w:pos="9360"/>
      </w:tabs>
    </w:pPr>
    <w:rPr>
      <w:rFonts w:asciiTheme="minorHAnsi" w:eastAsiaTheme="minorHAnsi" w:hAnsiTheme="minorHAnsi" w:cstheme="minorBidi"/>
      <w:color w:val="auto"/>
      <w:lang w:val="en-GB"/>
    </w:rPr>
  </w:style>
  <w:style w:type="character" w:customStyle="1" w:styleId="FooterChar1">
    <w:name w:val="Footer Char1"/>
    <w:basedOn w:val="DefaultParagraphFont"/>
    <w:uiPriority w:val="99"/>
    <w:semiHidden/>
    <w:rsid w:val="003C6682"/>
    <w:rPr>
      <w:rFonts w:ascii="Calibri" w:eastAsia="Times New Roman" w:hAnsi="Calibri" w:cs="Calibri"/>
      <w:color w:val="000000"/>
      <w:sz w:val="24"/>
      <w:szCs w:val="24"/>
      <w:lang w:val="en-US"/>
    </w:rPr>
  </w:style>
  <w:style w:type="paragraph" w:styleId="CommentText">
    <w:name w:val="annotation text"/>
    <w:basedOn w:val="Normal"/>
    <w:link w:val="CommentTextChar"/>
    <w:uiPriority w:val="99"/>
    <w:rsid w:val="003C6682"/>
    <w:rPr>
      <w:rFonts w:asciiTheme="minorHAnsi" w:eastAsiaTheme="minorHAnsi" w:hAnsiTheme="minorHAnsi" w:cstheme="minorBidi"/>
      <w:color w:val="auto"/>
    </w:rPr>
  </w:style>
  <w:style w:type="character" w:customStyle="1" w:styleId="CommentTextChar1">
    <w:name w:val="Comment Text Char1"/>
    <w:basedOn w:val="DefaultParagraphFont"/>
    <w:uiPriority w:val="99"/>
    <w:semiHidden/>
    <w:rsid w:val="003C6682"/>
    <w:rPr>
      <w:rFonts w:ascii="Calibri" w:eastAsia="Times New Roman" w:hAnsi="Calibri" w:cs="Calibri"/>
      <w:color w:val="000000"/>
      <w:sz w:val="20"/>
      <w:szCs w:val="20"/>
      <w:lang w:val="en-US"/>
    </w:rPr>
  </w:style>
  <w:style w:type="paragraph" w:styleId="CommentSubject">
    <w:name w:val="annotation subject"/>
    <w:basedOn w:val="CommentText"/>
    <w:link w:val="CommentSubjectChar"/>
    <w:rsid w:val="003C6682"/>
    <w:rPr>
      <w:b/>
      <w:bCs/>
    </w:rPr>
  </w:style>
  <w:style w:type="character" w:customStyle="1" w:styleId="CommentSubjectChar1">
    <w:name w:val="Comment Subject Char1"/>
    <w:basedOn w:val="CommentTextChar1"/>
    <w:uiPriority w:val="99"/>
    <w:semiHidden/>
    <w:rsid w:val="003C6682"/>
    <w:rPr>
      <w:rFonts w:ascii="Calibri" w:eastAsia="Times New Roman" w:hAnsi="Calibri" w:cs="Calibri"/>
      <w:b/>
      <w:bCs/>
      <w:color w:val="000000"/>
      <w:sz w:val="20"/>
      <w:szCs w:val="20"/>
      <w:lang w:val="en-US"/>
    </w:rPr>
  </w:style>
  <w:style w:type="paragraph" w:styleId="BalloonText">
    <w:name w:val="Balloon Text"/>
    <w:basedOn w:val="Normal"/>
    <w:link w:val="BalloonTextChar"/>
    <w:rsid w:val="003C6682"/>
    <w:rPr>
      <w:rFonts w:ascii="Lucida Grande" w:eastAsiaTheme="minorHAnsi" w:hAnsi="Lucida Grande" w:cstheme="minorBidi"/>
      <w:color w:val="auto"/>
      <w:sz w:val="18"/>
      <w:szCs w:val="18"/>
    </w:rPr>
  </w:style>
  <w:style w:type="character" w:customStyle="1" w:styleId="BalloonTextChar1">
    <w:name w:val="Balloon Text Char1"/>
    <w:basedOn w:val="DefaultParagraphFont"/>
    <w:uiPriority w:val="99"/>
    <w:semiHidden/>
    <w:rsid w:val="003C6682"/>
    <w:rPr>
      <w:rFonts w:ascii="Segoe UI" w:eastAsia="Times New Roman" w:hAnsi="Segoe UI" w:cs="Segoe UI"/>
      <w:color w:val="000000"/>
      <w:sz w:val="18"/>
      <w:szCs w:val="18"/>
      <w:lang w:val="en-US"/>
    </w:rPr>
  </w:style>
  <w:style w:type="paragraph" w:customStyle="1" w:styleId="Exampletext">
    <w:name w:val="Example text"/>
    <w:basedOn w:val="Normal"/>
    <w:link w:val="ExampletextChar"/>
    <w:qFormat/>
    <w:rsid w:val="003C6682"/>
    <w:pPr>
      <w:spacing w:after="240"/>
    </w:pPr>
    <w:rPr>
      <w:rFonts w:eastAsiaTheme="minorHAnsi"/>
      <w:color w:val="7F7F7F"/>
      <w:lang w:val="en-GB"/>
    </w:rPr>
  </w:style>
  <w:style w:type="paragraph" w:styleId="ListParagraph">
    <w:name w:val="List Paragraph"/>
    <w:basedOn w:val="Normal"/>
    <w:uiPriority w:val="34"/>
    <w:qFormat/>
    <w:rsid w:val="003C6682"/>
    <w:pPr>
      <w:ind w:left="720"/>
      <w:contextualSpacing/>
    </w:pPr>
  </w:style>
  <w:style w:type="paragraph" w:styleId="Revision">
    <w:name w:val="Revision"/>
    <w:uiPriority w:val="99"/>
    <w:semiHidden/>
    <w:rsid w:val="003C6682"/>
    <w:pPr>
      <w:suppressAutoHyphens/>
      <w:spacing w:after="0" w:line="240" w:lineRule="auto"/>
    </w:pPr>
    <w:rPr>
      <w:rFonts w:ascii="Calibri" w:eastAsia="Times New Roman" w:hAnsi="Calibri" w:cs="Calibri"/>
      <w:color w:val="000000"/>
      <w:sz w:val="24"/>
      <w:szCs w:val="24"/>
      <w:lang w:val="en-US"/>
    </w:rPr>
  </w:style>
  <w:style w:type="paragraph" w:styleId="NoSpacing">
    <w:name w:val="No Spacing"/>
    <w:uiPriority w:val="1"/>
    <w:qFormat/>
    <w:rsid w:val="003C6682"/>
    <w:pPr>
      <w:suppressAutoHyphens/>
      <w:spacing w:after="0" w:line="240" w:lineRule="auto"/>
    </w:pPr>
    <w:rPr>
      <w:rFonts w:ascii="Calibri" w:eastAsia="Times New Roman" w:hAnsi="Calibri" w:cs="Calibri"/>
      <w:color w:val="00000A"/>
    </w:rPr>
  </w:style>
  <w:style w:type="paragraph" w:customStyle="1" w:styleId="FrameContents">
    <w:name w:val="Frame Contents"/>
    <w:basedOn w:val="Normal"/>
    <w:rsid w:val="003C6682"/>
  </w:style>
  <w:style w:type="table" w:styleId="TableGrid">
    <w:name w:val="Table Grid"/>
    <w:basedOn w:val="TableNormal"/>
    <w:uiPriority w:val="39"/>
    <w:rsid w:val="003C6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C6682"/>
    <w:pPr>
      <w:jc w:val="center"/>
    </w:pPr>
    <w:rPr>
      <w:noProof/>
    </w:rPr>
  </w:style>
  <w:style w:type="character" w:customStyle="1" w:styleId="EndNoteBibliographyTitleChar">
    <w:name w:val="EndNote Bibliography Title Char"/>
    <w:basedOn w:val="DefaultParagraphFont"/>
    <w:link w:val="EndNoteBibliographyTitle"/>
    <w:rsid w:val="003C6682"/>
    <w:rPr>
      <w:rFonts w:ascii="Calibri" w:eastAsia="Times New Roman" w:hAnsi="Calibri" w:cs="Calibri"/>
      <w:noProof/>
      <w:color w:val="000000"/>
      <w:sz w:val="24"/>
      <w:szCs w:val="24"/>
      <w:lang w:val="en-US"/>
    </w:rPr>
  </w:style>
  <w:style w:type="paragraph" w:customStyle="1" w:styleId="EndNoteBibliography">
    <w:name w:val="EndNote Bibliography"/>
    <w:basedOn w:val="Normal"/>
    <w:link w:val="EndNoteBibliographyChar"/>
    <w:rsid w:val="003C6682"/>
    <w:rPr>
      <w:noProof/>
    </w:rPr>
  </w:style>
  <w:style w:type="character" w:customStyle="1" w:styleId="EndNoteBibliographyChar">
    <w:name w:val="EndNote Bibliography Char"/>
    <w:basedOn w:val="DefaultParagraphFont"/>
    <w:link w:val="EndNoteBibliography"/>
    <w:rsid w:val="003C6682"/>
    <w:rPr>
      <w:rFonts w:ascii="Calibri" w:eastAsia="Times New Roman" w:hAnsi="Calibri" w:cs="Calibri"/>
      <w:noProof/>
      <w:color w:val="000000"/>
      <w:sz w:val="24"/>
      <w:szCs w:val="24"/>
      <w:lang w:val="en-US"/>
    </w:rPr>
  </w:style>
  <w:style w:type="character" w:styleId="Hyperlink">
    <w:name w:val="Hyperlink"/>
    <w:basedOn w:val="DefaultParagraphFont"/>
    <w:uiPriority w:val="99"/>
    <w:unhideWhenUsed/>
    <w:rsid w:val="003C6682"/>
    <w:rPr>
      <w:color w:val="0563C1" w:themeColor="hyperlink"/>
      <w:u w:val="single"/>
    </w:rPr>
  </w:style>
  <w:style w:type="paragraph" w:customStyle="1" w:styleId="paragraph">
    <w:name w:val="paragraph"/>
    <w:basedOn w:val="Normal"/>
    <w:rsid w:val="003C6682"/>
    <w:pPr>
      <w:widowControl/>
      <w:suppressAutoHyphens w:val="0"/>
      <w:spacing w:before="100" w:beforeAutospacing="1" w:after="100" w:afterAutospacing="1"/>
      <w:jc w:val="left"/>
    </w:pPr>
    <w:rPr>
      <w:rFonts w:ascii="Times New Roman" w:hAnsi="Times New Roman" w:cs="Times New Roman"/>
      <w:color w:val="auto"/>
      <w:lang w:val="en-GB" w:eastAsia="en-GB"/>
    </w:rPr>
  </w:style>
  <w:style w:type="character" w:customStyle="1" w:styleId="normaltextrun">
    <w:name w:val="normaltextrun"/>
    <w:basedOn w:val="DefaultParagraphFont"/>
    <w:rsid w:val="003C6682"/>
  </w:style>
  <w:style w:type="character" w:customStyle="1" w:styleId="eop">
    <w:name w:val="eop"/>
    <w:basedOn w:val="DefaultParagraphFont"/>
    <w:rsid w:val="003C6682"/>
  </w:style>
  <w:style w:type="character" w:customStyle="1" w:styleId="spellingerror">
    <w:name w:val="spellingerror"/>
    <w:basedOn w:val="DefaultParagraphFont"/>
    <w:rsid w:val="003C6682"/>
  </w:style>
  <w:style w:type="character" w:customStyle="1" w:styleId="UnresolvedMention2">
    <w:name w:val="Unresolved Mention2"/>
    <w:basedOn w:val="DefaultParagraphFont"/>
    <w:uiPriority w:val="99"/>
    <w:semiHidden/>
    <w:unhideWhenUsed/>
    <w:rsid w:val="00A8328C"/>
    <w:rPr>
      <w:color w:val="605E5C"/>
      <w:shd w:val="clear" w:color="auto" w:fill="E1DFDD"/>
    </w:rPr>
  </w:style>
  <w:style w:type="character" w:styleId="UnresolvedMention">
    <w:name w:val="Unresolved Mention"/>
    <w:basedOn w:val="DefaultParagraphFont"/>
    <w:uiPriority w:val="99"/>
    <w:semiHidden/>
    <w:unhideWhenUsed/>
    <w:rsid w:val="00991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an.wolf@cos.uni-heidelber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homas.greb@cos.uni-heidelberg.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abi-kat.de/methods/sul-selection-sche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5851</Words>
  <Characters>33354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2018-12-21T20:42:00Z</dcterms:created>
  <dcterms:modified xsi:type="dcterms:W3CDTF">2018-12-21T21:00:00Z</dcterms:modified>
</cp:coreProperties>
</file>