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Measurement of KDM1A Target Engagement using Chemoprobe-based Immunoassays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Mascar&amp;#243;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Raquel Ruiz Rodriguez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Tamara Maes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Oryzon Genomics S.A. Carrer Sant Ferran 74, Cornellà de Llobregat, Barcelona 08940, Spain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Tamara Maes </w:t>
        <w:tab/>
        <w:tab/>
        <w:tab/>
        <w:t xml:space="preserve">(tmaes@oryzon.com)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Cristina Mascar&amp;#243; </w:t>
        <w:tab/>
        <w:tab/>
        <w:t xml:space="preserve">(cmascaro@oryzon.com)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Raquel Ruiz Rodriguez </w:t>
        <w:tab/>
        <w:t xml:space="preserve">(rruiz@oryzon.com)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Target Engagement, Histone Modifications, Histone Demethylases, KDM1A, Chemoprobe, ELISA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measure KDM1A target engagement in a human or animal cell, tissue or blood samples treated with KDM1A inhibitors. The protocol employs chemoprobe tagging of the free KDM1A enzyme and direct quantification of the target occupation using chemoprobe-based immunoassays and can be used in preclinical and clinical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assessment of the target engagement, defined as the interaction of a drug with the protein it was designed for, is a basic requirement for the interpretation of the biological activity of any compound in drug development or in basic research projects. In epigenetics, target engagement is most often assessed by the analysis of proxy markers instead of measuring the union of the compound to the target. Downstream biological readouts that have been analyzed include the histone mark modulation or gene expression changes. KDM1A is a lysine demethylase that removes methyl groups from mono- and dimethylated H3K4, a modification associated with the silencing of gene expression. Modulation of the proxy markers is dependent on the cell type and function of the genetic make-up of the cells investigated, which can make interpretation and cross-case comparison quite difficult. To circumvent these problems, a versatile protocol is presented to assess the dose effects and dynamics of the direct KDM1A target engagement. The assay described makes use of a KDM1A chemoprobe to capture and quantify uninhibited enzyme, can be broadly applied to cells or tissue samples without the need for genetic modification, has an excellent window of detection, and can be used both for basic research and analysis of clinical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Lysine specific demethylase 1 (KDM1A)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a demethylase involved in the control of gene transcription. This protein has emerged as a candidate pharmacological target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oncology; including Acute Myeloid Leukemia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(AML), Myelodysplasia Syndrome (MDS)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Myelofibrosis (MF)</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Small Cell Lung Cancer (SCLC)</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Sickle Cell Disease (SCD)</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in central nervous system diseases including Alzheimer’s Disease (AD), Multiple Sclerosis (MS); and in aggression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of the KDM1A inhibiting compounds in clinical development are cyclopropylamine derivatives and inhibit the protein by covalent binding to its </w:t>
      </w:r>
      <w:r>
        <w:rPr>
          <w:rFonts w:ascii="Calibri" w:hAnsi="Calibri" w:cs="Calibri" w:eastAsia="Calibri"/>
          <w:color w:val="000000"/>
          <w:spacing w:val="0"/>
          <w:position w:val="0"/>
          <w:sz w:val="24"/>
          <w:shd w:fill="FFFFFF" w:val="clear"/>
        </w:rPr>
        <w:t xml:space="preserve">flavin adenine dinucleotide (FAD)</w:t>
      </w:r>
      <w:r>
        <w:rPr>
          <w:rFonts w:ascii="Calibri" w:hAnsi="Calibri" w:cs="Calibri" w:eastAsia="Calibri"/>
          <w:color w:val="000000"/>
          <w:spacing w:val="0"/>
          <w:position w:val="0"/>
          <w:sz w:val="24"/>
          <w:shd w:fill="auto" w:val="clear"/>
        </w:rPr>
        <w:t xml:space="preserve"> cofactor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Inhibition of KDM1A induces gene expression changes, but these changes vary enormously across tissues, cell types, or disease cases. Inhibition of KDM1A also changes histone marks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yet these changes are generally produced locally at a specific site in the genome, and are again, highly tissue and cell specific.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developed to directly measure KDM1A target engagement in biological samples and has been optimized for the use with cyclopropylamine derived inhibitors. The assay is based on ELISA technology and analyzes, in parallel, Total and Free (i.e. unbound by inhibitor) KDM1A in a native protein extract from a biological sample in a solid phase assay. As a first step, the biological sample is lysed in the presence of the biotinylated KDM1A selective chemoprobe OG-881</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derived from the </w:t>
      </w:r>
      <w:r>
        <w:rPr>
          <w:rFonts w:ascii="Calibri" w:hAnsi="Calibri" w:cs="Calibri" w:eastAsia="Calibri"/>
          <w:color w:val="000000"/>
          <w:spacing w:val="0"/>
          <w:position w:val="0"/>
          <w:sz w:val="24"/>
          <w:shd w:fill="auto" w:val="clear"/>
        </w:rPr>
        <w:t xml:space="preserve">selective KDM1A inhibitor ORY-1001,</w:t>
      </w:r>
      <w:r>
        <w:rPr>
          <w:rFonts w:ascii="Calibri" w:hAnsi="Calibri" w:cs="Calibri" w:eastAsia="Calibri"/>
          <w:color w:val="000000"/>
          <w:spacing w:val="0"/>
          <w:position w:val="0"/>
          <w:sz w:val="24"/>
          <w:shd w:fill="FFFFFF" w:val="clear"/>
        </w:rPr>
        <w:t xml:space="preserve"> a potent inhibitor of KDM1A in clinical development for the treatment of oncological disease. </w:t>
      </w:r>
      <w:r>
        <w:rPr>
          <w:rFonts w:ascii="Calibri" w:hAnsi="Calibri" w:cs="Calibri" w:eastAsia="Calibri"/>
          <w:color w:val="auto"/>
          <w:spacing w:val="0"/>
          <w:position w:val="0"/>
          <w:sz w:val="24"/>
          <w:shd w:fill="auto" w:val="clear"/>
        </w:rPr>
        <w:t xml:space="preserve">The chemoprobe has </w:t>
      </w:r>
      <w:r>
        <w:rPr>
          <w:rFonts w:ascii="Calibri" w:hAnsi="Calibri" w:cs="Calibri" w:eastAsia="Calibri"/>
          <w:color w:val="000000"/>
          <w:spacing w:val="0"/>
          <w:position w:val="0"/>
          <w:sz w:val="24"/>
          <w:shd w:fill="auto" w:val="clear"/>
        </w:rPr>
        <w:t xml:space="preserve">an </w:t>
      </w:r>
      <w:r>
        <w:rPr>
          <w:rFonts w:ascii="Calibri" w:hAnsi="Calibri" w:cs="Calibri" w:eastAsia="Calibri"/>
          <w:color w:val="auto"/>
          <w:spacing w:val="0"/>
          <w:position w:val="0"/>
          <w:sz w:val="24"/>
          <w:shd w:fill="auto" w:val="clear"/>
        </w:rPr>
        <w:t xml:space="preserve">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for KDM1A of 120 nM and includes a FAD binding moiety linked to </w:t>
      </w:r>
      <w:r>
        <w:rPr>
          <w:rFonts w:ascii="Calibri" w:hAnsi="Calibri" w:cs="Calibri" w:eastAsia="Calibri"/>
          <w:color w:val="000000"/>
          <w:spacing w:val="0"/>
          <w:position w:val="0"/>
          <w:sz w:val="24"/>
          <w:shd w:fill="auto" w:val="clear"/>
        </w:rPr>
        <w:t xml:space="preserve">a biotinylated </w:t>
      </w:r>
      <w:r>
        <w:rPr>
          <w:rFonts w:ascii="Calibri" w:hAnsi="Calibri" w:cs="Calibri" w:eastAsia="Calibri"/>
          <w:color w:val="000000"/>
          <w:spacing w:val="0"/>
          <w:position w:val="0"/>
          <w:sz w:val="24"/>
          <w:shd w:fill="FFFFFF" w:val="clear"/>
        </w:rPr>
        <w:t xml:space="preserve">polyethylene glycol (PEG)</w:t>
      </w:r>
      <w:r>
        <w:rPr>
          <w:rFonts w:ascii="Calibri" w:hAnsi="Calibri" w:cs="Calibri" w:eastAsia="Calibri"/>
          <w:color w:val="000000"/>
          <w:spacing w:val="0"/>
          <w:position w:val="0"/>
          <w:sz w:val="24"/>
          <w:shd w:fill="auto" w:val="clear"/>
        </w:rPr>
        <w:t xml:space="preserve">-tail. The chemoprobe </w:t>
      </w:r>
      <w:r>
        <w:rPr>
          <w:rFonts w:ascii="Calibri" w:hAnsi="Calibri" w:cs="Calibri" w:eastAsia="Calibri"/>
          <w:color w:val="auto"/>
          <w:spacing w:val="0"/>
          <w:position w:val="0"/>
          <w:sz w:val="24"/>
          <w:shd w:fill="auto" w:val="clear"/>
        </w:rPr>
        <w:t xml:space="preserve">exclusively binds to the free KDM1A, but not to the inhibitor-bound KDM1A in the sample. After the chemoprobe binding, the KDM1A containing complexes in the sample are captured </w:t>
      </w:r>
      <w:r>
        <w:rPr>
          <w:rFonts w:ascii="Calibri" w:hAnsi="Calibri" w:cs="Calibri" w:eastAsia="Calibri"/>
          <w:color w:val="000000"/>
          <w:spacing w:val="0"/>
          <w:position w:val="0"/>
          <w:sz w:val="24"/>
          <w:shd w:fill="auto" w:val="clear"/>
        </w:rPr>
        <w:t xml:space="preserve">on microtiter plates with streptavidin coated surface to determine free KDM1A, or on plates coated with </w:t>
      </w:r>
      <w:r>
        <w:rPr>
          <w:rFonts w:ascii="Calibri" w:hAnsi="Calibri" w:cs="Calibri" w:eastAsia="Calibri"/>
          <w:color w:val="auto"/>
          <w:spacing w:val="0"/>
          <w:position w:val="0"/>
          <w:sz w:val="24"/>
          <w:shd w:fill="auto" w:val="clear"/>
        </w:rPr>
        <w:t xml:space="preserve">a monoclonal anti-KDM1A capture antibody to determine total KDM1A. After washing, both plates are incubated with an anti-KDM1A detection antibody, washed again, and incubated with a secondary HRP-conjugated donkey anti-rabbit IgG antibody for detection using a luminescent substrate and quantification by measuring relative light units (RLU) in a luminometer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standard curve is included in both ELISA plates to verify the linearity of each assay. The determination of KDM1A target engagement in each sample is then calculated as a relative value to the pre-dose or vehicle treated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Blood samples were obtained from the </w:t>
      </w:r>
      <w:r>
        <w:rPr>
          <w:rFonts w:ascii="Calibri" w:hAnsi="Calibri" w:cs="Calibri" w:eastAsia="Calibri"/>
          <w:i/>
          <w:color w:val="000000"/>
          <w:spacing w:val="0"/>
          <w:position w:val="0"/>
          <w:sz w:val="24"/>
          <w:shd w:fill="auto" w:val="clear"/>
        </w:rPr>
        <w:t xml:space="preserve">Instituto de Investigaci&amp;#243;n Biom&amp;#233;dica Sant Pau</w:t>
      </w:r>
      <w:r>
        <w:rPr>
          <w:rFonts w:ascii="Calibri" w:hAnsi="Calibri" w:cs="Calibri" w:eastAsia="Calibri"/>
          <w:color w:val="000000"/>
          <w:spacing w:val="0"/>
          <w:position w:val="0"/>
          <w:sz w:val="24"/>
          <w:shd w:fill="auto" w:val="clear"/>
        </w:rPr>
        <w:t xml:space="preserve"> Biobank according to Spanish legislation (Real Decreto de Biobancos 1716/2011) and approval of the local ethics committees.</w:t>
      </w:r>
      <w:r>
        <w:rPr>
          <w:rFonts w:ascii="Calibri" w:hAnsi="Calibri" w:cs="Calibri" w:eastAsia="Calibri"/>
          <w:color w:val="auto"/>
          <w:spacing w:val="0"/>
          <w:position w:val="0"/>
          <w:sz w:val="24"/>
          <w:shd w:fill="auto" w:val="clear"/>
        </w:rPr>
        <w:t xml:space="preserve"> Studies with animal tissues were performed in accordance with the institutional guidelines for the care and use of laboratory animals (European Communities Council Directive 86/609/EEC) established by the Ethical Committee for Animal Experimentation at the PRAAL-PCB.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biological samples for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protocol involves manipulation of biological samples which may be subjected to the Occupational Safety and Health Administration (OSHA) Blood Borne Pathogens standard (29 CFR 1910.1030), Directive 2000/54/EC of the European Parliament and of the Council of 18 September 2000 or equivalent regulations. In addition, the biological samples may contain traces of biologically active investigational chemical compounds and the protocol may involve further manipulation of such compounds. Review the safety data sheet (SDS) of the compounds used prior to the initiation of the experiment and strictly observe all applicable safety measures established in the research center, including the use of adequate personal protective equipment (PPE). Wear proper protective clothing and use proper shielding during the course of the experiment. Discard residues in the appropriate waste containers (biological/cytotoxic waste).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starts with cells or samples of subjects treated with a KDM1A inhibitor and their untreated or vehicle/placebo treated controls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 Cells treated with vehicle or KDM1A inhibitor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For the cells grown in suspension, as 10 mL cultures, transfer the suspensions into clean 15 mL conical tubes and proceed to 1.1.3.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For the adherent cells (grown in 75 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flasks), remove the medium from the flask and wash briefly using 4 mL PBS. Detach the cells from their vessels using 1.5 mL of 0.5% Trypsin-EDTA during 2 - 5 min (trypsinization conditions may vary, follow provider recommendations for the cell line), add 4 mL PBS and transfer the cells into clean 15 mL conical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Insert the tubes in a bench top centrifuge and collect the cells by centrifugation for 5 min at 400 x g at 4 &amp;#176;C. Remove the supernatant, resuspend the pellet in 1 mL of PBS dispensed using a micropipette and transfer the suspension into a 1.5 mL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Insert the samples in a microtube centrifuge and centrifuge them for 5 min at 400 x g at 4 &amp;#176;C. Remove the PBS by aspiration with a micropipette and either keep the pellets on the ice and proceed to Step 2; or freeze the pellets on dry ice and store them at -80 &amp;#176;C until Step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Samples from subjects or animals treated with vehicle/placebo or KDM1A inhibitor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 Tissues: Cut the tissue in small, </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 cm</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pieces using a scalpel. Freeze the tissues pieces in liquid 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in a Dewar container and store them at -80 &amp;#176;C until Step 3.</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 Polymorphic blood mononuclear cells (PBMCs): Dilute 10 mL of fresh blood (process maximum 2 h after blood withdrawal) collected in K</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-EDTA tubes with 2 volumes of PBS in a 50 mL conical tube. Isolate the PBMCs from blood using commercially obtained PBMC separation tubes according to the manufacturer’s instructions. Keep pellets on the ice and proceed to Step 3.2; or freeze the pellets on dry ice and store them at -80 &amp;#176;C until Step 3.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wet cell pellet of 20 to 50 &amp;#181;L contains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FF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depending on the cell size. A wet PBMC pellet obtained from 10 mL of healthy human blood has a volume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 &amp;#181;L and contains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FF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PBMCs. Tissues or cell pellets can be stored at -80 ºC for up to 6 months.</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Solution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2 &amp;#181;M OG-881 working solution: Take a 10 &amp;#181;L single-use aliquot of the 20 mM biotinylated probe OG-881 stock solution out of the 4 &amp;#176;C fridge and leave it at room temperature (RT) for 10 min. Prepare the 2 &amp;#181;M working solution by serial dilution of the OG-881 stock solution in PBS, using a micropipette with filter tips and changing the tip between the different dilution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10x Protease inhibitor: dissolve 1 tablet in 1 mL PBS in a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Prepare the desired volume of 1x Cell lysis buffer with 25 nM OG-881 chemoprobe. For each mL, mix 100 &amp;#181;L commercially obtained 10x Cell lysis buffer, 150 &amp;#181;L of 10x Protease Inhibitor, 12.5 &amp;#181;L of 2 &amp;#181;M OG-881, and 737.5 &amp;#181;L of Type 1 double distilled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Optionally prepare the desired volume of 1x Cell lysis buffer but with 25 nM ORY-1001 instead of OG-881 as in Step 2.3. Less potent inhibitors may be used but may require higher concentrations, for use in the positive control with 100% inhibition (see Step 3.5).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appropriate measures to avoid any unintended contamination of solutions or samples with the OG-881 or KDM1A inhibitor stock solutions. To calculate the desired volume of 1x Cell lysis buffer with 25 nM OG-881, assume that 400 &amp;#181;L is required per 40 mg of pulverized tissue, or 200 &amp;#181;L per wet pellet of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Native protein extraction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From tissues: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Pulverize and homogenize a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cm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cube of frozen tissue with a mortar and pestle chilled on dry ice. Aliquot the samples in single-use vials containing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40 mg of tissue powder, avoid thawing at all times. Proceed to step 3.1.2. for immediate processing or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Resuspend 40 mg of powdered tissue in 400 &amp;#181;L of 1x Cell Lysis buffer with 25 nM OG-881, vortex for 10 s, and force the sample at least five times through an 18-gauge blunt syringe needle until lysis of the tissue is achieved and a turbid light yellow to orange suspension is obtained. Avoid bubble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Continue to Step 3.3</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From cell pellets (PBMCs and cell lines):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Resuspend a pellet of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in 200 &amp;#181;L of 1x cell lysis buffer containing 25 nM OG-881. Vortex the samples briefly and keep them on ice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Sonicate the samples in a sonicator using 3 pulses of 20 s each at 45 kHz; place them on ice for 20 s between pulses.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soon as the biological samples have been resuspended in the 1x cell lysis buffer, keep them on the ice during the rest of the process.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Keep the samples on ice for an additional 5 min, vortex briefly and centrifuge the samples for 10 min at 14 000 x g in a pre-cooled centrifuge at 4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Using a 1 mL micropipette, transfer the supernatants into fresh 1.5 mL microcentrifuge tubes and leave them on the ice during 2 h. Continue to Step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Optionally, a positive control to simulate 100% target engagement may be prepared as follows: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Resuspend the cell pellet or powdered tissue from a vehicle or untreated (predose) sample in the required volume of 1x Cell Lysis buffer with 25 nM ORY-1001 and process as outlined in Step 3.1 to 3.3.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Transfer the supernatants of the positive control into fresh 1.5 mL microcentrifuge tubes and leave them on ice for 1 h. ORY-1001 willfully inhibit KDM1A and block chemoprobe binding.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Add 5 &amp;#181;L of 2 &amp;#181;M OG-881 working solution to the positive control supernatant (volume for positive control generated from a 40 mg tissue sample) or 2.5 &amp;#181;L of 2 &amp;#181;M OG-881 working solution (volume for positive control generated from a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-cell sample) to obtain the same OG-881 concentration as the other samples and leave on ice during 2 h. Continue to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Quantification of native protein using Bradford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Dilute the commercially sourced Bradford Protein Assay reagent 5 times with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Type 1 double distilled water. Calculate the volume of the reagent required for the total amount of samples and standards (1 mL per sample or standard + 5 mL excess 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For the Bovine Serum Albumin (BSA) standard curve, prepare one microcentrifuge tube with 1 mL diluted Bradford Protein Assay solution (blank) and seven microcentrifuge tubes with 995 &amp;#181;L of the diluted Bradford Protein Assay solution. Add 5 &amp;#181;L of each of the BSA Standards (concentration ranging from 125 to 2 000 &amp;#181;g/mL) to each of the 7 microcentrifuge tubes and mix them by gently inverting the tubes several times. Incubate for 5 min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Transfer the diluted Standards to cuvettes and read the OD of the blank and Bovine Serum Albumin Standard samples in a spectrophotometer at 280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For the biological samples, prepare one microcentrifuge tube with 1 mL diluted Bradford Protein Assay solution (blank) and as many microcentrifuge tubes with 999 &amp;#181;L of the diluted Bradford Protein Assay reagent as samples that need to be quantified. Using an automatic P2 micropipette, add 1 &amp;#181;L of native protein extract prepared in Step 3 to each microcentrifuge tube and mix by gently inverting the tubes several times. Incubate the samples 5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Transfer the volumes to cuvettes and read the OD of the samples in a spectrophotometer at 280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Preferentially, proceed immediately to Step 5. Alternatively, store the native protein extracts at -80 &amp;#176;C until Step 5. Avoid freeze thaw cycles.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Luminescent ELISAs for Total and Free KDM1A determination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lab temperature constant at 23-24 &amp;#176;C (RT). </w:t>
      </w:r>
    </w:p>
    <w:p>
      <w:pPr>
        <w:widowControl w:val="false"/>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Coating of microtiter plates with capture KDM1A antibody or Streptavidin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Total KDM1A ELISA: for each plate, prepare 10 mL of KDM1A capture antibody to a final concentration of 2 &amp;#181;g/mL in PBS. Transfer 100 &amp;#181;L into each well of the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Free KDM1A ELISA: for each plate, prepare 10 mL of streptavidin at 10 &amp;#181;g/mL in PBS. Transfer 100 &amp;#181;L into each well of the plate.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Top-seal the Total and Free KDM1A ELISA plates with adhesive film and incubate the plates overnight at 4 &amp;#176;C in the refrigerator.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Washing and Blocking the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Take the plates out of the refrigerator and let them equilibrate for around 45 min at RT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Prepare 1000 mL wash buffer (0.1% Tween in PBS) and 50 mL blocking buffer (1% BSA in PBS) per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Wash the plates 3 times with wash buffer. In this and subsequent steps, tap the plate on paper towels after every washing step to remove residual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 Add 200 &amp;#181;L of blocking buffer per well to both plates, top-seal both plates with an adhesive film and incubate 2 h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Biological sample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Dilute the native protein extracts obtained at the end of Step 3 to the appropriate concentration using PBS. The recommended concentration will vary in function of the level of KDM1A expression in the biological sample. Examples of appropriate ranges are (1) Cell pellets: 0.5 - 10 &amp;#181;g per well. (2) PBMCs: 5 - 30 &amp;#181;g per well. (3) Pulverized tissue (brain, lung, skin): 20 - 100 &amp;#181;g per well. Keep the samples on the ice during the preparation. When possible, run technical triplicate sample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Prepare a Standard Curve using human rKDM1A: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5.3.2.1. To prepare the KDM1A Standard working solution, pipet the appropriate volume of rKDM1A for a final concentration of 25 pg/&amp;#181;L, add 75 &amp;#181;L of 2 &amp;#181;M OG-881, and complete with 1 x PBS to a total volume of 6 mL in a 15 mL falcon tube. Keep the KDM1A Standard working solution on ice during 1 h and mix the solution gently by inverting the 15 mL falcon tube several times every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5.3.2.2. Prepare the KDM1A Standard Dilution Series in 1.5 mL microcentrifuge tubes according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(Standard Preparation), in volume enough for the triplicate analysis of two 96 well microtiter plates.</w:t>
      </w:r>
    </w:p>
    <w:p>
      <w:pPr>
        <w:widowControl w:val="false"/>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Standard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ELISA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(Continued from Step 5.2.4.) After 2 h of incubation, discard the blocking buffer and wash the plates with wash buffer.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 Transfer the appropriately diluted samples (native protein extracts and standard curve from Step 5.3.) to a refrigerated 96 deep well storage block following the plate distribution shown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(Deep Well Plate Design).</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Deep Well Plate Design]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 Keep this block on ice until pipetting 100 &amp;#181;L sample / well in the Total and Free ELISA plates following the plate distribution shown in </w:t>
      </w:r>
      <w:r>
        <w:rPr>
          <w:rFonts w:ascii="Calibri" w:hAnsi="Calibri" w:cs="Calibri" w:eastAsia="Calibri"/>
          <w:b/>
          <w:color w:val="000000"/>
          <w:spacing w:val="0"/>
          <w:position w:val="0"/>
          <w:sz w:val="24"/>
          <w:shd w:fill="FFFF00" w:val="clear"/>
        </w:rPr>
        <w:t xml:space="preserve">Table 3</w:t>
      </w:r>
      <w:r>
        <w:rPr>
          <w:rFonts w:ascii="Calibri" w:hAnsi="Calibri" w:cs="Calibri" w:eastAsia="Calibri"/>
          <w:color w:val="000000"/>
          <w:spacing w:val="0"/>
          <w:position w:val="0"/>
          <w:sz w:val="24"/>
          <w:shd w:fill="FFFF00" w:val="clear"/>
        </w:rPr>
        <w:t xml:space="preserve"> (ELISA Plate Design).</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ELISA Plate Design]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5.4.4. Incubate for 1 h at RT, discard the samples and wash the plates 5 times with wash buffer.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5.4.5. Prepare 20 mL of rabbit anti-KDM1A detection antibody at 0.125 &amp;#181;g/mL in blocking buffer, add 100 &amp;#181;L per well in each plate of the assay, </w:t>
      </w:r>
      <w:r>
        <w:rPr>
          <w:rFonts w:ascii="Calibri" w:hAnsi="Calibri" w:cs="Calibri" w:eastAsia="Calibri"/>
          <w:color w:val="auto"/>
          <w:spacing w:val="0"/>
          <w:position w:val="0"/>
          <w:sz w:val="24"/>
          <w:shd w:fill="FFFF00" w:val="clear"/>
        </w:rPr>
        <w:t xml:space="preserve">except in wells corresponding to the negative controls C-</w:t>
      </w:r>
      <w:r>
        <w:rPr>
          <w:rFonts w:ascii="Calibri" w:hAnsi="Calibri" w:cs="Calibri" w:eastAsia="Calibri"/>
          <w:color w:val="000000"/>
          <w:spacing w:val="0"/>
          <w:position w:val="0"/>
          <w:sz w:val="24"/>
          <w:shd w:fill="FFFF00" w:val="clear"/>
        </w:rPr>
        <w:t xml:space="preserve">. Top-seal the plate and incubate 1 h at RT.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5.4.6. Discard the detection antibody solution and wash the plates 6 times with wash buffer.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5.4.7. Prepare 25 mL of secondary goat anti-rabbit antibody HRP to a dilution 1:5 000 in blocking buffer, add 100 &amp;#181;L per well to the microtiter plates; and incubate 1 h at RT.</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5.5. Chemiluminescent Detection</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30 min before the end of Step 5.4.7. and under soft light conditions, mix equal parts of Luminol-Enhancer and Peroxide Solution (10.5 mL: 10.5 mL, for 2 plates) in an amber bottle and leave it at RT.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Luminol Working Solution in an amber bottle and avoid prolonged exposure to any intense light. Short-term exposure to typical laboratory lighting will not harm the working solution.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At least 20 min before measuring the luminescence, switch on the microplate reader at 25 &amp;#176;C and set up readouts to 1000 ms integration time and 150 ms settle time. Parameter settings may require optimization in function of the instrument.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After 1 h of incubation in Step 5.4.7., discard the secondary antibody solution and wash the plates 6 times with wash buffer.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 Pipette 100 &amp;#181;L per well of the Luminol Working Solution (Chemiluminescent Substrate) prepared in Step 5.5.1.  Pipette very slowly and avoid bubble formation. Use a timer to control the time between the addition of the addition of the solution and the luminescence measurement of the plates and keep this time constant to achieve a good inter assay reproducibility.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5.5.5. Top-seal the plates and centrifuge to 500 x g at RT for 45 s in a plate centrifuge to eliminate any remaining bubbles. Incubate the plates for 1 min on a plate shaker at 100 rpm.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5.5.6. Insert the plate inside the reader and leave it for 3 min to stabilize the temperature at 25 &amp;#176;C (without adhesive film). Always start with the Free ELISA plate.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5.5.7. Read the relative luminescence units (RLU) of each ELISA plate assay (free and total KDM1A).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5.5.8. Save and copy the Raw RLU values from the Raw Data excel files for further analysis of the results.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Calculation of the target engagement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In a spreadsheet software, calculate the RLU Free and RLU Total values of samples S</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and reference samples REF (untreated, vehicle or pre-dose sample) from their technical replicate Raw data as detailed below: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Enter the individual Raw RLUi Total and Raw RLUi Free data from blanks, standard curve, negative controls C- and biological samples (S</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and REF) into the analysis datasheet (e.g., Excel). Also, enter the amounts (in pg) of KDM1A from the Standard Curve in the datasheet.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Calculate the Raw mean RLU, standard deviations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RLU</w:t>
      </w:r>
      <w:r>
        <w:rPr>
          <w:rFonts w:ascii="Calibri" w:hAnsi="Calibri" w:cs="Calibri" w:eastAsia="Calibri"/>
          <w:color w:val="000000"/>
          <w:spacing w:val="0"/>
          <w:position w:val="0"/>
          <w:sz w:val="24"/>
          <w:shd w:fill="auto" w:val="clear"/>
        </w:rPr>
        <w:t xml:space="preserve">, and coefficient of variation CV</w:t>
      </w:r>
      <w:r>
        <w:rPr>
          <w:rFonts w:ascii="Calibri" w:hAnsi="Calibri" w:cs="Calibri" w:eastAsia="Calibri"/>
          <w:color w:val="000000"/>
          <w:spacing w:val="0"/>
          <w:position w:val="0"/>
          <w:sz w:val="24"/>
          <w:shd w:fill="auto" w:val="clear"/>
          <w:vertAlign w:val="subscript"/>
        </w:rPr>
        <w:t xml:space="preserve">RLU</w:t>
      </w:r>
      <w:r>
        <w:rPr>
          <w:rFonts w:ascii="Calibri" w:hAnsi="Calibri" w:cs="Calibri" w:eastAsia="Calibri"/>
          <w:color w:val="000000"/>
          <w:spacing w:val="0"/>
          <w:position w:val="0"/>
          <w:sz w:val="24"/>
          <w:shd w:fill="auto" w:val="clear"/>
        </w:rPr>
        <w:t xml:space="preserve"> from the individual Raw Total and Raw Free RLUi data for each technical replicate datapoint.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Apply the outlier elimination (example for triplicates): for each individual Raw RLU Total and Raw RLU Free data point RLUi from a technical triplicate datapoint, apply Grubbs criteria when the CV for the triplicate &amp;gt; 0.15, and reject single suspect Raw RLU value when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whereby Z = 1.148 for n = 3 and 90 % confidence interval (CI).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If outlier elimination was applied, re-calculate the Raw mean RLU, standard deviation &amp;#963;</w:t>
      </w:r>
      <w:r>
        <w:rPr>
          <w:rFonts w:ascii="Calibri" w:hAnsi="Calibri" w:cs="Calibri" w:eastAsia="Calibri"/>
          <w:color w:val="000000"/>
          <w:spacing w:val="0"/>
          <w:position w:val="0"/>
          <w:sz w:val="24"/>
          <w:shd w:fill="auto" w:val="clear"/>
          <w:vertAlign w:val="subscript"/>
        </w:rPr>
        <w:t xml:space="preserve">RLU</w:t>
      </w:r>
      <w:r>
        <w:rPr>
          <w:rFonts w:ascii="Calibri" w:hAnsi="Calibri" w:cs="Calibri" w:eastAsia="Calibri"/>
          <w:color w:val="000000"/>
          <w:spacing w:val="0"/>
          <w:position w:val="0"/>
          <w:sz w:val="24"/>
          <w:shd w:fill="auto" w:val="clear"/>
        </w:rPr>
        <w:t xml:space="preserve"> and CV</w:t>
      </w:r>
      <w:r>
        <w:rPr>
          <w:rFonts w:ascii="Calibri" w:hAnsi="Calibri" w:cs="Calibri" w:eastAsia="Calibri"/>
          <w:color w:val="000000"/>
          <w:spacing w:val="0"/>
          <w:position w:val="0"/>
          <w:sz w:val="24"/>
          <w:shd w:fill="auto" w:val="clear"/>
          <w:vertAlign w:val="subscript"/>
        </w:rPr>
        <w:t xml:space="preserve">RLU</w:t>
      </w:r>
      <w:r>
        <w:rPr>
          <w:rFonts w:ascii="Calibri" w:hAnsi="Calibri" w:cs="Calibri" w:eastAsia="Calibri"/>
          <w:color w:val="000000"/>
          <w:spacing w:val="0"/>
          <w:position w:val="0"/>
          <w:sz w:val="24"/>
          <w:shd w:fill="auto" w:val="clear"/>
        </w:rPr>
        <w:t xml:space="preserve"> from the non-rejected (nr) Raw RLUi Total and Raw RLUi Free values for each datapoint.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 Apply the background correction: Calculate the mean RLU Free and RLU Total values for each standard sample, and each sample S</w:t>
      </w:r>
      <w:r>
        <w:rPr>
          <w:rFonts w:ascii="Calibri" w:hAnsi="Calibri" w:cs="Calibri" w:eastAsia="Calibri"/>
          <w:color w:val="000000"/>
          <w:spacing w:val="0"/>
          <w:position w:val="0"/>
          <w:sz w:val="24"/>
          <w:shd w:fill="auto" w:val="clear"/>
          <w:vertAlign w:val="subscript"/>
        </w:rPr>
        <w:t xml:space="preserve">X </w:t>
      </w:r>
      <w:r>
        <w:rPr>
          <w:rFonts w:ascii="Calibri" w:hAnsi="Calibri" w:cs="Calibri" w:eastAsia="Calibri"/>
          <w:color w:val="000000"/>
          <w:spacing w:val="0"/>
          <w:position w:val="0"/>
          <w:sz w:val="24"/>
          <w:shd w:fill="auto" w:val="clear"/>
        </w:rPr>
        <w:t xml:space="preserve">and reference sample REF as: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Graphically represent the data as follows: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tabs>
          <w:tab w:val="left" w:pos="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Plot the RLU</w:t>
      </w:r>
      <w:r>
        <w:rPr>
          <w:rFonts w:ascii="Calibri" w:hAnsi="Calibri" w:cs="Calibri" w:eastAsia="Calibri"/>
          <w:color w:val="000000"/>
          <w:spacing w:val="0"/>
          <w:position w:val="0"/>
          <w:sz w:val="24"/>
          <w:shd w:fill="auto" w:val="clear"/>
          <w:vertAlign w:val="subscript"/>
        </w:rPr>
        <w:t xml:space="preserve">Free </w:t>
      </w:r>
      <w:r>
        <w:rPr>
          <w:rFonts w:ascii="Calibri" w:hAnsi="Calibri" w:cs="Calibri" w:eastAsia="Calibri"/>
          <w:color w:val="000000"/>
          <w:spacing w:val="0"/>
          <w:position w:val="0"/>
          <w:sz w:val="24"/>
          <w:shd w:fill="auto" w:val="clear"/>
        </w:rPr>
        <w:t xml:space="preserve">and RLU</w:t>
      </w:r>
      <w:r>
        <w:rPr>
          <w:rFonts w:ascii="Calibri" w:hAnsi="Calibri" w:cs="Calibri" w:eastAsia="Calibri"/>
          <w:color w:val="000000"/>
          <w:spacing w:val="0"/>
          <w:position w:val="0"/>
          <w:sz w:val="24"/>
          <w:shd w:fill="auto" w:val="clear"/>
          <w:vertAlign w:val="subscript"/>
        </w:rPr>
        <w:t xml:space="preserve">Total </w:t>
      </w:r>
      <w:r>
        <w:rPr>
          <w:rFonts w:ascii="Calibri" w:hAnsi="Calibri" w:cs="Calibri" w:eastAsia="Calibri"/>
          <w:color w:val="000000"/>
          <w:spacing w:val="0"/>
          <w:position w:val="0"/>
          <w:sz w:val="24"/>
          <w:shd w:fill="auto" w:val="clear"/>
        </w:rPr>
        <w:t xml:space="preserve">values (Y-axis) relative to their sample identification (X-axis) in a bar graph. </w:t>
      </w:r>
    </w:p>
    <w:p>
      <w:pPr>
        <w:widowControl w:val="false"/>
        <w:spacing w:before="0" w:after="0" w:line="240"/>
        <w:ind w:right="0" w:left="468" w:firstLine="0"/>
        <w:jc w:val="left"/>
        <w:rPr>
          <w:rFonts w:ascii="Calibri" w:hAnsi="Calibri" w:cs="Calibri" w:eastAsia="Calibri"/>
          <w:color w:val="000000"/>
          <w:spacing w:val="0"/>
          <w:position w:val="0"/>
          <w:sz w:val="24"/>
          <w:shd w:fill="auto" w:val="clear"/>
        </w:rPr>
      </w:pPr>
    </w:p>
    <w:p>
      <w:pPr>
        <w:widowControl w:val="false"/>
        <w:tabs>
          <w:tab w:val="left" w:pos="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Also plot the RLU values (Y-axis) of the standards in a scatter plot relative to their amount of pg of rKDM1A protein (X-axis) for Free and Total measurements, as well as the corresponding lineal trendlines and calculate the r</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 (the square of the linear correlation coefficient) values.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Calculate the target engagement (TE); i.e. the percentage of KDM1A bound by the KDM1A inhibitor in each sample S</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relative to a reference sample REF (untreated, vehicle or pre-dose sample) as follows: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 Calculate the ratio R of the mean RLU Free to Total values for the SX and REF samples as: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 Then calculate the target engagement (TE) of the sample S</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Optional: (1) If N biological replicate experiments were conducted, each with n technical replicates; first calculate the TE</w:t>
      </w:r>
      <w:r>
        <w:rPr>
          <w:rFonts w:ascii="Calibri" w:hAnsi="Calibri" w:cs="Calibri" w:eastAsia="Calibri"/>
          <w:color w:val="000000"/>
          <w:spacing w:val="0"/>
          <w:position w:val="0"/>
          <w:sz w:val="24"/>
          <w:shd w:fill="auto" w:val="clear"/>
          <w:vertAlign w:val="subscript"/>
        </w:rPr>
        <w:t xml:space="preserve">SX</w:t>
      </w:r>
      <w:r>
        <w:rPr>
          <w:rFonts w:ascii="Calibri" w:hAnsi="Calibri" w:cs="Calibri" w:eastAsia="Calibri"/>
          <w:color w:val="000000"/>
          <w:spacing w:val="0"/>
          <w:position w:val="0"/>
          <w:sz w:val="24"/>
          <w:shd w:fill="auto" w:val="clear"/>
        </w:rPr>
        <w:t xml:space="preserve"> for the technical replicate sets. Subsequently, calculate the mean TE, SD and the CV values for the biological replicate set.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Revise whether the assay acceptance criteria are met: Verify that (1) the assay background is acceptable and the mean Blank &amp;lt; 0.05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RLU; (2) the sample auto-luminescence is absent and the RLUs of the negative controls C- are below the Lower Limit of Quantification (LLOQ = Mean Blank + 10x SD); (3) the rKDM1A standard curve is linear and r2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0.98; (4) the biological samples have RLU values that fall in the dynamic and linear range of the assay  i.e. between LLOQ and 2500 pg/well.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6.1. to 6.4. can be readily automated in a calculus datasheet.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Export the TE data to an open source or commercially obtained statistics software of choice for the graphical representation of the TE values and additional statistical evaluations.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000000"/>
          <w:spacing w:val="0"/>
          <w:position w:val="0"/>
          <w:sz w:val="16"/>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Linearity of Total and Free KDM1A determination.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Standard Series was prepared as described in step 5.3.2., using 0 to 2500 pg of full-length human recombinant KDM1A enzyme. The RLU values of Total and Free rKDM1A were assessed to verify the linearity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2B</w:t>
      </w:r>
      <w:r>
        <w:rPr>
          <w:rFonts w:ascii="Calibri" w:hAnsi="Calibri" w:cs="Calibri" w:eastAsia="Calibri"/>
          <w:color w:val="000000"/>
          <w:spacing w:val="0"/>
          <w:position w:val="0"/>
          <w:sz w:val="24"/>
          <w:shd w:fill="auto" w:val="clear"/>
        </w:rPr>
        <w:t xml:space="preserve">). Data are represented as mean from 3 experiments with 3 technical replicates (n) &amp;plusmn; SD. The RLU values of Total and Free KDM1A detected in human PBMCs from the blood of 3 independent volunteers are superposed on the Standard curve in </w:t>
      </w:r>
      <w:r>
        <w:rPr>
          <w:rFonts w:ascii="Calibri" w:hAnsi="Calibri" w:cs="Calibri" w:eastAsia="Calibri"/>
          <w:b/>
          <w:color w:val="000000"/>
          <w:spacing w:val="0"/>
          <w:position w:val="0"/>
          <w:sz w:val="24"/>
          <w:shd w:fill="auto" w:val="clear"/>
        </w:rPr>
        <w:t xml:space="preserve">Figure 2C and 2D</w:t>
      </w:r>
      <w:r>
        <w:rPr>
          <w:rFonts w:ascii="Calibri" w:hAnsi="Calibri" w:cs="Calibri" w:eastAsia="Calibri"/>
          <w:color w:val="000000"/>
          <w:spacing w:val="0"/>
          <w:position w:val="0"/>
          <w:sz w:val="24"/>
          <w:shd w:fill="auto" w:val="clear"/>
        </w:rPr>
        <w:t xml:space="preserve">. Blood samples were obtained from the </w:t>
      </w:r>
      <w:r>
        <w:rPr>
          <w:rFonts w:ascii="Calibri" w:hAnsi="Calibri" w:cs="Calibri" w:eastAsia="Calibri"/>
          <w:i/>
          <w:color w:val="000000"/>
          <w:spacing w:val="0"/>
          <w:position w:val="0"/>
          <w:sz w:val="24"/>
          <w:shd w:fill="auto" w:val="clear"/>
        </w:rPr>
        <w:t xml:space="preserve">Instituto de Investigaci&amp;#243;n Biom&amp;#233;dica Sant Pau</w:t>
      </w:r>
      <w:r>
        <w:rPr>
          <w:rFonts w:ascii="Calibri" w:hAnsi="Calibri" w:cs="Calibri" w:eastAsia="Calibri"/>
          <w:color w:val="000000"/>
          <w:spacing w:val="0"/>
          <w:position w:val="0"/>
          <w:sz w:val="24"/>
          <w:shd w:fill="auto" w:val="clear"/>
        </w:rPr>
        <w:t xml:space="preserve"> Biobank according to Spanish legislation (Real Decreto de Biobancos 1716/2011) and approval of the local ethics committees.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Analysis of KDM1A target engagement in cells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AML cells were cultured following provider recommendations. Cells were treated with vehicle or ORY-1001 at different concentrations (0.25; 0.5; 1; 5 and 25 nM)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native protein extracts were obtained in presence of 25 nM OG-881 chemoprobe. 0.5 &amp;#181;g of total protein was used to perform the target engagement analysis as described previously. Total and free KDM1A were determined, and the percentage of target engagement of ORY-1001 to KDM1A was calculated relative to the vehicle as described. </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Analysis of </w:t>
      </w:r>
      <w:r>
        <w:rPr>
          <w:rFonts w:ascii="Calibri" w:hAnsi="Calibri" w:cs="Calibri" w:eastAsia="Calibri"/>
          <w:b/>
          <w:i/>
          <w:color w:val="000000"/>
          <w:spacing w:val="0"/>
          <w:position w:val="0"/>
          <w:sz w:val="24"/>
          <w:shd w:fill="auto" w:val="clear"/>
        </w:rPr>
        <w:t xml:space="preserve">in vivo </w:t>
      </w:r>
      <w:r>
        <w:rPr>
          <w:rFonts w:ascii="Calibri" w:hAnsi="Calibri" w:cs="Calibri" w:eastAsia="Calibri"/>
          <w:b/>
          <w:color w:val="000000"/>
          <w:spacing w:val="0"/>
          <w:position w:val="0"/>
          <w:sz w:val="24"/>
          <w:shd w:fill="auto" w:val="clear"/>
        </w:rPr>
        <w:t xml:space="preserve">KDM1A target engagement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objective of this experiment was to characterize the target engagement of ORY-1001 in different rat tissues, in function of the dose level. To achieve this goal, 15 Sprague-Dawley rats (200-250 g)</w:t>
      </w:r>
      <w:r>
        <w:rPr>
          <w:rFonts w:ascii="Calibri" w:hAnsi="Calibri" w:cs="Calibri" w:eastAsia="Calibri"/>
          <w:color w:val="000000"/>
          <w:spacing w:val="0"/>
          <w:position w:val="0"/>
          <w:sz w:val="24"/>
          <w:shd w:fill="auto" w:val="clear"/>
        </w:rPr>
        <w:t xml:space="preserve"> were housed in a cytostatic security room to avoid potential contamination by the tested compound. A maximum of 3 rats/cage </w:t>
      </w:r>
      <w:r>
        <w:rPr>
          <w:rFonts w:ascii="Calibri" w:hAnsi="Calibri" w:cs="Calibri" w:eastAsia="Calibri"/>
          <w:color w:val="000000"/>
          <w:spacing w:val="0"/>
          <w:position w:val="0"/>
          <w:sz w:val="24"/>
          <w:shd w:fill="FFFFFF" w:val="clear"/>
        </w:rPr>
        <w:t xml:space="preserve">were randomly assigned to 5 study groups</w:t>
      </w:r>
      <w:r>
        <w:rPr>
          <w:rFonts w:ascii="Calibri" w:hAnsi="Calibri" w:cs="Calibri" w:eastAsia="Calibri"/>
          <w:color w:val="000000"/>
          <w:spacing w:val="0"/>
          <w:position w:val="0"/>
          <w:sz w:val="24"/>
          <w:shd w:fill="auto" w:val="clear"/>
        </w:rPr>
        <w:t xml:space="preserve">. The 5 different study groups received, respectively, vehicle; 1; 3; 10 or 30 &amp;#181;g / kg of ORY-1001 by oral administration for 4 consecutive days. Compound stock solutions were prepared daily. Animals were weighed before each administration to adjust the required volume.</w:t>
      </w:r>
      <w:r>
        <w:rPr>
          <w:rFonts w:ascii="Verdana" w:hAnsi="Verdana" w:cs="Verdana" w:eastAsia="Verdana"/>
          <w:i/>
          <w:color w:val="000000"/>
          <w:spacing w:val="0"/>
          <w:position w:val="0"/>
          <w:sz w:val="18"/>
          <w:shd w:fill="auto" w:val="clear"/>
        </w:rPr>
        <w:t xml:space="preserve"> </w:t>
      </w:r>
      <w:r>
        <w:rPr>
          <w:rFonts w:ascii="Calibri" w:hAnsi="Calibri" w:cs="Calibri" w:eastAsia="Calibri"/>
          <w:color w:val="000000"/>
          <w:spacing w:val="0"/>
          <w:position w:val="0"/>
          <w:sz w:val="24"/>
          <w:shd w:fill="auto" w:val="clear"/>
        </w:rPr>
        <w:t xml:space="preserve">All animals were housed at constant room temperature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24 ºC) and relative humidity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65 %) under a 12 h light-dark cycle (lights on at 6:00 AM). Food and water were available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Blood samples were collected 2 h after last administration in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EDTA tubes and PBMCs were isolated according to the procedure described previously in step 1.2.2. and preserved at -80 &amp;#176;C until native protein extraction. Lung samples were also collected 2 h after the last drug administration, frozen </w:t>
      </w:r>
      <w:r>
        <w:rPr>
          <w:rFonts w:ascii="Calibri" w:hAnsi="Calibri" w:cs="Calibri" w:eastAsia="Calibri"/>
          <w:color w:val="auto"/>
          <w:spacing w:val="0"/>
          <w:position w:val="0"/>
          <w:sz w:val="24"/>
          <w:shd w:fill="auto" w:val="clear"/>
        </w:rPr>
        <w:t xml:space="preserve">immediately in liquid nitrogen, and stored at -80 &amp;#176;C. Studies were performed in accordance with the institutional guidelines for the care and use of laboratory animals (European Communities Council Directive 86/609/EEC) established by the Ethical Committee for Animal Experimentation at the PRAAL-PCB.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pulverization, the native protein extracts from lung were obtained as described and quantified. 5 &amp;#181;g of total protein from pooled PBMCs or 7.5 &amp;#181;g of total protein from lung from 3 animals were used per dose group to run the KDM1A target engagement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dose-response of KDM1A target engagement in PBMCs and in lung treatment of rats with ORY-1001 by oral gavage, calculated relative to the vehicle group is shown in </w:t>
      </w:r>
      <w:r>
        <w:rPr>
          <w:rFonts w:ascii="Calibri" w:hAnsi="Calibri" w:cs="Calibri" w:eastAsia="Calibri"/>
          <w:b/>
          <w:color w:val="000000"/>
          <w:spacing w:val="0"/>
          <w:position w:val="0"/>
          <w:sz w:val="24"/>
          <w:shd w:fill="auto" w:val="clear"/>
        </w:rPr>
        <w:t xml:space="preserve">Figure 4A and 4B</w:t>
      </w:r>
      <w:r>
        <w:rPr>
          <w:rFonts w:ascii="Calibri" w:hAnsi="Calibri" w:cs="Calibri" w:eastAsia="Calibri"/>
          <w:color w:val="000000"/>
          <w:spacing w:val="0"/>
          <w:position w:val="0"/>
          <w:sz w:val="24"/>
          <w:shd w:fill="auto" w:val="clear"/>
        </w:rPr>
        <w:t xml:space="preserve">. As can see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ex-vivo</w:t>
      </w:r>
      <w:r>
        <w:rPr>
          <w:rFonts w:ascii="Calibri" w:hAnsi="Calibri" w:cs="Calibri" w:eastAsia="Calibri"/>
          <w:color w:val="000000"/>
          <w:spacing w:val="0"/>
          <w:position w:val="0"/>
          <w:sz w:val="24"/>
          <w:shd w:fill="auto" w:val="clear"/>
        </w:rPr>
        <w:t xml:space="preserve"> incubation with 25 nM ORY-1001 of lung protein extracts from the vehicle treated animals yields full TE yet but does not further increase TE in samples from rats treated for 4 days with 30 &amp;#181;g/kg ORY-1001, confirming KDM1A was already fully inhibited </w:t>
      </w:r>
      <w:r>
        <w:rPr>
          <w:rFonts w:ascii="Calibri" w:hAnsi="Calibri" w:cs="Calibri" w:eastAsia="Calibri"/>
          <w:i/>
          <w:color w:val="000000"/>
          <w:spacing w:val="0"/>
          <w:position w:val="0"/>
          <w:sz w:val="24"/>
          <w:shd w:fill="auto" w:val="clear"/>
        </w:rPr>
        <w:t xml:space="preserve">in viv</w:t>
      </w:r>
      <w:r>
        <w:rPr>
          <w:rFonts w:ascii="Calibri" w:hAnsi="Calibri" w:cs="Calibri" w:eastAsia="Calibri"/>
          <w:color w:val="000000"/>
          <w:spacing w:val="0"/>
          <w:position w:val="0"/>
          <w:sz w:val="24"/>
          <w:shd w:fill="auto" w:val="clear"/>
        </w:rPr>
        <w:t xml:space="preserv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 of ELISA Enzyme linked chemoprobe immunoabsorbent assay for KDM1A target engagement:</w:t>
      </w:r>
      <w:r>
        <w:rPr>
          <w:rFonts w:ascii="Calibri" w:hAnsi="Calibri" w:cs="Calibri" w:eastAsia="Calibri"/>
          <w:color w:val="auto"/>
          <w:spacing w:val="0"/>
          <w:position w:val="0"/>
          <w:sz w:val="24"/>
          <w:shd w:fill="auto" w:val="clear"/>
        </w:rPr>
        <w:t xml:space="preserve"> A) Determination of total KDM1A using sandwich ELISA and B) Determination of free KDM1A using chemoprobe ELISA.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Standard Preparation</w:t>
      </w:r>
      <w:r>
        <w:rPr>
          <w:rFonts w:ascii="Calibri" w:hAnsi="Calibri" w:cs="Calibri" w:eastAsia="Calibri"/>
          <w:color w:val="000000"/>
          <w:spacing w:val="0"/>
          <w:position w:val="0"/>
          <w:sz w:val="24"/>
          <w:shd w:fill="auto" w:val="clear"/>
        </w:rPr>
        <w:t xml:space="preserve">. To prepare the Standard Series of KDM1A protein, pipette the indicated volumes of KDM1A Standard working solution and PBS into eight properly labeled 1.5 mL microcentrifuge tubes.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2: Deep Well Plate Design.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Standards (blue) and samples (yellow) from step 5.4.2. were pipetted into the reflected positions of the Deep Well Plate to facilitate loading into the ELISA plates following the direction of the blue (standard) and yellow (samples) arrows.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ELISA Plate Design.</w:t>
      </w:r>
      <w:r>
        <w:rPr>
          <w:rFonts w:ascii="Calibri" w:hAnsi="Calibri" w:cs="Calibri" w:eastAsia="Calibri"/>
          <w:color w:val="000000"/>
          <w:spacing w:val="0"/>
          <w:position w:val="0"/>
          <w:sz w:val="24"/>
          <w:shd w:fill="auto" w:val="clear"/>
        </w:rPr>
        <w:t xml:space="preserve"> The assay plate includes the standard curve with decreasing amounts of recombinant KDM1A target (in blue); the biological samples (S) in yellow; and corresponding negative controls (contain the samples but not the primary detection antibody) in white, to be loaded on the ELISA plates from the Deep Well Plate. The blank (0 in standard curve) contains all capture and detection reagents but no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Determination of Total and Free rKDM1A in PBMCs of healthy volunteers. </w:t>
      </w:r>
      <w:r>
        <w:rPr>
          <w:rFonts w:ascii="Calibri" w:hAnsi="Calibri" w:cs="Calibri" w:eastAsia="Calibri"/>
          <w:color w:val="000000"/>
          <w:spacing w:val="0"/>
          <w:position w:val="0"/>
          <w:sz w:val="24"/>
          <w:shd w:fill="auto" w:val="clear"/>
        </w:rPr>
        <w:t xml:space="preserve">RLU values of Total rKDM1A assessed by ELISA (A) and of Free rKDM1A assessed by chemoprobe capture ELISA (B). Data were obtained from 3 replicate experiments, each analyzed in triplicate (N = 3; n = 3). RLU values of Total KDM1A assessed by ELISA (C) and of Free KDM1A (D) for the PBMCs of 3 independent untreated volunteers (red, blue and green squares) superposed on Standard Curve. Data were obtained from one experiment analyzed in triplicate (N = 1; n = 3). Values represented are the means &amp;plusmn;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Dose-response of KDM1A Target Engagement in a human AML cell line. </w:t>
      </w:r>
      <w:r>
        <w:rPr>
          <w:rFonts w:ascii="Calibri" w:hAnsi="Calibri" w:cs="Calibri" w:eastAsia="Calibri"/>
          <w:color w:val="000000"/>
          <w:spacing w:val="0"/>
          <w:position w:val="0"/>
          <w:sz w:val="24"/>
          <w:shd w:fill="auto" w:val="clear"/>
        </w:rPr>
        <w:t xml:space="preserve">Cells were treated with vehicle or ORY-1001 at different concentrations (0.25; 0.5; 1; 5 and 25 nM) and used for determination of target engagement as described. Data were obtained from 3 replicate experiments, each analyzed in triplicate (N = 3, n = 3). Values represented are the means &amp;plusmn; SD.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and </w:t>
      </w:r>
      <w:r>
        <w:rPr>
          <w:rFonts w:ascii="Calibri" w:hAnsi="Calibri" w:cs="Calibri" w:eastAsia="Calibri"/>
          <w:b/>
          <w:i/>
          <w:color w:val="000000"/>
          <w:spacing w:val="0"/>
          <w:position w:val="0"/>
          <w:sz w:val="24"/>
          <w:shd w:fill="auto" w:val="clear"/>
        </w:rPr>
        <w:t xml:space="preserve">ex vivo</w:t>
      </w:r>
      <w:r>
        <w:rPr>
          <w:rFonts w:ascii="Calibri" w:hAnsi="Calibri" w:cs="Calibri" w:eastAsia="Calibri"/>
          <w:b/>
          <w:color w:val="000000"/>
          <w:spacing w:val="0"/>
          <w:position w:val="0"/>
          <w:sz w:val="24"/>
          <w:shd w:fill="auto" w:val="clear"/>
        </w:rPr>
        <w:t xml:space="preserve"> native KDM1A target engagement. </w:t>
      </w:r>
      <w:r>
        <w:rPr>
          <w:rFonts w:ascii="Calibri" w:hAnsi="Calibri" w:cs="Calibri" w:eastAsia="Calibri"/>
          <w:color w:val="000000"/>
          <w:spacing w:val="0"/>
          <w:position w:val="0"/>
          <w:sz w:val="24"/>
          <w:shd w:fill="auto" w:val="clear"/>
        </w:rPr>
        <w:t xml:space="preserve">Dose-response of KDM1A target engagement in PBMCs (A) and lung samples (B) from rats treated with ORY-1001 for 4 consecutive days (p.o). Data were obtained from pooled PBMCs extracts from 3 animals per cohort, analyzed in duplicate (N = 1, n = 2) or from the lungs from 3 individual animals per cohort, analyzed in triplicate (N = 3, n = 3).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 Comparison of TE in pooled lung protein extracts of rats treated with vehicle (left) or 30 &amp;#181;g/kg ORY-1001; after 1 h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incubation of the extracts without (grey bars) or with 25 nM ORY-1001 (blue bars) (N = 3, n = 3). All data are represented as means &amp;plusmn;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knoertoknertokertokn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was developed to directly measure KDM1A target engagement using a novel KDM1A chemoprobe capture based ELISA. The method has been validated on cultured human cell lines and ex vivo samples from human, rat and mouse and baboon (including PBMCs, lung, brain, skin, tumors), but can be readily applied to other species in which the KDM1A antibody target epitopes and catalytic center are conserved. As OG-881 is an activity based chemoprobe, the sample quality is important and proper manipulation and conservation of samples should be pursued especially during the initial steps of the protocol, to ensure the KDM1A activity is conserved.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experimental protocol was optimized to analyze KDM1A target engagement by covalent FAD targeting inhibitors. It can also be used with reversible inhibitors that block the access to the FAD cofactor of KDM1A. Potent reversible inhibitors with long residence times may employ the unmodified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OG-881 chemoprobe may not be suitable for low potency reversible inhibitors with high off-rates. The particular chemoprobe used in this manuscript is not cell penetrant and therefore analyses are performed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on lysed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can be run on instruments that are broadly available in research and analytical laboratories; it does not require genetic modifications to be introduced into cells, and it can easily be applied to different sample types. Another advantage is that it can be used on samples derived from different species that are frequently used in the preclinical proof of concept studies and in toxicology models and that it has successfully been translated to analyze clinical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methods have been used for analysis of KDM1A target engagement. Many of these methods use proxy markers like changes of the H3K4me2 histone mark, using AlphaLisa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induction of expression markers using qRT-PCR or FACS analysis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in cells or tissues, the histone marks are controlled by multiple factors, and assays that measure changes in the histone mark do not always provide a good dynamic range for analysis. KDM1A inhibition can induce potent changes in gene and protein expression, but the response tends to very heterogeneous and highly cell context dependent, which can complicate analyses of dose response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assessment of the occupation of the target is, therefore, the best option to measure target engagement. One assay that has been proposed for this is the cellular thermal shift assay (CETSA), based on the increase of thermal stability of target proteins upon binding of inhibitors. This method may, in principle, be applied to unmodified cells and different tissue types and has recently been used to assess the cellular activity of KDM1A inhibitors in cultivated cells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this technology has rarely been used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pharmacodynamics studies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to the best of our knowledge; its use has not been reported in clinical trials.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provided here describes a fully validated chemoprobe based method which has been used to determine KDM1A target engagement in cells and tissue samples. The method has been successfully translated to analyze samples of human subjects treated with a KDM1A inhibitor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will be of great use to model PK/PD responses in clinical trials.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Tamara Maes is an executive director and shareholder, and the authors Cristina Mascar&amp;#243; and Raquel Ruiz Rodriguez are employees of Oryzon Genomics S.A. Oryzon Genomics S.A. develops KDM1A inhibitors and holds patents covering compounds and methods used in this Article.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financed by Oryzon Genomics. S.A., Hoffman-La Roche, and partially supported by the CIIP-20152001 and RETOS collaboration program RTC-2015-3332-1.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7F7F7F"/>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Histone demethylation mediated by the nuclear amine oxidase homolog LSD1.</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(7), 941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953, 10.1016/j.cell.2004.12.012 (2004).</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Alba Maiques-Diaz</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and Tim CP Somervaille. LSD1: biologic roles and therapeutic targeting. </w:t>
      </w:r>
      <w:r>
        <w:rPr>
          <w:rFonts w:ascii="Calibri" w:hAnsi="Calibri" w:cs="Calibri" w:eastAsia="Calibri"/>
          <w:i/>
          <w:color w:val="auto"/>
          <w:spacing w:val="0"/>
          <w:position w:val="0"/>
          <w:sz w:val="24"/>
          <w:shd w:fill="FFFFFF" w:val="clear"/>
        </w:rPr>
        <w:t xml:space="preserve">Epigenomics</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w:t>
      </w:r>
      <w:r>
        <w:rPr>
          <w:rFonts w:ascii="Calibri" w:hAnsi="Calibri" w:cs="Calibri" w:eastAsia="Calibri"/>
          <w:color w:val="auto"/>
          <w:spacing w:val="0"/>
          <w:position w:val="0"/>
          <w:sz w:val="24"/>
          <w:shd w:fill="FFFFFF" w:val="clear"/>
        </w:rPr>
        <w:t xml:space="preserve">(8), 1103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1116, 10.2217/epi-2016-0009 (2016).</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w:t>
        <w:tab/>
      </w:r>
      <w:r>
        <w:rPr>
          <w:rFonts w:ascii="Calibri" w:hAnsi="Calibri" w:cs="Calibri" w:eastAsia="Calibri"/>
          <w:color w:val="auto"/>
          <w:spacing w:val="0"/>
          <w:position w:val="0"/>
          <w:sz w:val="24"/>
          <w:shd w:fill="FFFFFF" w:val="clear"/>
        </w:rPr>
        <w:t xml:space="preserve">Maes T,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ORY-1001, a Potent and Selective Covalent KDM1A Inhibitor, for the Treatment of Acute Leukemia. </w:t>
      </w:r>
      <w:r>
        <w:rPr>
          <w:rFonts w:ascii="Calibri" w:hAnsi="Calibri" w:cs="Calibri" w:eastAsia="Calibri"/>
          <w:i/>
          <w:color w:val="auto"/>
          <w:spacing w:val="0"/>
          <w:position w:val="0"/>
          <w:sz w:val="24"/>
          <w:shd w:fill="FFFFFF" w:val="clear"/>
        </w:rPr>
        <w:t xml:space="preserve">Cancer 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33</w:t>
      </w:r>
      <w:r>
        <w:rPr>
          <w:rFonts w:ascii="Calibri" w:hAnsi="Calibri" w:cs="Calibri" w:eastAsia="Calibri"/>
          <w:color w:val="auto"/>
          <w:spacing w:val="0"/>
          <w:position w:val="0"/>
          <w:sz w:val="24"/>
          <w:shd w:fill="FFFFFF" w:val="clear"/>
        </w:rPr>
        <w:t xml:space="preserve">(3), 495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511, 10.1016/j.ccell.2018.02.002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Sugino N, et al. A novel LSD1 inhibitor NCD38 ameliorates MDS-related leukemia with complex karyotype by attenuating leukemia programs via activating super-enhancers. </w:t>
      </w:r>
      <w:r>
        <w:rPr>
          <w:rFonts w:ascii="Calibri" w:hAnsi="Calibri" w:cs="Calibri" w:eastAsia="Calibri"/>
          <w:i/>
          <w:color w:val="auto"/>
          <w:spacing w:val="0"/>
          <w:position w:val="0"/>
          <w:sz w:val="24"/>
          <w:shd w:fill="FFFFFF" w:val="clear"/>
        </w:rPr>
        <w:t xml:space="preserve">Leukemia.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31</w:t>
      </w:r>
      <w:r>
        <w:rPr>
          <w:rFonts w:ascii="Calibri" w:hAnsi="Calibri" w:cs="Calibri" w:eastAsia="Calibri"/>
          <w:color w:val="auto"/>
          <w:spacing w:val="0"/>
          <w:position w:val="0"/>
          <w:sz w:val="24"/>
          <w:shd w:fill="FFFFFF" w:val="clear"/>
        </w:rPr>
        <w:t xml:space="preserve">(11), 2303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2314, 10.1038/leu.2017.59 (2017).</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Maria Kleppe, Kaitlyn Shank, Papalexi Efthymia, Hugh Riehnhoff and RossL. Levine. Lysine-Specific Histone Demethylase, LSD1, (KDM1A) As a Novel Therapeutic Target in Myeloproliferative Neoplasms. </w:t>
      </w:r>
      <w:r>
        <w:rPr>
          <w:rFonts w:ascii="Calibri" w:hAnsi="Calibri" w:cs="Calibri" w:eastAsia="Calibri"/>
          <w:i/>
          <w:color w:val="auto"/>
          <w:spacing w:val="0"/>
          <w:position w:val="0"/>
          <w:sz w:val="24"/>
          <w:shd w:fill="FFFFFF" w:val="clear"/>
        </w:rPr>
        <w:t xml:space="preserve">Blood.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126</w:t>
      </w:r>
      <w:r>
        <w:rPr>
          <w:rFonts w:ascii="Calibri" w:hAnsi="Calibri" w:cs="Calibri" w:eastAsia="Calibri"/>
          <w:color w:val="auto"/>
          <w:spacing w:val="0"/>
          <w:position w:val="0"/>
          <w:sz w:val="24"/>
          <w:shd w:fill="FFFFFF" w:val="clear"/>
        </w:rPr>
        <w:t xml:space="preserve">:601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Jutzi, Jonas S, </w:t>
      </w:r>
      <w:r>
        <w:rPr>
          <w:rFonts w:ascii="Calibri" w:hAnsi="Calibri" w:cs="Calibri" w:eastAsia="Calibri"/>
          <w:i/>
          <w:color w:val="auto"/>
          <w:spacing w:val="0"/>
          <w:position w:val="0"/>
          <w:sz w:val="24"/>
          <w:shd w:fill="FFFFFF" w:val="clear"/>
        </w:rPr>
        <w:t xml:space="preserve">et al. </w:t>
      </w:r>
      <w:r>
        <w:rPr>
          <w:rFonts w:ascii="Calibri" w:hAnsi="Calibri" w:cs="Calibri" w:eastAsia="Calibri"/>
          <w:color w:val="auto"/>
          <w:spacing w:val="0"/>
          <w:position w:val="0"/>
          <w:sz w:val="24"/>
          <w:shd w:fill="FFFFFF" w:val="clear"/>
        </w:rPr>
        <w:t xml:space="preserve">LSD1 Inhibition Prolongs Survival in Mouse Models of MPN by Selectively Targeting the Disease Clone. </w:t>
      </w:r>
      <w:r>
        <w:rPr>
          <w:rFonts w:ascii="Calibri" w:hAnsi="Calibri" w:cs="Calibri" w:eastAsia="Calibri"/>
          <w:i/>
          <w:color w:val="auto"/>
          <w:spacing w:val="0"/>
          <w:position w:val="0"/>
          <w:sz w:val="24"/>
          <w:shd w:fill="FFFFFF" w:val="clear"/>
        </w:rPr>
        <w:t xml:space="preserve">HemaSphere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 </w:t>
      </w:r>
      <w:r>
        <w:rPr>
          <w:rFonts w:ascii="Calibri" w:hAnsi="Calibri" w:cs="Calibri" w:eastAsia="Calibri"/>
          <w:color w:val="auto"/>
          <w:spacing w:val="0"/>
          <w:position w:val="0"/>
          <w:sz w:val="24"/>
          <w:shd w:fill="FFFFFF" w:val="clear"/>
        </w:rPr>
        <w:t xml:space="preserve">(3), 54, 10.1097/HS9.0000000000000054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Mohammad HP,</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DNA Hypomethylation Signature Predicts Antitumor Activity of LSD1 Inhibitors in SCLC.</w:t>
      </w:r>
      <w:r>
        <w:rPr>
          <w:rFonts w:ascii="Calibri" w:hAnsi="Calibri" w:cs="Calibri" w:eastAsia="Calibri"/>
          <w:b/>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Cancer Cell</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w:t>
      </w:r>
      <w:r>
        <w:rPr>
          <w:rFonts w:ascii="Calibri" w:hAnsi="Calibri" w:cs="Calibri" w:eastAsia="Calibri"/>
          <w:color w:val="auto"/>
          <w:spacing w:val="0"/>
          <w:position w:val="0"/>
          <w:sz w:val="24"/>
          <w:shd w:fill="FFFFFF" w:val="clear"/>
        </w:rPr>
        <w:t xml:space="preserve">(1), 57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69, 10.1016/j.ccell.2015.06.002 (2015).</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Rivers A,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RN-1, a potent and selective lysine-specific demethylase 1 inhibitor, increases &amp;#947;-globin expression, F reticulocytes, and F cells in a sickle cell disease mouse model. </w:t>
      </w:r>
      <w:r>
        <w:rPr>
          <w:rFonts w:ascii="Calibri" w:hAnsi="Calibri" w:cs="Calibri" w:eastAsia="Calibri"/>
          <w:i/>
          <w:color w:val="auto"/>
          <w:spacing w:val="0"/>
          <w:position w:val="0"/>
          <w:sz w:val="24"/>
          <w:shd w:fill="FFFFFF" w:val="clear"/>
        </w:rPr>
        <w:t xml:space="preserve">Experimental Hematology.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(7), 546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53.e1-3, 10.1016/j.exphem.2015.04.005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Rivers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Oral administration of the LSD1 inhibitor ORY-3001 increases fetal hemoglobin in sickle cell mice and baboons. </w:t>
      </w:r>
      <w:r>
        <w:rPr>
          <w:rFonts w:ascii="Calibri" w:hAnsi="Calibri" w:cs="Calibri" w:eastAsia="Calibri"/>
          <w:i/>
          <w:color w:val="auto"/>
          <w:spacing w:val="0"/>
          <w:position w:val="0"/>
          <w:sz w:val="24"/>
          <w:shd w:fill="auto" w:val="clear"/>
        </w:rPr>
        <w:t xml:space="preserve">Experimental Hematology.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64 e62, 10.1016/j.exphem.2018.08.003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Carlos-Buesa,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dual LSD1/MAO-B inhibitor ORY-2001 prevents the development of the memory deficit in samp8 mice through induction of neuronal plasticity and reduction of neuroinflammation. </w:t>
      </w:r>
      <w:r>
        <w:rPr>
          <w:rFonts w:ascii="Calibri" w:hAnsi="Calibri" w:cs="Calibri" w:eastAsia="Calibri"/>
          <w:i/>
          <w:color w:val="auto"/>
          <w:spacing w:val="0"/>
          <w:position w:val="0"/>
          <w:sz w:val="24"/>
          <w:shd w:fill="auto" w:val="clear"/>
        </w:rPr>
        <w:t xml:space="preserve">Alzheimer’s &amp;amp; Dementia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P905, 10.1016/j.jalz.2015.08.146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Schmidt DM, McCafferty DG. Trans-2-Phenylcyclopropylamine is a mechanism-based inactivator of the histone demethylase LSD1.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(14), 4408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4416, 10.1021/bi0618621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Forneris F, Binda C, Vanoni MA, Battaglioli E, Mattevi A: Human histone demethylase LSD1 reads the histone code.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(50), 41360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41365, 10.1074/jbc.M509549200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WO2017158136, Oryzon Genomics, Methods to determine kdm1a target engagement and chemoprobes useful therefor.</w:t>
      </w:r>
    </w:p>
    <w:p>
      <w:pPr>
        <w:widowControl w:val="false"/>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14.</w:t>
        <w:tab/>
        <w:t xml:space="preserve">Mascar&amp;#243; et al. submitted for publication.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Rodriguez-Suarez, et al. Development of Homogeneous Nonradioactive Methyltransferase and Demethylase Assays Targeting Histone H3 Lysine 4. </w:t>
      </w:r>
      <w:r>
        <w:rPr>
          <w:rFonts w:ascii="Calibri" w:hAnsi="Calibri" w:cs="Calibri" w:eastAsia="Calibri"/>
          <w:i/>
          <w:color w:val="auto"/>
          <w:spacing w:val="0"/>
          <w:position w:val="0"/>
          <w:sz w:val="24"/>
          <w:shd w:fill="auto" w:val="clear"/>
        </w:rPr>
        <w:t xml:space="preserve">Journal of Biomolecular Screening.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(1), 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58, 10.1177/1087057111416659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 Lynch JT, Cockerill MJ, Hitchin JR, Wiseman DH, Somervaille TC. CD86 expression as a surrogate cellular biomarker for pharmacological inhibition of the histone demethylase lysine-specific demethylase 1.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(1), 104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106, 10.1016/j.ab.2013.07.032 (2013).</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Schulz-Fincke J, et al. Structure-activity studies on N-Substituted tranylcypromine derivatives lead to selective inhibitors of lysine specific demethylase 1 (LSD1) and potent inducers of leukemic cell differentiation. </w:t>
      </w:r>
      <w:r>
        <w:rPr>
          <w:rFonts w:ascii="Calibri" w:hAnsi="Calibri" w:cs="Calibri" w:eastAsia="Calibri"/>
          <w:i/>
          <w:color w:val="auto"/>
          <w:spacing w:val="0"/>
          <w:position w:val="0"/>
          <w:sz w:val="24"/>
          <w:shd w:fill="FFFFFF" w:val="clear"/>
        </w:rPr>
        <w:t xml:space="preserve">European Journal of Medicinal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144</w:t>
      </w:r>
      <w:r>
        <w:rPr>
          <w:rFonts w:ascii="Calibri" w:hAnsi="Calibri" w:cs="Calibri" w:eastAsia="Calibri"/>
          <w:color w:val="auto"/>
          <w:spacing w:val="0"/>
          <w:position w:val="0"/>
          <w:sz w:val="24"/>
          <w:shd w:fill="FFFFFF" w:val="clear"/>
        </w:rPr>
        <w:t xml:space="preserve">, 52</w:t>
      </w:r>
      <w:r>
        <w:rPr>
          <w:rFonts w:ascii="Calibri" w:hAnsi="Calibri" w:cs="Calibri" w:eastAsia="Calibri"/>
          <w:color w:val="auto"/>
          <w:spacing w:val="0"/>
          <w:position w:val="0"/>
          <w:sz w:val="28"/>
          <w:shd w:fill="FFFFFF" w:val="clear"/>
        </w:rPr>
        <w:t xml:space="preserve"> </w:t>
      </w:r>
      <w:r>
        <w:rPr>
          <w:rFonts w:ascii="Calibri" w:hAnsi="Calibri" w:cs="Calibri" w:eastAsia="Calibri"/>
          <w:color w:val="auto"/>
          <w:spacing w:val="0"/>
          <w:position w:val="0"/>
          <w:sz w:val="28"/>
          <w:shd w:fill="FFFFFF" w:val="clear"/>
        </w:rPr>
        <w:t xml:space="preserve">–</w:t>
      </w:r>
      <w:r>
        <w:rPr>
          <w:rFonts w:ascii="Calibri" w:hAnsi="Calibri" w:cs="Calibri" w:eastAsia="Calibri"/>
          <w:color w:val="auto"/>
          <w:spacing w:val="0"/>
          <w:position w:val="0"/>
          <w:sz w:val="28"/>
          <w:shd w:fill="FFFFFF" w:val="clear"/>
        </w:rPr>
        <w:t xml:space="preserve"> </w:t>
      </w:r>
      <w:r>
        <w:rPr>
          <w:rFonts w:ascii="Calibri" w:hAnsi="Calibri" w:cs="Calibri" w:eastAsia="Calibri"/>
          <w:color w:val="auto"/>
          <w:spacing w:val="0"/>
          <w:position w:val="0"/>
          <w:sz w:val="24"/>
          <w:shd w:fill="FFFFFF" w:val="clear"/>
        </w:rPr>
        <w:t xml:space="preserve">67, 10.1016/j.ejmech.2017.12.001 (2018).</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Tsuyoshi Ishii,</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CETSA quantitatively verifies in vivo target engagement of novel RIPK1 inhibitors in various biospecimens. </w:t>
      </w:r>
      <w:r>
        <w:rPr>
          <w:rFonts w:ascii="Calibri" w:hAnsi="Calibri" w:cs="Calibri" w:eastAsia="Calibri"/>
          <w:i/>
          <w:color w:val="auto"/>
          <w:spacing w:val="0"/>
          <w:position w:val="0"/>
          <w:sz w:val="24"/>
          <w:shd w:fill="FFFFFF" w:val="clear"/>
        </w:rPr>
        <w:t xml:space="preserve">Scientific Report.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13000, 10.1038/s41598-017-12513-1 (2017).</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Tamara Maes</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ORY-2001: An Epigenetic drug for the treatment of cognition defects in Alzheimer’s disease and other neurodegenerative disorders. </w:t>
      </w:r>
      <w:r>
        <w:rPr>
          <w:rFonts w:ascii="Calibri" w:hAnsi="Calibri" w:cs="Calibri" w:eastAsia="Calibri"/>
          <w:i/>
          <w:color w:val="auto"/>
          <w:spacing w:val="0"/>
          <w:position w:val="0"/>
          <w:sz w:val="24"/>
          <w:shd w:fill="FFFFFF" w:val="clear"/>
        </w:rPr>
        <w:t xml:space="preserve">Alzheimer’s &amp;amp; Dementia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(7), P1192, 10.1016/j.jalz.2016.07.149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