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DBF244" w14:textId="77777777" w:rsidR="0004269B" w:rsidRPr="00CF129B" w:rsidRDefault="0004269B" w:rsidP="0004269B">
      <w:pPr>
        <w:jc w:val="both"/>
        <w:rPr>
          <w:b/>
        </w:rPr>
      </w:pPr>
      <w:r w:rsidRPr="00CF129B">
        <w:rPr>
          <w:b/>
        </w:rPr>
        <w:t>Editorial comments:</w:t>
      </w:r>
    </w:p>
    <w:p w14:paraId="11EA137E" w14:textId="77777777" w:rsidR="0004269B" w:rsidRPr="00CF129B" w:rsidRDefault="0004269B" w:rsidP="0004269B">
      <w:pPr>
        <w:jc w:val="both"/>
      </w:pPr>
      <w:r w:rsidRPr="00CF129B">
        <w:t>Changes to be made by the author(s) regasrding the manuscript:</w:t>
      </w:r>
    </w:p>
    <w:p w14:paraId="5BFA74C1" w14:textId="77777777" w:rsidR="0004269B" w:rsidRDefault="0004269B" w:rsidP="0004269B">
      <w:pPr>
        <w:jc w:val="both"/>
      </w:pPr>
      <w:r w:rsidRPr="00CF129B">
        <w:t>1. Please take this opportunity to thoroughly proofread the manuscript to ensure that there are no spelling or grammar issues.</w:t>
      </w:r>
    </w:p>
    <w:p w14:paraId="325E01DB" w14:textId="77777777" w:rsidR="0004269B" w:rsidRPr="00CF129B" w:rsidRDefault="0004269B" w:rsidP="0004269B">
      <w:pPr>
        <w:jc w:val="both"/>
      </w:pPr>
    </w:p>
    <w:p w14:paraId="5B79FE0E" w14:textId="77777777" w:rsidR="0004269B" w:rsidRPr="00C5318F" w:rsidRDefault="0004269B" w:rsidP="0004269B">
      <w:pPr>
        <w:jc w:val="both"/>
        <w:rPr>
          <w:i/>
          <w:color w:val="4472C4" w:themeColor="accent1"/>
        </w:rPr>
      </w:pPr>
      <w:r w:rsidRPr="00C5318F">
        <w:rPr>
          <w:i/>
          <w:color w:val="4472C4" w:themeColor="accent1"/>
        </w:rPr>
        <w:t>We have proofread the revised manuscript to ensure that no spelling or grammar issues exist.</w:t>
      </w:r>
    </w:p>
    <w:p w14:paraId="72145492" w14:textId="77777777" w:rsidR="0004269B" w:rsidRPr="00CF129B" w:rsidRDefault="0004269B" w:rsidP="0004269B">
      <w:pPr>
        <w:jc w:val="both"/>
        <w:rPr>
          <w:i/>
          <w:color w:val="2F5496" w:themeColor="accent1" w:themeShade="BF"/>
        </w:rPr>
      </w:pPr>
    </w:p>
    <w:p w14:paraId="10FD5E0D" w14:textId="77777777" w:rsidR="0004269B" w:rsidRDefault="0004269B" w:rsidP="0004269B">
      <w:pPr>
        <w:jc w:val="both"/>
      </w:pPr>
      <w:r w:rsidRPr="00CF129B">
        <w:t>2. Please revise the title to be more concise and avoid the use of colon.</w:t>
      </w:r>
      <w:bookmarkStart w:id="0" w:name="_GoBack"/>
      <w:bookmarkEnd w:id="0"/>
    </w:p>
    <w:p w14:paraId="630DD9AF" w14:textId="77777777" w:rsidR="0004269B" w:rsidRPr="00CF129B" w:rsidRDefault="0004269B" w:rsidP="0004269B">
      <w:pPr>
        <w:jc w:val="both"/>
      </w:pPr>
    </w:p>
    <w:p w14:paraId="2564FAEC" w14:textId="77777777" w:rsidR="0004269B" w:rsidRPr="00C5318F" w:rsidRDefault="0004269B" w:rsidP="0004269B">
      <w:pPr>
        <w:spacing w:line="240" w:lineRule="auto"/>
        <w:rPr>
          <w:rFonts w:cstheme="minorHAnsi"/>
          <w:i/>
          <w:color w:val="4472C4" w:themeColor="accent1"/>
        </w:rPr>
      </w:pPr>
      <w:r w:rsidRPr="00C5318F">
        <w:rPr>
          <w:i/>
          <w:color w:val="4472C4" w:themeColor="accent1"/>
        </w:rPr>
        <w:t>We have now revised the title to “</w:t>
      </w:r>
      <w:r w:rsidRPr="00C5318F">
        <w:rPr>
          <w:rFonts w:cstheme="minorHAnsi"/>
          <w:i/>
          <w:color w:val="4472C4" w:themeColor="accent1"/>
        </w:rPr>
        <w:t>Blood-Brain Tumor-Barrier in a dish predicts in vivo delivery of a payload”.</w:t>
      </w:r>
    </w:p>
    <w:p w14:paraId="2DFAFC3D" w14:textId="77777777" w:rsidR="0004269B" w:rsidRPr="00CF129B" w:rsidRDefault="0004269B" w:rsidP="0004269B">
      <w:pPr>
        <w:spacing w:line="240" w:lineRule="auto"/>
        <w:rPr>
          <w:rFonts w:cstheme="minorHAnsi"/>
          <w:i/>
          <w:color w:val="4472C4" w:themeColor="accent1"/>
        </w:rPr>
      </w:pPr>
    </w:p>
    <w:p w14:paraId="10AB7519" w14:textId="77777777" w:rsidR="0004269B" w:rsidRDefault="0004269B" w:rsidP="0004269B">
      <w:pPr>
        <w:jc w:val="both"/>
      </w:pPr>
      <w:r w:rsidRPr="00CF129B">
        <w:t>3. Please place the ethics statement (lines 296-297) before your numbered protocol steps, indicating that the protocol follows the animal care guidelines of your institution.</w:t>
      </w:r>
    </w:p>
    <w:p w14:paraId="1CB7F7C2" w14:textId="77777777" w:rsidR="0004269B" w:rsidRPr="00CF129B" w:rsidRDefault="0004269B" w:rsidP="0004269B">
      <w:pPr>
        <w:jc w:val="both"/>
      </w:pPr>
    </w:p>
    <w:p w14:paraId="58A87F61" w14:textId="77777777" w:rsidR="0004269B" w:rsidRPr="00C5318F" w:rsidRDefault="0004269B" w:rsidP="0004269B">
      <w:pPr>
        <w:spacing w:line="240" w:lineRule="auto"/>
        <w:rPr>
          <w:i/>
          <w:color w:val="4472C4" w:themeColor="accent1"/>
        </w:rPr>
      </w:pPr>
      <w:r w:rsidRPr="00C5318F">
        <w:rPr>
          <w:i/>
          <w:color w:val="4472C4" w:themeColor="accent1"/>
        </w:rPr>
        <w:t>We have modified the location of the ethics statement according to your suggestion.</w:t>
      </w:r>
    </w:p>
    <w:p w14:paraId="532B8507" w14:textId="77777777" w:rsidR="0004269B" w:rsidRPr="00CF129B" w:rsidRDefault="0004269B" w:rsidP="0004269B">
      <w:pPr>
        <w:spacing w:line="240" w:lineRule="auto"/>
        <w:rPr>
          <w:rFonts w:cstheme="minorHAnsi"/>
          <w:i/>
          <w:color w:val="0070C0"/>
        </w:rPr>
      </w:pPr>
    </w:p>
    <w:p w14:paraId="479B40BF" w14:textId="77777777" w:rsidR="0004269B" w:rsidRDefault="0004269B" w:rsidP="0004269B">
      <w:pPr>
        <w:jc w:val="both"/>
      </w:pPr>
      <w:r w:rsidRPr="00CF129B">
        <w:t>4.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You may use the generic term followed by “(see table of materials)” to draw the readers’ attention to specific commercial names. Examples of commercial sounding language in your manuscript are: Transwell, accutase, Falcon, LysoTracker, Carl Zeiss, ORCA-Flash, Axio Zoom.V16, Hamamatsu Photonics, etc.</w:t>
      </w:r>
    </w:p>
    <w:p w14:paraId="2A0FCC1C" w14:textId="77777777" w:rsidR="0004269B" w:rsidRPr="00CF129B" w:rsidRDefault="0004269B" w:rsidP="0004269B">
      <w:pPr>
        <w:jc w:val="both"/>
      </w:pPr>
    </w:p>
    <w:p w14:paraId="3B161727" w14:textId="77777777" w:rsidR="0004269B" w:rsidRPr="00C5318F" w:rsidRDefault="0004269B" w:rsidP="0004269B">
      <w:pPr>
        <w:jc w:val="both"/>
        <w:rPr>
          <w:i/>
          <w:color w:val="4472C4" w:themeColor="accent1"/>
        </w:rPr>
      </w:pPr>
      <w:r w:rsidRPr="00C5318F">
        <w:rPr>
          <w:i/>
          <w:color w:val="4472C4" w:themeColor="accent1"/>
        </w:rPr>
        <w:t>We have removed all commercial language from our revised manuscript and replaced them by generic terms to accommodate the JoVE requirements.</w:t>
      </w:r>
    </w:p>
    <w:p w14:paraId="598309DC" w14:textId="77777777" w:rsidR="0004269B" w:rsidRPr="00CF129B" w:rsidRDefault="0004269B" w:rsidP="0004269B">
      <w:pPr>
        <w:jc w:val="both"/>
        <w:rPr>
          <w:i/>
          <w:color w:val="2F5496" w:themeColor="accent1" w:themeShade="BF"/>
        </w:rPr>
      </w:pPr>
    </w:p>
    <w:p w14:paraId="131E1CD5" w14:textId="77777777" w:rsidR="0004269B" w:rsidRDefault="0004269B" w:rsidP="0004269B">
      <w:pPr>
        <w:jc w:val="both"/>
      </w:pPr>
      <w:r w:rsidRPr="00CF129B">
        <w:t>5. Please revise the protocol text to avoid the use of any personal pronouns (e.g., "we", "you", "our" etc.).</w:t>
      </w:r>
    </w:p>
    <w:p w14:paraId="0544DE0A" w14:textId="77777777" w:rsidR="0004269B" w:rsidRPr="00CF129B" w:rsidRDefault="0004269B" w:rsidP="0004269B">
      <w:pPr>
        <w:jc w:val="both"/>
      </w:pPr>
    </w:p>
    <w:p w14:paraId="3E06E420" w14:textId="77777777" w:rsidR="0004269B" w:rsidRDefault="0004269B" w:rsidP="0004269B">
      <w:pPr>
        <w:jc w:val="both"/>
        <w:rPr>
          <w:i/>
          <w:color w:val="2F5496" w:themeColor="accent1" w:themeShade="BF"/>
        </w:rPr>
      </w:pPr>
      <w:r w:rsidRPr="00C5318F">
        <w:rPr>
          <w:i/>
          <w:color w:val="4472C4" w:themeColor="accent1"/>
        </w:rPr>
        <w:t>We have removed all personal pronouns from the revised manuscript.</w:t>
      </w:r>
    </w:p>
    <w:p w14:paraId="296A65D6" w14:textId="77777777" w:rsidR="0004269B" w:rsidRPr="00CF129B" w:rsidRDefault="0004269B" w:rsidP="0004269B">
      <w:pPr>
        <w:jc w:val="both"/>
        <w:rPr>
          <w:i/>
          <w:color w:val="2F5496" w:themeColor="accent1" w:themeShade="BF"/>
        </w:rPr>
      </w:pPr>
    </w:p>
    <w:p w14:paraId="71D17DC8" w14:textId="77777777" w:rsidR="0004269B" w:rsidRDefault="0004269B" w:rsidP="0004269B">
      <w:pPr>
        <w:jc w:val="both"/>
      </w:pPr>
      <w:r w:rsidRPr="00CF129B">
        <w:t xml:space="preserve">6.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 Please move the discussion about the protocol to the Discussion. </w:t>
      </w:r>
    </w:p>
    <w:p w14:paraId="0CD366F5" w14:textId="77777777" w:rsidR="0004269B" w:rsidRPr="00CF129B" w:rsidRDefault="0004269B" w:rsidP="0004269B">
      <w:pPr>
        <w:jc w:val="both"/>
      </w:pPr>
    </w:p>
    <w:p w14:paraId="25217DE0" w14:textId="77777777" w:rsidR="0004269B" w:rsidRPr="00C5318F" w:rsidRDefault="0004269B" w:rsidP="0004269B">
      <w:pPr>
        <w:jc w:val="both"/>
        <w:rPr>
          <w:i/>
          <w:color w:val="4472C4" w:themeColor="accent1"/>
        </w:rPr>
      </w:pPr>
      <w:r w:rsidRPr="00C5318F">
        <w:rPr>
          <w:i/>
          <w:color w:val="4472C4" w:themeColor="accent1"/>
        </w:rPr>
        <w:t>We have revised the grammar of the manuscript according to your recommendations.</w:t>
      </w:r>
    </w:p>
    <w:p w14:paraId="10E6CF0C" w14:textId="77777777" w:rsidR="0004269B" w:rsidRPr="00CF129B" w:rsidRDefault="0004269B" w:rsidP="0004269B">
      <w:pPr>
        <w:jc w:val="both"/>
        <w:rPr>
          <w:i/>
          <w:color w:val="2F5496" w:themeColor="accent1" w:themeShade="BF"/>
        </w:rPr>
      </w:pPr>
    </w:p>
    <w:p w14:paraId="01A1BC94" w14:textId="77777777" w:rsidR="0004269B" w:rsidRPr="00CF129B" w:rsidRDefault="0004269B" w:rsidP="0004269B">
      <w:pPr>
        <w:jc w:val="both"/>
      </w:pPr>
      <w:r w:rsidRPr="00CF129B">
        <w:t>7. 1.3.6: What wavelengths are measured?</w:t>
      </w:r>
    </w:p>
    <w:p w14:paraId="34CC3C9A" w14:textId="77777777" w:rsidR="0004269B" w:rsidRPr="00CF129B" w:rsidRDefault="0004269B" w:rsidP="0004269B">
      <w:pPr>
        <w:jc w:val="both"/>
      </w:pPr>
      <w:r w:rsidRPr="00CF129B">
        <w:t>8. 1.4.5: What is the incubation temperature?</w:t>
      </w:r>
    </w:p>
    <w:p w14:paraId="1A3DBAB0" w14:textId="77777777" w:rsidR="0004269B" w:rsidRPr="00CF129B" w:rsidRDefault="0004269B" w:rsidP="0004269B">
      <w:pPr>
        <w:jc w:val="both"/>
      </w:pPr>
      <w:r w:rsidRPr="00CF129B">
        <w:t>9. 3.1.2: Please specify the age, gender and strain of mouse.</w:t>
      </w:r>
    </w:p>
    <w:p w14:paraId="4D2FAFA4" w14:textId="77777777" w:rsidR="0004269B" w:rsidRPr="00CF129B" w:rsidRDefault="0004269B" w:rsidP="0004269B">
      <w:pPr>
        <w:jc w:val="both"/>
      </w:pPr>
      <w:r w:rsidRPr="00CF129B">
        <w:t>10. 3.1.3: Please specify the surgical tools used.</w:t>
      </w:r>
    </w:p>
    <w:p w14:paraId="39720387" w14:textId="77777777" w:rsidR="0004269B" w:rsidRDefault="0004269B" w:rsidP="0004269B">
      <w:pPr>
        <w:jc w:val="both"/>
      </w:pPr>
      <w:r w:rsidRPr="00CF129B">
        <w:t>11. Please include single-line spaces between all paragraphs, headings, steps, etc.</w:t>
      </w:r>
    </w:p>
    <w:p w14:paraId="65FE2536" w14:textId="77777777" w:rsidR="0004269B" w:rsidRPr="00CF129B" w:rsidRDefault="0004269B" w:rsidP="0004269B">
      <w:pPr>
        <w:jc w:val="both"/>
      </w:pPr>
    </w:p>
    <w:p w14:paraId="61E67A48" w14:textId="77777777" w:rsidR="0004269B" w:rsidRPr="00C5318F" w:rsidRDefault="0004269B" w:rsidP="0004269B">
      <w:pPr>
        <w:jc w:val="both"/>
        <w:rPr>
          <w:i/>
          <w:color w:val="4472C4" w:themeColor="accent1"/>
        </w:rPr>
      </w:pPr>
      <w:r w:rsidRPr="00C5318F">
        <w:rPr>
          <w:i/>
          <w:color w:val="4472C4" w:themeColor="accent1"/>
        </w:rPr>
        <w:lastRenderedPageBreak/>
        <w:t>All this missing information have been added to the revised manuscript and single-line spaces added when needed.</w:t>
      </w:r>
    </w:p>
    <w:p w14:paraId="61EE0B0C" w14:textId="77777777" w:rsidR="0004269B" w:rsidRPr="00CF129B" w:rsidRDefault="0004269B" w:rsidP="0004269B">
      <w:pPr>
        <w:jc w:val="both"/>
        <w:rPr>
          <w:i/>
          <w:color w:val="2F5496" w:themeColor="accent1" w:themeShade="BF"/>
        </w:rPr>
      </w:pPr>
    </w:p>
    <w:p w14:paraId="042AC4F9" w14:textId="77777777" w:rsidR="0004269B" w:rsidRDefault="0004269B" w:rsidP="0004269B">
      <w:pPr>
        <w:jc w:val="both"/>
      </w:pPr>
      <w:r w:rsidRPr="00CF129B">
        <w:t>12.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p>
    <w:p w14:paraId="77D3305D" w14:textId="77777777" w:rsidR="0004269B" w:rsidRPr="00CF129B" w:rsidRDefault="0004269B" w:rsidP="0004269B">
      <w:pPr>
        <w:jc w:val="both"/>
      </w:pPr>
      <w:r w:rsidRPr="00CF129B">
        <w:t>13. Please highlight complete sentences (not parts of sentences). Please ensure that the highlighted part of the step includes at least one action that is written in imperative tense. Notes cannot usually be filmed and should be excluded from the highlighting. Please do not highlight any steps describing anesthetization and euthanasia.</w:t>
      </w:r>
    </w:p>
    <w:p w14:paraId="7BF34A8E" w14:textId="77777777" w:rsidR="0004269B" w:rsidRPr="00CF129B" w:rsidRDefault="0004269B" w:rsidP="0004269B">
      <w:pPr>
        <w:jc w:val="both"/>
      </w:pPr>
      <w:r w:rsidRPr="00CF129B">
        <w:t>14.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3F8023A5" w14:textId="77777777" w:rsidR="0004269B" w:rsidRDefault="0004269B" w:rsidP="0004269B">
      <w:pPr>
        <w:jc w:val="both"/>
      </w:pPr>
      <w:r w:rsidRPr="00CF129B">
        <w:t>15. When reviewing the highlighting length for the protocol, please watch out for repeated steps. Please ensure that the repeated step has been highlighted previously.</w:t>
      </w:r>
    </w:p>
    <w:p w14:paraId="31E446BC" w14:textId="77777777" w:rsidR="0004269B" w:rsidRDefault="0004269B" w:rsidP="0004269B">
      <w:pPr>
        <w:jc w:val="both"/>
      </w:pPr>
    </w:p>
    <w:p w14:paraId="1D7A7350" w14:textId="77777777" w:rsidR="0004269B" w:rsidRPr="000948F1" w:rsidRDefault="0004269B" w:rsidP="0004269B">
      <w:pPr>
        <w:jc w:val="both"/>
        <w:rPr>
          <w:i/>
          <w:color w:val="4472C4" w:themeColor="accent1"/>
        </w:rPr>
      </w:pPr>
      <w:r>
        <w:rPr>
          <w:i/>
          <w:color w:val="4472C4" w:themeColor="accent1"/>
        </w:rPr>
        <w:t>The protocol parts for the video have been highlighted in yellow in the text, according to your recommendations.</w:t>
      </w:r>
    </w:p>
    <w:p w14:paraId="7DA695CE" w14:textId="77777777" w:rsidR="0004269B" w:rsidRPr="00CF129B" w:rsidRDefault="0004269B" w:rsidP="0004269B">
      <w:pPr>
        <w:jc w:val="both"/>
      </w:pPr>
    </w:p>
    <w:p w14:paraId="7ACE068E" w14:textId="77777777" w:rsidR="0004269B" w:rsidRPr="00CF129B" w:rsidRDefault="0004269B" w:rsidP="0004269B">
      <w:pPr>
        <w:jc w:val="both"/>
      </w:pPr>
      <w:r w:rsidRPr="00CF129B">
        <w:t>16. Figure 1E: Please also explain the arrows.</w:t>
      </w:r>
    </w:p>
    <w:p w14:paraId="4CDE6634" w14:textId="77777777" w:rsidR="0004269B" w:rsidRPr="00CF129B" w:rsidRDefault="0004269B" w:rsidP="0004269B">
      <w:pPr>
        <w:jc w:val="both"/>
      </w:pPr>
      <w:r w:rsidRPr="00CF129B">
        <w:t>17. Figure 2C: Please include a space between numerical values and their time units (191 s).</w:t>
      </w:r>
    </w:p>
    <w:p w14:paraId="0B03B308" w14:textId="77777777" w:rsidR="0004269B" w:rsidRDefault="0004269B" w:rsidP="0004269B">
      <w:pPr>
        <w:jc w:val="both"/>
      </w:pPr>
      <w:r w:rsidRPr="00CF129B">
        <w:t>18. Figure 3B: Please include a space between the numerical value and its unit ((x10-6 cm/s).</w:t>
      </w:r>
    </w:p>
    <w:p w14:paraId="27F80117" w14:textId="77777777" w:rsidR="0004269B" w:rsidRDefault="0004269B" w:rsidP="0004269B">
      <w:pPr>
        <w:jc w:val="both"/>
      </w:pPr>
    </w:p>
    <w:p w14:paraId="704E9842" w14:textId="77777777" w:rsidR="0004269B" w:rsidRPr="000948F1" w:rsidRDefault="0004269B" w:rsidP="0004269B">
      <w:pPr>
        <w:jc w:val="both"/>
        <w:rPr>
          <w:i/>
          <w:color w:val="4472C4" w:themeColor="accent1"/>
        </w:rPr>
      </w:pPr>
      <w:r>
        <w:rPr>
          <w:i/>
          <w:color w:val="4472C4" w:themeColor="accent1"/>
        </w:rPr>
        <w:t>Thank you for pointing out these typos, we have edited the revised document accordingly.</w:t>
      </w:r>
    </w:p>
    <w:p w14:paraId="12341211" w14:textId="77777777" w:rsidR="0004269B" w:rsidRPr="00CF129B" w:rsidRDefault="0004269B" w:rsidP="0004269B">
      <w:pPr>
        <w:jc w:val="both"/>
      </w:pPr>
    </w:p>
    <w:p w14:paraId="72A5D3D7" w14:textId="77777777" w:rsidR="0004269B" w:rsidRDefault="0004269B" w:rsidP="0004269B">
      <w:pPr>
        <w:jc w:val="both"/>
      </w:pPr>
      <w:r w:rsidRPr="00CF129B">
        <w:t>19. Discussion: As we are a methods journal, please also discuss critical steps within the protocol, any modifications and troubleshooting of the technique, and any limitations of the technique.</w:t>
      </w:r>
    </w:p>
    <w:p w14:paraId="5EBCCBC0" w14:textId="77777777" w:rsidR="0004269B" w:rsidRDefault="0004269B" w:rsidP="0004269B">
      <w:pPr>
        <w:jc w:val="both"/>
      </w:pPr>
    </w:p>
    <w:p w14:paraId="0BE16D47" w14:textId="77777777" w:rsidR="0004269B" w:rsidRPr="000948F1" w:rsidRDefault="0004269B" w:rsidP="0004269B">
      <w:pPr>
        <w:jc w:val="both"/>
        <w:rPr>
          <w:i/>
          <w:color w:val="4472C4" w:themeColor="accent1"/>
        </w:rPr>
      </w:pPr>
      <w:r>
        <w:rPr>
          <w:i/>
          <w:color w:val="4472C4" w:themeColor="accent1"/>
        </w:rPr>
        <w:t>We took that suggestion in consideration when revising the Discussion. However, as the reviewers suggestions for revision essentially concerned cellular biology aspects of the model. Bearing in mind this fact and the wish to keep the text’s lenght within limits it is possible that the Discussion in its current form is slightly out of the scope of a Methods Journal. We would be happy to get the editor’s opinion on that issue.</w:t>
      </w:r>
    </w:p>
    <w:p w14:paraId="6229FF2D" w14:textId="77777777" w:rsidR="0004269B" w:rsidRPr="00CF129B" w:rsidRDefault="0004269B" w:rsidP="0004269B">
      <w:pPr>
        <w:jc w:val="both"/>
      </w:pPr>
    </w:p>
    <w:p w14:paraId="002F5F02" w14:textId="77777777" w:rsidR="0004269B" w:rsidRDefault="0004269B" w:rsidP="0004269B">
      <w:pPr>
        <w:jc w:val="both"/>
      </w:pPr>
      <w:r w:rsidRPr="00CF129B">
        <w:t>20. For in-text references, the corresponding reference numbers should appear as superscripts after the appropriate statement(s) in the text (before punctuation but after closed parenthesis). The references should be numbered in order of appearance.</w:t>
      </w:r>
    </w:p>
    <w:p w14:paraId="345C744B" w14:textId="77777777" w:rsidR="0004269B" w:rsidRDefault="0004269B" w:rsidP="0004269B">
      <w:pPr>
        <w:jc w:val="both"/>
      </w:pPr>
    </w:p>
    <w:p w14:paraId="59E62D4C" w14:textId="77777777" w:rsidR="0004269B" w:rsidRDefault="0004269B" w:rsidP="0004269B">
      <w:pPr>
        <w:jc w:val="both"/>
        <w:rPr>
          <w:i/>
          <w:color w:val="4472C4" w:themeColor="accent1"/>
        </w:rPr>
      </w:pPr>
      <w:r>
        <w:rPr>
          <w:i/>
          <w:color w:val="4472C4" w:themeColor="accent1"/>
        </w:rPr>
        <w:t>Thank you, we have edited the document accordingly.</w:t>
      </w:r>
    </w:p>
    <w:p w14:paraId="6E64B2D8" w14:textId="77777777" w:rsidR="0004269B" w:rsidRPr="00CF129B" w:rsidRDefault="0004269B" w:rsidP="0004269B">
      <w:pPr>
        <w:jc w:val="both"/>
      </w:pPr>
    </w:p>
    <w:p w14:paraId="282DFA70" w14:textId="77777777" w:rsidR="0004269B" w:rsidRDefault="0004269B" w:rsidP="0004269B">
      <w:pPr>
        <w:jc w:val="both"/>
      </w:pPr>
      <w:r w:rsidRPr="00CF129B">
        <w:t>21. References: Please do not abbreviate journal titles.</w:t>
      </w:r>
    </w:p>
    <w:p w14:paraId="06ED58CF" w14:textId="77777777" w:rsidR="0004269B" w:rsidRDefault="0004269B" w:rsidP="0004269B">
      <w:pPr>
        <w:jc w:val="both"/>
      </w:pPr>
    </w:p>
    <w:p w14:paraId="5A74A090" w14:textId="77777777" w:rsidR="0004269B" w:rsidRDefault="0004269B" w:rsidP="0004269B">
      <w:pPr>
        <w:jc w:val="both"/>
        <w:rPr>
          <w:i/>
          <w:color w:val="4472C4" w:themeColor="accent1"/>
        </w:rPr>
      </w:pPr>
      <w:r>
        <w:rPr>
          <w:i/>
          <w:color w:val="4472C4" w:themeColor="accent1"/>
        </w:rPr>
        <w:t>We have modified the References accordingly. However, in order to generate a references list that fully complies to the guidelines, we originally used Endnote with the JoVE output style (file downloaded from the JoVE website, as indicated in the Instructions) to export our bibliography.</w:t>
      </w:r>
    </w:p>
    <w:p w14:paraId="4740AA53" w14:textId="77777777" w:rsidR="0004269B" w:rsidRPr="00CF129B" w:rsidRDefault="0004269B" w:rsidP="0004269B">
      <w:pPr>
        <w:jc w:val="both"/>
      </w:pPr>
    </w:p>
    <w:p w14:paraId="16D30F37" w14:textId="77777777" w:rsidR="0004269B" w:rsidRDefault="0004269B" w:rsidP="0004269B">
      <w:pPr>
        <w:jc w:val="both"/>
      </w:pPr>
      <w:r w:rsidRPr="00CF129B">
        <w:t>22. Table of Equipment and Materials: Please provide lot numbers and RRIDs of antibodies, if available, and sort the items in alphabetical order according to the name of material/equipment.</w:t>
      </w:r>
    </w:p>
    <w:p w14:paraId="39FB7B63" w14:textId="77777777" w:rsidR="0004269B" w:rsidRPr="00CF129B" w:rsidRDefault="0004269B" w:rsidP="0004269B">
      <w:pPr>
        <w:jc w:val="both"/>
      </w:pPr>
    </w:p>
    <w:p w14:paraId="7FB94699" w14:textId="77777777" w:rsidR="0004269B" w:rsidRPr="00CF129B" w:rsidRDefault="0004269B" w:rsidP="0004269B">
      <w:pPr>
        <w:jc w:val="both"/>
      </w:pPr>
      <w:r>
        <w:rPr>
          <w:i/>
          <w:color w:val="4472C4" w:themeColor="accent1"/>
        </w:rPr>
        <w:t>Thank you, we have revised the table accordingly.</w:t>
      </w:r>
    </w:p>
    <w:p w14:paraId="01D66049" w14:textId="77777777" w:rsidR="0004269B" w:rsidRPr="00CF129B" w:rsidRDefault="0004269B" w:rsidP="0004269B">
      <w:pPr>
        <w:jc w:val="both"/>
        <w:rPr>
          <w:b/>
        </w:rPr>
      </w:pPr>
      <w:r w:rsidRPr="00CF129B">
        <w:rPr>
          <w:b/>
        </w:rPr>
        <w:lastRenderedPageBreak/>
        <w:t>Reviewers' comments:</w:t>
      </w:r>
    </w:p>
    <w:p w14:paraId="18387802" w14:textId="77777777" w:rsidR="0004269B" w:rsidRPr="007B71E9" w:rsidRDefault="0004269B" w:rsidP="0004269B">
      <w:pPr>
        <w:jc w:val="both"/>
        <w:rPr>
          <w:b/>
        </w:rPr>
      </w:pPr>
      <w:r w:rsidRPr="007B71E9">
        <w:rPr>
          <w:b/>
        </w:rPr>
        <w:t>Reviewer #1:</w:t>
      </w:r>
    </w:p>
    <w:p w14:paraId="4960B401" w14:textId="77777777" w:rsidR="0004269B" w:rsidRPr="00CF129B" w:rsidRDefault="0004269B" w:rsidP="0004269B">
      <w:pPr>
        <w:jc w:val="both"/>
      </w:pPr>
    </w:p>
    <w:p w14:paraId="1DE65B97" w14:textId="77777777" w:rsidR="0004269B" w:rsidRPr="00CF129B" w:rsidRDefault="0004269B" w:rsidP="0004269B">
      <w:pPr>
        <w:jc w:val="both"/>
      </w:pPr>
      <w:r w:rsidRPr="00CF129B">
        <w:t>Manuscript Summary:</w:t>
      </w:r>
    </w:p>
    <w:p w14:paraId="29545F70" w14:textId="77777777" w:rsidR="0004269B" w:rsidRDefault="0004269B" w:rsidP="0004269B">
      <w:pPr>
        <w:jc w:val="both"/>
      </w:pPr>
      <w:r w:rsidRPr="00CF129B">
        <w:t>Le Joncour et al describe a methodology for establishing an in vitro model of the blood-brain barrier and the blood-tumor barrier in glioblastoma. The overall impression of the paper is okay, and in general, the author describe the methods in a very relevant way. I particularly like the use of patient spheres instead of adherent glioma cells. However, with respect to the validity of the methodology, I think that the authors lack substantial amounts of reflection in both with respect to the representative results, and in the discussion. For example, the use of immortalized cells is a major concern. I therefore recommend the paper for publication after major revision based on the following comments:</w:t>
      </w:r>
    </w:p>
    <w:p w14:paraId="24DE0C47" w14:textId="77777777" w:rsidR="0004269B" w:rsidRPr="00CF129B" w:rsidRDefault="0004269B" w:rsidP="0004269B">
      <w:pPr>
        <w:jc w:val="both"/>
      </w:pPr>
    </w:p>
    <w:p w14:paraId="7589C94B" w14:textId="77777777" w:rsidR="0004269B" w:rsidRDefault="0004269B" w:rsidP="0004269B">
      <w:pPr>
        <w:jc w:val="both"/>
      </w:pPr>
      <w:r w:rsidRPr="00CF129B">
        <w:t>1. The bEnd.3 cell line is a notorious poor model of the BBB. It lacks several receptor systems, it has lost most of its capacity to polarize in a relevant way, and it is known to grow in layers. The leading groups of the in vitro BBB (including Maria Deli lab, Birger Brodin lab, and Eric Shusta lab) regard the bEnd.3 cells completely irrelevant for BBB studies. What was the reasoning behind this choice?</w:t>
      </w:r>
    </w:p>
    <w:p w14:paraId="41FC49B7" w14:textId="77777777" w:rsidR="0004269B" w:rsidRPr="00CF129B" w:rsidRDefault="0004269B" w:rsidP="0004269B">
      <w:pPr>
        <w:jc w:val="both"/>
      </w:pPr>
    </w:p>
    <w:p w14:paraId="06A4DAE9" w14:textId="77777777" w:rsidR="0004269B" w:rsidRPr="00CF129B" w:rsidRDefault="0004269B" w:rsidP="0004269B">
      <w:pPr>
        <w:jc w:val="both"/>
        <w:rPr>
          <w:color w:val="2F5496" w:themeColor="accent1" w:themeShade="BF"/>
        </w:rPr>
      </w:pPr>
      <w:r w:rsidRPr="00CF129B">
        <w:rPr>
          <w:color w:val="2F5496" w:themeColor="accent1" w:themeShade="BF"/>
        </w:rPr>
        <w:t xml:space="preserve">We are very grateful for the reviewer’s very thorough and constructive review of our manuscript. </w:t>
      </w:r>
    </w:p>
    <w:p w14:paraId="7D6EBF8F" w14:textId="77777777" w:rsidR="0004269B" w:rsidRPr="00CF129B" w:rsidRDefault="0004269B" w:rsidP="0004269B">
      <w:pPr>
        <w:jc w:val="both"/>
        <w:rPr>
          <w:color w:val="2F5496" w:themeColor="accent1" w:themeShade="BF"/>
        </w:rPr>
      </w:pPr>
      <w:r w:rsidRPr="00CF129B">
        <w:rPr>
          <w:color w:val="2F5496" w:themeColor="accent1" w:themeShade="BF"/>
        </w:rPr>
        <w:t xml:space="preserve">We are aware of the criticism often generated by the use of immortalized cell lines and therefore, in the manuscript’s discussion, we enumerated the main pros and cons of considering these cells to generate an </w:t>
      </w:r>
      <w:r w:rsidRPr="00CF129B">
        <w:rPr>
          <w:i/>
          <w:color w:val="2F5496" w:themeColor="accent1" w:themeShade="BF"/>
        </w:rPr>
        <w:t>in vitro</w:t>
      </w:r>
      <w:r w:rsidRPr="00CF129B">
        <w:rPr>
          <w:color w:val="2F5496" w:themeColor="accent1" w:themeShade="BF"/>
        </w:rPr>
        <w:t xml:space="preserve"> blood-brain tumor-barrier (BBTB). It seems that the discussion in its current form fails to highlight the advantages and to provide a critical aspect on the chosen models for the readers. Therefore, we have now revised the discussion to take into account the comments and the literature that the reviewer suggested to improve the reading.</w:t>
      </w:r>
    </w:p>
    <w:p w14:paraId="1CB7C384" w14:textId="77777777" w:rsidR="0004269B" w:rsidRPr="00CF129B" w:rsidRDefault="0004269B" w:rsidP="0004269B">
      <w:pPr>
        <w:jc w:val="both"/>
        <w:rPr>
          <w:color w:val="2F5496" w:themeColor="accent1" w:themeShade="BF"/>
        </w:rPr>
      </w:pPr>
      <w:r w:rsidRPr="00CF129B">
        <w:rPr>
          <w:color w:val="2F5496" w:themeColor="accent1" w:themeShade="BF"/>
        </w:rPr>
        <w:t xml:space="preserve">In the revised manuscript, justification for using immortalized cells of mouse and human origins (questions raised in 1., 2., and 7.), are given in the lines 33 to 42 in the Abstract, in the lines 69 to 97 in the Introduction and in the lines 615 to 630 in the Discussion. </w:t>
      </w:r>
    </w:p>
    <w:p w14:paraId="50D46E74" w14:textId="77777777" w:rsidR="0004269B" w:rsidRPr="00CF129B" w:rsidRDefault="0004269B" w:rsidP="0004269B">
      <w:pPr>
        <w:jc w:val="both"/>
        <w:rPr>
          <w:color w:val="2F5496" w:themeColor="accent1" w:themeShade="BF"/>
        </w:rPr>
      </w:pPr>
      <w:bookmarkStart w:id="1" w:name="_Hlk534357421"/>
      <w:r w:rsidRPr="00CF129B">
        <w:rPr>
          <w:color w:val="2F5496" w:themeColor="accent1" w:themeShade="BF"/>
        </w:rPr>
        <w:t xml:space="preserve">The principal reason for avoiding primary cells is to prevent the use of laboratory animals, which are the main source for the isolation and establishment of primary murine cultures. In our manuscript, we suggest that studies requiring a preliminary validation step; </w:t>
      </w:r>
      <w:r w:rsidRPr="00CF129B">
        <w:rPr>
          <w:i/>
          <w:color w:val="2F5496" w:themeColor="accent1" w:themeShade="BF"/>
        </w:rPr>
        <w:t>e.g.</w:t>
      </w:r>
      <w:r w:rsidRPr="00CF129B">
        <w:rPr>
          <w:color w:val="2F5496" w:themeColor="accent1" w:themeShade="BF"/>
        </w:rPr>
        <w:t xml:space="preserve"> screening of a large library of molecules and/or drugs; could benefit from this </w:t>
      </w:r>
      <w:r w:rsidRPr="00CF129B">
        <w:rPr>
          <w:i/>
          <w:color w:val="2F5496" w:themeColor="accent1" w:themeShade="BF"/>
        </w:rPr>
        <w:t xml:space="preserve">in vitro </w:t>
      </w:r>
      <w:r w:rsidRPr="00CF129B">
        <w:rPr>
          <w:color w:val="2F5496" w:themeColor="accent1" w:themeShade="BF"/>
        </w:rPr>
        <w:t xml:space="preserve">methodology. Our model’s strength lies in its firm compliance with the 3Rs, especially the </w:t>
      </w:r>
      <w:r w:rsidRPr="00CF129B">
        <w:rPr>
          <w:i/>
          <w:color w:val="2F5496" w:themeColor="accent1" w:themeShade="BF"/>
        </w:rPr>
        <w:t xml:space="preserve">reduce </w:t>
      </w:r>
      <w:r w:rsidRPr="00CF129B">
        <w:rPr>
          <w:color w:val="2F5496" w:themeColor="accent1" w:themeShade="BF"/>
        </w:rPr>
        <w:t xml:space="preserve">and </w:t>
      </w:r>
      <w:r w:rsidRPr="00CF129B">
        <w:rPr>
          <w:i/>
          <w:color w:val="2F5496" w:themeColor="accent1" w:themeShade="BF"/>
        </w:rPr>
        <w:t xml:space="preserve">replace </w:t>
      </w:r>
      <w:r w:rsidRPr="00CF129B">
        <w:rPr>
          <w:color w:val="2F5496" w:themeColor="accent1" w:themeShade="BF"/>
        </w:rPr>
        <w:t xml:space="preserve">aspects, by ruling out compounds, which are unable to cross this artificial barrier and ultimately save a significant number of animals used for the preclinical investigations. </w:t>
      </w:r>
    </w:p>
    <w:p w14:paraId="009E2745" w14:textId="77777777" w:rsidR="0004269B" w:rsidRPr="00CF129B" w:rsidRDefault="0004269B" w:rsidP="0004269B">
      <w:pPr>
        <w:jc w:val="both"/>
        <w:rPr>
          <w:color w:val="2F5496" w:themeColor="accent1" w:themeShade="BF"/>
        </w:rPr>
      </w:pPr>
      <w:r w:rsidRPr="00CF129B">
        <w:rPr>
          <w:color w:val="2F5496" w:themeColor="accent1" w:themeShade="BF"/>
        </w:rPr>
        <w:t xml:space="preserve">This proposition is supported by our findings obtained in the cocultures and confirmed later on </w:t>
      </w:r>
      <w:r w:rsidRPr="00CF129B">
        <w:rPr>
          <w:i/>
          <w:color w:val="2F5496" w:themeColor="accent1" w:themeShade="BF"/>
        </w:rPr>
        <w:t xml:space="preserve">in vivo </w:t>
      </w:r>
      <w:r w:rsidRPr="00CF129B">
        <w:rPr>
          <w:color w:val="2F5496" w:themeColor="accent1" w:themeShade="BF"/>
        </w:rPr>
        <w:t xml:space="preserve">when measuring the passive diffusion of a 376 Da sodium fluorescein. It is also inspired from our own experience with the functionalized nanoparticles briefly introduced in the manuscript </w:t>
      </w:r>
      <w:bookmarkEnd w:id="1"/>
      <w:r w:rsidRPr="00CF129B">
        <w:rPr>
          <w:color w:val="2F5496" w:themeColor="accent1" w:themeShade="BF"/>
        </w:rPr>
        <w:t xml:space="preserve">and will be further addressed in our answers to the questions 3., 4., 5. and 6 of the same reviewer. </w:t>
      </w:r>
    </w:p>
    <w:p w14:paraId="4E552E59" w14:textId="77777777" w:rsidR="0004269B" w:rsidRPr="00CF129B" w:rsidRDefault="0004269B" w:rsidP="0004269B">
      <w:pPr>
        <w:jc w:val="both"/>
        <w:rPr>
          <w:color w:val="2F5496" w:themeColor="accent1" w:themeShade="BF"/>
        </w:rPr>
      </w:pPr>
      <w:r w:rsidRPr="00CF129B">
        <w:rPr>
          <w:color w:val="2F5496" w:themeColor="accent1" w:themeShade="BF"/>
        </w:rPr>
        <w:t xml:space="preserve">Other non-exhaustive and valid reasons for the use of commercially available immortalized cells are: </w:t>
      </w:r>
    </w:p>
    <w:p w14:paraId="34DFF396" w14:textId="77777777" w:rsidR="0004269B" w:rsidRPr="00CF129B" w:rsidRDefault="0004269B" w:rsidP="0004269B">
      <w:pPr>
        <w:pStyle w:val="Paragraphedeliste"/>
        <w:numPr>
          <w:ilvl w:val="0"/>
          <w:numId w:val="1"/>
        </w:numPr>
        <w:tabs>
          <w:tab w:val="clear" w:pos="1304"/>
          <w:tab w:val="clear" w:pos="2608"/>
          <w:tab w:val="clear" w:pos="3912"/>
        </w:tabs>
        <w:spacing w:after="160" w:line="259" w:lineRule="auto"/>
        <w:jc w:val="both"/>
        <w:rPr>
          <w:color w:val="2F5496" w:themeColor="accent1" w:themeShade="BF"/>
        </w:rPr>
      </w:pPr>
      <w:r w:rsidRPr="00CF129B">
        <w:rPr>
          <w:color w:val="2F5496" w:themeColor="accent1" w:themeShade="BF"/>
        </w:rPr>
        <w:t xml:space="preserve">Reproducibility: The </w:t>
      </w:r>
      <w:r w:rsidRPr="00CF129B">
        <w:rPr>
          <w:i/>
          <w:color w:val="2F5496" w:themeColor="accent1" w:themeShade="BF"/>
        </w:rPr>
        <w:t>ease-of-access</w:t>
      </w:r>
      <w:r w:rsidRPr="00CF129B">
        <w:rPr>
          <w:color w:val="2F5496" w:themeColor="accent1" w:themeShade="BF"/>
        </w:rPr>
        <w:t xml:space="preserve"> as exact clones of the immortalized endothelial cells and astrocytes used in the manuscript can be purchased, without restrictions, from international retailers. As opposed to the primary cell culture, they do not require a specific license to be obtained and used.</w:t>
      </w:r>
    </w:p>
    <w:p w14:paraId="0E908BF9" w14:textId="77777777" w:rsidR="0004269B" w:rsidRPr="00CF129B" w:rsidRDefault="0004269B" w:rsidP="0004269B">
      <w:pPr>
        <w:pStyle w:val="Paragraphedeliste"/>
        <w:numPr>
          <w:ilvl w:val="0"/>
          <w:numId w:val="1"/>
        </w:numPr>
        <w:tabs>
          <w:tab w:val="clear" w:pos="1304"/>
          <w:tab w:val="clear" w:pos="2608"/>
          <w:tab w:val="clear" w:pos="3912"/>
        </w:tabs>
        <w:spacing w:after="160" w:line="259" w:lineRule="auto"/>
        <w:jc w:val="both"/>
        <w:rPr>
          <w:color w:val="2F5496" w:themeColor="accent1" w:themeShade="BF"/>
        </w:rPr>
      </w:pPr>
      <w:r w:rsidRPr="00CF129B">
        <w:rPr>
          <w:color w:val="2F5496" w:themeColor="accent1" w:themeShade="BF"/>
        </w:rPr>
        <w:t xml:space="preserve">The </w:t>
      </w:r>
      <w:r w:rsidRPr="00CF129B">
        <w:rPr>
          <w:i/>
          <w:color w:val="2F5496" w:themeColor="accent1" w:themeShade="BF"/>
        </w:rPr>
        <w:t>ease-of-use</w:t>
      </w:r>
      <w:r w:rsidRPr="00CF129B">
        <w:rPr>
          <w:color w:val="2F5496" w:themeColor="accent1" w:themeShade="BF"/>
        </w:rPr>
        <w:t xml:space="preserve"> for the general cell maintenance and production. Immortalized cells can proliferate robustly under rigorously controlled conditions, which ensures high scalability and reproducibility. These are important factors to consider when planning large studies (</w:t>
      </w:r>
      <w:r w:rsidRPr="00CF129B">
        <w:rPr>
          <w:i/>
          <w:color w:val="2F5496" w:themeColor="accent1" w:themeShade="BF"/>
        </w:rPr>
        <w:t>e.g.</w:t>
      </w:r>
      <w:r w:rsidRPr="00CF129B">
        <w:rPr>
          <w:color w:val="2F5496" w:themeColor="accent1" w:themeShade="BF"/>
        </w:rPr>
        <w:t xml:space="preserve"> drug library screening) with a satisfactory number of replicates. </w:t>
      </w:r>
      <w:r w:rsidRPr="00CF129B">
        <w:rPr>
          <w:color w:val="2F5496" w:themeColor="accent1" w:themeShade="BF"/>
        </w:rPr>
        <w:lastRenderedPageBreak/>
        <w:t>Moreover, the normalized cell culture conditions have, in our opinion, an important role to play in the intra- and inter-laboratory reproducibility. Despite its undeniable quality as a model, primary cell culture production is submitted to variations related, for instance, to the animal genotype and maintenance (age, gender, strain, housing conditions) or the researcher’s skill for reproducible cell isolation from the cerebral tissue. According to our experience with the isolation of neonatal rat cortical astrocytes or patient glioma and glioma-associated cells, it is very likely that these parameters will influence the final number of isolated cells and their overall quality. While rat and mouse brains are easier to obtain, the generally low yield of endothelial cells from these species represents an obstacle for the routine use of murine endothelial cell models.</w:t>
      </w:r>
    </w:p>
    <w:p w14:paraId="5A569810" w14:textId="77777777" w:rsidR="0004269B" w:rsidRPr="00CF129B" w:rsidRDefault="0004269B" w:rsidP="0004269B">
      <w:pPr>
        <w:pStyle w:val="Paragraphedeliste"/>
        <w:numPr>
          <w:ilvl w:val="0"/>
          <w:numId w:val="1"/>
        </w:numPr>
        <w:tabs>
          <w:tab w:val="clear" w:pos="1304"/>
          <w:tab w:val="clear" w:pos="2608"/>
          <w:tab w:val="clear" w:pos="3912"/>
        </w:tabs>
        <w:spacing w:after="160" w:line="259" w:lineRule="auto"/>
        <w:jc w:val="both"/>
        <w:rPr>
          <w:color w:val="2F5496" w:themeColor="accent1" w:themeShade="BF"/>
        </w:rPr>
      </w:pPr>
      <w:r w:rsidRPr="00CF129B">
        <w:rPr>
          <w:color w:val="2F5496" w:themeColor="accent1" w:themeShade="BF"/>
        </w:rPr>
        <w:t>The significant number of published studies, conducted in independent laboratories is a great source for the understanding of the cell lines.</w:t>
      </w:r>
      <w:r w:rsidRPr="00CF129B">
        <w:rPr>
          <w:i/>
          <w:color w:val="2F5496" w:themeColor="accent1" w:themeShade="BF"/>
        </w:rPr>
        <w:t xml:space="preserve">  </w:t>
      </w:r>
      <w:r w:rsidRPr="00CF129B">
        <w:rPr>
          <w:color w:val="2F5496" w:themeColor="accent1" w:themeShade="BF"/>
        </w:rPr>
        <w:t xml:space="preserve"> Considering the bEND3 cell line, data on the expression of key receptors and transporters (LRP-1, Glut-1, TFR, etc.), expression profile of tight junction proteins, and permeability values are reported in at least 21 published papers. This has a real value for internal troubleshooting and also for putting one’s results in perspective with the literature.</w:t>
      </w:r>
    </w:p>
    <w:p w14:paraId="47147807" w14:textId="77777777" w:rsidR="0004269B" w:rsidRPr="00CF129B" w:rsidRDefault="0004269B" w:rsidP="0004269B">
      <w:pPr>
        <w:pStyle w:val="Paragraphedeliste"/>
        <w:ind w:left="1080"/>
        <w:jc w:val="both"/>
      </w:pPr>
    </w:p>
    <w:p w14:paraId="774D72B1" w14:textId="77777777" w:rsidR="0004269B" w:rsidRDefault="0004269B" w:rsidP="0004269B">
      <w:pPr>
        <w:jc w:val="both"/>
        <w:rPr>
          <w:i/>
        </w:rPr>
      </w:pPr>
      <w:r w:rsidRPr="00CF129B">
        <w:t>In order to discuss their finding more in detail, I would suggest to read Helms et al. (2016)(PMID: 26868179). This would give the reader the impression that the methods of this current paper were actually critically discussed</w:t>
      </w:r>
      <w:r w:rsidRPr="00CF129B">
        <w:rPr>
          <w:i/>
        </w:rPr>
        <w:t>.</w:t>
      </w:r>
    </w:p>
    <w:p w14:paraId="7135DB72" w14:textId="77777777" w:rsidR="0004269B" w:rsidRPr="00CF129B" w:rsidRDefault="0004269B" w:rsidP="0004269B">
      <w:pPr>
        <w:jc w:val="both"/>
        <w:rPr>
          <w:i/>
        </w:rPr>
      </w:pPr>
    </w:p>
    <w:p w14:paraId="3A309B07" w14:textId="77777777" w:rsidR="0004269B" w:rsidRPr="00CF129B" w:rsidRDefault="0004269B" w:rsidP="0004269B">
      <w:pPr>
        <w:jc w:val="both"/>
        <w:rPr>
          <w:color w:val="2F5496" w:themeColor="accent1" w:themeShade="BF"/>
        </w:rPr>
      </w:pPr>
      <w:r w:rsidRPr="00CF129B">
        <w:rPr>
          <w:color w:val="2F5496" w:themeColor="accent1" w:themeShade="BF"/>
        </w:rPr>
        <w:t xml:space="preserve">Concerning the choice of the bEND3 cell line, we share the Deli, Brodin and Shusta labs’ opinion on the fact that used alone, as a monoculture, bEND3 represents a very limited model of cellular barrier, especially for studies focusing on the BBB. However, this is also true for any model based on monocultures of brain endothelial cells, primary or immortalized. In the review paper by Helms </w:t>
      </w:r>
      <w:r w:rsidRPr="00CF129B">
        <w:rPr>
          <w:i/>
          <w:color w:val="2F5496" w:themeColor="accent1" w:themeShade="BF"/>
        </w:rPr>
        <w:t>et al.</w:t>
      </w:r>
      <w:r w:rsidRPr="00CF129B">
        <w:rPr>
          <w:color w:val="2F5496" w:themeColor="accent1" w:themeShade="BF"/>
        </w:rPr>
        <w:t xml:space="preserve"> , comparison is made using the two other well-known murine brain endothelial cell lines, cEND and cereBEND. Despite their undeniable qualities such as higher TEER values compared to the bEND3 when mono-cultured in Transwells, they both are immortalized cell lines that, with inadequate care, can grow in layers similar to the bEND3 line (illustrated by the micrographs of highly confluent, early cell passages in Burek, Salvador and Förster, 2012, PMID 22951995). Moreover, it has been shown that cereBEND cells display increased barrier performance when co-cultured with rat gli</w:t>
      </w:r>
      <w:r>
        <w:rPr>
          <w:color w:val="2F5496" w:themeColor="accent1" w:themeShade="BF"/>
        </w:rPr>
        <w:t>al</w:t>
      </w:r>
      <w:r w:rsidRPr="00CF129B">
        <w:rPr>
          <w:color w:val="2F5496" w:themeColor="accent1" w:themeShade="BF"/>
        </w:rPr>
        <w:t xml:space="preserve"> cells</w:t>
      </w:r>
      <w:r>
        <w:rPr>
          <w:color w:val="2F5496" w:themeColor="accent1" w:themeShade="BF"/>
        </w:rPr>
        <w:t xml:space="preserve"> (the C6 glioma cell line)</w:t>
      </w:r>
      <w:r w:rsidRPr="00CF129B">
        <w:rPr>
          <w:color w:val="2F5496" w:themeColor="accent1" w:themeShade="BF"/>
        </w:rPr>
        <w:t xml:space="preserve">, measured by higher TEER compared to the cereBEND monocultures (Neuhaus </w:t>
      </w:r>
      <w:r w:rsidRPr="00CF129B">
        <w:rPr>
          <w:i/>
          <w:color w:val="2F5496" w:themeColor="accent1" w:themeShade="BF"/>
        </w:rPr>
        <w:t xml:space="preserve">et al. </w:t>
      </w:r>
      <w:r w:rsidRPr="00CF129B">
        <w:rPr>
          <w:color w:val="2F5496" w:themeColor="accent1" w:themeShade="BF"/>
        </w:rPr>
        <w:t xml:space="preserve">2015 PMID 25389390). Our data show a very comparable trend with the bEND3 cells, and similar to results shown in Neuhaus et al., support the global consensus that the presence of astrocytes is quintessential to the endothelial cell polarization and barrier formation </w:t>
      </w:r>
      <w:r w:rsidRPr="00CF129B">
        <w:rPr>
          <w:i/>
          <w:color w:val="2F5496" w:themeColor="accent1" w:themeShade="BF"/>
        </w:rPr>
        <w:t>in vitro</w:t>
      </w:r>
      <w:r w:rsidRPr="00CF129B">
        <w:rPr>
          <w:color w:val="2F5496" w:themeColor="accent1" w:themeShade="BF"/>
        </w:rPr>
        <w:t>.</w:t>
      </w:r>
    </w:p>
    <w:p w14:paraId="75B823B2" w14:textId="77777777" w:rsidR="0004269B" w:rsidRDefault="0004269B" w:rsidP="0004269B">
      <w:pPr>
        <w:jc w:val="both"/>
        <w:rPr>
          <w:color w:val="2F5496" w:themeColor="accent1" w:themeShade="BF"/>
        </w:rPr>
      </w:pPr>
      <w:r w:rsidRPr="00CF129B">
        <w:rPr>
          <w:color w:val="2F5496" w:themeColor="accent1" w:themeShade="BF"/>
        </w:rPr>
        <w:t xml:space="preserve">Obviously, use of bEND3 or any other cerebral endothelial cell line should be first guided by the scientific question. Expression of key receptors and proteins by cerebral endothelial cells (or any other cells) </w:t>
      </w:r>
      <w:r w:rsidRPr="00CF129B">
        <w:rPr>
          <w:i/>
          <w:color w:val="2F5496" w:themeColor="accent1" w:themeShade="BF"/>
        </w:rPr>
        <w:t xml:space="preserve">in vivo </w:t>
      </w:r>
      <w:r w:rsidRPr="00CF129B">
        <w:rPr>
          <w:color w:val="2F5496" w:themeColor="accent1" w:themeShade="BF"/>
        </w:rPr>
        <w:t xml:space="preserve">might not be maintained </w:t>
      </w:r>
      <w:r w:rsidRPr="00CF129B">
        <w:rPr>
          <w:i/>
          <w:color w:val="2F5496" w:themeColor="accent1" w:themeShade="BF"/>
        </w:rPr>
        <w:t>in vitro</w:t>
      </w:r>
      <w:r w:rsidRPr="00CF129B">
        <w:rPr>
          <w:color w:val="2F5496" w:themeColor="accent1" w:themeShade="BF"/>
        </w:rPr>
        <w:t>, regardless of the primary or immortalized status of the cells. It is at the researcher’s discretion to control these parameters beforehand. In fact, even recently, bEND3 barriers have been used in studies of membrane receptor-mediated endothelial permeability (Cao et al., 2019 PMID 30290210).</w:t>
      </w:r>
    </w:p>
    <w:p w14:paraId="343E60CC" w14:textId="77777777" w:rsidR="0004269B" w:rsidRPr="00CF129B" w:rsidRDefault="0004269B" w:rsidP="0004269B">
      <w:pPr>
        <w:jc w:val="both"/>
        <w:rPr>
          <w:color w:val="2F5496" w:themeColor="accent1" w:themeShade="BF"/>
        </w:rPr>
      </w:pPr>
    </w:p>
    <w:p w14:paraId="581432C5" w14:textId="77777777" w:rsidR="0004269B" w:rsidRDefault="0004269B" w:rsidP="0004269B">
      <w:pPr>
        <w:jc w:val="both"/>
      </w:pPr>
      <w:r w:rsidRPr="00CF129B">
        <w:t xml:space="preserve">2. Figure 1: Both the ZO-1 and Claudin-5 stainings look really messy, and do not at all resemble a proper in vitro BBB, as we know it from models derived from primary cells. Furthermore, there are clearly big gaps in the monolayer. What are the authors' comments to these issues? Do they believe that they have a good model of the BBB? </w:t>
      </w:r>
    </w:p>
    <w:p w14:paraId="19ECA668" w14:textId="77777777" w:rsidR="0004269B" w:rsidRPr="00CF129B" w:rsidRDefault="0004269B" w:rsidP="0004269B">
      <w:pPr>
        <w:jc w:val="both"/>
      </w:pPr>
    </w:p>
    <w:p w14:paraId="26B89A68" w14:textId="77777777" w:rsidR="0004269B" w:rsidRPr="00CF129B" w:rsidRDefault="0004269B" w:rsidP="0004269B">
      <w:pPr>
        <w:jc w:val="both"/>
        <w:rPr>
          <w:color w:val="2F5496" w:themeColor="accent1" w:themeShade="BF"/>
        </w:rPr>
      </w:pPr>
      <w:r w:rsidRPr="00CF129B">
        <w:rPr>
          <w:color w:val="2F5496" w:themeColor="accent1" w:themeShade="BF"/>
        </w:rPr>
        <w:t xml:space="preserve">It is not clear to us what the reviewer refers to by “really messy”. If it concerns the micrographs in the left column, it shows the typical distribution of ZO-1 and Claudin-5 proteins in the bEND3 </w:t>
      </w:r>
      <w:r w:rsidRPr="00CF129B">
        <w:rPr>
          <w:color w:val="2F5496" w:themeColor="accent1" w:themeShade="BF"/>
        </w:rPr>
        <w:lastRenderedPageBreak/>
        <w:t xml:space="preserve">monocultures. In the absence of astrocytes, these two proteins are poorly distributed and mostly absent from the cell membrane junctions, as illustrated in many previously published studies, we would kindly refer the reviewer to e.g. Brown </w:t>
      </w:r>
      <w:r w:rsidRPr="00CF129B">
        <w:rPr>
          <w:i/>
          <w:color w:val="2F5496" w:themeColor="accent1" w:themeShade="BF"/>
        </w:rPr>
        <w:t>et al.</w:t>
      </w:r>
      <w:r w:rsidRPr="00CF129B">
        <w:rPr>
          <w:color w:val="2F5496" w:themeColor="accent1" w:themeShade="BF"/>
        </w:rPr>
        <w:t xml:space="preserve">, 2007 (PMID 17169347) or Yang </w:t>
      </w:r>
      <w:r w:rsidRPr="00CF129B">
        <w:rPr>
          <w:i/>
          <w:color w:val="2F5496" w:themeColor="accent1" w:themeShade="BF"/>
        </w:rPr>
        <w:t>et al.</w:t>
      </w:r>
      <w:r w:rsidRPr="00CF129B">
        <w:rPr>
          <w:color w:val="2F5496" w:themeColor="accent1" w:themeShade="BF"/>
        </w:rPr>
        <w:t>, 2017 (PMID 29059256).</w:t>
      </w:r>
    </w:p>
    <w:p w14:paraId="13084B38" w14:textId="77777777" w:rsidR="0004269B" w:rsidRPr="00CF129B" w:rsidRDefault="0004269B" w:rsidP="0004269B">
      <w:pPr>
        <w:jc w:val="both"/>
        <w:rPr>
          <w:color w:val="2F5496" w:themeColor="accent1" w:themeShade="BF"/>
        </w:rPr>
      </w:pPr>
      <w:r w:rsidRPr="00CF129B">
        <w:rPr>
          <w:color w:val="2F5496" w:themeColor="accent1" w:themeShade="BF"/>
        </w:rPr>
        <w:t xml:space="preserve">However, if “really messy” qualifies for the micrographs presented in the right column, our data is fully comparable with the staining pattern described for instance in the recent publications from the Shusta lab (PMIDs </w:t>
      </w:r>
      <w:bookmarkStart w:id="2" w:name="_Hlk534356500"/>
      <w:r w:rsidRPr="00CF129B">
        <w:rPr>
          <w:color w:val="2F5496" w:themeColor="accent1" w:themeShade="BF"/>
        </w:rPr>
        <w:t xml:space="preserve">26518252,  27935037) </w:t>
      </w:r>
      <w:bookmarkEnd w:id="2"/>
      <w:r w:rsidRPr="00CF129B">
        <w:rPr>
          <w:color w:val="2F5496" w:themeColor="accent1" w:themeShade="BF"/>
        </w:rPr>
        <w:t xml:space="preserve">obtained in one of the </w:t>
      </w:r>
      <w:r w:rsidRPr="00CF129B">
        <w:rPr>
          <w:i/>
          <w:color w:val="2F5496" w:themeColor="accent1" w:themeShade="BF"/>
        </w:rPr>
        <w:t xml:space="preserve">in vitro </w:t>
      </w:r>
      <w:r w:rsidRPr="00CF129B">
        <w:rPr>
          <w:color w:val="2F5496" w:themeColor="accent1" w:themeShade="BF"/>
        </w:rPr>
        <w:t>models that is referred to as a reference of a proper BBB.</w:t>
      </w:r>
    </w:p>
    <w:p w14:paraId="403A691A" w14:textId="77777777" w:rsidR="0004269B" w:rsidRDefault="0004269B" w:rsidP="0004269B">
      <w:pPr>
        <w:jc w:val="both"/>
        <w:rPr>
          <w:color w:val="2F5496" w:themeColor="accent1" w:themeShade="BF"/>
        </w:rPr>
      </w:pPr>
      <w:r w:rsidRPr="00CF129B">
        <w:rPr>
          <w:color w:val="2F5496" w:themeColor="accent1" w:themeShade="BF"/>
        </w:rPr>
        <w:t xml:space="preserve">There are indeed big gaps in our immunofluorescence samples, essentially due to the fixation method and the membrane cutting step that inevitably exerts a physical stress on the barrier. Replacing 4% PFA with ice cold, 1:1 Acetone/Methanol solution greatly diminishes the number of gaps but is unfortunately incompatible with the ZO-1 and Claudin-5 immunofluorescence protocols. Moreover, eosin and hematoxylin stains of Acetone/methanol fixed </w:t>
      </w:r>
      <w:r>
        <w:rPr>
          <w:color w:val="2F5496" w:themeColor="accent1" w:themeShade="BF"/>
        </w:rPr>
        <w:t>cells on</w:t>
      </w:r>
      <w:r w:rsidRPr="00CF129B">
        <w:rPr>
          <w:color w:val="2F5496" w:themeColor="accent1" w:themeShade="BF"/>
        </w:rPr>
        <w:t xml:space="preserve"> uncut membranes reveals a continuous cell layer on the endothelial side of the Transwells. </w:t>
      </w:r>
    </w:p>
    <w:p w14:paraId="1BDEE868" w14:textId="77777777" w:rsidR="0004269B" w:rsidRDefault="0004269B" w:rsidP="0004269B">
      <w:pPr>
        <w:jc w:val="both"/>
        <w:rPr>
          <w:color w:val="2F5496" w:themeColor="accent1" w:themeShade="BF"/>
        </w:rPr>
      </w:pPr>
      <w:r w:rsidRPr="00CF129B">
        <w:rPr>
          <w:color w:val="2F5496" w:themeColor="accent1" w:themeShade="BF"/>
        </w:rPr>
        <w:t>In summary, we think that our model represents a convincing barrier as the permeability values obtained with the passive diffusion of the Sodium Fluorescein are rather low and shows the actual raw performance of the model.</w:t>
      </w:r>
    </w:p>
    <w:p w14:paraId="5186AF14" w14:textId="77777777" w:rsidR="0004269B" w:rsidRPr="00CF129B" w:rsidRDefault="0004269B" w:rsidP="0004269B">
      <w:pPr>
        <w:jc w:val="both"/>
      </w:pPr>
    </w:p>
    <w:p w14:paraId="36F76F2D" w14:textId="77777777" w:rsidR="0004269B" w:rsidRDefault="0004269B" w:rsidP="0004269B">
      <w:pPr>
        <w:jc w:val="both"/>
      </w:pPr>
      <w:r w:rsidRPr="00CF129B">
        <w:t>And for the same figure: Why also use immortalized astrocytes? It is a good ten years since this setup was deemed a realistic representation of the BBB.</w:t>
      </w:r>
    </w:p>
    <w:p w14:paraId="4D70F42D" w14:textId="77777777" w:rsidR="0004269B" w:rsidRPr="00CF129B" w:rsidRDefault="0004269B" w:rsidP="0004269B">
      <w:pPr>
        <w:jc w:val="both"/>
      </w:pPr>
    </w:p>
    <w:p w14:paraId="01545298" w14:textId="77777777" w:rsidR="0004269B" w:rsidRDefault="0004269B" w:rsidP="0004269B">
      <w:pPr>
        <w:jc w:val="both"/>
        <w:rPr>
          <w:color w:val="2F5496" w:themeColor="accent1" w:themeShade="BF"/>
        </w:rPr>
      </w:pPr>
      <w:r w:rsidRPr="00CF129B">
        <w:rPr>
          <w:color w:val="2F5496" w:themeColor="accent1" w:themeShade="BF"/>
        </w:rPr>
        <w:t>During the development and validation of the presented model, we tested several co-cultures of cells including mouse primary cortical astrocytes (isolated according to the protocol described in PMID 16942596) and Normal Human Astrocytes from Lonza (Catalog #: CC-2565). We eventually decided to benchmark the immortalized counterparts of these cells that actually showed equal to better performance in the case of the murine HIFko model generated according to the protocol described by Blouw et al., 2002 (ref. 17 in the manuscript). In addition, commercially available normal non-immortalized human astrocytes were used in the humanized model.</w:t>
      </w:r>
    </w:p>
    <w:p w14:paraId="1AF14872" w14:textId="77777777" w:rsidR="0004269B" w:rsidRPr="00CF129B" w:rsidRDefault="0004269B" w:rsidP="0004269B">
      <w:pPr>
        <w:jc w:val="both"/>
        <w:rPr>
          <w:color w:val="2F5496" w:themeColor="accent1" w:themeShade="BF"/>
        </w:rPr>
      </w:pPr>
    </w:p>
    <w:p w14:paraId="3574EBDF" w14:textId="77777777" w:rsidR="0004269B" w:rsidRDefault="0004269B" w:rsidP="0004269B">
      <w:pPr>
        <w:jc w:val="both"/>
      </w:pPr>
      <w:r w:rsidRPr="00CF129B">
        <w:t xml:space="preserve">3. I have done a lot of intravenous injection of fluorescent nanoparticles, and tried to follow their transport into the brain parenchyma with microscopy. However, this was never succesful due to processing artifacts. I presume the brains of this study were PFA fixated, and if so, it is a common observation to find fluorescent dots dispersed in the brain parenchyma. This is an artifact, not transport of the nanoparticles. Furthermore, the best assessments we have on the pore size of the neuropil suggest the maximum to be approximately 60 nm (Thorne 2006, PNAS). How can the nanoparticles of this paper then easily move in the brain parenchyma? </w:t>
      </w:r>
    </w:p>
    <w:p w14:paraId="6189A0AA" w14:textId="77777777" w:rsidR="0004269B" w:rsidRPr="00CF129B" w:rsidRDefault="0004269B" w:rsidP="0004269B">
      <w:pPr>
        <w:jc w:val="both"/>
      </w:pPr>
    </w:p>
    <w:p w14:paraId="77E58966" w14:textId="77777777" w:rsidR="0004269B" w:rsidRPr="00CF129B" w:rsidRDefault="0004269B" w:rsidP="0004269B">
      <w:pPr>
        <w:jc w:val="both"/>
        <w:rPr>
          <w:color w:val="2F5496" w:themeColor="accent1" w:themeShade="BF"/>
        </w:rPr>
      </w:pPr>
      <w:r w:rsidRPr="00CF129B">
        <w:rPr>
          <w:color w:val="2F5496" w:themeColor="accent1" w:themeShade="BF"/>
        </w:rPr>
        <w:t>We would like to thank the reviewer for pointing out the potential experimental artefacts that could be introduced due to fixation methods, we have now revised the Protocol part of the manuscript with additional information to clarify our tissue processing methodology. These informations can be found from the lines to 358 to 426,</w:t>
      </w:r>
      <w:r w:rsidRPr="00CF129B">
        <w:t xml:space="preserve"> </w:t>
      </w:r>
      <w:r w:rsidRPr="00CF129B">
        <w:rPr>
          <w:color w:val="2F5496" w:themeColor="accent1" w:themeShade="BF"/>
        </w:rPr>
        <w:t>section 3.3 “Mouse brain tissue processing for the detection of fluorescent nanoparticles”.</w:t>
      </w:r>
    </w:p>
    <w:p w14:paraId="3BD5009F" w14:textId="77777777" w:rsidR="0004269B" w:rsidRPr="00CF129B" w:rsidRDefault="0004269B" w:rsidP="0004269B">
      <w:pPr>
        <w:jc w:val="both"/>
        <w:rPr>
          <w:color w:val="2F5496" w:themeColor="accent1" w:themeShade="BF"/>
        </w:rPr>
      </w:pPr>
      <w:r w:rsidRPr="00CF129B">
        <w:rPr>
          <w:color w:val="2F5496" w:themeColor="accent1" w:themeShade="BF"/>
        </w:rPr>
        <w:t xml:space="preserve">To summarize, we do not perform PFA fixation of the animals or the collected tissue, instead we rapidly collect the brain and snap-freeze it in -50°C isopentane, known to also “bleach” fluorescent proteins such as the GFP or diminish the autofluorescence from the tissue in general. Frozen brain sections are then cut, and microscope slides are immersed in 4% PFA for 5 to 10 minutes according to the tissue section thickness, before proceeding with the immunofluorescence stainings. </w:t>
      </w:r>
    </w:p>
    <w:p w14:paraId="7585A342" w14:textId="77777777" w:rsidR="0004269B" w:rsidRPr="00CF129B" w:rsidRDefault="0004269B" w:rsidP="0004269B">
      <w:pPr>
        <w:jc w:val="both"/>
        <w:rPr>
          <w:color w:val="2F5496" w:themeColor="accent1" w:themeShade="BF"/>
        </w:rPr>
      </w:pPr>
      <w:r w:rsidRPr="00CF129B">
        <w:rPr>
          <w:color w:val="2F5496" w:themeColor="accent1" w:themeShade="BF"/>
        </w:rPr>
        <w:t>Processed the same way, control animals bearing tumors that did not receive intravenous infusions of the nanoparticles, exhibit absence of artefacts or background autofluorescence in the red-range wavelengths. We are therefore sure that the detected puncta are related to the nanoparticle-conjugated fluorophore.</w:t>
      </w:r>
    </w:p>
    <w:p w14:paraId="22D51077" w14:textId="77777777" w:rsidR="0004269B" w:rsidRPr="00CF129B" w:rsidRDefault="0004269B" w:rsidP="0004269B">
      <w:pPr>
        <w:jc w:val="both"/>
        <w:rPr>
          <w:color w:val="2F5496" w:themeColor="accent1" w:themeShade="BF"/>
        </w:rPr>
      </w:pPr>
      <w:r w:rsidRPr="00CF129B">
        <w:rPr>
          <w:color w:val="2F5496" w:themeColor="accent1" w:themeShade="BF"/>
        </w:rPr>
        <w:lastRenderedPageBreak/>
        <w:t xml:space="preserve">The size of the cerebral intercellular space significantly varies among species and considered brain area, notably due to variations in the astrocyte density for instance. As discussed more recently by Harris et al. (2015, PMID 26347348) in the technical validation part of their manuscript, post-mortem measurements of the neuropil size suffer from the brain tissue fixation and processing. They induce for instance a significant swelling of the astrocytic processes in addition to a size diminution by dehydration of the intercellular space. Reported values in the literature are then complex to translate into the actual </w:t>
      </w:r>
      <w:r w:rsidRPr="00CF129B">
        <w:rPr>
          <w:i/>
          <w:color w:val="2F5496" w:themeColor="accent1" w:themeShade="BF"/>
        </w:rPr>
        <w:t xml:space="preserve">in vivo </w:t>
      </w:r>
      <w:r w:rsidRPr="00CF129B">
        <w:rPr>
          <w:color w:val="2F5496" w:themeColor="accent1" w:themeShade="BF"/>
        </w:rPr>
        <w:t xml:space="preserve">situation, but few studies are reporting pores possibly larger than 200 nm in </w:t>
      </w:r>
      <w:r>
        <w:rPr>
          <w:color w:val="2F5496" w:themeColor="accent1" w:themeShade="BF"/>
        </w:rPr>
        <w:t xml:space="preserve">fresh samples </w:t>
      </w:r>
      <w:r w:rsidRPr="00CF129B">
        <w:rPr>
          <w:color w:val="2F5496" w:themeColor="accent1" w:themeShade="BF"/>
        </w:rPr>
        <w:t xml:space="preserve">both </w:t>
      </w:r>
      <w:r>
        <w:rPr>
          <w:color w:val="2F5496" w:themeColor="accent1" w:themeShade="BF"/>
        </w:rPr>
        <w:t xml:space="preserve">from </w:t>
      </w:r>
      <w:r w:rsidRPr="00CF129B">
        <w:rPr>
          <w:color w:val="2F5496" w:themeColor="accent1" w:themeShade="BF"/>
        </w:rPr>
        <w:t>the human and mouse brains (PMID 22932224).</w:t>
      </w:r>
    </w:p>
    <w:p w14:paraId="62E577E0" w14:textId="77777777" w:rsidR="0004269B" w:rsidRPr="00CF129B" w:rsidRDefault="0004269B" w:rsidP="0004269B">
      <w:pPr>
        <w:jc w:val="both"/>
        <w:rPr>
          <w:color w:val="2F5496" w:themeColor="accent1" w:themeShade="BF"/>
        </w:rPr>
      </w:pPr>
      <w:r w:rsidRPr="00CF129B">
        <w:rPr>
          <w:color w:val="2F5496" w:themeColor="accent1" w:themeShade="BF"/>
        </w:rPr>
        <w:t xml:space="preserve">Nanoparticles are not “moving” in the brain </w:t>
      </w:r>
      <w:r w:rsidRPr="00CF129B">
        <w:rPr>
          <w:i/>
          <w:color w:val="2F5496" w:themeColor="accent1" w:themeShade="BF"/>
        </w:rPr>
        <w:t>per se</w:t>
      </w:r>
      <w:r w:rsidRPr="00CF129B">
        <w:rPr>
          <w:color w:val="2F5496" w:themeColor="accent1" w:themeShade="BF"/>
        </w:rPr>
        <w:t>. PEG residues enhance the transcytosis through the neurovascular unit and possibly the CooP-targeting peptide may act like a cell penetrating peptide (a mechanism we further elaborate in the answer to Q6). Once the nanoparticles reach the brain parenchyma, they are transferred from cell to cell on a relatively limited distance that varies according to the brain structure. However, we show that the nanoparticles accumulate especially around the xenografted gliomas due to the high MDGI expression by the tumor cells at the leading edge. This is allowed both by the functional blood vessel capillaries located in the brain parenchyma surrounding the neoplastic region and the very high MDGI expression by the fleet of invading tumor cells leaving the tumor bulk. Please refer to our answer to Q6 for further information about this biological aspect. In addition, a brief description of how CooP allows the nanoparticle targeting have been added to the Discussion (from the Line 664 to 678).</w:t>
      </w:r>
    </w:p>
    <w:p w14:paraId="1834B3A1" w14:textId="77777777" w:rsidR="0004269B" w:rsidRDefault="0004269B" w:rsidP="0004269B">
      <w:pPr>
        <w:jc w:val="both"/>
        <w:rPr>
          <w:color w:val="2F5496" w:themeColor="accent1" w:themeShade="BF"/>
        </w:rPr>
      </w:pPr>
      <w:r w:rsidRPr="00CF129B">
        <w:rPr>
          <w:i/>
          <w:color w:val="2F5496" w:themeColor="accent1" w:themeShade="BF"/>
        </w:rPr>
        <w:t xml:space="preserve">In vitro </w:t>
      </w:r>
      <w:r w:rsidRPr="00CF129B">
        <w:rPr>
          <w:color w:val="2F5496" w:themeColor="accent1" w:themeShade="BF"/>
        </w:rPr>
        <w:t xml:space="preserve">observations in the artificial BBB shows membrane pits and vesicle formation around the particles (Figure 3A, arrows) in both endothelial and astrocyte cells. The endocytosis is the transcellular transportation mechanism that most likely occurs </w:t>
      </w:r>
      <w:r w:rsidRPr="00CF129B">
        <w:rPr>
          <w:i/>
          <w:color w:val="2F5496" w:themeColor="accent1" w:themeShade="BF"/>
        </w:rPr>
        <w:t>in vivo</w:t>
      </w:r>
      <w:r w:rsidRPr="00CF129B">
        <w:rPr>
          <w:color w:val="2F5496" w:themeColor="accent1" w:themeShade="BF"/>
        </w:rPr>
        <w:t>.</w:t>
      </w:r>
    </w:p>
    <w:p w14:paraId="38DBE681" w14:textId="77777777" w:rsidR="0004269B" w:rsidRPr="00CF129B" w:rsidRDefault="0004269B" w:rsidP="0004269B">
      <w:pPr>
        <w:jc w:val="both"/>
        <w:rPr>
          <w:color w:val="2F5496" w:themeColor="accent1" w:themeShade="BF"/>
        </w:rPr>
      </w:pPr>
    </w:p>
    <w:p w14:paraId="6726B37C" w14:textId="77777777" w:rsidR="0004269B" w:rsidRDefault="0004269B" w:rsidP="0004269B">
      <w:pPr>
        <w:jc w:val="both"/>
      </w:pPr>
      <w:r w:rsidRPr="00CF129B">
        <w:t xml:space="preserve">4. There are no descriptions of how the nanoparticles were produced. The authors claim them to have targeting abilities towards the tumor cells, but what would have then been the driver of the transcytosis process? Non-targeted nanoparticles DO NOT associate with the BBB unless they have a high positive charge. Please clarify the characteristics of the nanoparticles. </w:t>
      </w:r>
    </w:p>
    <w:p w14:paraId="52C086F8" w14:textId="77777777" w:rsidR="0004269B" w:rsidRPr="00CF129B" w:rsidRDefault="0004269B" w:rsidP="0004269B">
      <w:pPr>
        <w:jc w:val="both"/>
      </w:pPr>
    </w:p>
    <w:p w14:paraId="3F06B9A7" w14:textId="77777777" w:rsidR="0004269B" w:rsidRPr="00CF129B" w:rsidRDefault="0004269B" w:rsidP="0004269B">
      <w:pPr>
        <w:jc w:val="both"/>
        <w:rPr>
          <w:color w:val="2F5496" w:themeColor="accent1" w:themeShade="BF"/>
        </w:rPr>
      </w:pPr>
      <w:r w:rsidRPr="00CF129B">
        <w:rPr>
          <w:color w:val="2F5496" w:themeColor="accent1" w:themeShade="BF"/>
        </w:rPr>
        <w:t xml:space="preserve">Description of the nanoparticle nature, production, and functionalization </w:t>
      </w:r>
      <w:r>
        <w:rPr>
          <w:color w:val="2F5496" w:themeColor="accent1" w:themeShade="BF"/>
        </w:rPr>
        <w:t>was</w:t>
      </w:r>
      <w:r w:rsidRPr="00CF129B">
        <w:rPr>
          <w:color w:val="2F5496" w:themeColor="accent1" w:themeShade="BF"/>
        </w:rPr>
        <w:t xml:space="preserve"> presented in the ref. 25 (Paatero et al, 2017 PMID 28827674</w:t>
      </w:r>
      <w:r>
        <w:rPr>
          <w:color w:val="2F5496" w:themeColor="accent1" w:themeShade="BF"/>
        </w:rPr>
        <w:t>, now ref. 33</w:t>
      </w:r>
      <w:r w:rsidRPr="00CF129B">
        <w:rPr>
          <w:color w:val="2F5496" w:themeColor="accent1" w:themeShade="BF"/>
        </w:rPr>
        <w:t xml:space="preserve">). We have now added information and references on the cell internalization (PMID </w:t>
      </w:r>
      <w:bookmarkStart w:id="3" w:name="_Hlk534358308"/>
      <w:r w:rsidRPr="00CF129B">
        <w:rPr>
          <w:color w:val="2F5496" w:themeColor="accent1" w:themeShade="BF"/>
        </w:rPr>
        <w:t>27994460</w:t>
      </w:r>
      <w:bookmarkEnd w:id="3"/>
      <w:r w:rsidRPr="00CF129B">
        <w:rPr>
          <w:color w:val="2F5496" w:themeColor="accent1" w:themeShade="BF"/>
        </w:rPr>
        <w:t xml:space="preserve">) and intravital imaging data of the BBB diffusion (PMID </w:t>
      </w:r>
      <w:bookmarkStart w:id="4" w:name="_Hlk534359155"/>
      <w:r w:rsidRPr="00CF129B">
        <w:rPr>
          <w:color w:val="2F5496" w:themeColor="accent1" w:themeShade="BF"/>
        </w:rPr>
        <w:t>27547955</w:t>
      </w:r>
      <w:bookmarkEnd w:id="4"/>
      <w:r w:rsidRPr="00CF129B">
        <w:rPr>
          <w:color w:val="2F5496" w:themeColor="accent1" w:themeShade="BF"/>
        </w:rPr>
        <w:t xml:space="preserve">) to the revised manuscript. You can find these modifications in the Discussion, from the Line 664 to 678 </w:t>
      </w:r>
    </w:p>
    <w:p w14:paraId="000D022E" w14:textId="77777777" w:rsidR="0004269B" w:rsidRDefault="0004269B" w:rsidP="0004269B">
      <w:pPr>
        <w:jc w:val="both"/>
        <w:rPr>
          <w:color w:val="2F5496" w:themeColor="accent1" w:themeShade="BF"/>
        </w:rPr>
      </w:pPr>
      <w:r w:rsidRPr="00CF129B">
        <w:rPr>
          <w:color w:val="2F5496" w:themeColor="accent1" w:themeShade="BF"/>
        </w:rPr>
        <w:t>Nanoparticles exhibit external polyethylene glycol residues to keep positive zeta potential value (at least around +4.2 mV), which increase</w:t>
      </w:r>
      <w:r>
        <w:rPr>
          <w:color w:val="2F5496" w:themeColor="accent1" w:themeShade="BF"/>
        </w:rPr>
        <w:t>s</w:t>
      </w:r>
      <w:r w:rsidRPr="00CF129B">
        <w:rPr>
          <w:color w:val="2F5496" w:themeColor="accent1" w:themeShade="BF"/>
        </w:rPr>
        <w:t xml:space="preserve"> the nanoparticle interaction with the neurovascular unit, transcytosis and further brain diffusion (PMID </w:t>
      </w:r>
      <w:bookmarkStart w:id="5" w:name="_Hlk534359272"/>
      <w:r w:rsidRPr="00CF129B">
        <w:rPr>
          <w:color w:val="2F5496" w:themeColor="accent1" w:themeShade="BF"/>
        </w:rPr>
        <w:t>22932224</w:t>
      </w:r>
      <w:bookmarkEnd w:id="5"/>
      <w:r w:rsidRPr="00CF129B">
        <w:rPr>
          <w:color w:val="2F5496" w:themeColor="accent1" w:themeShade="BF"/>
        </w:rPr>
        <w:t>). This information has been added in the revised Discussion (Line 664 to 678).</w:t>
      </w:r>
    </w:p>
    <w:p w14:paraId="0E194F45" w14:textId="77777777" w:rsidR="0004269B" w:rsidRPr="00CF129B" w:rsidRDefault="0004269B" w:rsidP="0004269B">
      <w:pPr>
        <w:jc w:val="both"/>
        <w:rPr>
          <w:color w:val="2F5496" w:themeColor="accent1" w:themeShade="BF"/>
        </w:rPr>
      </w:pPr>
    </w:p>
    <w:p w14:paraId="7C02B227" w14:textId="77777777" w:rsidR="0004269B" w:rsidRDefault="0004269B" w:rsidP="0004269B">
      <w:pPr>
        <w:jc w:val="both"/>
      </w:pPr>
      <w:r w:rsidRPr="00CF129B">
        <w:t>5. Nanoparticles of 100 nm are not small, they are huge. And from an intracellular sorting point-of-view, they are enormous and would likely distort the normal transport mechanisms. Please remove the distinction between small and large, they are both large.</w:t>
      </w:r>
    </w:p>
    <w:p w14:paraId="0E79707C" w14:textId="77777777" w:rsidR="0004269B" w:rsidRPr="00CF129B" w:rsidRDefault="0004269B" w:rsidP="0004269B">
      <w:pPr>
        <w:jc w:val="both"/>
      </w:pPr>
    </w:p>
    <w:p w14:paraId="63DCFF1D" w14:textId="77777777" w:rsidR="0004269B" w:rsidRDefault="0004269B" w:rsidP="0004269B">
      <w:pPr>
        <w:jc w:val="both"/>
        <w:rPr>
          <w:color w:val="2F5496" w:themeColor="accent1" w:themeShade="BF"/>
        </w:rPr>
      </w:pPr>
      <w:r w:rsidRPr="00CF129B">
        <w:rPr>
          <w:color w:val="2F5496" w:themeColor="accent1" w:themeShade="BF"/>
        </w:rPr>
        <w:t>We have now modified the name of the nanoparticles to NP110 and NP350 in reference to their actual size as per the reviewer’s suggestion.</w:t>
      </w:r>
    </w:p>
    <w:p w14:paraId="3033F2F9" w14:textId="77777777" w:rsidR="0004269B" w:rsidRPr="00CF129B" w:rsidRDefault="0004269B" w:rsidP="0004269B">
      <w:pPr>
        <w:jc w:val="both"/>
        <w:rPr>
          <w:color w:val="2F5496" w:themeColor="accent1" w:themeShade="BF"/>
        </w:rPr>
      </w:pPr>
    </w:p>
    <w:p w14:paraId="53FD0276" w14:textId="77777777" w:rsidR="0004269B" w:rsidRDefault="0004269B" w:rsidP="0004269B">
      <w:pPr>
        <w:jc w:val="both"/>
      </w:pPr>
      <w:r w:rsidRPr="00CF129B">
        <w:t>6. The authors describe how the patient spheres most often reduce the BBB integrity. And in their in vivo data with the nanoparticles, it may likely be that the transport is happening due to a compromised BBB - of course when corrected for potential artifacts (see above). However, we know from clinical data that the areas of leakage (if any) are small and heterogeneously dispersed across the GBM tumor. With this in mind, is the model presented in this paper a good representation of the clinical situation?</w:t>
      </w:r>
    </w:p>
    <w:p w14:paraId="2C545810" w14:textId="77777777" w:rsidR="0004269B" w:rsidRPr="00CF129B" w:rsidRDefault="0004269B" w:rsidP="0004269B">
      <w:pPr>
        <w:jc w:val="both"/>
      </w:pPr>
    </w:p>
    <w:p w14:paraId="3AC32692" w14:textId="77777777" w:rsidR="0004269B" w:rsidRPr="00CF129B" w:rsidRDefault="0004269B" w:rsidP="0004269B">
      <w:pPr>
        <w:jc w:val="both"/>
        <w:rPr>
          <w:color w:val="2F5496" w:themeColor="accent1" w:themeShade="BF"/>
        </w:rPr>
      </w:pPr>
      <w:r w:rsidRPr="00CF129B">
        <w:rPr>
          <w:color w:val="2F5496" w:themeColor="accent1" w:themeShade="BF"/>
        </w:rPr>
        <w:t xml:space="preserve">The compromised BBB observed in malignant gliomas certainly does not guarantee increased intratumoral delivery of a payload. The </w:t>
      </w:r>
      <w:r>
        <w:rPr>
          <w:color w:val="2F5496" w:themeColor="accent1" w:themeShade="BF"/>
        </w:rPr>
        <w:t>BBB fenestration</w:t>
      </w:r>
      <w:r w:rsidRPr="00CF129B">
        <w:rPr>
          <w:color w:val="2F5496" w:themeColor="accent1" w:themeShade="BF"/>
        </w:rPr>
        <w:t xml:space="preserve"> </w:t>
      </w:r>
      <w:r>
        <w:rPr>
          <w:color w:val="2F5496" w:themeColor="accent1" w:themeShade="BF"/>
        </w:rPr>
        <w:t xml:space="preserve">associated with intratumoral </w:t>
      </w:r>
      <w:r w:rsidRPr="00CF129B">
        <w:rPr>
          <w:color w:val="2F5496" w:themeColor="accent1" w:themeShade="BF"/>
        </w:rPr>
        <w:t>microhemorrhages observed in patient GBMs</w:t>
      </w:r>
      <w:r>
        <w:rPr>
          <w:color w:val="2F5496" w:themeColor="accent1" w:themeShade="BF"/>
        </w:rPr>
        <w:t xml:space="preserve"> </w:t>
      </w:r>
      <w:r w:rsidRPr="00CF129B">
        <w:rPr>
          <w:color w:val="2F5496" w:themeColor="accent1" w:themeShade="BF"/>
        </w:rPr>
        <w:t xml:space="preserve">are most of the time pockets of stagnating blood </w:t>
      </w:r>
      <w:r>
        <w:rPr>
          <w:color w:val="2F5496" w:themeColor="accent1" w:themeShade="BF"/>
        </w:rPr>
        <w:t>caused by dilated new tumor vessels</w:t>
      </w:r>
      <w:r w:rsidRPr="00CF129B">
        <w:rPr>
          <w:color w:val="2F5496" w:themeColor="accent1" w:themeShade="BF"/>
        </w:rPr>
        <w:t xml:space="preserve"> lack</w:t>
      </w:r>
      <w:r>
        <w:rPr>
          <w:color w:val="2F5496" w:themeColor="accent1" w:themeShade="BF"/>
        </w:rPr>
        <w:t>ing</w:t>
      </w:r>
      <w:r w:rsidRPr="00CF129B">
        <w:rPr>
          <w:color w:val="2F5496" w:themeColor="accent1" w:themeShade="BF"/>
        </w:rPr>
        <w:t xml:space="preserve"> </w:t>
      </w:r>
      <w:r>
        <w:rPr>
          <w:color w:val="2F5496" w:themeColor="accent1" w:themeShade="BF"/>
        </w:rPr>
        <w:t>a</w:t>
      </w:r>
      <w:r w:rsidRPr="00CF129B">
        <w:rPr>
          <w:color w:val="2F5496" w:themeColor="accent1" w:themeShade="BF"/>
        </w:rPr>
        <w:t xml:space="preserve"> proper connection to the systemic network</w:t>
      </w:r>
      <w:r>
        <w:rPr>
          <w:color w:val="2F5496" w:themeColor="accent1" w:themeShade="BF"/>
        </w:rPr>
        <w:t>.</w:t>
      </w:r>
      <w:r w:rsidRPr="00CF129B">
        <w:rPr>
          <w:color w:val="2F5496" w:themeColor="accent1" w:themeShade="BF"/>
        </w:rPr>
        <w:t xml:space="preserve"> Please refer to Le Rhun and Perry 2016 (PMID 26948359) for the clinical description of this phenomenon and Mathivet et al. 2017 (PMID 29038312) on how the tumor stroma potentially participates to the glioma vessel dysmorphia.   </w:t>
      </w:r>
    </w:p>
    <w:p w14:paraId="6BAB70D3" w14:textId="77777777" w:rsidR="0004269B" w:rsidRDefault="0004269B" w:rsidP="0004269B">
      <w:pPr>
        <w:jc w:val="both"/>
        <w:rPr>
          <w:color w:val="2F5496" w:themeColor="accent1" w:themeShade="BF"/>
        </w:rPr>
      </w:pPr>
      <w:r w:rsidRPr="00CF129B">
        <w:rPr>
          <w:color w:val="2F5496" w:themeColor="accent1" w:themeShade="BF"/>
        </w:rPr>
        <w:t xml:space="preserve">In accordance with the clinical context, the data we obtained in the xenografted patient gliomas show that the particles accumulate only at the tumor vicinity for two reasons. First, as expected, no nanoparticles are found within the tumor because of the non-functional intratumoral vasculature. Only the normal blood vessels, in the surrounding brain parenchyma, are able to deliver the systemic payload. Then, by choosing CooP as a targeting moiety, the strategy was to target the tumor cells escaping from the neoplastic bulk, those responsible for the tumor relapse occurring after the surgical resection. Actually, our recent yet unpublished findings demonstrate that the protein target of CooP, MDGI/FABP3, is essential to maintain the lysosomal integrity in the invasive glioma cells. It ensures the proper renewal of phospholipids of the lysosomal membrane, and invalidation of MDGI kills invasive tumor cell via a mechanism called lysosomal membrane permeabilization. Therefore, through its binding to MDGI, CooP allows the increased accumulation of the nanoparticles on the invasive leading edge of the tumor. Very recent unpublished data obtained with time lapse microscopy also show that the fluorescent CooP binds to invasive tumor cell membranes and is progressively detected in endosomes/lysosomes, strongly suggesting an unreported cell penetrating property, possibly </w:t>
      </w:r>
      <w:r w:rsidRPr="00CF129B">
        <w:rPr>
          <w:i/>
          <w:color w:val="2F5496" w:themeColor="accent1" w:themeShade="BF"/>
        </w:rPr>
        <w:t xml:space="preserve">via </w:t>
      </w:r>
      <w:r w:rsidRPr="00CF129B">
        <w:rPr>
          <w:color w:val="2F5496" w:themeColor="accent1" w:themeShade="BF"/>
        </w:rPr>
        <w:t>the MDGI transporter.</w:t>
      </w:r>
    </w:p>
    <w:p w14:paraId="2B143AED" w14:textId="77777777" w:rsidR="0004269B" w:rsidRPr="00CF129B" w:rsidRDefault="0004269B" w:rsidP="0004269B">
      <w:pPr>
        <w:jc w:val="both"/>
        <w:rPr>
          <w:color w:val="2F5496" w:themeColor="accent1" w:themeShade="BF"/>
        </w:rPr>
      </w:pPr>
    </w:p>
    <w:p w14:paraId="42255BB5" w14:textId="77777777" w:rsidR="0004269B" w:rsidRDefault="0004269B" w:rsidP="0004269B">
      <w:pPr>
        <w:jc w:val="both"/>
      </w:pPr>
      <w:r w:rsidRPr="00CF129B">
        <w:t xml:space="preserve">7. I would like the authors to consider the 2016 paper by Christoffer Åberg (PMID: </w:t>
      </w:r>
      <w:bookmarkStart w:id="6" w:name="_Hlk534359338"/>
      <w:r w:rsidRPr="00CF129B">
        <w:t>27141425</w:t>
      </w:r>
      <w:bookmarkEnd w:id="6"/>
      <w:r w:rsidRPr="00CF129B">
        <w:t>) on the use of in vitro models for nanoparticle transport across the BBB. He describes a number of issues, which are relevant for the authors to discuss in relation to their findings. Important to discuss is the fact that they clearly have holes in the endothelial layer, wherein nanoparticles or small compounds would likely pass through.</w:t>
      </w:r>
    </w:p>
    <w:p w14:paraId="2E3BFEC7" w14:textId="77777777" w:rsidR="0004269B" w:rsidRPr="00CF129B" w:rsidRDefault="0004269B" w:rsidP="0004269B">
      <w:pPr>
        <w:jc w:val="both"/>
      </w:pPr>
    </w:p>
    <w:p w14:paraId="4EA9F1D5" w14:textId="77777777" w:rsidR="0004269B" w:rsidRDefault="0004269B" w:rsidP="0004269B">
      <w:pPr>
        <w:jc w:val="both"/>
        <w:rPr>
          <w:color w:val="2F5496" w:themeColor="accent1" w:themeShade="BF"/>
        </w:rPr>
      </w:pPr>
      <w:r w:rsidRPr="00CF129B">
        <w:rPr>
          <w:color w:val="2F5496" w:themeColor="accent1" w:themeShade="BF"/>
        </w:rPr>
        <w:t>We now have taken this review from Berg into account in the revised discussion of the manuscript, at the Line 686.</w:t>
      </w:r>
    </w:p>
    <w:p w14:paraId="68AF548A" w14:textId="77777777" w:rsidR="0004269B" w:rsidRPr="00CF129B" w:rsidRDefault="0004269B" w:rsidP="0004269B">
      <w:pPr>
        <w:jc w:val="both"/>
        <w:rPr>
          <w:color w:val="2F5496" w:themeColor="accent1" w:themeShade="BF"/>
        </w:rPr>
      </w:pPr>
    </w:p>
    <w:p w14:paraId="294B1C02" w14:textId="77777777" w:rsidR="0004269B" w:rsidRDefault="0004269B" w:rsidP="0004269B">
      <w:pPr>
        <w:jc w:val="both"/>
        <w:rPr>
          <w:b/>
        </w:rPr>
      </w:pPr>
      <w:r w:rsidRPr="00CF129B">
        <w:rPr>
          <w:b/>
        </w:rPr>
        <w:t>Reviewer #2:</w:t>
      </w:r>
    </w:p>
    <w:p w14:paraId="417E4574" w14:textId="77777777" w:rsidR="0004269B" w:rsidRPr="00CF129B" w:rsidRDefault="0004269B" w:rsidP="0004269B">
      <w:pPr>
        <w:jc w:val="both"/>
        <w:rPr>
          <w:b/>
        </w:rPr>
      </w:pPr>
    </w:p>
    <w:p w14:paraId="243B4CFB" w14:textId="77777777" w:rsidR="0004269B" w:rsidRPr="00CF129B" w:rsidRDefault="0004269B" w:rsidP="0004269B">
      <w:pPr>
        <w:jc w:val="both"/>
      </w:pPr>
      <w:r w:rsidRPr="00CF129B">
        <w:t>Manuscript Summary:</w:t>
      </w:r>
    </w:p>
    <w:p w14:paraId="12050ADC" w14:textId="77777777" w:rsidR="0004269B" w:rsidRDefault="0004269B" w:rsidP="0004269B">
      <w:pPr>
        <w:jc w:val="both"/>
        <w:rPr>
          <w:i/>
        </w:rPr>
      </w:pPr>
      <w:r w:rsidRPr="00CF129B">
        <w:rPr>
          <w:i/>
        </w:rPr>
        <w:t>It is fine</w:t>
      </w:r>
    </w:p>
    <w:p w14:paraId="667E4CF2" w14:textId="77777777" w:rsidR="0004269B" w:rsidRPr="00CF129B" w:rsidRDefault="0004269B" w:rsidP="0004269B">
      <w:pPr>
        <w:jc w:val="both"/>
        <w:rPr>
          <w:i/>
        </w:rPr>
      </w:pPr>
    </w:p>
    <w:p w14:paraId="165AD481" w14:textId="77777777" w:rsidR="0004269B" w:rsidRDefault="0004269B" w:rsidP="0004269B">
      <w:pPr>
        <w:jc w:val="both"/>
        <w:rPr>
          <w:color w:val="2F5496" w:themeColor="accent1" w:themeShade="BF"/>
        </w:rPr>
      </w:pPr>
      <w:r w:rsidRPr="00CF129B">
        <w:rPr>
          <w:color w:val="2F5496" w:themeColor="accent1" w:themeShade="BF"/>
        </w:rPr>
        <w:t>We thank the reviewer for the critical analysis of the manuscript.</w:t>
      </w:r>
    </w:p>
    <w:p w14:paraId="3597249E" w14:textId="77777777" w:rsidR="0004269B" w:rsidRPr="00CF129B" w:rsidRDefault="0004269B" w:rsidP="0004269B">
      <w:pPr>
        <w:jc w:val="both"/>
        <w:rPr>
          <w:color w:val="2F5496" w:themeColor="accent1" w:themeShade="BF"/>
        </w:rPr>
      </w:pPr>
    </w:p>
    <w:p w14:paraId="02648D61" w14:textId="77777777" w:rsidR="0004269B" w:rsidRPr="00CF129B" w:rsidRDefault="0004269B" w:rsidP="0004269B">
      <w:pPr>
        <w:jc w:val="both"/>
      </w:pPr>
      <w:r w:rsidRPr="00CF129B">
        <w:t>Major Concerns:</w:t>
      </w:r>
    </w:p>
    <w:p w14:paraId="66907CC1" w14:textId="77777777" w:rsidR="0004269B" w:rsidRPr="00CF129B" w:rsidRDefault="0004269B" w:rsidP="0004269B">
      <w:pPr>
        <w:jc w:val="both"/>
      </w:pPr>
      <w:r w:rsidRPr="00CF129B">
        <w:t>In the introduction, you should refer to relevant recent literature. Particularly your concern on microfluidic and organ on chips models (page 3 lines 78-79) should be mitigated considering the last findings, for example:</w:t>
      </w:r>
    </w:p>
    <w:p w14:paraId="500EF2FF" w14:textId="77777777" w:rsidR="0004269B" w:rsidRPr="00CF129B" w:rsidRDefault="0004269B" w:rsidP="0004269B">
      <w:pPr>
        <w:jc w:val="both"/>
      </w:pPr>
      <w:r w:rsidRPr="00CF129B">
        <w:t>Biomaterials. 2018 Oct;180:117-129. doi: 10.1016/j.biomaterials.2018.07.014. Epub 2018 Jul 12.</w:t>
      </w:r>
    </w:p>
    <w:p w14:paraId="688D0D48" w14:textId="77777777" w:rsidR="0004269B" w:rsidRPr="00CF129B" w:rsidRDefault="0004269B" w:rsidP="0004269B">
      <w:pPr>
        <w:jc w:val="both"/>
      </w:pPr>
      <w:r w:rsidRPr="00CF129B">
        <w:t>3D self-organized microvascular model of the human blood-brain barrier with endothelial cells, pericytes and astrocytes.</w:t>
      </w:r>
    </w:p>
    <w:p w14:paraId="06436B89" w14:textId="77777777" w:rsidR="0004269B" w:rsidRPr="00CF129B" w:rsidRDefault="0004269B" w:rsidP="0004269B">
      <w:pPr>
        <w:jc w:val="both"/>
      </w:pPr>
      <w:r w:rsidRPr="00CF129B">
        <w:t>Campisi M, Shin Y, Osaki T, Hajal C, Chiono V, Kamm RD.</w:t>
      </w:r>
    </w:p>
    <w:p w14:paraId="63811B38" w14:textId="77777777" w:rsidR="0004269B" w:rsidRPr="00CF129B" w:rsidRDefault="0004269B" w:rsidP="0004269B">
      <w:pPr>
        <w:jc w:val="both"/>
      </w:pPr>
    </w:p>
    <w:p w14:paraId="6AFE12E0" w14:textId="77777777" w:rsidR="0004269B" w:rsidRDefault="0004269B" w:rsidP="0004269B">
      <w:pPr>
        <w:jc w:val="both"/>
      </w:pPr>
      <w:r w:rsidRPr="00CF129B">
        <w:t xml:space="preserve">In this article a human BBB microvascular model has been developed for in vitro testing including human ECs, PCs and ACs (tri-culture compared to the authors' bi-culture method). Indeed, such </w:t>
      </w:r>
      <w:r w:rsidRPr="00CF129B">
        <w:lastRenderedPageBreak/>
        <w:t>models can be used to test the drug passage across the BBB to reach tumor cells and investigation in this direction is in progress.</w:t>
      </w:r>
    </w:p>
    <w:p w14:paraId="30270BEB" w14:textId="77777777" w:rsidR="0004269B" w:rsidRPr="00CF129B" w:rsidRDefault="0004269B" w:rsidP="0004269B">
      <w:pPr>
        <w:jc w:val="both"/>
      </w:pPr>
    </w:p>
    <w:p w14:paraId="6501099D" w14:textId="77777777" w:rsidR="0004269B" w:rsidRPr="00CF129B" w:rsidRDefault="0004269B" w:rsidP="0004269B">
      <w:pPr>
        <w:jc w:val="both"/>
        <w:rPr>
          <w:color w:val="2F5496" w:themeColor="accent1" w:themeShade="BF"/>
        </w:rPr>
      </w:pPr>
      <w:r w:rsidRPr="00CF129B">
        <w:rPr>
          <w:color w:val="2F5496" w:themeColor="accent1" w:themeShade="BF"/>
        </w:rPr>
        <w:t xml:space="preserve">We thank the reviewer for pointing out these recent studies. The study of Campisi et al. shows a beautifully engineered </w:t>
      </w:r>
      <w:r w:rsidRPr="00CF129B">
        <w:rPr>
          <w:i/>
          <w:color w:val="2F5496" w:themeColor="accent1" w:themeShade="BF"/>
        </w:rPr>
        <w:t xml:space="preserve">in vitro </w:t>
      </w:r>
      <w:r w:rsidRPr="00CF129B">
        <w:rPr>
          <w:color w:val="2F5496" w:themeColor="accent1" w:themeShade="BF"/>
        </w:rPr>
        <w:t>neurovascular unit that undoubtfully adds very exciting possibilities to study the BBB on a chip. It also supports our statement that presence of astrocytes determines the endothelial barrier property. This article is now referred to in the Introduction (Line 79) and in the Discussion (Line 701-705)</w:t>
      </w:r>
    </w:p>
    <w:p w14:paraId="73DAC4AB" w14:textId="77777777" w:rsidR="0004269B" w:rsidRDefault="0004269B" w:rsidP="0004269B">
      <w:pPr>
        <w:jc w:val="both"/>
        <w:rPr>
          <w:color w:val="2F5496" w:themeColor="accent1" w:themeShade="BF"/>
        </w:rPr>
      </w:pPr>
      <w:r w:rsidRPr="00CF129B">
        <w:rPr>
          <w:color w:val="2F5496" w:themeColor="accent1" w:themeShade="BF"/>
        </w:rPr>
        <w:t>Unfortunately, as suggested in our manuscript Introduction and also confirmed by the authors of this paper in their discussion, this microfluidic model is currently only adapted to the follow-up of fluorescent molecules only, and quantification is based on fluorescence measurements through a microscope. The Transwell model still has a practical advantage in the sense that actual medium/cell samples can be collected even repeatedly, and actual concentrations in the samples can be determined by mass spectrometry, gamma ray measurements, etc. This versatility is essential when considering molecules such as drugs or chemotherapies that might not be labelled with a fluorescent dye, or might lose their efficacy/permeability when conjugated to fluorophores. However, the progress made on the microfluidics systems mimicking the BBB since the past 5 years will most likely make that possible in a near future.</w:t>
      </w:r>
    </w:p>
    <w:p w14:paraId="2AB7BEE5" w14:textId="77777777" w:rsidR="0004269B" w:rsidRPr="00CF129B" w:rsidRDefault="0004269B" w:rsidP="0004269B">
      <w:pPr>
        <w:jc w:val="both"/>
        <w:rPr>
          <w:color w:val="2F5496" w:themeColor="accent1" w:themeShade="BF"/>
        </w:rPr>
      </w:pPr>
    </w:p>
    <w:p w14:paraId="66232AE2" w14:textId="77777777" w:rsidR="0004269B" w:rsidRDefault="0004269B" w:rsidP="0004269B">
      <w:pPr>
        <w:jc w:val="both"/>
      </w:pPr>
      <w:r w:rsidRPr="00CF129B">
        <w:t>The authors should underline which are the advantages of preparing their model (particularly your murine models are better as they have smaller permeability) compared to recent microfluidic platforms, as the motivations they raised are not proper.</w:t>
      </w:r>
    </w:p>
    <w:p w14:paraId="6E311C2E" w14:textId="77777777" w:rsidR="0004269B" w:rsidRPr="00CF129B" w:rsidRDefault="0004269B" w:rsidP="0004269B">
      <w:pPr>
        <w:jc w:val="both"/>
      </w:pPr>
    </w:p>
    <w:p w14:paraId="6D13091E" w14:textId="77777777" w:rsidR="0004269B" w:rsidRDefault="0004269B" w:rsidP="0004269B">
      <w:pPr>
        <w:jc w:val="both"/>
        <w:rPr>
          <w:color w:val="2F5496" w:themeColor="accent1" w:themeShade="BF"/>
        </w:rPr>
      </w:pPr>
      <w:r w:rsidRPr="00CF129B">
        <w:rPr>
          <w:color w:val="2F5496" w:themeColor="accent1" w:themeShade="BF"/>
        </w:rPr>
        <w:t>The presentation and discussion of each model have been edited in the revised manuscript to make it clearer. We have edited the Abtract (Lines 37 to 42), Introduction (Lines 71 to 97) and Discussion (Lines 689 to 694) Briefly, the flexibility of the model regarding the studied molecules/drugs (see above) and scalability of the Transwell model (up to 96 assays in one dish) are the main advantages when considering a high-throughput screening of molecules at a reasonable cost.</w:t>
      </w:r>
    </w:p>
    <w:p w14:paraId="0E51C035" w14:textId="77777777" w:rsidR="0004269B" w:rsidRPr="00CF129B" w:rsidRDefault="0004269B" w:rsidP="0004269B">
      <w:pPr>
        <w:jc w:val="both"/>
        <w:rPr>
          <w:color w:val="2F5496" w:themeColor="accent1" w:themeShade="BF"/>
        </w:rPr>
      </w:pPr>
    </w:p>
    <w:p w14:paraId="714771EA" w14:textId="77777777" w:rsidR="0004269B" w:rsidRPr="00CF129B" w:rsidRDefault="0004269B" w:rsidP="0004269B">
      <w:pPr>
        <w:jc w:val="both"/>
      </w:pPr>
      <w:r w:rsidRPr="00CF129B">
        <w:t>See also: In vitro models of molecular and nano-particle transport across the blood-brain barrier</w:t>
      </w:r>
    </w:p>
    <w:p w14:paraId="5CEA14D8" w14:textId="77777777" w:rsidR="0004269B" w:rsidRPr="00CF129B" w:rsidRDefault="0004269B" w:rsidP="0004269B">
      <w:pPr>
        <w:jc w:val="both"/>
      </w:pPr>
      <w:r w:rsidRPr="00CF129B">
        <w:t>July 2018Biomicrofluidics 12(4):042213</w:t>
      </w:r>
    </w:p>
    <w:p w14:paraId="1B2E7F9B" w14:textId="77777777" w:rsidR="0004269B" w:rsidRPr="00CF129B" w:rsidRDefault="0004269B" w:rsidP="0004269B">
      <w:pPr>
        <w:jc w:val="both"/>
      </w:pPr>
      <w:r w:rsidRPr="00CF129B">
        <w:t>DOI: 10.1063/1.5027118</w:t>
      </w:r>
    </w:p>
    <w:p w14:paraId="61E22EAE" w14:textId="77777777" w:rsidR="0004269B" w:rsidRDefault="0004269B" w:rsidP="0004269B">
      <w:pPr>
        <w:jc w:val="both"/>
      </w:pPr>
      <w:r w:rsidRPr="00CF129B">
        <w:t>In conclusions: which is the advantage of mimicking MURINE BBB ? Any ideas/perspectives to implement similar HUMAN BBB models getting physiological permeability results?</w:t>
      </w:r>
    </w:p>
    <w:p w14:paraId="3D25AD17" w14:textId="77777777" w:rsidR="0004269B" w:rsidRPr="00CF129B" w:rsidRDefault="0004269B" w:rsidP="0004269B">
      <w:pPr>
        <w:jc w:val="both"/>
      </w:pPr>
    </w:p>
    <w:p w14:paraId="696E2A10" w14:textId="77777777" w:rsidR="0004269B" w:rsidRDefault="0004269B" w:rsidP="0004269B">
      <w:pPr>
        <w:jc w:val="both"/>
        <w:rPr>
          <w:color w:val="2F5496" w:themeColor="accent1" w:themeShade="BF"/>
        </w:rPr>
      </w:pPr>
      <w:r w:rsidRPr="00CF129B">
        <w:rPr>
          <w:color w:val="2F5496" w:themeColor="accent1" w:themeShade="BF"/>
        </w:rPr>
        <w:t xml:space="preserve">The advantage of recreating a murine BBB is the easy and accurate translation of the </w:t>
      </w:r>
      <w:r w:rsidRPr="00CF129B">
        <w:rPr>
          <w:i/>
          <w:color w:val="2F5496" w:themeColor="accent1" w:themeShade="BF"/>
        </w:rPr>
        <w:t xml:space="preserve">in vitro </w:t>
      </w:r>
      <w:r w:rsidRPr="00CF129B">
        <w:rPr>
          <w:color w:val="2F5496" w:themeColor="accent1" w:themeShade="BF"/>
        </w:rPr>
        <w:t>data into preclinical studies, often conducted in mice. However, we also show that humanized models can be obtained, using conventional endothelial cell lines such as HUVECs and human astrocytes. This last model still has room for improvement, for instance by replacing HUVECs with iPSC-EC.</w:t>
      </w:r>
    </w:p>
    <w:p w14:paraId="4250986E" w14:textId="77777777" w:rsidR="0004269B" w:rsidRPr="00CF129B" w:rsidRDefault="0004269B" w:rsidP="0004269B">
      <w:pPr>
        <w:jc w:val="both"/>
        <w:rPr>
          <w:color w:val="2F5496" w:themeColor="accent1" w:themeShade="BF"/>
        </w:rPr>
      </w:pPr>
    </w:p>
    <w:p w14:paraId="28F48E07" w14:textId="77777777" w:rsidR="0004269B" w:rsidRDefault="0004269B" w:rsidP="0004269B">
      <w:pPr>
        <w:jc w:val="both"/>
      </w:pPr>
      <w:r w:rsidRPr="00CF129B">
        <w:t>Please clarify better the description at par. 2.1.2 page 9 (I cannot follow well the cutting protocol, how the membrane was cut; please clarify as to be reproducible)</w:t>
      </w:r>
    </w:p>
    <w:p w14:paraId="48F962C2" w14:textId="77777777" w:rsidR="0004269B" w:rsidRPr="00CF129B" w:rsidRDefault="0004269B" w:rsidP="0004269B">
      <w:pPr>
        <w:jc w:val="both"/>
      </w:pPr>
    </w:p>
    <w:p w14:paraId="224E7981" w14:textId="77777777" w:rsidR="0004269B" w:rsidRDefault="0004269B" w:rsidP="0004269B">
      <w:pPr>
        <w:jc w:val="both"/>
        <w:rPr>
          <w:color w:val="2F5496" w:themeColor="accent1" w:themeShade="BF"/>
        </w:rPr>
      </w:pPr>
      <w:r w:rsidRPr="00CF129B">
        <w:rPr>
          <w:color w:val="2F5496" w:themeColor="accent1" w:themeShade="BF"/>
        </w:rPr>
        <w:t>The protocol part of the manuscript has been now revised with additional description of the membrane processing (Lines 276 to 280 in the Protocol section)</w:t>
      </w:r>
      <w:r>
        <w:rPr>
          <w:color w:val="2F5496" w:themeColor="accent1" w:themeShade="BF"/>
        </w:rPr>
        <w:t>.</w:t>
      </w:r>
    </w:p>
    <w:p w14:paraId="37981937" w14:textId="77777777" w:rsidR="0004269B" w:rsidRPr="00CF129B" w:rsidRDefault="0004269B" w:rsidP="0004269B">
      <w:pPr>
        <w:jc w:val="both"/>
        <w:rPr>
          <w:color w:val="2F5496" w:themeColor="accent1" w:themeShade="BF"/>
        </w:rPr>
      </w:pPr>
    </w:p>
    <w:p w14:paraId="610C142B" w14:textId="77777777" w:rsidR="0004269B" w:rsidRDefault="0004269B" w:rsidP="0004269B">
      <w:pPr>
        <w:jc w:val="both"/>
      </w:pPr>
      <w:r w:rsidRPr="00CF129B">
        <w:t>Figure 3 A - Transwell plates image on the left is not well specified. Could you please better describe what it represents?</w:t>
      </w:r>
    </w:p>
    <w:p w14:paraId="276E9083" w14:textId="77777777" w:rsidR="0004269B" w:rsidRPr="00CF129B" w:rsidRDefault="0004269B" w:rsidP="0004269B">
      <w:pPr>
        <w:jc w:val="both"/>
      </w:pPr>
    </w:p>
    <w:p w14:paraId="57AAB1BA" w14:textId="77777777" w:rsidR="0004269B" w:rsidRDefault="0004269B" w:rsidP="0004269B">
      <w:pPr>
        <w:jc w:val="both"/>
        <w:rPr>
          <w:color w:val="2F5496" w:themeColor="accent1" w:themeShade="BF"/>
        </w:rPr>
      </w:pPr>
      <w:r w:rsidRPr="00CF129B">
        <w:rPr>
          <w:color w:val="2F5496" w:themeColor="accent1" w:themeShade="BF"/>
        </w:rPr>
        <w:t>The legend of Figure 3A has been revised with more precise descriptions of the panels. The micrographs illustrate the detection of the nanoparticles on the endothelial cells, astrocytes and in-</w:t>
      </w:r>
      <w:r w:rsidRPr="00CF129B">
        <w:rPr>
          <w:color w:val="2F5496" w:themeColor="accent1" w:themeShade="BF"/>
        </w:rPr>
        <w:lastRenderedPageBreak/>
        <w:t>between the two cell layers. Arrows point at vesicles (most probably lysosomes) encapsulating the nanoparticles. Revisions are found from lines 597 to 599 in the Manuscript.</w:t>
      </w:r>
    </w:p>
    <w:p w14:paraId="4A7118FE" w14:textId="77777777" w:rsidR="0004269B" w:rsidRPr="00CF129B" w:rsidRDefault="0004269B" w:rsidP="0004269B">
      <w:pPr>
        <w:jc w:val="both"/>
        <w:rPr>
          <w:color w:val="2F5496" w:themeColor="accent1" w:themeShade="BF"/>
        </w:rPr>
      </w:pPr>
    </w:p>
    <w:p w14:paraId="6FD89BBE" w14:textId="77777777" w:rsidR="0004269B" w:rsidRDefault="0004269B" w:rsidP="0004269B">
      <w:pPr>
        <w:jc w:val="both"/>
      </w:pPr>
      <w:r w:rsidRPr="00CF129B">
        <w:t>Figure 3 D: bottom images---&gt; what are the arrows pointing at?</w:t>
      </w:r>
    </w:p>
    <w:p w14:paraId="63DBAF33" w14:textId="77777777" w:rsidR="0004269B" w:rsidRPr="00CF129B" w:rsidRDefault="0004269B" w:rsidP="0004269B">
      <w:pPr>
        <w:jc w:val="both"/>
      </w:pPr>
    </w:p>
    <w:p w14:paraId="7DDD1602" w14:textId="77777777" w:rsidR="0004269B" w:rsidRPr="00253103" w:rsidRDefault="0004269B" w:rsidP="0004269B">
      <w:pPr>
        <w:jc w:val="both"/>
        <w:rPr>
          <w:color w:val="2F5496" w:themeColor="accent1" w:themeShade="BF"/>
        </w:rPr>
      </w:pPr>
      <w:r w:rsidRPr="00CF129B">
        <w:rPr>
          <w:color w:val="2F5496" w:themeColor="accent1" w:themeShade="BF"/>
        </w:rPr>
        <w:t>The legend of the Figure 3D has been now revised by adding the missing information. The arrows point at nanoparticles successfully crossing a brain microcapillary.</w:t>
      </w:r>
    </w:p>
    <w:p w14:paraId="25A24CCE" w14:textId="77777777" w:rsidR="0004269B" w:rsidRPr="00657FD5" w:rsidRDefault="0004269B" w:rsidP="0004269B">
      <w:pPr>
        <w:spacing w:line="276" w:lineRule="auto"/>
        <w:jc w:val="both"/>
        <w:rPr>
          <w:rFonts w:ascii="Calibri" w:hAnsi="Calibri" w:cs="Calibri"/>
          <w:color w:val="0000FF"/>
          <w:sz w:val="20"/>
          <w:u w:val="single"/>
        </w:rPr>
      </w:pPr>
    </w:p>
    <w:p w14:paraId="5E693AE6" w14:textId="77777777" w:rsidR="00AA77FF" w:rsidRDefault="00AA77FF"/>
    <w:sectPr w:rsidR="00AA77FF" w:rsidSect="000A68F7">
      <w:headerReference w:type="default" r:id="rId7"/>
      <w:footerReference w:type="default" r:id="rId8"/>
      <w:headerReference w:type="first" r:id="rId9"/>
      <w:footerReference w:type="first" r:id="rId10"/>
      <w:pgSz w:w="11906" w:h="16838" w:code="9"/>
      <w:pgMar w:top="2336" w:right="851" w:bottom="340" w:left="1531" w:header="658" w:footer="6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762ABD" w14:textId="77777777" w:rsidR="0004269B" w:rsidRDefault="0004269B" w:rsidP="0004269B">
      <w:pPr>
        <w:spacing w:line="240" w:lineRule="auto"/>
      </w:pPr>
      <w:r>
        <w:separator/>
      </w:r>
    </w:p>
  </w:endnote>
  <w:endnote w:type="continuationSeparator" w:id="0">
    <w:p w14:paraId="6A0DDF3D" w14:textId="77777777" w:rsidR="0004269B" w:rsidRDefault="0004269B" w:rsidP="000426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17377" w14:textId="77777777" w:rsidR="002F087C" w:rsidRDefault="0004269B" w:rsidP="000A68F7">
    <w:pPr>
      <w:pStyle w:val="Pieddepage"/>
      <w:spacing w:line="200" w:lineRule="atLeast"/>
      <w:jc w:val="right"/>
      <w:rPr>
        <w:b/>
      </w:rPr>
    </w:pPr>
  </w:p>
  <w:p w14:paraId="13A774E0" w14:textId="77777777" w:rsidR="000A68F7" w:rsidRDefault="0004269B" w:rsidP="000A68F7">
    <w:pPr>
      <w:pStyle w:val="Pieddepage"/>
      <w:spacing w:line="200" w:lineRule="atLeast"/>
      <w:jc w:val="right"/>
      <w:rPr>
        <w:b/>
      </w:rPr>
    </w:pPr>
    <w:r>
      <w:rPr>
        <w:b/>
        <w:noProof/>
        <w:lang w:val="en-US" w:eastAsia="en-US"/>
      </w:rPr>
      <w:drawing>
        <wp:anchor distT="0" distB="0" distL="114300" distR="114300" simplePos="0" relativeHeight="251661312" behindDoc="0" locked="0" layoutInCell="0" allowOverlap="1" wp14:anchorId="08E8D601" wp14:editId="676690F2">
          <wp:simplePos x="0" y="0"/>
          <wp:positionH relativeFrom="page">
            <wp:posOffset>869950</wp:posOffset>
          </wp:positionH>
          <wp:positionV relativeFrom="page">
            <wp:posOffset>10038080</wp:posOffset>
          </wp:positionV>
          <wp:extent cx="1657350" cy="435610"/>
          <wp:effectExtent l="0" t="0" r="0" b="2540"/>
          <wp:wrapNone/>
          <wp:docPr id="5" name="Kuva 3" descr="tiedekunta word foote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edekunta word footer 1.JPG"/>
                  <pic:cNvPicPr/>
                </pic:nvPicPr>
                <pic:blipFill>
                  <a:blip r:embed="rId1"/>
                  <a:stretch>
                    <a:fillRect/>
                  </a:stretch>
                </pic:blipFill>
                <pic:spPr>
                  <a:xfrm>
                    <a:off x="0" y="0"/>
                    <a:ext cx="1657350" cy="435610"/>
                  </a:xfrm>
                  <a:prstGeom prst="rect">
                    <a:avLst/>
                  </a:prstGeom>
                </pic:spPr>
              </pic:pic>
            </a:graphicData>
          </a:graphic>
        </wp:anchor>
      </w:drawing>
    </w:r>
  </w:p>
  <w:p w14:paraId="1A3B6448" w14:textId="77777777" w:rsidR="000A68F7" w:rsidRDefault="0004269B" w:rsidP="000A68F7">
    <w:pPr>
      <w:pStyle w:val="Pieddepage"/>
      <w:spacing w:line="200" w:lineRule="atLeas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88E7E" w14:textId="77777777" w:rsidR="00D33C64" w:rsidRDefault="0004269B" w:rsidP="000509BD">
    <w:pPr>
      <w:pStyle w:val="Pieddepage"/>
      <w:spacing w:line="200" w:lineRule="atLeast"/>
      <w:rPr>
        <w:b/>
      </w:rPr>
    </w:pPr>
  </w:p>
  <w:p w14:paraId="1B0F2F00" w14:textId="77777777" w:rsidR="00677111" w:rsidRDefault="0004269B" w:rsidP="00677111">
    <w:pPr>
      <w:pStyle w:val="Pieddepage"/>
      <w:spacing w:line="200" w:lineRule="atLeast"/>
      <w:jc w:val="right"/>
      <w:rPr>
        <w:b/>
      </w:rPr>
    </w:pPr>
    <w:r>
      <w:rPr>
        <w:b/>
        <w:noProof/>
        <w:lang w:val="en-US" w:eastAsia="en-US"/>
      </w:rPr>
      <w:drawing>
        <wp:anchor distT="0" distB="0" distL="114300" distR="114300" simplePos="0" relativeHeight="251659264" behindDoc="0" locked="0" layoutInCell="0" allowOverlap="1" wp14:anchorId="0C965826" wp14:editId="7EC06046">
          <wp:simplePos x="0" y="0"/>
          <wp:positionH relativeFrom="page">
            <wp:posOffset>946150</wp:posOffset>
          </wp:positionH>
          <wp:positionV relativeFrom="page">
            <wp:posOffset>9725660</wp:posOffset>
          </wp:positionV>
          <wp:extent cx="1657350" cy="435610"/>
          <wp:effectExtent l="0" t="0" r="0" b="2540"/>
          <wp:wrapNone/>
          <wp:docPr id="4" name="Kuva 3" descr="tiedekunta word foote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edekunta word footer 1.JPG"/>
                  <pic:cNvPicPr/>
                </pic:nvPicPr>
                <pic:blipFill>
                  <a:blip r:embed="rId1"/>
                  <a:stretch>
                    <a:fillRect/>
                  </a:stretch>
                </pic:blipFill>
                <pic:spPr>
                  <a:xfrm>
                    <a:off x="0" y="0"/>
                    <a:ext cx="1657350" cy="435610"/>
                  </a:xfrm>
                  <a:prstGeom prst="rect">
                    <a:avLst/>
                  </a:prstGeom>
                </pic:spPr>
              </pic:pic>
            </a:graphicData>
          </a:graphic>
        </wp:anchor>
      </w:drawing>
    </w:r>
    <w:r>
      <w:rPr>
        <w:b/>
      </w:rPr>
      <w:t>Terveyden tutkimuksen tutkijakoulu</w:t>
    </w:r>
  </w:p>
  <w:p w14:paraId="308AC175" w14:textId="77777777" w:rsidR="00677111" w:rsidRDefault="0004269B" w:rsidP="00677111">
    <w:pPr>
      <w:pStyle w:val="Pieddepage"/>
      <w:spacing w:line="200" w:lineRule="atLeast"/>
      <w:jc w:val="right"/>
      <w:rPr>
        <w:b/>
      </w:rPr>
    </w:pPr>
    <w:r w:rsidRPr="000509BD">
      <w:rPr>
        <w:b/>
      </w:rPr>
      <w:t xml:space="preserve">PL 33 </w:t>
    </w:r>
    <w:r w:rsidRPr="000509BD">
      <w:rPr>
        <w:b/>
      </w:rPr>
      <w:t>(Yliopistonkatu 4), 00014 Helsingin yliopisto</w:t>
    </w:r>
  </w:p>
  <w:p w14:paraId="562C70A8" w14:textId="77777777" w:rsidR="00D33C64" w:rsidRPr="000509BD" w:rsidRDefault="0004269B" w:rsidP="00677111">
    <w:pPr>
      <w:pStyle w:val="Pieddepage"/>
      <w:spacing w:line="200" w:lineRule="atLeast"/>
      <w:jc w:val="right"/>
      <w:rPr>
        <w:b/>
      </w:rPr>
    </w:pPr>
    <w:r>
      <w:rPr>
        <w:b/>
      </w:rPr>
      <w:t>Puhelin (09) 1911,</w:t>
    </w:r>
    <w:r w:rsidRPr="000509BD">
      <w:rPr>
        <w:b/>
      </w:rPr>
      <w:t xml:space="preserve"> www.helsinki.fi/yliopisto</w:t>
    </w:r>
  </w:p>
  <w:p w14:paraId="01EABDFE" w14:textId="77777777" w:rsidR="00D33C64" w:rsidRPr="005F49CF" w:rsidRDefault="0004269B" w:rsidP="000E4477">
    <w:pPr>
      <w:pStyle w:val="Pieddepage"/>
      <w:tabs>
        <w:tab w:val="left" w:pos="3980"/>
      </w:tabs>
      <w:spacing w:line="200" w:lineRule="atLeast"/>
      <w:rPr>
        <w:b/>
      </w:rPr>
    </w:pPr>
    <w:r>
      <w:rPr>
        <w: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E66226" w14:textId="77777777" w:rsidR="0004269B" w:rsidRDefault="0004269B" w:rsidP="0004269B">
      <w:pPr>
        <w:spacing w:line="240" w:lineRule="auto"/>
      </w:pPr>
      <w:r>
        <w:separator/>
      </w:r>
    </w:p>
  </w:footnote>
  <w:footnote w:type="continuationSeparator" w:id="0">
    <w:p w14:paraId="37A0DB82" w14:textId="77777777" w:rsidR="0004269B" w:rsidRDefault="0004269B" w:rsidP="0004269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0618A" w14:textId="77777777" w:rsidR="009030EA" w:rsidRPr="005A2796" w:rsidRDefault="0004269B" w:rsidP="009030EA">
    <w:pPr>
      <w:spacing w:line="276" w:lineRule="auto"/>
      <w:rPr>
        <w:rFonts w:ascii="Calibri" w:hAnsi="Calibri" w:cs="Calibri"/>
        <w:sz w:val="20"/>
        <w:lang w:val="en-US"/>
      </w:rPr>
    </w:pPr>
    <w:r w:rsidRPr="00B61E8D">
      <w:rPr>
        <w:noProof/>
        <w:lang w:val="en-US" w:eastAsia="en-US"/>
      </w:rPr>
      <w:drawing>
        <wp:anchor distT="0" distB="0" distL="114300" distR="114300" simplePos="0" relativeHeight="251662336" behindDoc="0" locked="0" layoutInCell="0" allowOverlap="1" wp14:anchorId="25BFE039" wp14:editId="4D09B81C">
          <wp:simplePos x="0" y="0"/>
          <wp:positionH relativeFrom="margin">
            <wp:posOffset>-438150</wp:posOffset>
          </wp:positionH>
          <wp:positionV relativeFrom="page">
            <wp:posOffset>170180</wp:posOffset>
          </wp:positionV>
          <wp:extent cx="1492250" cy="1409700"/>
          <wp:effectExtent l="0" t="0" r="0" b="0"/>
          <wp:wrapNone/>
          <wp:docPr id="3" name="Kuva 0" descr="HY__LA01_Flame_____B6__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Y__LA01_Flame_____B6___RGB.JPG"/>
                  <pic:cNvPicPr/>
                </pic:nvPicPr>
                <pic:blipFill>
                  <a:blip r:embed="rId1"/>
                  <a:stretch>
                    <a:fillRect/>
                  </a:stretch>
                </pic:blipFill>
                <pic:spPr>
                  <a:xfrm>
                    <a:off x="0" y="0"/>
                    <a:ext cx="1492250" cy="1409700"/>
                  </a:xfrm>
                  <a:prstGeom prst="rect">
                    <a:avLst/>
                  </a:prstGeom>
                </pic:spPr>
              </pic:pic>
            </a:graphicData>
          </a:graphic>
          <wp14:sizeRelH relativeFrom="margin">
            <wp14:pctWidth>0</wp14:pctWidth>
          </wp14:sizeRelH>
          <wp14:sizeRelV relativeFrom="margin">
            <wp14:pctHeight>0</wp14:pctHeight>
          </wp14:sizeRelV>
        </wp:anchor>
      </w:drawing>
    </w:r>
    <w:r w:rsidRPr="003B7243">
      <w:rPr>
        <w:lang w:val="en-US"/>
      </w:rPr>
      <w:tab/>
    </w:r>
    <w:r w:rsidRPr="003B7243">
      <w:rPr>
        <w:lang w:val="en-US"/>
      </w:rPr>
      <w:tab/>
    </w:r>
    <w:r w:rsidRPr="005A2796">
      <w:rPr>
        <w:rFonts w:ascii="Calibri" w:hAnsi="Calibri" w:cs="Calibri"/>
        <w:sz w:val="20"/>
        <w:lang w:val="en-US"/>
      </w:rPr>
      <w:t>Pirjo Laakkonen, PhD, prof.</w:t>
    </w:r>
  </w:p>
  <w:p w14:paraId="641AB1B7" w14:textId="77777777" w:rsidR="009030EA" w:rsidRPr="005A2796" w:rsidRDefault="0004269B" w:rsidP="009030EA">
    <w:pPr>
      <w:widowControl w:val="0"/>
      <w:autoSpaceDE w:val="0"/>
      <w:autoSpaceDN w:val="0"/>
      <w:adjustRightInd w:val="0"/>
      <w:rPr>
        <w:rFonts w:ascii="Calibri" w:hAnsi="Calibri" w:cs="Calibri"/>
        <w:sz w:val="20"/>
        <w:lang w:val="en-US" w:eastAsia="en-US"/>
      </w:rPr>
    </w:pPr>
    <w:r w:rsidRPr="005A2796">
      <w:rPr>
        <w:rFonts w:ascii="Calibri" w:hAnsi="Calibri" w:cs="Calibri"/>
        <w:sz w:val="20"/>
        <w:lang w:val="en-US" w:eastAsia="en-US"/>
      </w:rPr>
      <w:tab/>
    </w:r>
    <w:r w:rsidRPr="005A2796">
      <w:rPr>
        <w:rFonts w:ascii="Calibri" w:hAnsi="Calibri" w:cs="Calibri"/>
        <w:sz w:val="20"/>
        <w:lang w:val="en-US" w:eastAsia="en-US"/>
      </w:rPr>
      <w:tab/>
    </w:r>
    <w:r w:rsidRPr="005A2796">
      <w:rPr>
        <w:rFonts w:ascii="Calibri" w:hAnsi="Calibri" w:cs="Calibri"/>
        <w:sz w:val="20"/>
        <w:lang w:val="en-US" w:eastAsia="en-US"/>
      </w:rPr>
      <w:t xml:space="preserve">Translational Cancer </w:t>
    </w:r>
    <w:r w:rsidRPr="005A2796">
      <w:rPr>
        <w:rFonts w:ascii="Calibri" w:hAnsi="Calibri" w:cs="Calibri"/>
        <w:sz w:val="20"/>
        <w:lang w:val="en-US" w:eastAsia="en-US"/>
      </w:rPr>
      <w:t>Medicine Research Program</w:t>
    </w:r>
  </w:p>
  <w:p w14:paraId="6F20975D" w14:textId="77777777" w:rsidR="009030EA" w:rsidRPr="005A2796" w:rsidRDefault="0004269B" w:rsidP="003B7243">
    <w:pPr>
      <w:widowControl w:val="0"/>
      <w:autoSpaceDE w:val="0"/>
      <w:autoSpaceDN w:val="0"/>
      <w:adjustRightInd w:val="0"/>
      <w:rPr>
        <w:rFonts w:ascii="Calibri" w:hAnsi="Calibri" w:cs="Calibri"/>
        <w:sz w:val="20"/>
        <w:lang w:val="en-US" w:eastAsia="en-US"/>
      </w:rPr>
    </w:pPr>
    <w:r w:rsidRPr="005A2796">
      <w:rPr>
        <w:rFonts w:ascii="Calibri" w:hAnsi="Calibri" w:cs="Calibri"/>
        <w:sz w:val="20"/>
        <w:lang w:val="en-US" w:eastAsia="en-US"/>
      </w:rPr>
      <w:tab/>
    </w:r>
    <w:r w:rsidRPr="005A2796">
      <w:rPr>
        <w:rFonts w:ascii="Calibri" w:hAnsi="Calibri" w:cs="Calibri"/>
        <w:sz w:val="20"/>
        <w:lang w:val="en-US" w:eastAsia="en-US"/>
      </w:rPr>
      <w:tab/>
    </w:r>
    <w:r w:rsidRPr="005A2796">
      <w:rPr>
        <w:rFonts w:ascii="Calibri" w:hAnsi="Calibri" w:cs="Calibri"/>
        <w:sz w:val="20"/>
        <w:lang w:val="en-US" w:eastAsia="en-US"/>
      </w:rPr>
      <w:t>University of Helsinki</w:t>
    </w:r>
  </w:p>
  <w:p w14:paraId="505BBB7A" w14:textId="77777777" w:rsidR="009030EA" w:rsidRPr="005A2796" w:rsidRDefault="0004269B" w:rsidP="009030EA">
    <w:pPr>
      <w:spacing w:line="276" w:lineRule="auto"/>
      <w:rPr>
        <w:rFonts w:ascii="Calibri" w:hAnsi="Calibri" w:cs="Calibri"/>
        <w:sz w:val="20"/>
        <w:lang w:val="en-US" w:eastAsia="en-US"/>
      </w:rPr>
    </w:pPr>
    <w:r w:rsidRPr="005A2796">
      <w:rPr>
        <w:rFonts w:ascii="Calibri" w:hAnsi="Calibri" w:cs="Calibri"/>
        <w:sz w:val="20"/>
        <w:lang w:val="en-US" w:eastAsia="en-US"/>
      </w:rPr>
      <w:tab/>
    </w:r>
    <w:r w:rsidRPr="005A2796">
      <w:rPr>
        <w:rFonts w:ascii="Calibri" w:hAnsi="Calibri" w:cs="Calibri"/>
        <w:sz w:val="20"/>
        <w:lang w:val="en-US" w:eastAsia="en-US"/>
      </w:rPr>
      <w:tab/>
      <w:t>00014 Helsinki</w:t>
    </w:r>
  </w:p>
  <w:p w14:paraId="6A34185A" w14:textId="77777777" w:rsidR="009030EA" w:rsidRPr="005A2796" w:rsidRDefault="0004269B" w:rsidP="009030EA">
    <w:pPr>
      <w:spacing w:line="276" w:lineRule="auto"/>
      <w:rPr>
        <w:rFonts w:ascii="Calibri" w:hAnsi="Calibri" w:cs="Calibri"/>
        <w:sz w:val="20"/>
        <w:lang w:val="en-US"/>
      </w:rPr>
    </w:pPr>
    <w:r w:rsidRPr="005A2796">
      <w:rPr>
        <w:rFonts w:ascii="Calibri" w:hAnsi="Calibri" w:cs="Calibri"/>
        <w:sz w:val="20"/>
        <w:lang w:val="en-US" w:eastAsia="en-US"/>
      </w:rPr>
      <w:tab/>
    </w:r>
    <w:r w:rsidRPr="005A2796">
      <w:rPr>
        <w:rFonts w:ascii="Calibri" w:hAnsi="Calibri" w:cs="Calibri"/>
        <w:sz w:val="20"/>
        <w:lang w:val="en-US" w:eastAsia="en-US"/>
      </w:rPr>
      <w:tab/>
      <w:t>FINLAND</w:t>
    </w:r>
  </w:p>
  <w:p w14:paraId="6B971726" w14:textId="77777777" w:rsidR="00D33C64" w:rsidRPr="003B7243" w:rsidRDefault="0004269B">
    <w:pPr>
      <w:pStyle w:val="En-tte"/>
      <w:rPr>
        <w:lang w:val="en-US"/>
      </w:rPr>
    </w:pPr>
  </w:p>
  <w:p w14:paraId="1E600092" w14:textId="77777777" w:rsidR="00E067B5" w:rsidRPr="003B7243" w:rsidRDefault="0004269B" w:rsidP="00E067B5">
    <w:pPr>
      <w:pStyle w:val="En-tte"/>
      <w:tabs>
        <w:tab w:val="left" w:pos="2655"/>
      </w:tabs>
      <w:rPr>
        <w:lang w:val="en-US"/>
      </w:rPr>
    </w:pPr>
    <w:r w:rsidRPr="003B7243">
      <w:rPr>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244" w:type="dxa"/>
      <w:tblInd w:w="4395" w:type="dxa"/>
      <w:tblLayout w:type="fixed"/>
      <w:tblCellMar>
        <w:left w:w="0" w:type="dxa"/>
        <w:right w:w="0" w:type="dxa"/>
      </w:tblCellMar>
      <w:tblLook w:val="0000" w:firstRow="0" w:lastRow="0" w:firstColumn="0" w:lastColumn="0" w:noHBand="0" w:noVBand="0"/>
    </w:tblPr>
    <w:tblGrid>
      <w:gridCol w:w="2551"/>
      <w:gridCol w:w="487"/>
      <w:gridCol w:w="1072"/>
      <w:gridCol w:w="1134"/>
    </w:tblGrid>
    <w:tr w:rsidR="00D33C64" w14:paraId="252A3909" w14:textId="77777777" w:rsidTr="00730C9D">
      <w:trPr>
        <w:cantSplit/>
        <w:trHeight w:val="250"/>
      </w:trPr>
      <w:tc>
        <w:tcPr>
          <w:tcW w:w="2551" w:type="dxa"/>
        </w:tcPr>
        <w:p w14:paraId="00C196B6" w14:textId="77777777" w:rsidR="00D33C64" w:rsidRDefault="0004269B" w:rsidP="00DE25F0">
          <w:r w:rsidRPr="00B61E8D">
            <w:rPr>
              <w:noProof/>
              <w:lang w:val="en-US" w:eastAsia="en-US"/>
            </w:rPr>
            <w:drawing>
              <wp:anchor distT="0" distB="0" distL="114300" distR="114300" simplePos="0" relativeHeight="251660288" behindDoc="0" locked="0" layoutInCell="0" allowOverlap="1" wp14:anchorId="64D370AC" wp14:editId="1E9671BE">
                <wp:simplePos x="0" y="0"/>
                <wp:positionH relativeFrom="page">
                  <wp:posOffset>291465</wp:posOffset>
                </wp:positionH>
                <wp:positionV relativeFrom="page">
                  <wp:posOffset>152400</wp:posOffset>
                </wp:positionV>
                <wp:extent cx="1492250" cy="1409700"/>
                <wp:effectExtent l="0" t="0" r="0" b="0"/>
                <wp:wrapNone/>
                <wp:docPr id="2" name="Kuva 0" descr="HY__LA01_Flame_____B6__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Y__LA01_Flame_____B6___RGB.JPG"/>
                        <pic:cNvPicPr/>
                      </pic:nvPicPr>
                      <pic:blipFill>
                        <a:blip r:embed="rId1"/>
                        <a:stretch>
                          <a:fillRect/>
                        </a:stretch>
                      </pic:blipFill>
                      <pic:spPr>
                        <a:xfrm>
                          <a:off x="0" y="0"/>
                          <a:ext cx="1492250" cy="1409700"/>
                        </a:xfrm>
                        <a:prstGeom prst="rect">
                          <a:avLst/>
                        </a:prstGeom>
                      </pic:spPr>
                    </pic:pic>
                  </a:graphicData>
                </a:graphic>
                <wp14:sizeRelH relativeFrom="margin">
                  <wp14:pctWidth>0</wp14:pctWidth>
                </wp14:sizeRelH>
                <wp14:sizeRelV relativeFrom="margin">
                  <wp14:pctHeight>0</wp14:pctHeight>
                </wp14:sizeRelV>
              </wp:anchor>
            </w:drawing>
          </w:r>
          <w:r>
            <w:rPr>
              <w:b/>
              <w:snapToGrid w:val="0"/>
            </w:rPr>
            <w:t>Minutes</w:t>
          </w:r>
          <w:r>
            <w:rPr>
              <w:b/>
              <w:snapToGrid w:val="0"/>
            </w:rPr>
            <w:t xml:space="preserve"> of the meeting</w:t>
          </w:r>
        </w:p>
      </w:tc>
      <w:tc>
        <w:tcPr>
          <w:tcW w:w="1559" w:type="dxa"/>
          <w:gridSpan w:val="2"/>
        </w:tcPr>
        <w:p w14:paraId="1DBF7B7E" w14:textId="77777777" w:rsidR="00D33C64" w:rsidRDefault="0004269B" w:rsidP="00730C9D">
          <w:pPr>
            <w:pStyle w:val="En-tte"/>
            <w:ind w:left="424"/>
            <w:jc w:val="right"/>
            <w:rPr>
              <w:snapToGrid w:val="0"/>
            </w:rPr>
          </w:pPr>
          <w:r>
            <w:rPr>
              <w:snapToGrid w:val="0"/>
            </w:rPr>
            <w:t>3</w:t>
          </w:r>
          <w:r>
            <w:rPr>
              <w:snapToGrid w:val="0"/>
            </w:rPr>
            <w:t>/201</w:t>
          </w:r>
          <w:r>
            <w:rPr>
              <w:snapToGrid w:val="0"/>
            </w:rPr>
            <w:t>4</w:t>
          </w:r>
        </w:p>
      </w:tc>
      <w:tc>
        <w:tcPr>
          <w:tcW w:w="1134" w:type="dxa"/>
        </w:tcPr>
        <w:p w14:paraId="55F14D2A" w14:textId="77777777" w:rsidR="00D33C64" w:rsidRDefault="0004269B" w:rsidP="00730C9D">
          <w:pPr>
            <w:pStyle w:val="En-tte"/>
            <w:jc w:val="right"/>
          </w:pP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r>
            <w:rPr>
              <w:snapToGrid w:val="0"/>
            </w:rPr>
            <w:fldChar w:fldCharType="begin"/>
          </w:r>
          <w:r>
            <w:rPr>
              <w:snapToGrid w:val="0"/>
            </w:rPr>
            <w:instrText xml:space="preserve"> NUMPAGES </w:instrText>
          </w:r>
          <w:r>
            <w:rPr>
              <w:snapToGrid w:val="0"/>
            </w:rPr>
            <w:fldChar w:fldCharType="separate"/>
          </w:r>
          <w:r>
            <w:rPr>
              <w:noProof/>
              <w:snapToGrid w:val="0"/>
            </w:rPr>
            <w:t>3</w:t>
          </w:r>
          <w:r>
            <w:rPr>
              <w:snapToGrid w:val="0"/>
            </w:rPr>
            <w:fldChar w:fldCharType="end"/>
          </w:r>
          <w:r>
            <w:rPr>
              <w:snapToGrid w:val="0"/>
            </w:rPr>
            <w:t>)</w:t>
          </w:r>
        </w:p>
      </w:tc>
    </w:tr>
    <w:tr w:rsidR="00D33C64" w14:paraId="0AEC2FEF" w14:textId="77777777" w:rsidTr="00730C9D">
      <w:trPr>
        <w:cantSplit/>
        <w:trHeight w:val="250"/>
      </w:trPr>
      <w:tc>
        <w:tcPr>
          <w:tcW w:w="3038" w:type="dxa"/>
          <w:gridSpan w:val="2"/>
        </w:tcPr>
        <w:p w14:paraId="5FDAD84C" w14:textId="77777777" w:rsidR="00D33C64" w:rsidRDefault="0004269B" w:rsidP="00730C9D"/>
      </w:tc>
      <w:tc>
        <w:tcPr>
          <w:tcW w:w="2206" w:type="dxa"/>
          <w:gridSpan w:val="2"/>
        </w:tcPr>
        <w:p w14:paraId="69A8C721" w14:textId="77777777" w:rsidR="00D33C64" w:rsidRDefault="0004269B">
          <w:pPr>
            <w:pStyle w:val="En-tte"/>
          </w:pPr>
        </w:p>
      </w:tc>
    </w:tr>
    <w:tr w:rsidR="00D33C64" w14:paraId="103841AC" w14:textId="77777777" w:rsidTr="00730C9D">
      <w:trPr>
        <w:cantSplit/>
        <w:trHeight w:val="250"/>
      </w:trPr>
      <w:tc>
        <w:tcPr>
          <w:tcW w:w="3038" w:type="dxa"/>
          <w:gridSpan w:val="2"/>
        </w:tcPr>
        <w:p w14:paraId="21F7895E" w14:textId="77777777" w:rsidR="00D33C64" w:rsidRDefault="0004269B" w:rsidP="000C61F8">
          <w:pPr>
            <w:pStyle w:val="En-tte"/>
          </w:pPr>
          <w:r>
            <w:rPr>
              <w:rFonts w:eastAsia="Arial"/>
              <w:color w:val="000000"/>
            </w:rPr>
            <w:t>16</w:t>
          </w:r>
          <w:r w:rsidRPr="00545787">
            <w:rPr>
              <w:rFonts w:eastAsia="Arial"/>
              <w:color w:val="000000"/>
            </w:rPr>
            <w:t>.</w:t>
          </w:r>
          <w:r>
            <w:rPr>
              <w:rFonts w:eastAsia="Arial"/>
              <w:color w:val="000000"/>
            </w:rPr>
            <w:t>4</w:t>
          </w:r>
          <w:r w:rsidRPr="00545787">
            <w:rPr>
              <w:rFonts w:eastAsia="Arial"/>
              <w:color w:val="000000"/>
            </w:rPr>
            <w:t>.201</w:t>
          </w:r>
          <w:r>
            <w:rPr>
              <w:rFonts w:eastAsia="Arial"/>
              <w:color w:val="000000"/>
            </w:rPr>
            <w:t>4</w:t>
          </w:r>
        </w:p>
      </w:tc>
      <w:tc>
        <w:tcPr>
          <w:tcW w:w="2206" w:type="dxa"/>
          <w:gridSpan w:val="2"/>
        </w:tcPr>
        <w:p w14:paraId="305D8EB3" w14:textId="77777777" w:rsidR="00D33C64" w:rsidRDefault="0004269B">
          <w:pPr>
            <w:pStyle w:val="En-tte"/>
          </w:pPr>
        </w:p>
      </w:tc>
    </w:tr>
    <w:tr w:rsidR="00D33C64" w14:paraId="6BB8F6B1" w14:textId="77777777" w:rsidTr="00730C9D">
      <w:trPr>
        <w:cantSplit/>
        <w:trHeight w:val="250"/>
      </w:trPr>
      <w:tc>
        <w:tcPr>
          <w:tcW w:w="3038" w:type="dxa"/>
          <w:gridSpan w:val="2"/>
        </w:tcPr>
        <w:p w14:paraId="593C1263" w14:textId="77777777" w:rsidR="00D33C64" w:rsidRDefault="0004269B" w:rsidP="00730C9D">
          <w:pPr>
            <w:pStyle w:val="En-tte"/>
          </w:pPr>
        </w:p>
      </w:tc>
      <w:tc>
        <w:tcPr>
          <w:tcW w:w="2206" w:type="dxa"/>
          <w:gridSpan w:val="2"/>
        </w:tcPr>
        <w:p w14:paraId="709A54ED" w14:textId="77777777" w:rsidR="00D33C64" w:rsidRDefault="0004269B">
          <w:pPr>
            <w:pStyle w:val="En-tte"/>
          </w:pPr>
        </w:p>
      </w:tc>
    </w:tr>
  </w:tbl>
  <w:p w14:paraId="31DCC20A" w14:textId="77777777" w:rsidR="00D33C64" w:rsidRDefault="0004269B">
    <w:pPr>
      <w:pStyle w:val="En-tte"/>
    </w:pPr>
  </w:p>
  <w:p w14:paraId="7D0CB619" w14:textId="77777777" w:rsidR="00D33C64" w:rsidRDefault="0004269B">
    <w:pPr>
      <w:pStyle w:val="En-tte"/>
    </w:pPr>
  </w:p>
  <w:p w14:paraId="6BB2CD53" w14:textId="77777777" w:rsidR="00D33C64" w:rsidRDefault="0004269B">
    <w:pPr>
      <w:pStyle w:val="En-tte"/>
    </w:pPr>
  </w:p>
  <w:p w14:paraId="457BC6E3" w14:textId="77777777" w:rsidR="00D33C64" w:rsidRDefault="0004269B" w:rsidP="00F823C6">
    <w:pPr>
      <w:pStyle w:val="En-tte"/>
      <w:tabs>
        <w:tab w:val="left" w:pos="729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E82A9E"/>
    <w:multiLevelType w:val="hybridMultilevel"/>
    <w:tmpl w:val="258E033A"/>
    <w:lvl w:ilvl="0" w:tplc="9104B902">
      <w:start w:val="1"/>
      <w:numFmt w:val="lowerRoman"/>
      <w:lvlText w:val="%1)"/>
      <w:lvlJc w:val="left"/>
      <w:pPr>
        <w:ind w:left="1080" w:hanging="72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69B"/>
    <w:rsid w:val="0004269B"/>
    <w:rsid w:val="006E048C"/>
    <w:rsid w:val="00AA77FF"/>
    <w:rsid w:val="00C668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47E2F"/>
  <w15:chartTrackingRefBased/>
  <w15:docId w15:val="{0A03FE9A-0965-4202-8452-252A6FAAF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269B"/>
    <w:pPr>
      <w:tabs>
        <w:tab w:val="left" w:pos="1304"/>
        <w:tab w:val="left" w:pos="2608"/>
        <w:tab w:val="left" w:pos="3912"/>
      </w:tabs>
      <w:spacing w:after="0" w:line="240" w:lineRule="atLeast"/>
    </w:pPr>
    <w:rPr>
      <w:rFonts w:ascii="Arial" w:eastAsia="Times New Roman" w:hAnsi="Arial" w:cs="Times New Roman"/>
      <w:szCs w:val="20"/>
      <w:lang w:val="fi-FI" w:eastAsia="fi-F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04269B"/>
    <w:pPr>
      <w:tabs>
        <w:tab w:val="clear" w:pos="1304"/>
        <w:tab w:val="clear" w:pos="2608"/>
        <w:tab w:val="clear" w:pos="3912"/>
      </w:tabs>
    </w:pPr>
  </w:style>
  <w:style w:type="character" w:customStyle="1" w:styleId="En-tteCar">
    <w:name w:val="En-tête Car"/>
    <w:basedOn w:val="Policepardfaut"/>
    <w:link w:val="En-tte"/>
    <w:uiPriority w:val="99"/>
    <w:rsid w:val="0004269B"/>
    <w:rPr>
      <w:rFonts w:ascii="Arial" w:eastAsia="Times New Roman" w:hAnsi="Arial" w:cs="Times New Roman"/>
      <w:szCs w:val="20"/>
      <w:lang w:val="fi-FI" w:eastAsia="fi-FI"/>
    </w:rPr>
  </w:style>
  <w:style w:type="paragraph" w:styleId="Pieddepage">
    <w:name w:val="footer"/>
    <w:link w:val="PieddepageCar"/>
    <w:uiPriority w:val="99"/>
    <w:rsid w:val="0004269B"/>
    <w:pPr>
      <w:spacing w:before="20" w:after="0" w:line="200" w:lineRule="exact"/>
      <w:ind w:left="3062"/>
    </w:pPr>
    <w:rPr>
      <w:rFonts w:ascii="Arial" w:eastAsia="Times New Roman" w:hAnsi="Arial" w:cs="Times New Roman"/>
      <w:color w:val="8C8C8C"/>
      <w:sz w:val="15"/>
      <w:szCs w:val="20"/>
      <w:lang w:val="fi-FI" w:eastAsia="fi-FI"/>
    </w:rPr>
  </w:style>
  <w:style w:type="character" w:customStyle="1" w:styleId="PieddepageCar">
    <w:name w:val="Pied de page Car"/>
    <w:basedOn w:val="Policepardfaut"/>
    <w:link w:val="Pieddepage"/>
    <w:uiPriority w:val="99"/>
    <w:rsid w:val="0004269B"/>
    <w:rPr>
      <w:rFonts w:ascii="Arial" w:eastAsia="Times New Roman" w:hAnsi="Arial" w:cs="Times New Roman"/>
      <w:color w:val="8C8C8C"/>
      <w:sz w:val="15"/>
      <w:szCs w:val="20"/>
      <w:lang w:val="fi-FI" w:eastAsia="fi-FI"/>
    </w:rPr>
  </w:style>
  <w:style w:type="paragraph" w:styleId="Paragraphedeliste">
    <w:name w:val="List Paragraph"/>
    <w:basedOn w:val="Normal"/>
    <w:uiPriority w:val="34"/>
    <w:qFormat/>
    <w:rsid w:val="000426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4530</Words>
  <Characters>24921</Characters>
  <Application>Microsoft Office Word</Application>
  <DocSecurity>0</DocSecurity>
  <Lines>207</Lines>
  <Paragraphs>58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Vadim LE JONCOUR</dc:creator>
  <cp:keywords/>
  <dc:description/>
  <cp:lastModifiedBy>Vadim LE JONCOUR</cp:lastModifiedBy>
  <cp:revision>1</cp:revision>
  <dcterms:created xsi:type="dcterms:W3CDTF">2019-01-08T07:44:00Z</dcterms:created>
  <dcterms:modified xsi:type="dcterms:W3CDTF">2019-01-08T07:46:00Z</dcterms:modified>
</cp:coreProperties>
</file>